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2E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一、采购标的 </w:t>
      </w:r>
    </w:p>
    <w:p w14:paraId="3CAA42E9">
      <w:pPr>
        <w:pStyle w:val="3"/>
        <w:pageBreakBefore w:val="0"/>
        <w:kinsoku/>
        <w:overflowPunct/>
        <w:bidi w:val="0"/>
        <w:spacing w:line="360" w:lineRule="auto"/>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河南中医药大学第一附属医院高端分子诊断检测技术平台设备采购项目，主要采购内容为2套中高端实时荧光定量PCR仪，包含不仅限于设备的供货、运输、保险、装卸、搬运、安装、检测、调试、试运行、验收交付、培训、技术支持、软件升级、售后保修及相关配套服务等，具体内容详见河南省政府采购网附件。</w:t>
      </w:r>
    </w:p>
    <w:p w14:paraId="55C970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14:paraId="4D6902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合同签订后，接到甲方送货书面通知后</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0个日历天</w:t>
      </w:r>
      <w:r>
        <w:rPr>
          <w:rFonts w:hint="eastAsia" w:cs="宋体"/>
          <w:color w:val="auto"/>
          <w:sz w:val="21"/>
          <w:szCs w:val="21"/>
          <w:highlight w:val="none"/>
          <w:lang w:val="en-US" w:eastAsia="zh-CN"/>
        </w:rPr>
        <w:t>内</w:t>
      </w:r>
      <w:r>
        <w:rPr>
          <w:rFonts w:hint="eastAsia" w:ascii="宋体" w:hAnsi="宋体" w:eastAsia="宋体" w:cs="宋体"/>
          <w:color w:val="auto"/>
          <w:sz w:val="21"/>
          <w:szCs w:val="21"/>
          <w:highlight w:val="none"/>
          <w:lang w:eastAsia="zh-CN"/>
        </w:rPr>
        <w:t>送达并安装完毕</w:t>
      </w:r>
      <w:r>
        <w:rPr>
          <w:rFonts w:hint="eastAsia" w:ascii="宋体" w:hAnsi="宋体" w:eastAsia="宋体" w:cs="宋体"/>
          <w:color w:val="auto"/>
          <w:sz w:val="21"/>
          <w:szCs w:val="21"/>
          <w:highlight w:val="none"/>
          <w:lang w:val="en-US" w:eastAsia="zh-CN"/>
        </w:rPr>
        <w:t>。</w:t>
      </w:r>
    </w:p>
    <w:p w14:paraId="400089A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合格，符合国家、行业现行规范</w:t>
      </w:r>
      <w:r>
        <w:rPr>
          <w:rFonts w:hint="eastAsia" w:cs="宋体"/>
          <w:color w:val="auto"/>
          <w:sz w:val="21"/>
          <w:szCs w:val="21"/>
          <w:highlight w:val="none"/>
          <w:lang w:val="en-US" w:eastAsia="zh-CN"/>
        </w:rPr>
        <w:t>，满足采购人需求</w:t>
      </w:r>
      <w:r>
        <w:rPr>
          <w:rFonts w:hint="eastAsia" w:ascii="宋体" w:hAnsi="宋体" w:eastAsia="宋体" w:cs="宋体"/>
          <w:color w:val="auto"/>
          <w:sz w:val="21"/>
          <w:szCs w:val="21"/>
          <w:highlight w:val="none"/>
        </w:rPr>
        <w:t>。</w:t>
      </w:r>
    </w:p>
    <w:p w14:paraId="4281B1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自安装验收合格之日起原厂整机质保</w:t>
      </w:r>
      <w:r>
        <w:rPr>
          <w:rFonts w:hint="eastAsia" w:cs="宋体"/>
          <w:color w:val="auto"/>
          <w:sz w:val="21"/>
          <w:szCs w:val="21"/>
          <w:highlight w:val="none"/>
          <w:lang w:val="en-US" w:eastAsia="zh-CN"/>
        </w:rPr>
        <w:t>不少于3年</w:t>
      </w:r>
      <w:r>
        <w:rPr>
          <w:rFonts w:hint="eastAsia" w:ascii="宋体" w:hAnsi="宋体" w:eastAsia="宋体" w:cs="宋体"/>
          <w:color w:val="auto"/>
          <w:sz w:val="21"/>
          <w:szCs w:val="21"/>
          <w:highlight w:val="none"/>
          <w:lang w:val="en-US" w:eastAsia="zh-CN"/>
        </w:rPr>
        <w:t>。</w:t>
      </w:r>
    </w:p>
    <w:p w14:paraId="045FE410">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交货地点：采购人指定地点。</w:t>
      </w:r>
    </w:p>
    <w:p w14:paraId="16EB80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highlight w:val="none"/>
        </w:rPr>
      </w:pPr>
      <w:r>
        <w:rPr>
          <w:rFonts w:hint="eastAsia"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付款条件（进度和方式）</w:t>
      </w:r>
    </w:p>
    <w:p w14:paraId="53C12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付款条件：合同签订后乙方先向甲方提供合同金额50%的预付款银行保函（见索即付，不可撤销）并开具合同金额50%发票，甲方向乙方支付合同总金额50%的预付款；设备到货并安装调试完成，甲方向乙方退回预付款保函，经甲方验收合格并实际交付使用后</w:t>
      </w:r>
      <w:r>
        <w:rPr>
          <w:rFonts w:hint="eastAsia" w:cs="宋体"/>
          <w:b w:val="0"/>
          <w:bCs w:val="0"/>
          <w:color w:val="auto"/>
          <w:sz w:val="21"/>
          <w:szCs w:val="21"/>
          <w:highlight w:val="none"/>
          <w:lang w:val="en-US" w:eastAsia="zh-CN"/>
        </w:rPr>
        <w:t>10个</w:t>
      </w:r>
      <w:r>
        <w:rPr>
          <w:rFonts w:hint="eastAsia" w:ascii="宋体" w:hAnsi="宋体" w:eastAsia="宋体" w:cs="宋体"/>
          <w:b w:val="0"/>
          <w:bCs w:val="0"/>
          <w:color w:val="auto"/>
          <w:sz w:val="21"/>
          <w:szCs w:val="21"/>
          <w:highlight w:val="none"/>
          <w:lang w:val="en-US" w:eastAsia="zh-CN"/>
        </w:rPr>
        <w:t>工作日，乙方提供剩余合同金额的发票，甲方向乙方支付剩余合同款项。若乙方未及时开具发票并提供给甲方，甲方有权不予支付相应款项且不承担逾期付款的违约责任。</w:t>
      </w:r>
    </w:p>
    <w:p w14:paraId="32FBCD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支付方式：银行转账</w:t>
      </w:r>
    </w:p>
    <w:p w14:paraId="1FE12AFD">
      <w:pPr>
        <w:pageBreakBefore w:val="0"/>
        <w:kinsoku/>
        <w:overflowPunct/>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乙方出具国家税务机关的正式发票，甲方以人民币转账汇款方式向乙方账户支付合同价款。</w:t>
      </w:r>
    </w:p>
    <w:p w14:paraId="3FB40396">
      <w:pPr>
        <w:pageBreakBefore w:val="0"/>
        <w:kinsoku/>
        <w:overflowPunct/>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三.其他要求：</w:t>
      </w:r>
    </w:p>
    <w:p w14:paraId="382DAF0E">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供货、安装及验收要求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供应商需提供完整的供货、安装及验收方案，明确各环节流程、责任及标准，确保设备顺利交付、规范安装并通过验收</w:t>
      </w:r>
      <w:r>
        <w:rPr>
          <w:rFonts w:hint="eastAsia" w:ascii="宋体" w:hAnsi="宋体" w:eastAsia="宋体" w:cs="宋体"/>
          <w:b w:val="0"/>
          <w:bCs w:val="0"/>
          <w:color w:val="auto"/>
          <w:sz w:val="21"/>
          <w:szCs w:val="21"/>
          <w:highlight w:val="none"/>
          <w:lang w:val="en-US" w:eastAsia="zh-CN"/>
        </w:rPr>
        <w:t>。</w:t>
      </w:r>
    </w:p>
    <w:p w14:paraId="2D192F75">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培训与技术支持要求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为确保采购方相关人员能够熟练操作、维护设备，供应商需提供全面的培训服务及持续的技术支持</w:t>
      </w:r>
      <w:r>
        <w:rPr>
          <w:rFonts w:hint="eastAsia" w:ascii="宋体" w:hAnsi="宋体" w:eastAsia="宋体" w:cs="宋体"/>
          <w:b w:val="0"/>
          <w:bCs w:val="0"/>
          <w:color w:val="auto"/>
          <w:sz w:val="21"/>
          <w:szCs w:val="21"/>
          <w:highlight w:val="none"/>
          <w:lang w:val="en-US" w:eastAsia="zh-CN"/>
        </w:rPr>
        <w:t>。</w:t>
      </w:r>
    </w:p>
    <w:p w14:paraId="7E9E83CF">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备品备件要求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为保障设备长期稳定运行，及时处理设备故障，供应商需提供充足、合格的备品备件</w:t>
      </w:r>
      <w:r>
        <w:rPr>
          <w:rFonts w:hint="eastAsia" w:ascii="宋体" w:hAnsi="宋体" w:eastAsia="宋体" w:cs="宋体"/>
          <w:b w:val="0"/>
          <w:bCs w:val="0"/>
          <w:color w:val="auto"/>
          <w:sz w:val="21"/>
          <w:szCs w:val="21"/>
          <w:highlight w:val="none"/>
          <w:lang w:val="en-US" w:eastAsia="zh-CN"/>
        </w:rPr>
        <w:t>。</w:t>
      </w:r>
    </w:p>
    <w:p w14:paraId="19297827">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服务保障能力要求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供应商需具备完善的服务保障体系，能够为采购方提供全方位、长期的服务保障，确保设备稳定运行</w:t>
      </w:r>
      <w:r>
        <w:rPr>
          <w:rFonts w:hint="eastAsia" w:ascii="宋体" w:hAnsi="宋体" w:eastAsia="宋体" w:cs="宋体"/>
          <w:b w:val="0"/>
          <w:bCs w:val="0"/>
          <w:color w:val="auto"/>
          <w:sz w:val="21"/>
          <w:szCs w:val="21"/>
          <w:highlight w:val="none"/>
          <w:lang w:val="en-US" w:eastAsia="zh-CN"/>
        </w:rPr>
        <w:t>。</w:t>
      </w:r>
    </w:p>
    <w:p w14:paraId="1B8FF4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、技术</w:t>
      </w:r>
      <w:r>
        <w:rPr>
          <w:rFonts w:hint="eastAsia" w:cs="宋体"/>
          <w:b/>
          <w:bCs/>
          <w:color w:val="auto"/>
          <w:kern w:val="0"/>
          <w:sz w:val="21"/>
          <w:szCs w:val="21"/>
          <w:highlight w:val="none"/>
          <w:lang w:val="en-US" w:eastAsia="zh-CN" w:bidi="ar"/>
        </w:rPr>
        <w:t>参数</w:t>
      </w:r>
      <w:r>
        <w:rPr>
          <w:rFonts w:hint="eastAsia" w:ascii="宋体" w:hAnsi="宋体" w:eastAsia="宋体" w:cs="宋体"/>
          <w:b/>
          <w:bCs/>
          <w:color w:val="auto"/>
          <w:kern w:val="0"/>
          <w:sz w:val="21"/>
          <w:szCs w:val="21"/>
          <w:highlight w:val="none"/>
          <w:lang w:val="en-US" w:eastAsia="zh-CN" w:bidi="ar"/>
        </w:rPr>
        <w:t xml:space="preserve"> </w:t>
      </w:r>
    </w:p>
    <w:p w14:paraId="0269A6E4">
      <w:pPr>
        <w:widowControl/>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包1：中高端实时荧光定量PCR仪</w:t>
      </w:r>
    </w:p>
    <w:p w14:paraId="3233221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1.检测技术原理：基于荧光信号实时监测PCR扩增过程，支持染料法与探针法双重检测模式；</w:t>
      </w:r>
    </w:p>
    <w:p w14:paraId="17E92E3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2.光学系统配置：检测光通道≥6色，激发波长覆盖450-730nm；</w:t>
      </w:r>
    </w:p>
    <w:p w14:paraId="140B171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3.检测灵敏：可检测单拷贝人基因组DNA，动态检测范围≥10个数量级；</w:t>
      </w:r>
    </w:p>
    <w:p w14:paraId="452657F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4.温控性能：温控精度±0.2℃，孔间均一性±0.3℃（达设定温度10秒内）；</w:t>
      </w:r>
    </w:p>
    <w:p w14:paraId="697CB8A1">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5.升降温速率：最大升温速率≥4℃/秒；</w:t>
      </w:r>
    </w:p>
    <w:p w14:paraId="763814C7">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6.完全试剂开放，可适配国械注册临床试剂盒；</w:t>
      </w:r>
    </w:p>
    <w:p w14:paraId="4E8705E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7.兼容单管、八联管及96孔板（无裙边/半裙边/全裙边）；</w:t>
      </w:r>
    </w:p>
    <w:p w14:paraId="5C54A5D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8.操作与分析系统：配备中文操作系统，内置数据分析模块（标准曲线定量、ΔCt分析等）；</w:t>
      </w:r>
    </w:p>
    <w:p w14:paraId="2BE93301">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9.数据传输与存储：免费连接LIS端口，支持USB、以太网、WiFi（可选）数据传输，本地存储≥1000组；</w:t>
      </w:r>
    </w:p>
    <w:p w14:paraId="55F11150">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10.质保与服务：整机质保≥3年，故障响应≤2小时，24小时内现场维修；每年提供1次免费校准；</w:t>
      </w:r>
    </w:p>
    <w:p w14:paraId="445C876D">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11.图文工作站1套，含i5及以上处理器、≥8G内存，具备打印功能；</w:t>
      </w:r>
    </w:p>
    <w:p w14:paraId="0C7AA834">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12.提供ups备用电源；</w:t>
      </w:r>
    </w:p>
    <w:p w14:paraId="6E9CA851">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13.品牌移液器：单道移液器最大量程10μl、50μl、200μl、1000μl各1把，八道移液器最大量程50μl 2把；</w:t>
      </w:r>
    </w:p>
    <w:p w14:paraId="7156D3B9">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14.高速离心机1台，最高转速≥15000r/min，配备24×1.5ml角转子；PCR迷你离心机2台，转子优于2×0.2ml八联管；</w:t>
      </w:r>
    </w:p>
    <w:p w14:paraId="1479382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15.冰箱：医用冷藏箱1台，立式双开门，温度2～8℃可调，容积≥600L；医用低温冰箱2台：立式，温度-10～-25℃可调，容积≥250L。</w:t>
      </w:r>
    </w:p>
    <w:p w14:paraId="5580B4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F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uiPriority w:val="0"/>
    <w:pPr>
      <w:widowControl w:val="0"/>
      <w:spacing w:after="120"/>
      <w:ind w:left="420" w:leftChars="200"/>
      <w:jc w:val="both"/>
    </w:pPr>
    <w:rPr>
      <w:rFonts w:ascii="宋体" w:hAnsi="宋体" w:eastAsia="宋体" w:cs="宋体"/>
      <w:kern w:val="2"/>
      <w:sz w:val="21"/>
      <w:szCs w:val="24"/>
      <w:lang w:val="en-US" w:eastAsia="zh-CN" w:bidi="ar-SA"/>
    </w:rPr>
  </w:style>
  <w:style w:type="paragraph" w:styleId="3">
    <w:name w:val="Body Text First Indent 2"/>
    <w:qFormat/>
    <w:uiPriority w:val="0"/>
    <w:pPr>
      <w:widowControl w:val="0"/>
      <w:spacing w:after="120"/>
      <w:ind w:left="420" w:leftChars="200" w:firstLine="420" w:firstLineChars="200"/>
      <w:jc w:val="both"/>
    </w:pPr>
    <w:rPr>
      <w:rFonts w:ascii="宋体" w:hAnsi="宋体"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2026-06-11T06:19:10Z</dcterms:created>
  <dc:creator>Administrator</dc:creator>
  <cp:lastModifiedBy>111</cp:lastModifiedBy>
  <dcterms:modified xsi:type="dcterms:W3CDTF">2026-06-11T06:19:32Z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3C49E1D8072548D9A09769F5CC37109C_12</vt:lpwstr>
  </property>
</Properties>
</file>