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A4F6F">
      <w:pPr>
        <w:pStyle w:val="4"/>
        <w:keepNext w:val="0"/>
        <w:keepLines w:val="0"/>
        <w:pageBreakBefore w:val="0"/>
        <w:kinsoku/>
        <w:wordWrap/>
        <w:overflowPunct w:val="0"/>
        <w:topLinePunct w:val="0"/>
        <w:autoSpaceDE w:val="0"/>
        <w:autoSpaceDN w:val="0"/>
        <w:bidi w:val="0"/>
        <w:adjustRightInd w:val="0"/>
        <w:spacing w:before="113" w:line="225" w:lineRule="auto"/>
        <w:ind w:left="4007"/>
        <w:outlineLvl w:val="0"/>
        <w:rPr>
          <w:b/>
          <w:bCs/>
          <w:spacing w:val="-8"/>
          <w:sz w:val="32"/>
          <w:szCs w:val="32"/>
        </w:rPr>
        <w:sectPr>
          <w:headerReference r:id="rId5" w:type="default"/>
          <w:pgSz w:w="11906" w:h="16839"/>
          <w:pgMar w:top="1417" w:right="1417" w:bottom="1417" w:left="1417" w:header="0" w:footer="0" w:gutter="0"/>
          <w:pgNumType w:fmt="decimal"/>
          <w:cols w:space="720" w:num="1"/>
        </w:sectPr>
      </w:pPr>
      <w:bookmarkStart w:id="0" w:name="_Toc4878"/>
      <w:bookmarkStart w:id="1" w:name="_Toc3627"/>
      <w:bookmarkStart w:id="2" w:name="_Toc19146"/>
      <w:r>
        <w:drawing>
          <wp:anchor distT="0" distB="0" distL="114300" distR="114300" simplePos="0" relativeHeight="251659264" behindDoc="0" locked="0" layoutInCell="1" allowOverlap="1">
            <wp:simplePos x="0" y="0"/>
            <wp:positionH relativeFrom="column">
              <wp:posOffset>-431800</wp:posOffset>
            </wp:positionH>
            <wp:positionV relativeFrom="paragraph">
              <wp:posOffset>73025</wp:posOffset>
            </wp:positionV>
            <wp:extent cx="6373495" cy="8956675"/>
            <wp:effectExtent l="0" t="0" r="8255" b="1587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73495" cy="8956675"/>
                    </a:xfrm>
                    <a:prstGeom prst="rect">
                      <a:avLst/>
                    </a:prstGeom>
                    <a:noFill/>
                    <a:ln>
                      <a:noFill/>
                    </a:ln>
                  </pic:spPr>
                </pic:pic>
              </a:graphicData>
            </a:graphic>
          </wp:anchor>
        </w:drawing>
      </w:r>
    </w:p>
    <w:p w14:paraId="6CE2A0AD">
      <w:pPr>
        <w:keepNext/>
        <w:keepLines/>
        <w:pageBreakBefore w:val="0"/>
        <w:wordWrap/>
        <w:overflowPunct/>
        <w:topLinePunct w:val="0"/>
        <w:autoSpaceDE/>
        <w:autoSpaceDN/>
        <w:bidi w:val="0"/>
        <w:spacing w:line="360" w:lineRule="auto"/>
        <w:jc w:val="center"/>
        <w:outlineLvl w:val="9"/>
        <w:rPr>
          <w:rFonts w:hint="eastAsia" w:ascii="宋体" w:hAnsi="宋体" w:eastAsia="宋体" w:cs="宋体"/>
          <w:b/>
          <w:bCs/>
          <w:color w:val="auto"/>
          <w:spacing w:val="0"/>
          <w:w w:val="100"/>
          <w:kern w:val="44"/>
          <w:sz w:val="44"/>
          <w:szCs w:val="44"/>
          <w:highlight w:val="none"/>
          <w:lang w:val="zh-CN" w:bidi="ar-SA"/>
        </w:rPr>
      </w:pPr>
      <w:r>
        <w:rPr>
          <w:rFonts w:hint="eastAsia" w:ascii="宋体" w:hAnsi="宋体" w:eastAsia="宋体" w:cs="宋体"/>
          <w:b/>
          <w:bCs/>
          <w:color w:val="auto"/>
          <w:spacing w:val="0"/>
          <w:w w:val="100"/>
          <w:kern w:val="44"/>
          <w:sz w:val="36"/>
          <w:szCs w:val="36"/>
          <w:highlight w:val="none"/>
          <w:lang w:val="zh-CN" w:bidi="ar-SA"/>
        </w:rPr>
        <w:t>说  明</w:t>
      </w:r>
      <w:bookmarkEnd w:id="0"/>
      <w:bookmarkEnd w:id="1"/>
      <w:bookmarkEnd w:id="2"/>
    </w:p>
    <w:p w14:paraId="1B3820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为了指导建设工程施工合同当事人的签约行为，维护合同当事人的合法权益，依据《中华人民共和国民法典》、《中华人民共和国建筑法》、《中华人民共和国招标投标法》以及相关法律法规，住房</w:t>
      </w:r>
      <w:r>
        <w:rPr>
          <w:rFonts w:hint="eastAsia" w:ascii="宋体" w:hAnsi="宋体" w:eastAsia="宋体" w:cs="宋体"/>
          <w:color w:val="auto"/>
          <w:spacing w:val="0"/>
          <w:w w:val="100"/>
          <w:kern w:val="2"/>
          <w:sz w:val="21"/>
          <w:szCs w:val="24"/>
          <w:highlight w:val="none"/>
          <w:lang w:val="en-US" w:eastAsia="zh-CN" w:bidi="ar-SA"/>
        </w:rPr>
        <w:t>和</w:t>
      </w:r>
      <w:r>
        <w:rPr>
          <w:rFonts w:hint="eastAsia" w:ascii="宋体" w:hAnsi="宋体" w:eastAsia="宋体" w:cs="宋体"/>
          <w:color w:val="auto"/>
          <w:spacing w:val="0"/>
          <w:w w:val="100"/>
          <w:kern w:val="2"/>
          <w:sz w:val="21"/>
          <w:szCs w:val="24"/>
          <w:highlight w:val="none"/>
          <w:lang w:val="en-US" w:bidi="ar-SA"/>
        </w:rPr>
        <w:t>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2A603CE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3" w:name="_Toc10767"/>
      <w:bookmarkStart w:id="4" w:name="_Toc27442"/>
      <w:bookmarkStart w:id="5" w:name="_Toc29094"/>
      <w:bookmarkStart w:id="6" w:name="_Toc22911667"/>
      <w:r>
        <w:rPr>
          <w:rFonts w:hint="eastAsia" w:ascii="宋体" w:hAnsi="宋体" w:eastAsia="宋体" w:cs="宋体"/>
          <w:b/>
          <w:bCs/>
          <w:color w:val="auto"/>
          <w:spacing w:val="0"/>
          <w:w w:val="100"/>
          <w:kern w:val="2"/>
          <w:sz w:val="21"/>
          <w:szCs w:val="24"/>
          <w:highlight w:val="none"/>
          <w:lang w:val="en-US" w:bidi="ar-SA"/>
        </w:rPr>
        <w:t>一、《示范文本》的组成</w:t>
      </w:r>
      <w:bookmarkEnd w:id="3"/>
      <w:bookmarkEnd w:id="4"/>
      <w:bookmarkEnd w:id="5"/>
      <w:bookmarkEnd w:id="6"/>
    </w:p>
    <w:p w14:paraId="6BD45D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《示范文本》由合同协议书、通用合同条款和专用合同条款三部分组成。</w:t>
      </w:r>
    </w:p>
    <w:p w14:paraId="097B858B">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7" w:name="_Toc4241"/>
      <w:bookmarkStart w:id="8" w:name="_Toc23780"/>
      <w:bookmarkStart w:id="9" w:name="_Toc22911668"/>
      <w:bookmarkStart w:id="10" w:name="_Toc5242"/>
      <w:r>
        <w:rPr>
          <w:rFonts w:hint="eastAsia" w:ascii="宋体" w:hAnsi="宋体" w:eastAsia="宋体" w:cs="宋体"/>
          <w:color w:val="auto"/>
          <w:spacing w:val="0"/>
          <w:w w:val="100"/>
          <w:kern w:val="2"/>
          <w:sz w:val="21"/>
          <w:szCs w:val="24"/>
          <w:highlight w:val="none"/>
          <w:lang w:val="en-US" w:bidi="ar-SA"/>
        </w:rPr>
        <w:t>（一）合同协议书</w:t>
      </w:r>
      <w:bookmarkEnd w:id="7"/>
      <w:bookmarkEnd w:id="8"/>
      <w:bookmarkEnd w:id="9"/>
      <w:bookmarkEnd w:id="10"/>
    </w:p>
    <w:p w14:paraId="200C5C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18DC5D7E">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11" w:name="_Toc9035"/>
      <w:bookmarkStart w:id="12" w:name="_Toc22911669"/>
      <w:bookmarkStart w:id="13" w:name="_Toc24477"/>
      <w:bookmarkStart w:id="14" w:name="_Toc32747"/>
      <w:r>
        <w:rPr>
          <w:rFonts w:hint="eastAsia" w:ascii="宋体" w:hAnsi="宋体" w:eastAsia="宋体" w:cs="宋体"/>
          <w:color w:val="auto"/>
          <w:spacing w:val="0"/>
          <w:w w:val="100"/>
          <w:kern w:val="2"/>
          <w:sz w:val="21"/>
          <w:szCs w:val="24"/>
          <w:highlight w:val="none"/>
          <w:lang w:val="en-US" w:bidi="ar-SA"/>
        </w:rPr>
        <w:t>（二）通用合同条款</w:t>
      </w:r>
      <w:bookmarkEnd w:id="11"/>
      <w:bookmarkEnd w:id="12"/>
      <w:bookmarkEnd w:id="13"/>
      <w:bookmarkEnd w:id="14"/>
    </w:p>
    <w:p w14:paraId="48D2A2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通用合同条款是合同当事人根据《中华人民共和国建筑法》、《中华人民共和国民法典》等法律法规的规定，就工程建设的实施及相关事项，对合同当事人的权利义务作出的原则性约定。</w:t>
      </w:r>
    </w:p>
    <w:p w14:paraId="745EF8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用合同条款共计20条，具体条款分别为：一般约定、发包人、承包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FBA3E57">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15" w:name="_Toc31793"/>
      <w:bookmarkStart w:id="16" w:name="_Toc22911670"/>
      <w:bookmarkStart w:id="17" w:name="_Toc8231"/>
      <w:r>
        <w:rPr>
          <w:rFonts w:hint="eastAsia" w:ascii="宋体" w:hAnsi="宋体" w:eastAsia="宋体" w:cs="宋体"/>
          <w:color w:val="auto"/>
          <w:spacing w:val="0"/>
          <w:w w:val="100"/>
          <w:kern w:val="2"/>
          <w:sz w:val="21"/>
          <w:szCs w:val="24"/>
          <w:highlight w:val="none"/>
          <w:lang w:val="en-US" w:bidi="ar-SA"/>
        </w:rPr>
        <w:t>（三）专用合同条款</w:t>
      </w:r>
      <w:bookmarkEnd w:id="15"/>
      <w:bookmarkEnd w:id="16"/>
      <w:bookmarkEnd w:id="17"/>
    </w:p>
    <w:p w14:paraId="0492D9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专用合同条款是对通用合同条款原则性约定的细化、完善、补充、修改或另行约定的条款。合同当事人可以根据不同建设工程的特点及具体情况，通过双方的协商对相应的专用合同条款进行修改补充。在使用专用合同条款时，应注意以下事项：</w:t>
      </w:r>
    </w:p>
    <w:p w14:paraId="7193BA5D">
      <w:pPr>
        <w:keepNext w:val="0"/>
        <w:keepLines w:val="0"/>
        <w:pageBreakBefore w:val="0"/>
        <w:widowControl w:val="0"/>
        <w:kinsoku/>
        <w:wordWrap/>
        <w:overflowPunct/>
        <w:topLinePunct w:val="0"/>
        <w:autoSpaceDE/>
        <w:autoSpaceDN/>
        <w:bidi w:val="0"/>
        <w:adjustRightInd w:val="0"/>
        <w:snapToGrid w:val="0"/>
        <w:spacing w:line="360" w:lineRule="auto"/>
        <w:ind w:right="25" w:rightChars="12"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1.专用合同条款的编号应与相应的通用合同条款的编号一致；</w:t>
      </w:r>
    </w:p>
    <w:p w14:paraId="54AF78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2.合同当事人可以通过对专用合同条款的修改，满足具体建设工程的特殊要求，避免直接修改通用合同条款；</w:t>
      </w:r>
    </w:p>
    <w:p w14:paraId="2DD5AE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3.在专用合同条款中有横道线的地方，合同当事人可针对相应的通用合同条款进行细化、完善、补充、修改或另行约定；如无细化、完善、补充、修改或另行约定，则填写“无”或划“/”。</w:t>
      </w:r>
    </w:p>
    <w:p w14:paraId="43D5FAA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1"/>
          <w:highlight w:val="none"/>
          <w:lang w:val="en-US" w:bidi="ar-SA"/>
        </w:rPr>
      </w:pPr>
      <w:bookmarkStart w:id="18" w:name="_Toc16396"/>
      <w:bookmarkStart w:id="19" w:name="_Toc22911671"/>
      <w:bookmarkStart w:id="20" w:name="_Toc15241"/>
      <w:bookmarkStart w:id="21" w:name="_Toc29629"/>
      <w:r>
        <w:rPr>
          <w:rFonts w:hint="eastAsia" w:ascii="宋体" w:hAnsi="宋体" w:eastAsia="宋体" w:cs="宋体"/>
          <w:b/>
          <w:bCs/>
          <w:color w:val="auto"/>
          <w:spacing w:val="0"/>
          <w:w w:val="100"/>
          <w:kern w:val="2"/>
          <w:sz w:val="21"/>
          <w:szCs w:val="21"/>
          <w:highlight w:val="none"/>
          <w:lang w:val="en-US" w:bidi="ar-SA"/>
        </w:rPr>
        <w:t>二、《示范文本》的性质和适用范围</w:t>
      </w:r>
      <w:bookmarkEnd w:id="18"/>
      <w:bookmarkEnd w:id="19"/>
      <w:bookmarkEnd w:id="20"/>
      <w:bookmarkEnd w:id="21"/>
    </w:p>
    <w:p w14:paraId="24239EC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w w:val="100"/>
          <w:szCs w:val="21"/>
          <w:highlight w:val="none"/>
        </w:rPr>
        <w:sectPr>
          <w:headerReference r:id="rId6" w:type="default"/>
          <w:footerReference r:id="rId7" w:type="default"/>
          <w:pgSz w:w="11906" w:h="16838"/>
          <w:pgMar w:top="1418" w:right="1555" w:bottom="1418" w:left="1531" w:header="851" w:footer="992" w:gutter="0"/>
          <w:pgNumType w:fmt="decimal" w:start="1"/>
          <w:cols w:space="720" w:num="1"/>
          <w:docGrid w:type="lines" w:linePitch="312" w:charSpace="0"/>
        </w:sectPr>
      </w:pPr>
      <w:bookmarkStart w:id="22" w:name="_Toc1079"/>
      <w:bookmarkStart w:id="23" w:name="_Toc9711"/>
      <w:bookmarkStart w:id="24" w:name="_Toc18655"/>
      <w:r>
        <w:rPr>
          <w:rFonts w:hint="eastAsia" w:ascii="宋体" w:hAnsi="宋体" w:eastAsia="宋体" w:cs="宋体"/>
          <w:color w:val="auto"/>
          <w:spacing w:val="0"/>
          <w:w w:val="100"/>
          <w:kern w:val="2"/>
          <w:sz w:val="21"/>
          <w:szCs w:val="21"/>
          <w:highlight w:val="none"/>
          <w:lang w:val="en-US" w:bidi="ar-SA"/>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End w:id="22"/>
      <w:bookmarkEnd w:id="23"/>
      <w:bookmarkEnd w:id="24"/>
    </w:p>
    <w:p w14:paraId="3200E5EA">
      <w:pPr>
        <w:keepNext/>
        <w:keepLines/>
        <w:pageBreakBefore w:val="0"/>
        <w:tabs>
          <w:tab w:val="center" w:pos="4471"/>
          <w:tab w:val="left" w:pos="8100"/>
        </w:tabs>
        <w:wordWrap/>
        <w:overflowPunct/>
        <w:topLinePunct w:val="0"/>
        <w:autoSpaceDE/>
        <w:autoSpaceDN/>
        <w:bidi w:val="0"/>
        <w:spacing w:before="120" w:after="120" w:line="360" w:lineRule="auto"/>
        <w:jc w:val="both"/>
        <w:outlineLvl w:val="9"/>
        <w:rPr>
          <w:rFonts w:ascii="宋体" w:hAnsi="宋体" w:eastAsia="宋体" w:cs="宋体"/>
          <w:bCs/>
          <w:color w:val="auto"/>
          <w:spacing w:val="0"/>
          <w:w w:val="100"/>
          <w:kern w:val="44"/>
          <w:sz w:val="21"/>
          <w:szCs w:val="21"/>
          <w:highlight w:val="none"/>
          <w:lang w:val="en-US" w:bidi="ar-SA"/>
        </w:rPr>
      </w:pPr>
      <w:r>
        <w:rPr>
          <w:rFonts w:hint="eastAsia" w:ascii="宋体" w:hAnsi="宋体" w:eastAsia="宋体" w:cs="宋体"/>
          <w:b/>
          <w:bCs/>
          <w:color w:val="auto"/>
          <w:spacing w:val="0"/>
          <w:w w:val="100"/>
          <w:kern w:val="2"/>
          <w:sz w:val="21"/>
          <w:szCs w:val="21"/>
          <w:highlight w:val="none"/>
          <w:lang w:val="zh-CN" w:bidi="ar-SA"/>
        </w:rPr>
        <w:tab/>
      </w:r>
      <w:bookmarkStart w:id="25" w:name="_Toc710"/>
      <w:bookmarkStart w:id="26" w:name="_Toc22911672"/>
      <w:bookmarkStart w:id="27" w:name="_Toc12562"/>
      <w:bookmarkStart w:id="28" w:name="_Toc27755"/>
      <w:r>
        <w:rPr>
          <w:rFonts w:hint="eastAsia" w:ascii="宋体" w:hAnsi="宋体" w:eastAsia="宋体" w:cs="宋体"/>
          <w:b/>
          <w:bCs/>
          <w:color w:val="auto"/>
          <w:spacing w:val="0"/>
          <w:w w:val="100"/>
          <w:kern w:val="44"/>
          <w:sz w:val="21"/>
          <w:szCs w:val="21"/>
          <w:highlight w:val="none"/>
          <w:lang w:val="en-US" w:bidi="ar-SA"/>
        </w:rPr>
        <w:t>第一部分 合同协议书</w:t>
      </w:r>
      <w:bookmarkEnd w:id="25"/>
      <w:bookmarkEnd w:id="26"/>
      <w:bookmarkEnd w:id="27"/>
      <w:bookmarkEnd w:id="28"/>
    </w:p>
    <w:p w14:paraId="64F8EA39">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发包人（全称）：</w:t>
      </w:r>
      <w:r>
        <w:rPr>
          <w:b/>
          <w:bCs/>
          <w:spacing w:val="-2"/>
          <w:u w:val="single" w:color="auto"/>
        </w:rPr>
        <w:t>河南理工大学</w:t>
      </w:r>
    </w:p>
    <w:p w14:paraId="338D0B0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承包人（全称）：</w:t>
      </w:r>
      <w:r>
        <w:rPr>
          <w:rFonts w:hint="eastAsia"/>
          <w:b/>
          <w:bCs/>
          <w:spacing w:val="-5"/>
          <w:u w:val="single"/>
        </w:rPr>
        <w:t>河南隆鼎建筑工程有限公司</w:t>
      </w:r>
    </w:p>
    <w:p w14:paraId="7820F6E3">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根据《中华人民共和国民法典》、《中华人民共和国建筑法》及有关法律规定，遵循平等、自愿、公平和诚实信用的原则，双方就</w:t>
      </w:r>
      <w:r>
        <w:rPr>
          <w:rFonts w:hint="eastAsia" w:ascii="宋体" w:hAnsi="宋体" w:eastAsia="宋体" w:cs="宋体"/>
          <w:b/>
          <w:bCs/>
          <w:spacing w:val="-12"/>
          <w:u w:val="single"/>
        </w:rPr>
        <w:t>河南理工大学南校区室外管网提升工程</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工程施工及有关事项协商一致，共同达成如下协议：</w:t>
      </w:r>
    </w:p>
    <w:p w14:paraId="08819635">
      <w:pPr>
        <w:pStyle w:val="3"/>
        <w:bidi w:val="0"/>
        <w:rPr>
          <w:lang w:val="en-US"/>
        </w:rPr>
      </w:pPr>
      <w:r>
        <w:rPr>
          <w:rFonts w:hint="eastAsia"/>
          <w:lang w:val="en-US"/>
        </w:rPr>
        <w:t xml:space="preserve"> </w:t>
      </w:r>
      <w:bookmarkStart w:id="29" w:name="_Toc22911673"/>
      <w:r>
        <w:rPr>
          <w:rFonts w:hint="eastAsia"/>
          <w:lang w:val="en-US"/>
        </w:rPr>
        <w:t>一、工程概况</w:t>
      </w:r>
      <w:bookmarkEnd w:id="29"/>
    </w:p>
    <w:p w14:paraId="77269B10">
      <w:pPr>
        <w:pageBreakBefore w:val="0"/>
        <w:wordWrap/>
        <w:overflowPunct/>
        <w:topLinePunct w:val="0"/>
        <w:autoSpaceDE/>
        <w:autoSpaceDN/>
        <w:bidi w:val="0"/>
        <w:spacing w:line="360" w:lineRule="auto"/>
        <w:ind w:firstLine="411" w:firstLineChars="196"/>
        <w:jc w:val="both"/>
        <w:outlineLvl w:val="9"/>
        <w:rPr>
          <w:rFonts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lang w:val="en-US" w:bidi="ar-SA"/>
        </w:rPr>
        <w:t>1.工程名称</w:t>
      </w:r>
      <w:r>
        <w:rPr>
          <w:rFonts w:hint="eastAsia" w:ascii="宋体" w:hAnsi="宋体" w:eastAsia="宋体" w:cs="宋体"/>
          <w:color w:val="auto"/>
          <w:spacing w:val="0"/>
          <w:w w:val="100"/>
          <w:kern w:val="2"/>
          <w:sz w:val="21"/>
          <w:szCs w:val="21"/>
          <w:highlight w:val="none"/>
          <w:lang w:val="en-US" w:bidi="ar-SA"/>
        </w:rPr>
        <w:t>：</w:t>
      </w:r>
      <w:r>
        <w:rPr>
          <w:rFonts w:hint="eastAsia" w:ascii="宋体" w:hAnsi="宋体" w:eastAsia="宋体" w:cs="宋体"/>
          <w:b w:val="0"/>
          <w:bCs w:val="0"/>
          <w:spacing w:val="-12"/>
          <w:u w:val="single"/>
        </w:rPr>
        <w:t>河南理工大学南校区室外管网提升工程</w:t>
      </w:r>
      <w:r>
        <w:rPr>
          <w:rFonts w:hint="eastAsia" w:ascii="宋体" w:hAnsi="宋体" w:eastAsia="宋体" w:cs="宋体"/>
          <w:color w:val="auto"/>
          <w:spacing w:val="0"/>
          <w:w w:val="100"/>
          <w:kern w:val="2"/>
          <w:sz w:val="21"/>
          <w:szCs w:val="21"/>
          <w:highlight w:val="none"/>
          <w:lang w:val="en-US" w:bidi="ar-SA"/>
        </w:rPr>
        <w:t>。</w:t>
      </w:r>
    </w:p>
    <w:p w14:paraId="26FCB357">
      <w:pPr>
        <w:pageBreakBefore w:val="0"/>
        <w:wordWrap/>
        <w:overflowPunct/>
        <w:topLinePunct w:val="0"/>
        <w:autoSpaceDE/>
        <w:autoSpaceDN/>
        <w:bidi w:val="0"/>
        <w:spacing w:line="360" w:lineRule="auto"/>
        <w:ind w:firstLine="411" w:firstLineChars="196"/>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2.工程地点：</w:t>
      </w:r>
      <w:r>
        <w:rPr>
          <w:rFonts w:hint="eastAsia" w:ascii="宋体" w:hAnsi="宋体" w:eastAsia="宋体" w:cs="宋体"/>
          <w:color w:val="auto"/>
          <w:spacing w:val="0"/>
          <w:w w:val="100"/>
          <w:kern w:val="2"/>
          <w:sz w:val="21"/>
          <w:szCs w:val="21"/>
          <w:highlight w:val="none"/>
          <w:u w:val="single"/>
          <w:lang w:val="en-US" w:bidi="ar-SA"/>
        </w:rPr>
        <w:t>河南理工大学南校</w:t>
      </w:r>
      <w:r>
        <w:rPr>
          <w:rFonts w:hint="eastAsia" w:ascii="宋体" w:hAnsi="宋体" w:eastAsia="宋体" w:cs="宋体"/>
          <w:color w:val="auto"/>
          <w:spacing w:val="0"/>
          <w:w w:val="100"/>
          <w:kern w:val="2"/>
          <w:sz w:val="21"/>
          <w:szCs w:val="21"/>
          <w:highlight w:val="none"/>
          <w:u w:val="single"/>
          <w:lang w:val="en-US" w:eastAsia="zh-CN" w:bidi="ar-SA"/>
        </w:rPr>
        <w:t>区</w:t>
      </w:r>
      <w:r>
        <w:rPr>
          <w:rFonts w:hint="eastAsia" w:ascii="宋体" w:hAnsi="宋体" w:eastAsia="宋体" w:cs="宋体"/>
          <w:color w:val="auto"/>
          <w:spacing w:val="0"/>
          <w:w w:val="100"/>
          <w:kern w:val="2"/>
          <w:sz w:val="21"/>
          <w:szCs w:val="21"/>
          <w:highlight w:val="none"/>
          <w:u w:val="single"/>
          <w:lang w:val="en-US" w:bidi="ar-SA"/>
        </w:rPr>
        <w:t>内。</w:t>
      </w:r>
    </w:p>
    <w:p w14:paraId="190C453E">
      <w:pPr>
        <w:pageBreakBefore w:val="0"/>
        <w:wordWrap/>
        <w:overflowPunct/>
        <w:topLinePunct w:val="0"/>
        <w:autoSpaceDE/>
        <w:autoSpaceDN/>
        <w:bidi w:val="0"/>
        <w:spacing w:line="360" w:lineRule="auto"/>
        <w:ind w:firstLine="411" w:firstLineChars="196"/>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3.工程立项批准文号：</w:t>
      </w:r>
      <w:r>
        <w:rPr>
          <w:rFonts w:hint="eastAsia" w:ascii="宋体" w:hAnsi="宋体" w:eastAsia="宋体" w:cs="宋体"/>
          <w:bCs/>
          <w:color w:val="auto"/>
          <w:spacing w:val="0"/>
          <w:w w:val="100"/>
          <w:kern w:val="2"/>
          <w:sz w:val="21"/>
          <w:szCs w:val="21"/>
          <w:highlight w:val="none"/>
          <w:u w:val="single"/>
          <w:lang w:val="en-US" w:bidi="ar-SA"/>
        </w:rPr>
        <w:t>/</w:t>
      </w:r>
      <w:r>
        <w:rPr>
          <w:rFonts w:hint="eastAsia" w:ascii="宋体" w:hAnsi="宋体" w:eastAsia="宋体" w:cs="宋体"/>
          <w:bCs/>
          <w:color w:val="auto"/>
          <w:spacing w:val="0"/>
          <w:w w:val="100"/>
          <w:kern w:val="2"/>
          <w:sz w:val="21"/>
          <w:szCs w:val="21"/>
          <w:highlight w:val="none"/>
          <w:lang w:val="en-US" w:bidi="ar-SA"/>
        </w:rPr>
        <w:t>。</w:t>
      </w:r>
    </w:p>
    <w:p w14:paraId="0B8455BE">
      <w:pPr>
        <w:pageBreakBefore w:val="0"/>
        <w:wordWrap/>
        <w:overflowPunct/>
        <w:topLinePunct w:val="0"/>
        <w:autoSpaceDE/>
        <w:autoSpaceDN/>
        <w:bidi w:val="0"/>
        <w:spacing w:line="360" w:lineRule="auto"/>
        <w:ind w:firstLine="411" w:firstLineChars="196"/>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4.资金来源：</w:t>
      </w:r>
      <w:r>
        <w:rPr>
          <w:rFonts w:hint="eastAsia" w:ascii="宋体" w:hAnsi="宋体" w:eastAsia="宋体" w:cs="宋体"/>
          <w:color w:val="auto"/>
          <w:spacing w:val="0"/>
          <w:w w:val="100"/>
          <w:kern w:val="2"/>
          <w:sz w:val="21"/>
          <w:szCs w:val="21"/>
          <w:highlight w:val="none"/>
          <w:u w:val="single"/>
          <w:lang w:val="en-US" w:bidi="ar-SA"/>
        </w:rPr>
        <w:t>财政资金</w:t>
      </w:r>
      <w:r>
        <w:rPr>
          <w:rFonts w:hint="eastAsia" w:ascii="宋体" w:hAnsi="宋体" w:eastAsia="宋体" w:cs="宋体"/>
          <w:bCs/>
          <w:color w:val="auto"/>
          <w:spacing w:val="0"/>
          <w:w w:val="100"/>
          <w:kern w:val="2"/>
          <w:sz w:val="21"/>
          <w:szCs w:val="21"/>
          <w:highlight w:val="none"/>
          <w:lang w:val="en-US" w:bidi="ar-SA"/>
        </w:rPr>
        <w:t>。</w:t>
      </w:r>
    </w:p>
    <w:p w14:paraId="16DAAA78">
      <w:pPr>
        <w:pageBreakBefore w:val="0"/>
        <w:wordWrap/>
        <w:overflowPunct/>
        <w:topLinePunct w:val="0"/>
        <w:autoSpaceDE/>
        <w:autoSpaceDN/>
        <w:bidi w:val="0"/>
        <w:spacing w:line="360" w:lineRule="auto"/>
        <w:ind w:firstLine="411" w:firstLineChars="196"/>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5.工程内容：</w:t>
      </w:r>
      <w:r>
        <w:rPr>
          <w:rFonts w:hint="eastAsia" w:ascii="宋体" w:hAnsi="宋体" w:eastAsia="宋体" w:cs="宋体"/>
          <w:bCs/>
          <w:color w:val="auto"/>
          <w:spacing w:val="0"/>
          <w:w w:val="100"/>
          <w:kern w:val="2"/>
          <w:sz w:val="21"/>
          <w:szCs w:val="21"/>
          <w:highlight w:val="none"/>
          <w:u w:val="single"/>
          <w:lang w:val="en-US" w:bidi="ar-SA"/>
        </w:rPr>
        <w:t>本项目</w:t>
      </w:r>
      <w:r>
        <w:rPr>
          <w:rFonts w:hint="eastAsia" w:ascii="宋体" w:hAnsi="宋体" w:eastAsia="宋体" w:cs="宋体"/>
          <w:color w:val="auto"/>
          <w:spacing w:val="0"/>
          <w:w w:val="100"/>
          <w:kern w:val="2"/>
          <w:sz w:val="21"/>
          <w:szCs w:val="21"/>
          <w:highlight w:val="none"/>
          <w:u w:val="single"/>
          <w:lang w:val="en-US" w:bidi="ar-SA"/>
        </w:rPr>
        <w:t>招标文件、答疑纪要、补充通知、施工图纸、施工方案</w:t>
      </w:r>
      <w:r>
        <w:rPr>
          <w:rFonts w:hint="eastAsia" w:ascii="宋体" w:hAnsi="宋体" w:eastAsia="宋体" w:cs="宋体"/>
          <w:bCs/>
          <w:color w:val="auto"/>
          <w:spacing w:val="0"/>
          <w:w w:val="100"/>
          <w:kern w:val="2"/>
          <w:sz w:val="21"/>
          <w:szCs w:val="21"/>
          <w:highlight w:val="none"/>
          <w:lang w:val="en-US" w:bidi="ar-SA"/>
        </w:rPr>
        <w:t>。</w:t>
      </w:r>
    </w:p>
    <w:p w14:paraId="5475EA6F">
      <w:pPr>
        <w:pageBreakBefore w:val="0"/>
        <w:wordWrap/>
        <w:overflowPunct/>
        <w:topLinePunct w:val="0"/>
        <w:autoSpaceDE/>
        <w:autoSpaceDN/>
        <w:bidi w:val="0"/>
        <w:spacing w:line="360" w:lineRule="auto"/>
        <w:ind w:firstLine="411" w:firstLineChars="196"/>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群体工程应附《承包人承揽工程项目一览表》（附件1）。</w:t>
      </w:r>
    </w:p>
    <w:p w14:paraId="62875069">
      <w:pPr>
        <w:pageBreakBefore w:val="0"/>
        <w:wordWrap/>
        <w:overflowPunct/>
        <w:topLinePunct w:val="0"/>
        <w:autoSpaceDE/>
        <w:autoSpaceDN/>
        <w:bidi w:val="0"/>
        <w:spacing w:line="360" w:lineRule="auto"/>
        <w:ind w:firstLine="411" w:firstLineChars="196"/>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6.工程承包范围：</w:t>
      </w:r>
    </w:p>
    <w:p w14:paraId="59A17B5B">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eastAsia="zh-CN" w:bidi="ar-SA"/>
        </w:rPr>
        <w:t>招</w:t>
      </w:r>
      <w:r>
        <w:rPr>
          <w:rFonts w:hint="eastAsia" w:ascii="宋体" w:hAnsi="宋体" w:eastAsia="宋体" w:cs="宋体"/>
          <w:color w:val="auto"/>
          <w:spacing w:val="0"/>
          <w:w w:val="100"/>
          <w:kern w:val="2"/>
          <w:sz w:val="21"/>
          <w:szCs w:val="21"/>
          <w:highlight w:val="none"/>
          <w:u w:val="single"/>
          <w:lang w:val="en-US" w:bidi="ar-SA"/>
        </w:rPr>
        <w:t>标与投标文件和施工图纸、答疑纪要、补充通知、所包含的全部施工内容。</w:t>
      </w:r>
    </w:p>
    <w:p w14:paraId="422D1DD2">
      <w:pPr>
        <w:pStyle w:val="3"/>
        <w:bidi w:val="0"/>
        <w:rPr>
          <w:lang w:val="en-US"/>
        </w:rPr>
      </w:pPr>
      <w:bookmarkStart w:id="30" w:name="_Toc22911675"/>
      <w:r>
        <w:rPr>
          <w:rFonts w:hint="eastAsia"/>
          <w:lang w:val="en-US"/>
        </w:rPr>
        <w:t xml:space="preserve"> </w:t>
      </w:r>
      <w:bookmarkStart w:id="31" w:name="_Toc22911674"/>
      <w:r>
        <w:rPr>
          <w:rFonts w:hint="eastAsia"/>
          <w:lang w:val="en-US"/>
        </w:rPr>
        <w:t>二、合同工期</w:t>
      </w:r>
      <w:bookmarkEnd w:id="31"/>
    </w:p>
    <w:p w14:paraId="2D065279">
      <w:pPr>
        <w:pageBreakBefore w:val="0"/>
        <w:wordWrap/>
        <w:overflowPunct/>
        <w:topLinePunct w:val="0"/>
        <w:autoSpaceDE/>
        <w:autoSpaceDN/>
        <w:bidi w:val="0"/>
        <w:spacing w:line="360" w:lineRule="auto"/>
        <w:ind w:firstLine="459"/>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计划开工日期：</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2026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月</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日。</w:t>
      </w:r>
    </w:p>
    <w:p w14:paraId="25DAD182">
      <w:pPr>
        <w:pageBreakBefore w:val="0"/>
        <w:wordWrap/>
        <w:overflowPunct/>
        <w:topLinePunct w:val="0"/>
        <w:autoSpaceDE/>
        <w:autoSpaceDN/>
        <w:bidi w:val="0"/>
        <w:spacing w:line="360" w:lineRule="auto"/>
        <w:ind w:firstLine="459"/>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计划竣工日期：</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2026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8</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月</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25</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日。</w:t>
      </w:r>
    </w:p>
    <w:p w14:paraId="4E1D977F">
      <w:pPr>
        <w:pageBreakBefore w:val="0"/>
        <w:wordWrap/>
        <w:overflowPunct/>
        <w:topLinePunct w:val="0"/>
        <w:autoSpaceDE/>
        <w:autoSpaceDN/>
        <w:bidi w:val="0"/>
        <w:spacing w:line="360" w:lineRule="auto"/>
        <w:ind w:firstLine="459"/>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工期总日历天数：</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60</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天。工期总日历天数与根据前述计划开竣工日期计算的工期天数不一致的，以工期总日历天数为准。</w:t>
      </w:r>
    </w:p>
    <w:p w14:paraId="4FFD7996">
      <w:pPr>
        <w:pStyle w:val="3"/>
        <w:bidi w:val="0"/>
        <w:rPr>
          <w:lang w:val="en-US"/>
        </w:rPr>
      </w:pPr>
      <w:r>
        <w:rPr>
          <w:rFonts w:hint="eastAsia"/>
          <w:lang w:val="en-US"/>
        </w:rPr>
        <w:t>三、质量标准</w:t>
      </w:r>
      <w:bookmarkEnd w:id="30"/>
    </w:p>
    <w:p w14:paraId="13F43308">
      <w:pPr>
        <w:pageBreakBefore w:val="0"/>
        <w:wordWrap/>
        <w:overflowPunct/>
        <w:topLinePunct w:val="0"/>
        <w:autoSpaceDE/>
        <w:autoSpaceDN/>
        <w:bidi w:val="0"/>
        <w:spacing w:line="360" w:lineRule="auto"/>
        <w:ind w:firstLine="459"/>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工程质量符合</w:t>
      </w:r>
      <w:r>
        <w:rPr>
          <w:rFonts w:hint="eastAsia" w:ascii="宋体" w:hAnsi="宋体" w:eastAsia="宋体" w:cs="宋体"/>
          <w:color w:val="auto"/>
          <w:spacing w:val="0"/>
          <w:w w:val="100"/>
          <w:kern w:val="2"/>
          <w:sz w:val="21"/>
          <w:szCs w:val="21"/>
          <w:highlight w:val="none"/>
          <w:u w:val="single"/>
          <w:lang w:val="en-US" w:bidi="ar-SA"/>
        </w:rPr>
        <w:t>现行国家规定的标准或行业标准、招标文件要求和中标人中标文件中承诺的质量</w:t>
      </w:r>
      <w:r>
        <w:rPr>
          <w:rFonts w:hint="eastAsia" w:ascii="宋体" w:hAnsi="宋体" w:eastAsia="宋体" w:cs="宋体"/>
          <w:color w:val="auto"/>
          <w:spacing w:val="0"/>
          <w:w w:val="100"/>
          <w:kern w:val="2"/>
          <w:sz w:val="21"/>
          <w:szCs w:val="21"/>
          <w:highlight w:val="none"/>
          <w:lang w:val="en-US" w:bidi="ar-SA"/>
        </w:rPr>
        <w:t>标准。</w:t>
      </w:r>
    </w:p>
    <w:p w14:paraId="023658F7">
      <w:pPr>
        <w:pStyle w:val="3"/>
        <w:bidi w:val="0"/>
        <w:rPr>
          <w:highlight w:val="none"/>
          <w:lang w:val="en-US"/>
        </w:rPr>
      </w:pPr>
      <w:bookmarkStart w:id="32" w:name="_Toc22911676"/>
      <w:r>
        <w:rPr>
          <w:rFonts w:hint="eastAsia"/>
          <w:highlight w:val="none"/>
          <w:lang w:val="en-US"/>
        </w:rPr>
        <w:t>四、签约合同价与合同价格形式</w:t>
      </w:r>
      <w:bookmarkEnd w:id="32"/>
      <w:r>
        <w:rPr>
          <w:rFonts w:hint="eastAsia"/>
          <w:highlight w:val="none"/>
          <w:lang w:val="en-US"/>
        </w:rPr>
        <w:tab/>
      </w:r>
    </w:p>
    <w:p w14:paraId="5B6CCE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1.签约合同价为：</w:t>
      </w:r>
    </w:p>
    <w:p w14:paraId="195F4036">
      <w:pPr>
        <w:keepNext w:val="0"/>
        <w:keepLines w:val="0"/>
        <w:pageBreakBefore w:val="0"/>
        <w:widowControl w:val="0"/>
        <w:kinsoku/>
        <w:wordWrap/>
        <w:overflowPunct/>
        <w:topLinePunct w:val="0"/>
        <w:autoSpaceDE/>
        <w:autoSpaceDN/>
        <w:bidi w:val="0"/>
        <w:adjustRightInd w:val="0"/>
        <w:snapToGrid w:val="0"/>
        <w:spacing w:line="360" w:lineRule="auto"/>
        <w:ind w:firstLine="945" w:firstLineChars="45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贰佰陆拾壹万叁仟零壹拾伍元</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r>
        <w:rPr>
          <w:rFonts w:hint="eastAsia" w:cs="宋体"/>
          <w:b/>
          <w:bCs/>
          <w:color w:val="auto"/>
          <w:spacing w:val="0"/>
          <w:w w:val="100"/>
          <w:kern w:val="2"/>
          <w:sz w:val="21"/>
          <w:szCs w:val="21"/>
          <w:highlight w:val="none"/>
          <w:lang w:val="en-US" w:eastAsia="zh-CN" w:bidi="ar-SA"/>
        </w:rPr>
        <w:t xml:space="preserve"> </w:t>
      </w:r>
      <w:r>
        <w:rPr>
          <w:rFonts w:hint="eastAsia" w:ascii="宋体" w:hAnsi="宋体" w:eastAsia="宋体" w:cs="宋体"/>
          <w:b/>
          <w:bCs/>
          <w:color w:val="auto"/>
          <w:spacing w:val="0"/>
          <w:w w:val="100"/>
          <w:kern w:val="2"/>
          <w:sz w:val="21"/>
          <w:szCs w:val="21"/>
          <w:highlight w:val="none"/>
          <w:u w:val="single"/>
          <w:lang w:val="en-US" w:bidi="ar-SA"/>
        </w:rPr>
        <w:t xml:space="preserve">2613015.00 </w:t>
      </w:r>
      <w:r>
        <w:rPr>
          <w:rFonts w:hint="eastAsia" w:ascii="宋体" w:hAnsi="宋体" w:eastAsia="宋体" w:cs="宋体"/>
          <w:color w:val="auto"/>
          <w:spacing w:val="0"/>
          <w:w w:val="100"/>
          <w:kern w:val="2"/>
          <w:sz w:val="21"/>
          <w:szCs w:val="21"/>
          <w:highlight w:val="none"/>
          <w:lang w:val="en-US" w:bidi="ar-SA"/>
        </w:rPr>
        <w:t>元)；</w:t>
      </w:r>
    </w:p>
    <w:p w14:paraId="7032AD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其中：</w:t>
      </w:r>
    </w:p>
    <w:p w14:paraId="273F1C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w:t>
      </w:r>
      <w:r>
        <w:rPr>
          <w:rFonts w:hint="eastAsia" w:ascii="宋体" w:hAnsi="宋体" w:eastAsia="宋体" w:cs="宋体"/>
          <w:color w:val="auto"/>
          <w:spacing w:val="0"/>
          <w:w w:val="100"/>
          <w:kern w:val="2"/>
          <w:sz w:val="21"/>
          <w:szCs w:val="21"/>
          <w:highlight w:val="none"/>
          <w:lang w:val="en-US" w:eastAsia="zh-CN" w:bidi="ar-SA"/>
        </w:rPr>
        <w:t>安全生产措施费</w:t>
      </w:r>
      <w:r>
        <w:rPr>
          <w:rFonts w:hint="eastAsia" w:ascii="宋体" w:hAnsi="宋体" w:eastAsia="宋体" w:cs="宋体"/>
          <w:color w:val="auto"/>
          <w:spacing w:val="0"/>
          <w:w w:val="100"/>
          <w:kern w:val="2"/>
          <w:sz w:val="21"/>
          <w:szCs w:val="21"/>
          <w:highlight w:val="none"/>
          <w:lang w:val="en-US" w:bidi="ar-SA"/>
        </w:rPr>
        <w:t>：</w:t>
      </w:r>
    </w:p>
    <w:p w14:paraId="4BBDA0DD">
      <w:pPr>
        <w:keepNext w:val="0"/>
        <w:keepLines w:val="0"/>
        <w:pageBreakBefore w:val="0"/>
        <w:widowControl w:val="0"/>
        <w:kinsoku/>
        <w:wordWrap/>
        <w:overflowPunct/>
        <w:topLinePunct w:val="0"/>
        <w:autoSpaceDE/>
        <w:autoSpaceDN/>
        <w:bidi w:val="0"/>
        <w:adjustRightInd w:val="0"/>
        <w:snapToGrid w:val="0"/>
        <w:spacing w:line="360" w:lineRule="auto"/>
        <w:ind w:firstLine="945" w:firstLineChars="45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叁万伍仟零叁拾肆元伍角叁分</w:t>
      </w:r>
      <w:r>
        <w:rPr>
          <w:rFonts w:hint="eastAsia" w:ascii="宋体" w:hAnsi="宋体" w:eastAsia="宋体" w:cs="宋体"/>
          <w:color w:val="auto"/>
          <w:spacing w:val="0"/>
          <w:w w:val="100"/>
          <w:kern w:val="2"/>
          <w:sz w:val="21"/>
          <w:szCs w:val="21"/>
          <w:highlight w:val="none"/>
          <w:lang w:val="en-US" w:bidi="ar-SA"/>
        </w:rPr>
        <w:t xml:space="preserve"> (¥</w:t>
      </w:r>
      <w:r>
        <w:rPr>
          <w:rFonts w:hint="eastAsia" w:cs="宋体"/>
          <w:color w:val="auto"/>
          <w:spacing w:val="0"/>
          <w:w w:val="100"/>
          <w:kern w:val="2"/>
          <w:sz w:val="21"/>
          <w:szCs w:val="21"/>
          <w:highlight w:val="none"/>
          <w:lang w:val="en-US" w:eastAsia="zh-CN" w:bidi="ar-SA"/>
        </w:rPr>
        <w:t xml:space="preserve"> </w:t>
      </w:r>
      <w:r>
        <w:rPr>
          <w:rFonts w:hint="eastAsia" w:ascii="宋体" w:hAnsi="宋体" w:eastAsia="宋体" w:cs="宋体"/>
          <w:b/>
          <w:bCs/>
          <w:color w:val="auto"/>
          <w:spacing w:val="0"/>
          <w:w w:val="100"/>
          <w:kern w:val="2"/>
          <w:sz w:val="21"/>
          <w:szCs w:val="21"/>
          <w:highlight w:val="none"/>
          <w:u w:val="single"/>
          <w:lang w:val="en-US" w:bidi="ar-SA"/>
        </w:rPr>
        <w:t>35034.53</w:t>
      </w:r>
      <w:r>
        <w:rPr>
          <w:rFonts w:hint="eastAsia" w:ascii="宋体" w:hAnsi="宋体" w:eastAsia="宋体" w:cs="宋体"/>
          <w:color w:val="auto"/>
          <w:spacing w:val="0"/>
          <w:w w:val="100"/>
          <w:kern w:val="2"/>
          <w:sz w:val="21"/>
          <w:szCs w:val="21"/>
          <w:highlight w:val="none"/>
          <w:lang w:val="en-US" w:bidi="ar-SA"/>
        </w:rPr>
        <w:t>元)；</w:t>
      </w:r>
    </w:p>
    <w:p w14:paraId="688FFFD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材料和工程设备暂估价金额：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1B918C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（3）专业工程暂估价金额：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38D338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（4）暂列金额：</w:t>
      </w:r>
    </w:p>
    <w:p w14:paraId="229615FA">
      <w:pPr>
        <w:keepNext w:val="0"/>
        <w:keepLines w:val="0"/>
        <w:pageBreakBefore w:val="0"/>
        <w:widowControl w:val="0"/>
        <w:kinsoku/>
        <w:wordWrap/>
        <w:overflowPunct/>
        <w:topLinePunct w:val="0"/>
        <w:autoSpaceDE/>
        <w:autoSpaceDN/>
        <w:bidi w:val="0"/>
        <w:adjustRightInd w:val="0"/>
        <w:snapToGrid w:val="0"/>
        <w:spacing w:line="360" w:lineRule="auto"/>
        <w:ind w:firstLine="945" w:firstLineChars="45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肆拾壹万元</w:t>
      </w:r>
      <w:r>
        <w:rPr>
          <w:rFonts w:hint="eastAsia" w:cs="宋体"/>
          <w:color w:val="auto"/>
          <w:spacing w:val="0"/>
          <w:w w:val="100"/>
          <w:kern w:val="2"/>
          <w:sz w:val="21"/>
          <w:szCs w:val="21"/>
          <w:highlight w:val="none"/>
          <w:u w:val="non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410000.00</w:t>
      </w:r>
      <w:r>
        <w:rPr>
          <w:rFonts w:hint="eastAsia" w:ascii="宋体" w:hAnsi="宋体" w:eastAsia="宋体" w:cs="宋体"/>
          <w:color w:val="auto"/>
          <w:spacing w:val="0"/>
          <w:w w:val="100"/>
          <w:kern w:val="2"/>
          <w:sz w:val="21"/>
          <w:szCs w:val="21"/>
          <w:highlight w:val="none"/>
          <w:lang w:val="en-US" w:bidi="ar-SA"/>
        </w:rPr>
        <w:t>元)。</w:t>
      </w:r>
    </w:p>
    <w:p w14:paraId="6032EA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2.合同价格形式：</w:t>
      </w:r>
      <w:r>
        <w:rPr>
          <w:rFonts w:hint="eastAsia" w:ascii="宋体" w:hAnsi="宋体" w:eastAsia="宋体" w:cs="宋体"/>
          <w:color w:val="auto"/>
          <w:spacing w:val="0"/>
          <w:w w:val="100"/>
          <w:kern w:val="2"/>
          <w:sz w:val="21"/>
          <w:szCs w:val="21"/>
          <w:highlight w:val="none"/>
          <w:u w:val="single"/>
          <w:lang w:val="en-US" w:bidi="ar-SA"/>
        </w:rPr>
        <w:t>固定总价合同</w:t>
      </w:r>
      <w:r>
        <w:rPr>
          <w:rFonts w:hint="eastAsia" w:ascii="宋体" w:hAnsi="宋体" w:eastAsia="宋体" w:cs="宋体"/>
          <w:color w:val="auto"/>
          <w:spacing w:val="0"/>
          <w:w w:val="100"/>
          <w:kern w:val="2"/>
          <w:sz w:val="21"/>
          <w:szCs w:val="21"/>
          <w:highlight w:val="none"/>
          <w:lang w:val="en-US" w:bidi="ar-SA"/>
        </w:rPr>
        <w:t>。</w:t>
      </w:r>
    </w:p>
    <w:p w14:paraId="73B649EA">
      <w:pPr>
        <w:pStyle w:val="3"/>
        <w:bidi w:val="0"/>
        <w:rPr>
          <w:lang w:val="en-US"/>
        </w:rPr>
      </w:pPr>
      <w:bookmarkStart w:id="33" w:name="_Toc22911677"/>
      <w:r>
        <w:rPr>
          <w:rFonts w:hint="eastAsia"/>
          <w:lang w:val="en-US"/>
        </w:rPr>
        <w:t>五、项目经理</w:t>
      </w:r>
      <w:bookmarkEnd w:id="33"/>
    </w:p>
    <w:p w14:paraId="04965904">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承包人项目经理：</w:t>
      </w:r>
      <w:r>
        <w:rPr>
          <w:rFonts w:hint="eastAsia" w:ascii="宋体" w:hAnsi="宋体" w:eastAsia="宋体" w:cs="宋体"/>
          <w:b w:val="0"/>
          <w:bCs w:val="0"/>
          <w:color w:val="auto"/>
          <w:spacing w:val="0"/>
          <w:w w:val="100"/>
          <w:kern w:val="2"/>
          <w:sz w:val="21"/>
          <w:szCs w:val="21"/>
          <w:highlight w:val="none"/>
          <w:u w:val="single"/>
          <w:lang w:val="en-US" w:bidi="ar-SA"/>
        </w:rPr>
        <w:t xml:space="preserve"> </w:t>
      </w:r>
      <w:r>
        <w:rPr>
          <w:rFonts w:hint="eastAsia" w:cs="宋体"/>
          <w:b w:val="0"/>
          <w:bCs w:val="0"/>
          <w:color w:val="auto"/>
          <w:spacing w:val="0"/>
          <w:w w:val="100"/>
          <w:kern w:val="2"/>
          <w:sz w:val="21"/>
          <w:szCs w:val="21"/>
          <w:highlight w:val="none"/>
          <w:u w:val="single"/>
          <w:lang w:val="en-US" w:eastAsia="zh-CN" w:bidi="ar-SA"/>
        </w:rPr>
        <w:t>马新涛</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p>
    <w:p w14:paraId="0AA4F28E">
      <w:pPr>
        <w:pStyle w:val="3"/>
        <w:bidi w:val="0"/>
        <w:rPr>
          <w:lang w:val="en-US"/>
        </w:rPr>
      </w:pPr>
      <w:bookmarkStart w:id="34" w:name="_Toc22911678"/>
      <w:r>
        <w:rPr>
          <w:rFonts w:hint="eastAsia"/>
          <w:lang w:val="en-US"/>
        </w:rPr>
        <w:t>六、合同文件构成</w:t>
      </w:r>
      <w:bookmarkEnd w:id="34"/>
    </w:p>
    <w:p w14:paraId="7055D9F9">
      <w:pPr>
        <w:pageBreakBefore w:val="0"/>
        <w:wordWrap/>
        <w:overflowPunct/>
        <w:topLinePunct w:val="0"/>
        <w:autoSpaceDE/>
        <w:autoSpaceDN/>
        <w:bidi w:val="0"/>
        <w:spacing w:line="360" w:lineRule="auto"/>
        <w:ind w:firstLine="420" w:firstLineChars="200"/>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本协议书与下列文件一起构成合同文件：</w:t>
      </w:r>
    </w:p>
    <w:p w14:paraId="52F071EA">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（1）中标通知书；</w:t>
      </w:r>
    </w:p>
    <w:p w14:paraId="429229B4">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（2）投标函及其附录； </w:t>
      </w:r>
    </w:p>
    <w:p w14:paraId="6471438B">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（3）专用合同条款及其附件；</w:t>
      </w:r>
    </w:p>
    <w:p w14:paraId="198B098B">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（4）通用合同条款；</w:t>
      </w:r>
    </w:p>
    <w:p w14:paraId="02997C76">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（5）技术标准和要求；</w:t>
      </w:r>
    </w:p>
    <w:p w14:paraId="713CAB65">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（6）图纸；</w:t>
      </w:r>
    </w:p>
    <w:p w14:paraId="1678292A">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（7）已标价工程量清单或预算书；</w:t>
      </w:r>
    </w:p>
    <w:p w14:paraId="183F32F3">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（8）其他合同文件。</w:t>
      </w:r>
    </w:p>
    <w:p w14:paraId="004B05C5">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在合同订立及履行过程中形成的与合同有关的文件均构成合同文件组成部分。</w:t>
      </w:r>
    </w:p>
    <w:p w14:paraId="62C31224">
      <w:pPr>
        <w:pageBreakBefore w:val="0"/>
        <w:wordWrap/>
        <w:overflowPunct/>
        <w:topLinePunct w:val="0"/>
        <w:autoSpaceDE w:val="0"/>
        <w:autoSpaceDN w:val="0"/>
        <w:bidi w:val="0"/>
        <w:adjustRightInd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14:paraId="67A4EDD8">
      <w:pPr>
        <w:pStyle w:val="3"/>
        <w:bidi w:val="0"/>
        <w:rPr>
          <w:lang w:val="en-US"/>
        </w:rPr>
      </w:pPr>
      <w:r>
        <w:rPr>
          <w:rFonts w:hint="eastAsia"/>
          <w:lang w:val="en-US"/>
        </w:rPr>
        <w:t xml:space="preserve"> </w:t>
      </w:r>
      <w:bookmarkStart w:id="35" w:name="_Toc22911679"/>
      <w:r>
        <w:rPr>
          <w:rFonts w:hint="eastAsia"/>
          <w:lang w:val="en-US"/>
        </w:rPr>
        <w:t>七、承诺</w:t>
      </w:r>
      <w:bookmarkEnd w:id="35"/>
    </w:p>
    <w:p w14:paraId="6DB560A0">
      <w:pPr>
        <w:pageBreakBefore w:val="0"/>
        <w:wordWrap/>
        <w:overflowPunct/>
        <w:topLinePunct w:val="0"/>
        <w:autoSpaceDE/>
        <w:autoSpaceDN/>
        <w:bidi w:val="0"/>
        <w:spacing w:line="360" w:lineRule="auto"/>
        <w:ind w:firstLine="420" w:firstLineChars="200"/>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1.发包人承诺按照法律规定履行项目审批手续、筹集工程建设资金并按照合同约定的期限和方式支付合同价款。</w:t>
      </w:r>
    </w:p>
    <w:p w14:paraId="71E3E2A1">
      <w:pPr>
        <w:pageBreakBefore w:val="0"/>
        <w:wordWrap/>
        <w:overflowPunct/>
        <w:topLinePunct w:val="0"/>
        <w:autoSpaceDE/>
        <w:autoSpaceDN/>
        <w:bidi w:val="0"/>
        <w:spacing w:line="360" w:lineRule="auto"/>
        <w:ind w:firstLine="420" w:firstLineChars="200"/>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2.承包人承诺按照法律规定及合同约定组织完成工程施工，确保工程质量和安全，不进行转包及违法分包，并在缺陷责任期及保修期内承担相应的工程维修责任。</w:t>
      </w:r>
    </w:p>
    <w:p w14:paraId="03D94E0D">
      <w:pPr>
        <w:pageBreakBefore w:val="0"/>
        <w:wordWrap/>
        <w:overflowPunct/>
        <w:topLinePunct w:val="0"/>
        <w:autoSpaceDE/>
        <w:autoSpaceDN/>
        <w:bidi w:val="0"/>
        <w:spacing w:line="360" w:lineRule="auto"/>
        <w:ind w:firstLine="420" w:firstLineChars="200"/>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3.发包人和承包人通过招投标形式签订合同的，双方理解并承诺不再就同一工程另行签订与合同实质性内容相背离的协议。</w:t>
      </w:r>
    </w:p>
    <w:p w14:paraId="71DBBBA4">
      <w:pPr>
        <w:pStyle w:val="3"/>
        <w:bidi w:val="0"/>
        <w:rPr>
          <w:lang w:val="en-US"/>
        </w:rPr>
      </w:pPr>
      <w:r>
        <w:rPr>
          <w:rFonts w:hint="eastAsia"/>
          <w:lang w:val="en-US"/>
        </w:rPr>
        <w:t>八、词语含义</w:t>
      </w:r>
    </w:p>
    <w:p w14:paraId="27B346D7">
      <w:pPr>
        <w:pageBreakBefore w:val="0"/>
        <w:wordWrap/>
        <w:overflowPunct/>
        <w:topLinePunct w:val="0"/>
        <w:autoSpaceDE/>
        <w:autoSpaceDN/>
        <w:bidi w:val="0"/>
        <w:spacing w:line="360" w:lineRule="auto"/>
        <w:ind w:firstLine="420" w:firstLineChars="200"/>
        <w:jc w:val="both"/>
        <w:outlineLvl w:val="9"/>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本协议书中词语含义与第二部分通用合同条款中赋予的含义相同。</w:t>
      </w:r>
    </w:p>
    <w:p w14:paraId="58155A1E">
      <w:pPr>
        <w:rPr>
          <w:rFonts w:hint="eastAsia" w:ascii="宋体" w:hAnsi="宋体" w:eastAsia="宋体" w:cs="宋体"/>
          <w:b/>
          <w:bCs/>
          <w:color w:val="auto"/>
          <w:spacing w:val="0"/>
          <w:w w:val="100"/>
          <w:kern w:val="2"/>
          <w:sz w:val="24"/>
          <w:szCs w:val="32"/>
          <w:highlight w:val="none"/>
          <w:lang w:val="en-US" w:bidi="ar-SA"/>
        </w:rPr>
      </w:pPr>
      <w:bookmarkStart w:id="36" w:name="_Toc31717"/>
      <w:bookmarkStart w:id="37" w:name="_Toc23876"/>
      <w:bookmarkStart w:id="38" w:name="_Toc6188"/>
      <w:bookmarkStart w:id="39" w:name="_Toc22911685"/>
      <w:r>
        <w:rPr>
          <w:rFonts w:hint="eastAsia" w:ascii="宋体" w:hAnsi="宋体" w:eastAsia="宋体" w:cs="宋体"/>
          <w:b/>
          <w:bCs/>
          <w:color w:val="auto"/>
          <w:spacing w:val="0"/>
          <w:w w:val="100"/>
          <w:kern w:val="2"/>
          <w:sz w:val="24"/>
          <w:szCs w:val="32"/>
          <w:highlight w:val="none"/>
          <w:lang w:val="en-US" w:bidi="ar-SA"/>
        </w:rPr>
        <w:br w:type="page"/>
      </w:r>
      <w:r>
        <w:drawing>
          <wp:inline distT="0" distB="0" distL="114300" distR="114300">
            <wp:extent cx="5836920" cy="8200390"/>
            <wp:effectExtent l="0" t="0" r="1143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836920" cy="8200390"/>
                    </a:xfrm>
                    <a:prstGeom prst="rect">
                      <a:avLst/>
                    </a:prstGeom>
                    <a:noFill/>
                    <a:ln>
                      <a:noFill/>
                    </a:ln>
                  </pic:spPr>
                </pic:pic>
              </a:graphicData>
            </a:graphic>
          </wp:inline>
        </w:drawing>
      </w:r>
    </w:p>
    <w:p w14:paraId="7DA56225">
      <w:pPr>
        <w:rPr>
          <w:rFonts w:hint="eastAsia" w:ascii="宋体" w:hAnsi="宋体" w:eastAsia="宋体" w:cs="宋体"/>
          <w:b/>
          <w:bCs/>
          <w:color w:val="auto"/>
          <w:spacing w:val="0"/>
          <w:w w:val="100"/>
          <w:kern w:val="2"/>
          <w:sz w:val="24"/>
          <w:szCs w:val="32"/>
          <w:highlight w:val="none"/>
          <w:lang w:val="en-US" w:bidi="ar-SA"/>
        </w:rPr>
      </w:pPr>
    </w:p>
    <w:p w14:paraId="56C4D61C">
      <w:pPr>
        <w:keepNext/>
        <w:keepLines/>
        <w:pageBreakBefore w:val="0"/>
        <w:wordWrap/>
        <w:overflowPunct/>
        <w:topLinePunct w:val="0"/>
        <w:autoSpaceDE/>
        <w:autoSpaceDN/>
        <w:bidi w:val="0"/>
        <w:spacing w:line="360" w:lineRule="auto"/>
        <w:jc w:val="center"/>
        <w:outlineLvl w:val="9"/>
        <w:rPr>
          <w:rFonts w:ascii="宋体" w:hAnsi="宋体" w:eastAsia="宋体" w:cs="宋体"/>
          <w:b/>
          <w:bCs/>
          <w:color w:val="auto"/>
          <w:spacing w:val="0"/>
          <w:w w:val="100"/>
          <w:kern w:val="44"/>
          <w:sz w:val="28"/>
          <w:szCs w:val="28"/>
          <w:highlight w:val="none"/>
          <w:lang w:val="en-US" w:bidi="ar-SA"/>
        </w:rPr>
      </w:pPr>
      <w:r>
        <w:rPr>
          <w:rFonts w:hint="eastAsia" w:ascii="宋体" w:hAnsi="宋体" w:eastAsia="宋体" w:cs="宋体"/>
          <w:b/>
          <w:bCs/>
          <w:color w:val="auto"/>
          <w:spacing w:val="0"/>
          <w:w w:val="100"/>
          <w:kern w:val="44"/>
          <w:sz w:val="28"/>
          <w:szCs w:val="28"/>
          <w:highlight w:val="none"/>
          <w:lang w:val="en-US" w:bidi="ar-SA"/>
        </w:rPr>
        <w:t>第二部分 通用合同条款</w:t>
      </w:r>
      <w:bookmarkEnd w:id="36"/>
      <w:bookmarkEnd w:id="37"/>
      <w:bookmarkEnd w:id="38"/>
      <w:bookmarkEnd w:id="39"/>
    </w:p>
    <w:p w14:paraId="2FCEBE8A">
      <w:pPr>
        <w:pageBreakBefore w:val="0"/>
        <w:wordWrap/>
        <w:overflowPunct/>
        <w:topLinePunct w:val="0"/>
        <w:autoSpaceDE/>
        <w:autoSpaceDN/>
        <w:bidi w:val="0"/>
        <w:spacing w:line="360" w:lineRule="auto"/>
        <w:ind w:firstLine="420" w:firstLineChars="200"/>
        <w:jc w:val="both"/>
        <w:outlineLvl w:val="9"/>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                         通用条款参照（GF—2017—0201）</w:t>
      </w:r>
    </w:p>
    <w:p w14:paraId="321CE735">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4"/>
          <w:highlight w:val="none"/>
          <w:lang w:val="en-US" w:bidi="ar-SA"/>
        </w:rPr>
      </w:pPr>
    </w:p>
    <w:p w14:paraId="2B35D74D">
      <w:pPr>
        <w:keepNext/>
        <w:keepLines/>
        <w:pageBreakBefore w:val="0"/>
        <w:wordWrap/>
        <w:overflowPunct/>
        <w:topLinePunct w:val="0"/>
        <w:autoSpaceDE/>
        <w:autoSpaceDN/>
        <w:bidi w:val="0"/>
        <w:spacing w:line="360" w:lineRule="auto"/>
        <w:jc w:val="center"/>
        <w:outlineLvl w:val="9"/>
        <w:rPr>
          <w:rFonts w:ascii="宋体" w:hAnsi="宋体" w:eastAsia="宋体" w:cs="宋体"/>
          <w:b/>
          <w:bCs/>
          <w:color w:val="auto"/>
          <w:spacing w:val="0"/>
          <w:w w:val="100"/>
          <w:kern w:val="44"/>
          <w:sz w:val="28"/>
          <w:szCs w:val="28"/>
          <w:highlight w:val="none"/>
          <w:lang w:val="en-US" w:bidi="ar-SA"/>
        </w:rPr>
      </w:pPr>
      <w:bookmarkStart w:id="40" w:name="_Toc22911686"/>
      <w:bookmarkStart w:id="41" w:name="_Toc32203"/>
      <w:bookmarkStart w:id="42" w:name="_Toc11991"/>
      <w:r>
        <w:rPr>
          <w:rFonts w:hint="eastAsia" w:ascii="宋体" w:hAnsi="宋体" w:eastAsia="宋体" w:cs="宋体"/>
          <w:b/>
          <w:bCs/>
          <w:color w:val="auto"/>
          <w:spacing w:val="0"/>
          <w:w w:val="100"/>
          <w:kern w:val="44"/>
          <w:sz w:val="28"/>
          <w:szCs w:val="28"/>
          <w:highlight w:val="none"/>
          <w:lang w:val="en-US" w:bidi="ar-SA"/>
        </w:rPr>
        <w:t>第三部分 专用合同条款</w:t>
      </w:r>
      <w:bookmarkEnd w:id="40"/>
      <w:bookmarkEnd w:id="41"/>
      <w:bookmarkEnd w:id="42"/>
    </w:p>
    <w:p w14:paraId="574DCE09">
      <w:pPr>
        <w:keepNext/>
        <w:keepLines/>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b/>
          <w:bCs/>
          <w:color w:val="auto"/>
          <w:spacing w:val="0"/>
          <w:w w:val="100"/>
          <w:kern w:val="2"/>
          <w:sz w:val="21"/>
          <w:szCs w:val="28"/>
          <w:highlight w:val="none"/>
          <w:lang w:val="en-US" w:bidi="ar-SA"/>
        </w:rPr>
      </w:pPr>
      <w:bookmarkStart w:id="43" w:name="_Toc22911687"/>
      <w:r>
        <w:rPr>
          <w:rFonts w:hint="eastAsia" w:ascii="宋体" w:hAnsi="宋体" w:eastAsia="宋体" w:cs="宋体"/>
          <w:b/>
          <w:bCs/>
          <w:color w:val="auto"/>
          <w:spacing w:val="0"/>
          <w:w w:val="100"/>
          <w:kern w:val="2"/>
          <w:sz w:val="21"/>
          <w:szCs w:val="28"/>
          <w:highlight w:val="none"/>
          <w:lang w:val="en-US" w:bidi="ar-SA"/>
        </w:rPr>
        <w:t>1. 一般约定</w:t>
      </w:r>
      <w:bookmarkEnd w:id="43"/>
    </w:p>
    <w:p w14:paraId="0B8D580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44" w:name="_Toc17066"/>
      <w:bookmarkStart w:id="45" w:name="_Toc22911688"/>
      <w:bookmarkStart w:id="46" w:name="_Toc420"/>
      <w:bookmarkStart w:id="47" w:name="_Toc13490"/>
      <w:r>
        <w:rPr>
          <w:rFonts w:hint="eastAsia" w:ascii="宋体" w:hAnsi="宋体" w:eastAsia="宋体" w:cs="宋体"/>
          <w:b/>
          <w:bCs/>
          <w:color w:val="auto"/>
          <w:spacing w:val="0"/>
          <w:w w:val="100"/>
          <w:kern w:val="2"/>
          <w:sz w:val="21"/>
          <w:szCs w:val="24"/>
          <w:highlight w:val="none"/>
          <w:lang w:val="en-US" w:bidi="ar-SA"/>
        </w:rPr>
        <w:t>1.1 词语定义</w:t>
      </w:r>
      <w:bookmarkEnd w:id="44"/>
      <w:bookmarkEnd w:id="45"/>
      <w:bookmarkEnd w:id="46"/>
      <w:bookmarkEnd w:id="47"/>
    </w:p>
    <w:p w14:paraId="2651B7DD">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w:t>
      </w:r>
      <w:r>
        <w:rPr>
          <w:rFonts w:hint="eastAsia" w:ascii="宋体" w:hAnsi="宋体" w:eastAsia="宋体" w:cs="宋体"/>
          <w:color w:val="auto"/>
          <w:spacing w:val="0"/>
          <w:w w:val="100"/>
          <w:kern w:val="2"/>
          <w:sz w:val="21"/>
          <w:szCs w:val="24"/>
          <w:highlight w:val="none"/>
          <w:lang w:val="en-US" w:bidi="ar-SA"/>
        </w:rPr>
        <w:t>合同</w:t>
      </w:r>
    </w:p>
    <w:p w14:paraId="16598DD6">
      <w:pPr>
        <w:pageBreakBefore w:val="0"/>
        <w:kinsoku/>
        <w:wordWrap/>
        <w:overflowPunct/>
        <w:topLinePunct w:val="0"/>
        <w:autoSpaceDE/>
        <w:autoSpaceDN/>
        <w:bidi w:val="0"/>
        <w:adjustRightInd w:val="0"/>
        <w:snapToGrid w:val="0"/>
        <w:spacing w:line="360" w:lineRule="auto"/>
        <w:ind w:left="246" w:leftChars="117" w:firstLine="207" w:firstLineChars="98"/>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1.1.1.10</w:t>
      </w:r>
      <w:r>
        <w:rPr>
          <w:rFonts w:hint="eastAsia" w:ascii="宋体" w:hAnsi="宋体" w:eastAsia="宋体" w:cs="宋体"/>
          <w:color w:val="auto"/>
          <w:spacing w:val="0"/>
          <w:w w:val="100"/>
          <w:kern w:val="2"/>
          <w:sz w:val="21"/>
          <w:szCs w:val="24"/>
          <w:highlight w:val="none"/>
          <w:lang w:val="en-US" w:bidi="ar-SA"/>
        </w:rPr>
        <w:t>其他合同文件包括：</w:t>
      </w:r>
      <w:r>
        <w:rPr>
          <w:rFonts w:hint="eastAsia" w:ascii="宋体" w:hAnsi="宋体" w:eastAsia="宋体" w:cs="宋体"/>
          <w:color w:val="auto"/>
          <w:spacing w:val="0"/>
          <w:w w:val="100"/>
          <w:kern w:val="0"/>
          <w:sz w:val="21"/>
          <w:szCs w:val="24"/>
          <w:highlight w:val="none"/>
          <w:u w:val="single"/>
          <w:lang w:val="en-US" w:bidi="ar-SA"/>
        </w:rPr>
        <w:t>1、本工程施工合同补充协议；2、建设工程施工合同协议书；3、招标文件及其附件、答疑纪要（如有）；4、中标通知书；5、图纸；6、工程量清单；7、已标价工程量清单；8、投标文件及其附件；9、建设工程施工合同专用条款；10、建设工程施工合同通用条款；11、标准、规范及有关技术文件；12、双方有关工程的洽商、变更等书面记录和文件；发包人有关通知及工程会议纪要；工程施工过程中的有关信件、数据电文（电传、传真、电子数据交换和电子邮件）。</w:t>
      </w:r>
    </w:p>
    <w:p w14:paraId="5576296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1.1.2 </w:t>
      </w:r>
      <w:r>
        <w:rPr>
          <w:rFonts w:hint="eastAsia" w:ascii="宋体" w:hAnsi="宋体" w:eastAsia="宋体" w:cs="宋体"/>
          <w:color w:val="auto"/>
          <w:spacing w:val="0"/>
          <w:w w:val="100"/>
          <w:kern w:val="2"/>
          <w:sz w:val="21"/>
          <w:szCs w:val="24"/>
          <w:highlight w:val="none"/>
          <w:lang w:val="en-US" w:bidi="ar-SA"/>
        </w:rPr>
        <w:t>合同当事人及其他相关方</w:t>
      </w:r>
    </w:p>
    <w:p w14:paraId="02277855">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1.1.2.4</w:t>
      </w:r>
      <w:r>
        <w:rPr>
          <w:rFonts w:hint="eastAsia" w:ascii="宋体" w:hAnsi="宋体" w:eastAsia="宋体" w:cs="宋体"/>
          <w:color w:val="auto"/>
          <w:spacing w:val="0"/>
          <w:w w:val="100"/>
          <w:kern w:val="2"/>
          <w:sz w:val="21"/>
          <w:szCs w:val="24"/>
          <w:highlight w:val="none"/>
          <w:lang w:val="en-US" w:bidi="ar-SA"/>
        </w:rPr>
        <w:t>监理人：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C48EA8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1.1.2.5</w:t>
      </w:r>
      <w:r>
        <w:rPr>
          <w:rFonts w:hint="eastAsia" w:ascii="宋体" w:hAnsi="宋体" w:eastAsia="宋体" w:cs="宋体"/>
          <w:color w:val="auto"/>
          <w:spacing w:val="0"/>
          <w:w w:val="100"/>
          <w:kern w:val="2"/>
          <w:sz w:val="21"/>
          <w:szCs w:val="24"/>
          <w:highlight w:val="none"/>
          <w:lang w:val="en-US" w:bidi="ar-SA"/>
        </w:rPr>
        <w:t xml:space="preserve"> 设计人：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AAC879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1.1.3</w:t>
      </w: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color w:val="auto"/>
          <w:spacing w:val="0"/>
          <w:w w:val="100"/>
          <w:kern w:val="2"/>
          <w:sz w:val="21"/>
          <w:szCs w:val="24"/>
          <w:highlight w:val="none"/>
          <w:lang w:val="en-US" w:bidi="ar-SA"/>
        </w:rPr>
        <w:t>工程和设备</w:t>
      </w:r>
    </w:p>
    <w:p w14:paraId="32EA810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1.1.3.7 </w:t>
      </w:r>
      <w:r>
        <w:rPr>
          <w:rFonts w:hint="eastAsia" w:ascii="宋体" w:hAnsi="宋体" w:eastAsia="宋体" w:cs="宋体"/>
          <w:color w:val="auto"/>
          <w:spacing w:val="0"/>
          <w:w w:val="100"/>
          <w:kern w:val="0"/>
          <w:sz w:val="21"/>
          <w:szCs w:val="24"/>
          <w:highlight w:val="none"/>
          <w:lang w:val="en-US" w:bidi="ar-SA"/>
        </w:rPr>
        <w:t>作为施工现场组成部分的其他场所包括：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0B5FEBC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1.1.3.9</w:t>
      </w:r>
      <w:r>
        <w:rPr>
          <w:rFonts w:hint="eastAsia" w:ascii="宋体" w:hAnsi="宋体" w:eastAsia="宋体" w:cs="宋体"/>
          <w:color w:val="auto"/>
          <w:spacing w:val="0"/>
          <w:w w:val="100"/>
          <w:kern w:val="0"/>
          <w:sz w:val="21"/>
          <w:szCs w:val="24"/>
          <w:highlight w:val="none"/>
          <w:lang w:val="en-US" w:bidi="ar-SA"/>
        </w:rPr>
        <w:t xml:space="preserve"> 永久占地包括：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32BB5AA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1.1.3.10</w:t>
      </w:r>
      <w:r>
        <w:rPr>
          <w:rFonts w:hint="eastAsia" w:ascii="宋体" w:hAnsi="宋体" w:eastAsia="宋体" w:cs="宋体"/>
          <w:color w:val="auto"/>
          <w:spacing w:val="0"/>
          <w:w w:val="100"/>
          <w:kern w:val="0"/>
          <w:sz w:val="21"/>
          <w:szCs w:val="24"/>
          <w:highlight w:val="none"/>
          <w:lang w:val="en-US" w:bidi="ar-SA"/>
        </w:rPr>
        <w:t xml:space="preserve"> 临时占地包括：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434047F5">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48" w:name="_Toc32751"/>
      <w:bookmarkStart w:id="49" w:name="_Toc3175"/>
      <w:bookmarkStart w:id="50" w:name="_Toc12660"/>
      <w:r>
        <w:rPr>
          <w:rFonts w:hint="eastAsia" w:ascii="宋体" w:hAnsi="宋体" w:eastAsia="宋体" w:cs="宋体"/>
          <w:b/>
          <w:bCs/>
          <w:color w:val="auto"/>
          <w:spacing w:val="0"/>
          <w:w w:val="100"/>
          <w:kern w:val="2"/>
          <w:sz w:val="21"/>
          <w:szCs w:val="24"/>
          <w:highlight w:val="none"/>
          <w:lang w:val="en-US" w:bidi="ar-SA"/>
        </w:rPr>
        <w:t>1.3法律</w:t>
      </w:r>
      <w:bookmarkEnd w:id="48"/>
      <w:bookmarkEnd w:id="49"/>
      <w:bookmarkEnd w:id="50"/>
      <w:r>
        <w:rPr>
          <w:rFonts w:hint="eastAsia" w:ascii="宋体" w:hAnsi="宋体" w:eastAsia="宋体" w:cs="宋体"/>
          <w:b/>
          <w:bCs/>
          <w:color w:val="auto"/>
          <w:spacing w:val="0"/>
          <w:w w:val="100"/>
          <w:kern w:val="2"/>
          <w:sz w:val="21"/>
          <w:szCs w:val="24"/>
          <w:highlight w:val="none"/>
          <w:lang w:val="en-US" w:bidi="ar-SA"/>
        </w:rPr>
        <w:t xml:space="preserve"> </w:t>
      </w:r>
    </w:p>
    <w:p w14:paraId="3D52AA69">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适用于合同的其他规范性文件：</w:t>
      </w:r>
      <w:r>
        <w:rPr>
          <w:rFonts w:hint="eastAsia" w:ascii="宋体" w:hAnsi="宋体" w:eastAsia="宋体" w:cs="宋体"/>
          <w:color w:val="auto"/>
          <w:spacing w:val="0"/>
          <w:w w:val="100"/>
          <w:kern w:val="2"/>
          <w:sz w:val="21"/>
          <w:szCs w:val="24"/>
          <w:highlight w:val="none"/>
          <w:u w:val="single"/>
          <w:lang w:val="en-US" w:bidi="ar-SA"/>
        </w:rPr>
        <w:t>《中华人民共和国建筑法》、《中华人民共和国民法典》、《中华人民共和国招标投标法》、《建筑工程强制性标准条文》、《建设工程质量管理条例》、《建设工程安全生产管理条例》、《房屋建筑工程质量保修办法》、河南省及焦作市关于安全文明施工的法规、规章和行政规范性文件等</w:t>
      </w:r>
      <w:r>
        <w:rPr>
          <w:rFonts w:hint="eastAsia" w:ascii="宋体" w:hAnsi="宋体" w:eastAsia="宋体" w:cs="宋体"/>
          <w:color w:val="auto"/>
          <w:spacing w:val="0"/>
          <w:w w:val="100"/>
          <w:kern w:val="2"/>
          <w:sz w:val="21"/>
          <w:szCs w:val="24"/>
          <w:highlight w:val="none"/>
          <w:lang w:val="en-US" w:bidi="ar-SA"/>
        </w:rPr>
        <w:t>。</w:t>
      </w:r>
    </w:p>
    <w:p w14:paraId="3B26666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51" w:name="_Toc15874"/>
      <w:bookmarkStart w:id="52" w:name="_Toc28139"/>
      <w:bookmarkStart w:id="53" w:name="_Toc22014"/>
      <w:r>
        <w:rPr>
          <w:rFonts w:hint="eastAsia" w:ascii="宋体" w:hAnsi="宋体" w:eastAsia="宋体" w:cs="宋体"/>
          <w:b/>
          <w:bCs/>
          <w:color w:val="auto"/>
          <w:spacing w:val="0"/>
          <w:w w:val="100"/>
          <w:kern w:val="2"/>
          <w:sz w:val="21"/>
          <w:szCs w:val="24"/>
          <w:highlight w:val="none"/>
          <w:lang w:val="en-US" w:bidi="ar-SA"/>
        </w:rPr>
        <w:t>1.4 标准和规范</w:t>
      </w:r>
      <w:bookmarkEnd w:id="51"/>
      <w:bookmarkEnd w:id="52"/>
      <w:bookmarkEnd w:id="53"/>
    </w:p>
    <w:p w14:paraId="00FEA988">
      <w:pPr>
        <w:pageBreakBefore w:val="0"/>
        <w:kinsoku/>
        <w:wordWrap/>
        <w:overflowPunct/>
        <w:topLinePunct w:val="0"/>
        <w:autoSpaceDE/>
        <w:autoSpaceDN/>
        <w:bidi w:val="0"/>
        <w:adjustRightInd w:val="0"/>
        <w:snapToGrid w:val="0"/>
        <w:spacing w:line="360" w:lineRule="auto"/>
        <w:ind w:firstLine="413" w:firstLineChars="196"/>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1.4.1</w:t>
      </w:r>
      <w:r>
        <w:rPr>
          <w:rFonts w:hint="eastAsia" w:ascii="宋体" w:hAnsi="宋体" w:eastAsia="宋体" w:cs="宋体"/>
          <w:color w:val="auto"/>
          <w:spacing w:val="0"/>
          <w:w w:val="100"/>
          <w:kern w:val="2"/>
          <w:sz w:val="21"/>
          <w:szCs w:val="24"/>
          <w:highlight w:val="none"/>
          <w:lang w:val="en-US" w:bidi="ar-SA"/>
        </w:rPr>
        <w:t>适用于工程的标准规范包括：</w:t>
      </w:r>
      <w:r>
        <w:rPr>
          <w:rFonts w:hint="eastAsia" w:ascii="宋体" w:hAnsi="宋体" w:eastAsia="宋体" w:cs="宋体"/>
          <w:color w:val="auto"/>
          <w:spacing w:val="0"/>
          <w:w w:val="100"/>
          <w:kern w:val="2"/>
          <w:sz w:val="21"/>
          <w:szCs w:val="24"/>
          <w:highlight w:val="none"/>
          <w:lang w:val="en-US" w:eastAsia="zh-CN" w:bidi="ar-SA"/>
        </w:rPr>
        <w:t>《</w:t>
      </w:r>
      <w:r>
        <w:rPr>
          <w:rFonts w:hint="eastAsia" w:ascii="宋体" w:hAnsi="宋体" w:eastAsia="宋体" w:cs="宋体"/>
          <w:color w:val="auto"/>
          <w:spacing w:val="0"/>
          <w:w w:val="100"/>
          <w:kern w:val="2"/>
          <w:sz w:val="21"/>
          <w:szCs w:val="24"/>
          <w:highlight w:val="none"/>
          <w:u w:val="single"/>
          <w:lang w:val="en-US" w:bidi="ar-SA"/>
        </w:rPr>
        <w:t>建设工程工程量清单计价标准》（GB/T 50500-2024）、《河南省房屋建筑与装饰预算定额》（HA01-31-2016）《建筑工程施工质量验收统一标准》等现行适用于本工程的国家标准、行业标准、工程所在地的地方性标准，以及相应的规范、规程。</w:t>
      </w:r>
    </w:p>
    <w:p w14:paraId="14A8DECE">
      <w:pPr>
        <w:pageBreakBefore w:val="0"/>
        <w:kinsoku/>
        <w:wordWrap/>
        <w:overflowPunct/>
        <w:topLinePunct w:val="0"/>
        <w:autoSpaceDE/>
        <w:autoSpaceDN/>
        <w:bidi w:val="0"/>
        <w:adjustRightInd w:val="0"/>
        <w:snapToGrid w:val="0"/>
        <w:spacing w:line="360" w:lineRule="auto"/>
        <w:ind w:firstLine="413" w:firstLineChars="196"/>
        <w:jc w:val="both"/>
        <w:textAlignment w:val="auto"/>
        <w:outlineLvl w:val="9"/>
        <w:rPr>
          <w:rFonts w:hint="eastAsia" w:ascii="宋体" w:hAnsi="宋体" w:eastAsia="宋体" w:cs="宋体"/>
          <w:color w:val="auto"/>
          <w:spacing w:val="0"/>
          <w:w w:val="100"/>
          <w:kern w:val="0"/>
          <w:sz w:val="21"/>
          <w:szCs w:val="24"/>
          <w:highlight w:val="none"/>
          <w:lang w:val="en-US" w:bidi="ar-SA"/>
        </w:rPr>
      </w:pPr>
      <w:bookmarkStart w:id="54" w:name="_Toc22911689"/>
      <w:r>
        <w:rPr>
          <w:rFonts w:hint="eastAsia" w:ascii="宋体" w:hAnsi="宋体" w:eastAsia="宋体" w:cs="宋体"/>
          <w:b/>
          <w:bCs/>
          <w:color w:val="auto"/>
          <w:spacing w:val="0"/>
          <w:w w:val="100"/>
          <w:kern w:val="2"/>
          <w:sz w:val="21"/>
          <w:szCs w:val="24"/>
          <w:highlight w:val="none"/>
          <w:lang w:val="en-US" w:bidi="ar-SA"/>
        </w:rPr>
        <w:t>1.4.2</w:t>
      </w:r>
      <w:r>
        <w:rPr>
          <w:rFonts w:hint="eastAsia" w:ascii="宋体" w:hAnsi="宋体" w:eastAsia="宋体" w:cs="宋体"/>
          <w:color w:val="auto"/>
          <w:spacing w:val="0"/>
          <w:w w:val="100"/>
          <w:kern w:val="2"/>
          <w:sz w:val="21"/>
          <w:szCs w:val="24"/>
          <w:highlight w:val="none"/>
          <w:lang w:val="en-US" w:bidi="ar-SA"/>
        </w:rPr>
        <w:t xml:space="preserve"> </w:t>
      </w:r>
      <w:r>
        <w:rPr>
          <w:rFonts w:hint="eastAsia" w:ascii="宋体" w:hAnsi="宋体" w:eastAsia="宋体" w:cs="宋体"/>
          <w:color w:val="auto"/>
          <w:spacing w:val="0"/>
          <w:w w:val="100"/>
          <w:kern w:val="0"/>
          <w:sz w:val="21"/>
          <w:szCs w:val="24"/>
          <w:highlight w:val="none"/>
          <w:lang w:val="en-US" w:bidi="ar-SA"/>
        </w:rPr>
        <w:t>发包人提供国外标准、规范的名称：</w:t>
      </w:r>
      <w:bookmarkEnd w:id="54"/>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7C3FCF1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发包人提供国外标准、规范的份数：</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704B260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发包人提供国外标准、规范的名称：</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6F9B25EB">
      <w:pPr>
        <w:pageBreakBefore w:val="0"/>
        <w:kinsoku/>
        <w:wordWrap/>
        <w:overflowPunct/>
        <w:topLinePunct w:val="0"/>
        <w:autoSpaceDE/>
        <w:autoSpaceDN/>
        <w:bidi w:val="0"/>
        <w:adjustRightInd w:val="0"/>
        <w:snapToGrid w:val="0"/>
        <w:spacing w:line="360" w:lineRule="auto"/>
        <w:ind w:firstLine="413" w:firstLineChars="196"/>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1.4.3</w:t>
      </w:r>
      <w:r>
        <w:rPr>
          <w:rFonts w:hint="eastAsia" w:ascii="宋体" w:hAnsi="宋体" w:eastAsia="宋体" w:cs="宋体"/>
          <w:color w:val="auto"/>
          <w:spacing w:val="0"/>
          <w:w w:val="100"/>
          <w:kern w:val="2"/>
          <w:sz w:val="21"/>
          <w:szCs w:val="24"/>
          <w:highlight w:val="none"/>
          <w:lang w:val="en-US" w:bidi="ar-SA"/>
        </w:rPr>
        <w:t>发包人对工程的技术标准和功能要求的特殊要求：</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35DFEF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55" w:name="_Toc22911690"/>
      <w:bookmarkStart w:id="56" w:name="_Toc23142"/>
      <w:bookmarkStart w:id="57" w:name="_Toc24212"/>
      <w:bookmarkStart w:id="58" w:name="_Toc24941"/>
      <w:r>
        <w:rPr>
          <w:rFonts w:hint="eastAsia" w:ascii="宋体" w:hAnsi="宋体" w:eastAsia="宋体" w:cs="宋体"/>
          <w:b/>
          <w:bCs/>
          <w:color w:val="auto"/>
          <w:spacing w:val="0"/>
          <w:w w:val="100"/>
          <w:kern w:val="2"/>
          <w:sz w:val="21"/>
          <w:szCs w:val="24"/>
          <w:highlight w:val="none"/>
          <w:lang w:val="en-US" w:bidi="ar-SA"/>
        </w:rPr>
        <w:t>1.5 合同文件的优先顺序</w:t>
      </w:r>
      <w:bookmarkEnd w:id="55"/>
      <w:bookmarkEnd w:id="56"/>
      <w:bookmarkEnd w:id="57"/>
      <w:bookmarkEnd w:id="58"/>
    </w:p>
    <w:p w14:paraId="2576E14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合同文件组成及优先顺序为：</w:t>
      </w:r>
      <w:r>
        <w:rPr>
          <w:rFonts w:hint="eastAsia" w:ascii="宋体" w:hAnsi="宋体" w:eastAsia="宋体" w:cs="宋体"/>
          <w:color w:val="auto"/>
          <w:spacing w:val="0"/>
          <w:w w:val="100"/>
          <w:kern w:val="2"/>
          <w:sz w:val="21"/>
          <w:szCs w:val="24"/>
          <w:highlight w:val="none"/>
          <w:u w:val="single"/>
          <w:lang w:val="en-US" w:bidi="ar-SA"/>
        </w:rPr>
        <w:t>按照本合同第一部分协议条款第六条顺序排序，本工程合同协议书及补充协议书为第一排序</w:t>
      </w:r>
      <w:r>
        <w:rPr>
          <w:rFonts w:hint="eastAsia" w:ascii="宋体" w:hAnsi="宋体" w:eastAsia="宋体" w:cs="宋体"/>
          <w:color w:val="auto"/>
          <w:spacing w:val="0"/>
          <w:w w:val="100"/>
          <w:kern w:val="2"/>
          <w:sz w:val="21"/>
          <w:szCs w:val="24"/>
          <w:highlight w:val="none"/>
          <w:lang w:val="en-US" w:bidi="ar-SA"/>
        </w:rPr>
        <w:t>。</w:t>
      </w:r>
    </w:p>
    <w:p w14:paraId="3F7BEFB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59" w:name="_Toc28618"/>
      <w:bookmarkStart w:id="60" w:name="_Toc22911691"/>
      <w:bookmarkStart w:id="61" w:name="_Toc24681"/>
      <w:bookmarkStart w:id="62" w:name="_Toc15663"/>
      <w:r>
        <w:rPr>
          <w:rFonts w:hint="eastAsia" w:ascii="宋体" w:hAnsi="宋体" w:eastAsia="宋体" w:cs="宋体"/>
          <w:b/>
          <w:bCs/>
          <w:color w:val="auto"/>
          <w:spacing w:val="0"/>
          <w:w w:val="100"/>
          <w:kern w:val="2"/>
          <w:sz w:val="21"/>
          <w:szCs w:val="24"/>
          <w:highlight w:val="none"/>
          <w:lang w:val="en-US" w:bidi="ar-SA"/>
        </w:rPr>
        <w:t>1.6 图纸和承包人文件</w:t>
      </w:r>
      <w:bookmarkEnd w:id="59"/>
      <w:bookmarkEnd w:id="60"/>
      <w:bookmarkEnd w:id="61"/>
      <w:bookmarkEnd w:id="62"/>
      <w:r>
        <w:rPr>
          <w:rFonts w:hint="eastAsia" w:ascii="宋体" w:hAnsi="宋体" w:eastAsia="宋体" w:cs="宋体"/>
          <w:b/>
          <w:bCs/>
          <w:color w:val="auto"/>
          <w:spacing w:val="0"/>
          <w:w w:val="100"/>
          <w:kern w:val="2"/>
          <w:sz w:val="21"/>
          <w:szCs w:val="24"/>
          <w:highlight w:val="none"/>
          <w:lang w:val="en-US" w:bidi="ar-SA"/>
        </w:rPr>
        <w:tab/>
      </w:r>
    </w:p>
    <w:p w14:paraId="084DFDE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63" w:name="_Toc12781"/>
      <w:bookmarkStart w:id="64" w:name="_Toc11846"/>
      <w:bookmarkStart w:id="65" w:name="_Toc7607"/>
      <w:r>
        <w:rPr>
          <w:rFonts w:hint="eastAsia" w:ascii="宋体" w:hAnsi="宋体" w:eastAsia="宋体" w:cs="宋体"/>
          <w:b/>
          <w:bCs/>
          <w:color w:val="auto"/>
          <w:spacing w:val="0"/>
          <w:w w:val="100"/>
          <w:kern w:val="2"/>
          <w:sz w:val="21"/>
          <w:szCs w:val="24"/>
          <w:highlight w:val="none"/>
          <w:lang w:val="en-US" w:bidi="ar-SA"/>
        </w:rPr>
        <w:t xml:space="preserve">1.6.1 </w:t>
      </w:r>
      <w:r>
        <w:rPr>
          <w:rFonts w:hint="eastAsia" w:ascii="宋体" w:hAnsi="宋体" w:eastAsia="宋体" w:cs="宋体"/>
          <w:color w:val="auto"/>
          <w:spacing w:val="0"/>
          <w:w w:val="100"/>
          <w:kern w:val="2"/>
          <w:sz w:val="21"/>
          <w:szCs w:val="24"/>
          <w:highlight w:val="none"/>
          <w:lang w:val="en-US" w:bidi="ar-SA"/>
        </w:rPr>
        <w:t>图纸的提供</w:t>
      </w:r>
      <w:bookmarkEnd w:id="63"/>
      <w:bookmarkEnd w:id="64"/>
      <w:bookmarkEnd w:id="65"/>
    </w:p>
    <w:p w14:paraId="6B2CDD2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发包人向承包人提供图纸的期限：</w:t>
      </w:r>
      <w:r>
        <w:rPr>
          <w:rFonts w:hint="eastAsia" w:ascii="宋体" w:hAnsi="宋体" w:eastAsia="宋体" w:cs="宋体"/>
          <w:color w:val="auto"/>
          <w:spacing w:val="0"/>
          <w:w w:val="100"/>
          <w:kern w:val="2"/>
          <w:sz w:val="21"/>
          <w:szCs w:val="24"/>
          <w:highlight w:val="none"/>
          <w:u w:val="single"/>
          <w:lang w:val="en-US" w:bidi="ar-SA"/>
        </w:rPr>
        <w:t>开工前7日内</w:t>
      </w:r>
      <w:r>
        <w:rPr>
          <w:rFonts w:hint="eastAsia" w:ascii="宋体" w:hAnsi="宋体" w:eastAsia="宋体" w:cs="宋体"/>
          <w:color w:val="auto"/>
          <w:spacing w:val="0"/>
          <w:w w:val="100"/>
          <w:kern w:val="2"/>
          <w:sz w:val="21"/>
          <w:szCs w:val="24"/>
          <w:highlight w:val="none"/>
          <w:lang w:val="en-US" w:bidi="ar-SA"/>
        </w:rPr>
        <w:t>；</w:t>
      </w:r>
    </w:p>
    <w:p w14:paraId="1240BD0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发包人向承包人提供图纸的数量：</w:t>
      </w:r>
      <w:r>
        <w:rPr>
          <w:rFonts w:hint="eastAsia" w:ascii="宋体" w:hAnsi="宋体" w:eastAsia="宋体" w:cs="宋体"/>
          <w:color w:val="auto"/>
          <w:spacing w:val="0"/>
          <w:w w:val="100"/>
          <w:kern w:val="2"/>
          <w:sz w:val="21"/>
          <w:szCs w:val="24"/>
          <w:highlight w:val="none"/>
          <w:u w:val="single"/>
          <w:lang w:val="en-US" w:bidi="ar-SA"/>
        </w:rPr>
        <w:t>4套；</w:t>
      </w:r>
    </w:p>
    <w:p w14:paraId="1EFAFE3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发包人向承包人提供图纸的内容：</w:t>
      </w:r>
      <w:r>
        <w:rPr>
          <w:rFonts w:hint="eastAsia" w:ascii="宋体" w:hAnsi="宋体" w:eastAsia="宋体" w:cs="宋体"/>
          <w:color w:val="auto"/>
          <w:spacing w:val="0"/>
          <w:w w:val="100"/>
          <w:kern w:val="2"/>
          <w:sz w:val="21"/>
          <w:szCs w:val="24"/>
          <w:highlight w:val="none"/>
          <w:u w:val="single"/>
          <w:lang w:val="en-US" w:bidi="ar-SA"/>
        </w:rPr>
        <w:t>本合同发包内容中满足施工需求的全部图纸或施工技术方案</w:t>
      </w:r>
      <w:r>
        <w:rPr>
          <w:rFonts w:hint="eastAsia" w:ascii="宋体" w:hAnsi="宋体" w:eastAsia="宋体" w:cs="宋体"/>
          <w:color w:val="auto"/>
          <w:spacing w:val="0"/>
          <w:w w:val="100"/>
          <w:kern w:val="2"/>
          <w:sz w:val="21"/>
          <w:szCs w:val="24"/>
          <w:highlight w:val="none"/>
          <w:lang w:val="en-US" w:bidi="ar-SA"/>
        </w:rPr>
        <w:t>。</w:t>
      </w:r>
    </w:p>
    <w:p w14:paraId="70DB4D4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66" w:name="_Toc29542"/>
      <w:bookmarkStart w:id="67" w:name="_Toc6202"/>
      <w:bookmarkStart w:id="68" w:name="_Toc2003"/>
      <w:r>
        <w:rPr>
          <w:rFonts w:hint="eastAsia" w:ascii="宋体" w:hAnsi="宋体" w:eastAsia="宋体" w:cs="宋体"/>
          <w:b/>
          <w:bCs/>
          <w:color w:val="auto"/>
          <w:spacing w:val="0"/>
          <w:w w:val="100"/>
          <w:kern w:val="2"/>
          <w:sz w:val="21"/>
          <w:szCs w:val="24"/>
          <w:highlight w:val="none"/>
          <w:lang w:val="en-US" w:bidi="ar-SA"/>
        </w:rPr>
        <w:t xml:space="preserve">1.6.4 </w:t>
      </w:r>
      <w:r>
        <w:rPr>
          <w:rFonts w:hint="eastAsia" w:ascii="宋体" w:hAnsi="宋体" w:eastAsia="宋体" w:cs="宋体"/>
          <w:color w:val="auto"/>
          <w:spacing w:val="0"/>
          <w:w w:val="100"/>
          <w:kern w:val="2"/>
          <w:sz w:val="21"/>
          <w:szCs w:val="24"/>
          <w:highlight w:val="none"/>
          <w:lang w:val="en-US" w:bidi="ar-SA"/>
        </w:rPr>
        <w:t>承包人文件</w:t>
      </w:r>
      <w:bookmarkEnd w:id="66"/>
      <w:bookmarkEnd w:id="67"/>
      <w:bookmarkEnd w:id="68"/>
    </w:p>
    <w:p w14:paraId="0E97FEB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需要由承包人提供的文件，包括：</w:t>
      </w:r>
      <w:r>
        <w:rPr>
          <w:rFonts w:hint="eastAsia" w:ascii="宋体" w:hAnsi="宋体" w:eastAsia="宋体" w:cs="宋体"/>
          <w:color w:val="auto"/>
          <w:spacing w:val="0"/>
          <w:w w:val="100"/>
          <w:kern w:val="2"/>
          <w:sz w:val="21"/>
          <w:szCs w:val="24"/>
          <w:highlight w:val="none"/>
          <w:u w:val="single"/>
          <w:lang w:val="en-US" w:bidi="ar-SA"/>
        </w:rPr>
        <w:t>施工组织设计、施工进度计划等；</w:t>
      </w:r>
    </w:p>
    <w:p w14:paraId="1E72C473">
      <w:pPr>
        <w:pageBreakBefore w:val="0"/>
        <w:kinsoku/>
        <w:wordWrap/>
        <w:overflowPunct/>
        <w:topLinePunct w:val="0"/>
        <w:autoSpaceDE/>
        <w:autoSpaceDN/>
        <w:bidi w:val="0"/>
        <w:adjustRightInd w:val="0"/>
        <w:snapToGrid w:val="0"/>
        <w:spacing w:line="360" w:lineRule="auto"/>
        <w:ind w:left="479" w:leftChars="228"/>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承包人提供的文件的期限为：</w:t>
      </w:r>
      <w:r>
        <w:rPr>
          <w:rFonts w:hint="eastAsia" w:ascii="宋体" w:hAnsi="宋体" w:eastAsia="宋体" w:cs="宋体"/>
          <w:color w:val="auto"/>
          <w:spacing w:val="0"/>
          <w:w w:val="100"/>
          <w:kern w:val="2"/>
          <w:sz w:val="21"/>
          <w:szCs w:val="24"/>
          <w:highlight w:val="none"/>
          <w:u w:val="single"/>
          <w:lang w:val="en-US" w:bidi="ar-SA"/>
        </w:rPr>
        <w:t>开工前7日内</w:t>
      </w:r>
      <w:r>
        <w:rPr>
          <w:rFonts w:hint="eastAsia" w:ascii="宋体" w:hAnsi="宋体" w:eastAsia="宋体" w:cs="宋体"/>
          <w:color w:val="auto"/>
          <w:spacing w:val="0"/>
          <w:w w:val="100"/>
          <w:kern w:val="2"/>
          <w:sz w:val="21"/>
          <w:szCs w:val="24"/>
          <w:highlight w:val="none"/>
          <w:lang w:val="en-US" w:bidi="ar-SA"/>
        </w:rPr>
        <w:t>；</w:t>
      </w:r>
    </w:p>
    <w:p w14:paraId="04102A3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承包人提供的文件的数量为：</w:t>
      </w:r>
      <w:r>
        <w:rPr>
          <w:rFonts w:hint="eastAsia" w:ascii="宋体" w:hAnsi="宋体" w:eastAsia="宋体" w:cs="宋体"/>
          <w:color w:val="auto"/>
          <w:spacing w:val="0"/>
          <w:w w:val="100"/>
          <w:kern w:val="2"/>
          <w:sz w:val="21"/>
          <w:szCs w:val="24"/>
          <w:highlight w:val="none"/>
          <w:u w:val="single"/>
          <w:lang w:val="en-US" w:bidi="ar-SA"/>
        </w:rPr>
        <w:t>4份</w:t>
      </w:r>
      <w:r>
        <w:rPr>
          <w:rFonts w:hint="eastAsia" w:ascii="宋体" w:hAnsi="宋体" w:eastAsia="宋体" w:cs="宋体"/>
          <w:color w:val="auto"/>
          <w:spacing w:val="0"/>
          <w:w w:val="100"/>
          <w:kern w:val="2"/>
          <w:sz w:val="21"/>
          <w:szCs w:val="24"/>
          <w:highlight w:val="none"/>
          <w:lang w:val="en-US" w:bidi="ar-SA"/>
        </w:rPr>
        <w:t>；</w:t>
      </w:r>
    </w:p>
    <w:p w14:paraId="5388A9C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承包人提供的文件的形式为：</w:t>
      </w:r>
      <w:r>
        <w:rPr>
          <w:rFonts w:hint="eastAsia" w:ascii="宋体" w:hAnsi="宋体" w:eastAsia="宋体" w:cs="宋体"/>
          <w:color w:val="auto"/>
          <w:spacing w:val="0"/>
          <w:w w:val="100"/>
          <w:kern w:val="2"/>
          <w:sz w:val="21"/>
          <w:szCs w:val="24"/>
          <w:highlight w:val="none"/>
          <w:u w:val="single"/>
          <w:lang w:val="en-US" w:bidi="ar-SA"/>
        </w:rPr>
        <w:t>纸质版及扫描件</w:t>
      </w:r>
      <w:r>
        <w:rPr>
          <w:rFonts w:hint="eastAsia" w:ascii="宋体" w:hAnsi="宋体" w:eastAsia="宋体" w:cs="宋体"/>
          <w:color w:val="auto"/>
          <w:spacing w:val="0"/>
          <w:w w:val="100"/>
          <w:kern w:val="2"/>
          <w:sz w:val="21"/>
          <w:szCs w:val="24"/>
          <w:highlight w:val="none"/>
          <w:lang w:val="en-US" w:bidi="ar-SA"/>
        </w:rPr>
        <w:t>；</w:t>
      </w:r>
    </w:p>
    <w:p w14:paraId="1237186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发包人审批承包人文件的期限：</w:t>
      </w:r>
      <w:r>
        <w:rPr>
          <w:rFonts w:hint="eastAsia" w:ascii="宋体" w:hAnsi="宋体" w:eastAsia="宋体" w:cs="宋体"/>
          <w:color w:val="auto"/>
          <w:spacing w:val="0"/>
          <w:w w:val="100"/>
          <w:kern w:val="2"/>
          <w:sz w:val="21"/>
          <w:szCs w:val="24"/>
          <w:highlight w:val="none"/>
          <w:u w:val="single"/>
          <w:lang w:val="en-US" w:bidi="ar-SA"/>
        </w:rPr>
        <w:t>收到承包人文件后7天内。</w:t>
      </w:r>
    </w:p>
    <w:p w14:paraId="6E1C444B">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1.6.5 </w:t>
      </w:r>
      <w:r>
        <w:rPr>
          <w:rFonts w:hint="eastAsia" w:ascii="宋体" w:hAnsi="宋体" w:eastAsia="宋体" w:cs="宋体"/>
          <w:color w:val="auto"/>
          <w:spacing w:val="0"/>
          <w:w w:val="100"/>
          <w:kern w:val="2"/>
          <w:sz w:val="21"/>
          <w:szCs w:val="24"/>
          <w:highlight w:val="none"/>
          <w:lang w:val="en-US" w:bidi="ar-SA"/>
        </w:rPr>
        <w:t>现场图纸准备</w:t>
      </w:r>
    </w:p>
    <w:p w14:paraId="1BC5936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关于现场图纸准备的约定：</w:t>
      </w:r>
      <w:r>
        <w:rPr>
          <w:rFonts w:hint="eastAsia" w:ascii="宋体" w:hAnsi="宋体" w:eastAsia="宋体" w:cs="宋体"/>
          <w:color w:val="auto"/>
          <w:spacing w:val="0"/>
          <w:w w:val="100"/>
          <w:kern w:val="2"/>
          <w:sz w:val="21"/>
          <w:szCs w:val="24"/>
          <w:highlight w:val="none"/>
          <w:u w:val="single"/>
          <w:lang w:val="en-US" w:bidi="ar-SA"/>
        </w:rPr>
        <w:t>承包人应在施工现场另外保存一套完整的图纸和承包人文件，供发包人及有关人员进行工程检查时使用。</w:t>
      </w:r>
    </w:p>
    <w:p w14:paraId="2503234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69" w:name="_Toc22911692"/>
      <w:bookmarkStart w:id="70" w:name="_Toc29512"/>
      <w:bookmarkStart w:id="71" w:name="_Toc14056"/>
      <w:bookmarkStart w:id="72" w:name="_Toc26786"/>
      <w:r>
        <w:rPr>
          <w:rFonts w:hint="eastAsia" w:ascii="宋体" w:hAnsi="宋体" w:eastAsia="宋体" w:cs="宋体"/>
          <w:b/>
          <w:bCs/>
          <w:color w:val="auto"/>
          <w:spacing w:val="0"/>
          <w:w w:val="100"/>
          <w:kern w:val="2"/>
          <w:sz w:val="21"/>
          <w:szCs w:val="24"/>
          <w:highlight w:val="none"/>
          <w:lang w:val="en-US" w:bidi="ar-SA"/>
        </w:rPr>
        <w:t>1.7 联络</w:t>
      </w:r>
      <w:bookmarkEnd w:id="69"/>
      <w:bookmarkEnd w:id="70"/>
      <w:bookmarkEnd w:id="71"/>
      <w:bookmarkEnd w:id="72"/>
    </w:p>
    <w:p w14:paraId="1E4BC14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1.7.1</w:t>
      </w:r>
      <w:r>
        <w:rPr>
          <w:rFonts w:hint="eastAsia" w:ascii="宋体" w:hAnsi="宋体" w:eastAsia="宋体" w:cs="宋体"/>
          <w:color w:val="auto"/>
          <w:spacing w:val="0"/>
          <w:w w:val="100"/>
          <w:kern w:val="0"/>
          <w:sz w:val="21"/>
          <w:szCs w:val="24"/>
          <w:highlight w:val="none"/>
          <w:lang w:val="en-US" w:bidi="ar-SA"/>
        </w:rPr>
        <w:t>发包人和承包人应当在</w:t>
      </w:r>
      <w:r>
        <w:rPr>
          <w:rFonts w:hint="eastAsia" w:ascii="宋体" w:hAnsi="宋体" w:eastAsia="宋体" w:cs="宋体"/>
          <w:color w:val="auto"/>
          <w:spacing w:val="0"/>
          <w:w w:val="100"/>
          <w:kern w:val="2"/>
          <w:sz w:val="21"/>
          <w:szCs w:val="24"/>
          <w:highlight w:val="none"/>
          <w:u w:val="single"/>
          <w:lang w:val="en-US" w:bidi="ar-SA"/>
        </w:rPr>
        <w:t>7</w:t>
      </w:r>
      <w:r>
        <w:rPr>
          <w:rFonts w:hint="eastAsia" w:ascii="宋体" w:hAnsi="宋体" w:eastAsia="宋体" w:cs="宋体"/>
          <w:color w:val="auto"/>
          <w:spacing w:val="0"/>
          <w:w w:val="100"/>
          <w:kern w:val="0"/>
          <w:sz w:val="21"/>
          <w:szCs w:val="24"/>
          <w:highlight w:val="none"/>
          <w:lang w:val="en-US" w:bidi="ar-SA"/>
        </w:rPr>
        <w:t>天内将与合同有关的通知、批准、证明、证书、指示、指令、要求、请求、同意、意见、确定和决定等书面函件送达对方当事人。</w:t>
      </w:r>
    </w:p>
    <w:p w14:paraId="27A5F32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1.7.2</w:t>
      </w:r>
      <w:r>
        <w:rPr>
          <w:rFonts w:hint="eastAsia" w:ascii="宋体" w:hAnsi="宋体" w:eastAsia="宋体" w:cs="宋体"/>
          <w:color w:val="auto"/>
          <w:spacing w:val="0"/>
          <w:w w:val="100"/>
          <w:kern w:val="0"/>
          <w:sz w:val="21"/>
          <w:szCs w:val="24"/>
          <w:highlight w:val="none"/>
          <w:lang w:val="en-US" w:bidi="ar-SA"/>
        </w:rPr>
        <w:t xml:space="preserve"> 发包人接收文件的地点：</w:t>
      </w:r>
      <w:r>
        <w:rPr>
          <w:rFonts w:hint="eastAsia" w:ascii="宋体" w:hAnsi="宋体" w:eastAsia="宋体" w:cs="宋体"/>
          <w:color w:val="auto"/>
          <w:spacing w:val="0"/>
          <w:w w:val="100"/>
          <w:kern w:val="2"/>
          <w:sz w:val="21"/>
          <w:szCs w:val="24"/>
          <w:highlight w:val="none"/>
          <w:u w:val="single"/>
          <w:lang w:val="en-US" w:bidi="ar-SA"/>
        </w:rPr>
        <w:t>施工现场发包人办公地点</w:t>
      </w:r>
      <w:r>
        <w:rPr>
          <w:rFonts w:hint="eastAsia" w:ascii="宋体" w:hAnsi="宋体" w:eastAsia="宋体" w:cs="宋体"/>
          <w:color w:val="auto"/>
          <w:spacing w:val="0"/>
          <w:w w:val="100"/>
          <w:kern w:val="0"/>
          <w:sz w:val="21"/>
          <w:szCs w:val="24"/>
          <w:highlight w:val="none"/>
          <w:lang w:val="en-US" w:bidi="ar-SA"/>
        </w:rPr>
        <w:t>；</w:t>
      </w:r>
    </w:p>
    <w:p w14:paraId="7F9EBDE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发包人指定的接收人为：</w:t>
      </w:r>
      <w:r>
        <w:rPr>
          <w:rFonts w:hint="eastAsia" w:ascii="宋体" w:hAnsi="宋体" w:eastAsia="宋体" w:cs="宋体"/>
          <w:color w:val="auto"/>
          <w:spacing w:val="0"/>
          <w:w w:val="100"/>
          <w:kern w:val="2"/>
          <w:sz w:val="21"/>
          <w:szCs w:val="24"/>
          <w:highlight w:val="none"/>
          <w:u w:val="single"/>
          <w:lang w:val="en-US" w:bidi="ar-SA"/>
        </w:rPr>
        <w:t>发包人代表</w:t>
      </w:r>
      <w:r>
        <w:rPr>
          <w:rFonts w:hint="eastAsia" w:ascii="宋体" w:hAnsi="宋体" w:eastAsia="宋体" w:cs="宋体"/>
          <w:color w:val="auto"/>
          <w:spacing w:val="0"/>
          <w:w w:val="100"/>
          <w:kern w:val="0"/>
          <w:sz w:val="21"/>
          <w:szCs w:val="24"/>
          <w:highlight w:val="none"/>
          <w:u w:val="single"/>
          <w:lang w:val="en-US" w:bidi="ar-SA"/>
        </w:rPr>
        <w:t>。</w:t>
      </w:r>
    </w:p>
    <w:p w14:paraId="65D02E3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承包人接收文件的地点：</w:t>
      </w:r>
      <w:r>
        <w:rPr>
          <w:rFonts w:hint="eastAsia" w:ascii="宋体" w:hAnsi="宋体" w:eastAsia="宋体" w:cs="宋体"/>
          <w:color w:val="auto"/>
          <w:spacing w:val="0"/>
          <w:w w:val="100"/>
          <w:kern w:val="2"/>
          <w:sz w:val="21"/>
          <w:szCs w:val="24"/>
          <w:highlight w:val="none"/>
          <w:u w:val="single"/>
          <w:lang w:val="en-US" w:bidi="ar-SA"/>
        </w:rPr>
        <w:t>施工现场承包人办公地点；</w:t>
      </w:r>
    </w:p>
    <w:p w14:paraId="0424FE9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承包人指定的接收人为：</w:t>
      </w:r>
      <w:r>
        <w:rPr>
          <w:rFonts w:hint="eastAsia" w:ascii="宋体" w:hAnsi="宋体" w:eastAsia="宋体" w:cs="宋体"/>
          <w:color w:val="auto"/>
          <w:spacing w:val="0"/>
          <w:w w:val="100"/>
          <w:kern w:val="2"/>
          <w:sz w:val="21"/>
          <w:szCs w:val="24"/>
          <w:highlight w:val="none"/>
          <w:u w:val="single"/>
          <w:lang w:val="en-US" w:bidi="ar-SA"/>
        </w:rPr>
        <w:t>项目经理</w:t>
      </w:r>
      <w:r>
        <w:rPr>
          <w:rFonts w:hint="eastAsia" w:ascii="宋体" w:hAnsi="宋体" w:eastAsia="宋体" w:cs="宋体"/>
          <w:color w:val="auto"/>
          <w:spacing w:val="0"/>
          <w:w w:val="100"/>
          <w:kern w:val="0"/>
          <w:sz w:val="21"/>
          <w:szCs w:val="24"/>
          <w:highlight w:val="none"/>
          <w:lang w:val="en-US" w:bidi="ar-SA"/>
        </w:rPr>
        <w:t>。</w:t>
      </w:r>
    </w:p>
    <w:p w14:paraId="5B40CD6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监理人接收文件的地点：</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46EE4D7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监理人指定的接收人为：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B9EC7D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73" w:name="_Toc25407"/>
      <w:bookmarkStart w:id="74" w:name="_Toc2283"/>
      <w:bookmarkStart w:id="75" w:name="_Toc22911693"/>
      <w:r>
        <w:rPr>
          <w:rFonts w:hint="eastAsia" w:ascii="宋体" w:hAnsi="宋体" w:eastAsia="宋体" w:cs="宋体"/>
          <w:b/>
          <w:bCs/>
          <w:color w:val="auto"/>
          <w:spacing w:val="0"/>
          <w:w w:val="100"/>
          <w:kern w:val="2"/>
          <w:sz w:val="21"/>
          <w:szCs w:val="24"/>
          <w:highlight w:val="none"/>
          <w:lang w:val="en-US" w:bidi="ar-SA"/>
        </w:rPr>
        <w:t>1.10 交通运输</w:t>
      </w:r>
      <w:bookmarkEnd w:id="73"/>
      <w:bookmarkEnd w:id="74"/>
      <w:bookmarkEnd w:id="75"/>
    </w:p>
    <w:p w14:paraId="6C19734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76" w:name="_Toc32660"/>
      <w:bookmarkStart w:id="77" w:name="_Toc11587"/>
      <w:bookmarkStart w:id="78" w:name="_Toc22911694"/>
      <w:bookmarkStart w:id="79" w:name="_Toc24906"/>
      <w:r>
        <w:rPr>
          <w:rFonts w:hint="eastAsia" w:ascii="宋体" w:hAnsi="宋体" w:eastAsia="宋体" w:cs="宋体"/>
          <w:b/>
          <w:bCs/>
          <w:color w:val="auto"/>
          <w:spacing w:val="0"/>
          <w:w w:val="100"/>
          <w:kern w:val="2"/>
          <w:sz w:val="21"/>
          <w:szCs w:val="24"/>
          <w:highlight w:val="none"/>
          <w:lang w:val="en-US" w:bidi="ar-SA"/>
        </w:rPr>
        <w:t>1.10.1</w:t>
      </w:r>
      <w:r>
        <w:rPr>
          <w:rFonts w:hint="eastAsia" w:ascii="宋体" w:hAnsi="宋体" w:eastAsia="宋体" w:cs="宋体"/>
          <w:color w:val="auto"/>
          <w:spacing w:val="0"/>
          <w:w w:val="100"/>
          <w:kern w:val="2"/>
          <w:sz w:val="21"/>
          <w:szCs w:val="24"/>
          <w:highlight w:val="none"/>
          <w:lang w:val="en-US" w:bidi="ar-SA"/>
        </w:rPr>
        <w:t xml:space="preserve"> 出入现场的权利</w:t>
      </w:r>
      <w:bookmarkEnd w:id="76"/>
      <w:bookmarkEnd w:id="77"/>
      <w:bookmarkEnd w:id="78"/>
      <w:bookmarkEnd w:id="79"/>
    </w:p>
    <w:p w14:paraId="66BBBD09">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关于出入现场的权利的约定：</w:t>
      </w:r>
      <w:r>
        <w:rPr>
          <w:rFonts w:hint="eastAsia" w:ascii="宋体" w:hAnsi="宋体" w:eastAsia="宋体" w:cs="宋体"/>
          <w:color w:val="auto"/>
          <w:spacing w:val="0"/>
          <w:w w:val="100"/>
          <w:kern w:val="2"/>
          <w:sz w:val="21"/>
          <w:szCs w:val="24"/>
          <w:highlight w:val="none"/>
          <w:u w:val="single"/>
          <w:lang w:val="en-US" w:bidi="ar-SA"/>
        </w:rPr>
        <w:t>发包人有权自由出入工程施工现场。承包人应在订立合同前查勘施工现场，并根据工程规模及技术参数合理预见工程施工所需的进出施工现场的方式、手段、路径等。因承包人未合理预见所增加的费用和（或）延误的工期由承包人承担。</w:t>
      </w:r>
    </w:p>
    <w:p w14:paraId="22068B4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80" w:name="_Toc22911695"/>
      <w:bookmarkStart w:id="81" w:name="_Toc11948"/>
      <w:bookmarkStart w:id="82" w:name="_Toc16620"/>
      <w:bookmarkStart w:id="83" w:name="_Toc13605"/>
      <w:r>
        <w:rPr>
          <w:rFonts w:hint="eastAsia" w:ascii="宋体" w:hAnsi="宋体" w:eastAsia="宋体" w:cs="宋体"/>
          <w:b/>
          <w:bCs/>
          <w:color w:val="auto"/>
          <w:spacing w:val="0"/>
          <w:w w:val="100"/>
          <w:kern w:val="2"/>
          <w:sz w:val="21"/>
          <w:szCs w:val="24"/>
          <w:highlight w:val="none"/>
          <w:lang w:val="en-US" w:bidi="ar-SA"/>
        </w:rPr>
        <w:t xml:space="preserve">1.10.3 </w:t>
      </w:r>
      <w:r>
        <w:rPr>
          <w:rFonts w:hint="eastAsia" w:ascii="宋体" w:hAnsi="宋体" w:eastAsia="宋体" w:cs="宋体"/>
          <w:color w:val="auto"/>
          <w:spacing w:val="0"/>
          <w:w w:val="100"/>
          <w:kern w:val="2"/>
          <w:sz w:val="21"/>
          <w:szCs w:val="24"/>
          <w:highlight w:val="none"/>
          <w:lang w:val="en-US" w:bidi="ar-SA"/>
        </w:rPr>
        <w:t>场内交通</w:t>
      </w:r>
      <w:bookmarkEnd w:id="80"/>
      <w:bookmarkEnd w:id="81"/>
      <w:bookmarkEnd w:id="82"/>
      <w:bookmarkEnd w:id="83"/>
    </w:p>
    <w:p w14:paraId="731F651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关于场外交通和场内交通的边界的约定：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6235B2C">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关于发包人向承包人免费提供满足工程施工需要的场内道路和交通设施的约定：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155EFB0D">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1.10.4</w:t>
      </w:r>
      <w:r>
        <w:rPr>
          <w:rFonts w:hint="eastAsia" w:ascii="宋体" w:hAnsi="宋体" w:eastAsia="宋体" w:cs="宋体"/>
          <w:color w:val="auto"/>
          <w:spacing w:val="0"/>
          <w:w w:val="100"/>
          <w:kern w:val="2"/>
          <w:sz w:val="21"/>
          <w:szCs w:val="24"/>
          <w:highlight w:val="none"/>
          <w:lang w:val="en-US" w:bidi="ar-SA"/>
        </w:rPr>
        <w:t>超大件和超重件的运输</w:t>
      </w:r>
    </w:p>
    <w:p w14:paraId="17584D5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运输超大件或超重件所需的道路和桥梁临时加固改造费用和其他有关费用由</w:t>
      </w:r>
      <w:r>
        <w:rPr>
          <w:rFonts w:hint="eastAsia" w:ascii="宋体" w:hAnsi="宋体" w:eastAsia="宋体" w:cs="宋体"/>
          <w:color w:val="auto"/>
          <w:spacing w:val="0"/>
          <w:w w:val="100"/>
          <w:kern w:val="2"/>
          <w:sz w:val="21"/>
          <w:szCs w:val="24"/>
          <w:highlight w:val="none"/>
          <w:u w:val="single"/>
          <w:lang w:val="en-US" w:bidi="ar-SA"/>
        </w:rPr>
        <w:t>承包人</w:t>
      </w:r>
      <w:r>
        <w:rPr>
          <w:rFonts w:hint="eastAsia" w:ascii="宋体" w:hAnsi="宋体" w:eastAsia="宋体" w:cs="宋体"/>
          <w:color w:val="auto"/>
          <w:spacing w:val="0"/>
          <w:w w:val="100"/>
          <w:kern w:val="2"/>
          <w:sz w:val="21"/>
          <w:szCs w:val="24"/>
          <w:highlight w:val="none"/>
          <w:lang w:val="en-US" w:bidi="ar-SA"/>
        </w:rPr>
        <w:t>承担。</w:t>
      </w:r>
    </w:p>
    <w:p w14:paraId="784F3E6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84" w:name="_Toc22911696"/>
      <w:r>
        <w:rPr>
          <w:rFonts w:hint="eastAsia" w:ascii="宋体" w:hAnsi="宋体" w:eastAsia="宋体" w:cs="宋体"/>
          <w:b/>
          <w:bCs/>
          <w:color w:val="auto"/>
          <w:spacing w:val="0"/>
          <w:w w:val="100"/>
          <w:kern w:val="2"/>
          <w:sz w:val="21"/>
          <w:szCs w:val="24"/>
          <w:highlight w:val="none"/>
          <w:lang w:val="en-US" w:bidi="ar-SA"/>
        </w:rPr>
        <w:t>1.11 知识产权</w:t>
      </w:r>
      <w:bookmarkEnd w:id="84"/>
    </w:p>
    <w:p w14:paraId="5D5184E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1.11.1</w:t>
      </w:r>
      <w:r>
        <w:rPr>
          <w:rFonts w:hint="eastAsia" w:ascii="宋体" w:hAnsi="宋体" w:eastAsia="宋体" w:cs="宋体"/>
          <w:color w:val="auto"/>
          <w:spacing w:val="0"/>
          <w:w w:val="100"/>
          <w:kern w:val="2"/>
          <w:sz w:val="21"/>
          <w:szCs w:val="24"/>
          <w:highlight w:val="none"/>
          <w:lang w:val="en-US" w:bidi="ar-SA"/>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4791454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关于发包人提供的上述文件的使用限制的要求：</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0569D1C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85" w:name="_Toc22911697"/>
      <w:r>
        <w:rPr>
          <w:rFonts w:hint="eastAsia" w:ascii="宋体" w:hAnsi="宋体" w:eastAsia="宋体" w:cs="宋体"/>
          <w:b/>
          <w:bCs/>
          <w:color w:val="auto"/>
          <w:spacing w:val="0"/>
          <w:w w:val="100"/>
          <w:kern w:val="2"/>
          <w:sz w:val="21"/>
          <w:szCs w:val="24"/>
          <w:highlight w:val="none"/>
          <w:lang w:val="en-US" w:bidi="ar-SA"/>
        </w:rPr>
        <w:t>1.11.2</w:t>
      </w:r>
      <w:r>
        <w:rPr>
          <w:rFonts w:hint="eastAsia" w:ascii="宋体" w:hAnsi="宋体" w:eastAsia="宋体" w:cs="宋体"/>
          <w:color w:val="auto"/>
          <w:spacing w:val="0"/>
          <w:w w:val="100"/>
          <w:kern w:val="2"/>
          <w:sz w:val="21"/>
          <w:szCs w:val="24"/>
          <w:highlight w:val="none"/>
          <w:lang w:val="en-US" w:bidi="ar-SA"/>
        </w:rPr>
        <w:t xml:space="preserve"> 关于承包人为实施工程所编制文件的著作权的归属：</w:t>
      </w:r>
      <w:bookmarkEnd w:id="85"/>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499EB069">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关于承包人提供的上述文件的使用限制的要求：</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763AF04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bookmarkStart w:id="86" w:name="_Toc26852"/>
      <w:bookmarkStart w:id="87" w:name="_Toc22911698"/>
      <w:bookmarkStart w:id="88" w:name="_Toc27250"/>
      <w:r>
        <w:rPr>
          <w:rFonts w:hint="eastAsia" w:ascii="宋体" w:hAnsi="宋体" w:eastAsia="宋体" w:cs="宋体"/>
          <w:b/>
          <w:bCs/>
          <w:color w:val="auto"/>
          <w:spacing w:val="0"/>
          <w:w w:val="100"/>
          <w:kern w:val="2"/>
          <w:sz w:val="21"/>
          <w:szCs w:val="24"/>
          <w:highlight w:val="none"/>
          <w:lang w:val="en-US" w:bidi="ar-SA"/>
        </w:rPr>
        <w:t>1.11.4</w:t>
      </w:r>
      <w:r>
        <w:rPr>
          <w:rFonts w:hint="eastAsia" w:ascii="宋体" w:hAnsi="宋体" w:eastAsia="宋体" w:cs="宋体"/>
          <w:color w:val="auto"/>
          <w:spacing w:val="0"/>
          <w:w w:val="100"/>
          <w:kern w:val="2"/>
          <w:sz w:val="21"/>
          <w:szCs w:val="24"/>
          <w:highlight w:val="none"/>
          <w:lang w:val="en-US" w:bidi="ar-SA"/>
        </w:rPr>
        <w:t xml:space="preserve"> 承包人在施工过程中所采用的专利、专有技术、技术秘密的使用费的承担方式：</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bookmarkEnd w:id="86"/>
      <w:bookmarkEnd w:id="87"/>
      <w:bookmarkEnd w:id="88"/>
    </w:p>
    <w:p w14:paraId="35C80E9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89" w:name="_Toc19306"/>
      <w:bookmarkStart w:id="90" w:name="_Toc19593"/>
      <w:bookmarkStart w:id="91" w:name="_Toc26303"/>
      <w:r>
        <w:rPr>
          <w:rFonts w:hint="eastAsia" w:ascii="宋体" w:hAnsi="宋体" w:eastAsia="宋体" w:cs="宋体"/>
          <w:b/>
          <w:bCs/>
          <w:color w:val="auto"/>
          <w:spacing w:val="0"/>
          <w:w w:val="100"/>
          <w:kern w:val="2"/>
          <w:sz w:val="21"/>
          <w:szCs w:val="24"/>
          <w:highlight w:val="none"/>
          <w:lang w:val="en-US" w:bidi="ar-SA"/>
        </w:rPr>
        <w:t>1.13工程量清单错误的修正</w:t>
      </w:r>
      <w:bookmarkEnd w:id="89"/>
      <w:bookmarkEnd w:id="90"/>
      <w:bookmarkEnd w:id="91"/>
    </w:p>
    <w:p w14:paraId="0FC96FDB">
      <w:pPr>
        <w:pageBreakBefore w:val="0"/>
        <w:kinsoku/>
        <w:wordWrap/>
        <w:overflowPunct/>
        <w:topLinePunct w:val="0"/>
        <w:autoSpaceDE/>
        <w:autoSpaceDN/>
        <w:bidi w:val="0"/>
        <w:adjustRightInd w:val="0"/>
        <w:snapToGrid w:val="0"/>
        <w:spacing w:line="360" w:lineRule="auto"/>
        <w:ind w:firstLine="411" w:firstLineChars="196"/>
        <w:jc w:val="both"/>
        <w:textAlignment w:val="auto"/>
        <w:outlineLvl w:val="9"/>
        <w:rPr>
          <w:rFonts w:hint="eastAsia" w:ascii="宋体" w:hAnsi="宋体" w:eastAsia="宋体" w:cs="宋体"/>
          <w:color w:val="auto"/>
          <w:spacing w:val="0"/>
          <w:w w:val="100"/>
          <w:kern w:val="2"/>
          <w:sz w:val="21"/>
          <w:szCs w:val="24"/>
          <w:highlight w:val="none"/>
          <w:lang w:val="en-US" w:eastAsia="zh-CN" w:bidi="ar-SA"/>
        </w:rPr>
      </w:pPr>
      <w:r>
        <w:rPr>
          <w:rFonts w:hint="eastAsia" w:ascii="宋体" w:hAnsi="宋体" w:eastAsia="宋体" w:cs="宋体"/>
          <w:color w:val="auto"/>
          <w:spacing w:val="0"/>
          <w:w w:val="100"/>
          <w:kern w:val="2"/>
          <w:sz w:val="21"/>
          <w:szCs w:val="24"/>
          <w:highlight w:val="none"/>
          <w:lang w:val="en-US" w:eastAsia="zh-CN" w:bidi="ar-SA"/>
        </w:rPr>
        <w:t>(1)</w:t>
      </w:r>
      <w:r>
        <w:rPr>
          <w:rFonts w:hint="eastAsia" w:ascii="宋体" w:hAnsi="宋体" w:eastAsia="宋体" w:cs="宋体"/>
          <w:color w:val="auto"/>
          <w:spacing w:val="0"/>
          <w:w w:val="100"/>
          <w:kern w:val="2"/>
          <w:sz w:val="21"/>
          <w:szCs w:val="24"/>
          <w:highlight w:val="none"/>
          <w:lang w:val="en-US" w:bidi="ar-SA"/>
        </w:rPr>
        <w:t>出现工程量清单错误时，是否调整合同价格：本工程是总价合同，存在工程量清单缺陷时，合同价格及合同工期不调整。</w:t>
      </w:r>
    </w:p>
    <w:p w14:paraId="3C66C964">
      <w:pPr>
        <w:pageBreakBefore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eastAsia="zh-CN" w:bidi="ar-SA"/>
        </w:rPr>
        <w:t>(2)</w:t>
      </w:r>
      <w:r>
        <w:rPr>
          <w:rFonts w:hint="eastAsia" w:ascii="宋体" w:hAnsi="宋体" w:eastAsia="宋体" w:cs="宋体"/>
          <w:color w:val="auto"/>
          <w:spacing w:val="0"/>
          <w:w w:val="100"/>
          <w:kern w:val="2"/>
          <w:sz w:val="21"/>
          <w:szCs w:val="24"/>
          <w:highlight w:val="none"/>
          <w:lang w:val="en-US" w:bidi="ar-SA"/>
        </w:rPr>
        <w:t>工程量清单缺项：本工程是总价合同，存在工程量清单缺陷时，合同价格及合同工期不调整。</w:t>
      </w:r>
    </w:p>
    <w:p w14:paraId="53B81561">
      <w:pPr>
        <w:pageBreakBefore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eastAsia="zh-CN" w:bidi="ar-SA"/>
        </w:rPr>
        <w:t>(3)</w:t>
      </w:r>
      <w:r>
        <w:rPr>
          <w:rFonts w:hint="eastAsia" w:ascii="宋体" w:hAnsi="宋体" w:eastAsia="宋体" w:cs="宋体"/>
          <w:color w:val="auto"/>
          <w:spacing w:val="0"/>
          <w:w w:val="100"/>
          <w:kern w:val="2"/>
          <w:sz w:val="21"/>
          <w:szCs w:val="24"/>
          <w:highlight w:val="none"/>
          <w:lang w:val="en-US" w:bidi="ar-SA"/>
        </w:rPr>
        <w:t>允许调整合同价格的工程量偏差范围：</w:t>
      </w:r>
      <w:r>
        <w:rPr>
          <w:rFonts w:hint="eastAsia" w:ascii="宋体" w:hAnsi="宋体" w:eastAsia="宋体" w:cs="宋体"/>
          <w:color w:val="auto"/>
          <w:spacing w:val="0"/>
          <w:w w:val="100"/>
          <w:kern w:val="2"/>
          <w:sz w:val="21"/>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43ED9F2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color w:val="auto"/>
          <w:spacing w:val="0"/>
          <w:w w:val="100"/>
          <w:kern w:val="2"/>
          <w:sz w:val="21"/>
          <w:szCs w:val="24"/>
          <w:highlight w:val="none"/>
          <w:lang w:val="en-US" w:bidi="ar-SA"/>
        </w:rPr>
      </w:pPr>
      <w:bookmarkStart w:id="92" w:name="_Toc22911699"/>
      <w:bookmarkStart w:id="93" w:name="_Toc22880"/>
      <w:bookmarkStart w:id="94" w:name="_Toc7831"/>
      <w:bookmarkStart w:id="95" w:name="_Toc8830"/>
      <w:r>
        <w:rPr>
          <w:rFonts w:hint="eastAsia" w:ascii="宋体" w:hAnsi="宋体" w:eastAsia="宋体" w:cs="宋体"/>
          <w:b/>
          <w:color w:val="auto"/>
          <w:spacing w:val="0"/>
          <w:w w:val="100"/>
          <w:kern w:val="2"/>
          <w:sz w:val="21"/>
          <w:szCs w:val="24"/>
          <w:highlight w:val="none"/>
          <w:lang w:val="en-US" w:bidi="ar-SA"/>
        </w:rPr>
        <w:t>2. 发包人</w:t>
      </w:r>
      <w:bookmarkEnd w:id="92"/>
      <w:bookmarkEnd w:id="93"/>
      <w:bookmarkEnd w:id="94"/>
      <w:bookmarkEnd w:id="95"/>
    </w:p>
    <w:p w14:paraId="2621153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96" w:name="_Toc22911700"/>
      <w:bookmarkStart w:id="97" w:name="_Toc9065"/>
      <w:bookmarkStart w:id="98" w:name="_Toc11460"/>
      <w:bookmarkStart w:id="99" w:name="_Toc5053"/>
      <w:r>
        <w:rPr>
          <w:rFonts w:hint="eastAsia" w:ascii="宋体" w:hAnsi="宋体" w:eastAsia="宋体" w:cs="宋体"/>
          <w:b/>
          <w:bCs/>
          <w:color w:val="auto"/>
          <w:spacing w:val="0"/>
          <w:w w:val="100"/>
          <w:kern w:val="2"/>
          <w:sz w:val="21"/>
          <w:szCs w:val="24"/>
          <w:highlight w:val="none"/>
          <w:lang w:val="en-US" w:bidi="ar-SA"/>
        </w:rPr>
        <w:t>2.2 发包人代表</w:t>
      </w:r>
      <w:bookmarkEnd w:id="96"/>
      <w:bookmarkEnd w:id="97"/>
      <w:bookmarkEnd w:id="98"/>
      <w:bookmarkEnd w:id="99"/>
    </w:p>
    <w:p w14:paraId="3267B71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发包人代表：</w:t>
      </w:r>
    </w:p>
    <w:p w14:paraId="2F48F5A7">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姓    名：</w:t>
      </w:r>
      <w:r>
        <w:rPr>
          <w:rFonts w:hint="eastAsia"/>
          <w:u w:val="single"/>
        </w:rPr>
        <w:t>赵永权</w:t>
      </w:r>
      <w:r>
        <w:rPr>
          <w:rFonts w:hint="eastAsia"/>
        </w:rPr>
        <w:t>；</w:t>
      </w:r>
    </w:p>
    <w:p w14:paraId="1D04E362">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身份证号：</w:t>
      </w:r>
      <w:r>
        <w:rPr>
          <w:rFonts w:hint="eastAsia"/>
          <w:u w:val="single"/>
        </w:rPr>
        <w:t xml:space="preserve"> / </w:t>
      </w:r>
      <w:r>
        <w:rPr>
          <w:rFonts w:hint="eastAsia"/>
        </w:rPr>
        <w:t>；</w:t>
      </w:r>
    </w:p>
    <w:p w14:paraId="5F93E6AA">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职    务：</w:t>
      </w:r>
      <w:r>
        <w:rPr>
          <w:rFonts w:hint="eastAsia"/>
          <w:u w:val="single"/>
        </w:rPr>
        <w:t xml:space="preserve"> / </w:t>
      </w:r>
      <w:r>
        <w:rPr>
          <w:rFonts w:hint="eastAsia"/>
        </w:rPr>
        <w:t>；</w:t>
      </w:r>
    </w:p>
    <w:p w14:paraId="4804ED36">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联系电话：</w:t>
      </w:r>
      <w:r>
        <w:rPr>
          <w:rFonts w:hint="eastAsia" w:asciiTheme="minorEastAsia" w:hAnsiTheme="minorEastAsia" w:eastAsiaTheme="minorEastAsia" w:cstheme="minorEastAsia"/>
          <w:spacing w:val="5"/>
          <w:szCs w:val="21"/>
          <w:u w:val="single"/>
        </w:rPr>
        <w:t>0391-3987271</w:t>
      </w:r>
      <w:r>
        <w:rPr>
          <w:rFonts w:hint="eastAsia"/>
        </w:rPr>
        <w:t>；</w:t>
      </w:r>
    </w:p>
    <w:p w14:paraId="000D0836">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电子信箱：</w:t>
      </w:r>
      <w:r>
        <w:rPr>
          <w:rFonts w:hint="eastAsia"/>
          <w:u w:val="single"/>
        </w:rPr>
        <w:t xml:space="preserve"> /  </w:t>
      </w:r>
      <w:r>
        <w:rPr>
          <w:rFonts w:hint="eastAsia"/>
        </w:rPr>
        <w:t>；</w:t>
      </w:r>
    </w:p>
    <w:p w14:paraId="0F00C00F">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通信地址：</w:t>
      </w:r>
      <w:r>
        <w:rPr>
          <w:rFonts w:hint="eastAsia"/>
          <w:u w:val="single"/>
        </w:rPr>
        <w:t xml:space="preserve"> / </w:t>
      </w:r>
      <w:r>
        <w:rPr>
          <w:rFonts w:hint="eastAsia"/>
        </w:rPr>
        <w:t>。</w:t>
      </w:r>
    </w:p>
    <w:p w14:paraId="036B9B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发包人对发包人代表的授权范围如下：</w:t>
      </w:r>
      <w:r>
        <w:rPr>
          <w:rFonts w:hint="eastAsia" w:ascii="宋体" w:hAnsi="宋体" w:eastAsia="宋体" w:cs="宋体"/>
          <w:color w:val="auto"/>
          <w:spacing w:val="0"/>
          <w:w w:val="100"/>
          <w:kern w:val="2"/>
          <w:sz w:val="21"/>
          <w:szCs w:val="24"/>
          <w:highlight w:val="none"/>
          <w:u w:val="single"/>
          <w:lang w:val="en-US" w:bidi="ar-SA"/>
        </w:rPr>
        <w:t>负责工程现场管理、协调变更和新增工程办理等与本工程建设相关的事宜。</w:t>
      </w:r>
    </w:p>
    <w:p w14:paraId="2026FFE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100" w:name="_Toc4951"/>
      <w:bookmarkStart w:id="101" w:name="_Toc17237"/>
      <w:bookmarkStart w:id="102" w:name="_Toc22911701"/>
      <w:bookmarkStart w:id="103" w:name="_Toc29174"/>
      <w:r>
        <w:rPr>
          <w:rFonts w:hint="eastAsia" w:ascii="宋体" w:hAnsi="宋体" w:eastAsia="宋体" w:cs="宋体"/>
          <w:b/>
          <w:bCs/>
          <w:color w:val="auto"/>
          <w:spacing w:val="0"/>
          <w:w w:val="100"/>
          <w:kern w:val="2"/>
          <w:sz w:val="21"/>
          <w:szCs w:val="24"/>
          <w:highlight w:val="none"/>
          <w:lang w:val="en-US" w:bidi="ar-SA"/>
        </w:rPr>
        <w:t>2.4</w:t>
      </w:r>
      <w:r>
        <w:rPr>
          <w:rFonts w:hint="eastAsia" w:ascii="宋体" w:hAnsi="宋体" w:eastAsia="宋体" w:cs="宋体"/>
          <w:color w:val="auto"/>
          <w:spacing w:val="0"/>
          <w:w w:val="100"/>
          <w:kern w:val="2"/>
          <w:sz w:val="21"/>
          <w:szCs w:val="24"/>
          <w:highlight w:val="none"/>
          <w:lang w:val="en-US" w:bidi="ar-SA"/>
        </w:rPr>
        <w:t xml:space="preserve"> 施工现场、施工条件和基础资料的提供</w:t>
      </w:r>
      <w:bookmarkEnd w:id="100"/>
      <w:bookmarkEnd w:id="101"/>
      <w:bookmarkEnd w:id="102"/>
      <w:bookmarkEnd w:id="103"/>
    </w:p>
    <w:p w14:paraId="418DE4E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2.4.1 </w:t>
      </w:r>
      <w:r>
        <w:rPr>
          <w:rFonts w:hint="eastAsia" w:ascii="宋体" w:hAnsi="宋体" w:eastAsia="宋体" w:cs="宋体"/>
          <w:color w:val="auto"/>
          <w:spacing w:val="0"/>
          <w:w w:val="100"/>
          <w:kern w:val="2"/>
          <w:sz w:val="21"/>
          <w:szCs w:val="24"/>
          <w:highlight w:val="none"/>
          <w:lang w:val="en-US" w:bidi="ar-SA"/>
        </w:rPr>
        <w:t>提供施工现场</w:t>
      </w:r>
    </w:p>
    <w:p w14:paraId="44A888E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关于发包人移交施工现场的期限要求：</w:t>
      </w:r>
      <w:r>
        <w:rPr>
          <w:rFonts w:hint="eastAsia" w:ascii="宋体" w:hAnsi="宋体" w:eastAsia="宋体" w:cs="宋体"/>
          <w:color w:val="auto"/>
          <w:spacing w:val="0"/>
          <w:w w:val="100"/>
          <w:kern w:val="2"/>
          <w:sz w:val="21"/>
          <w:szCs w:val="24"/>
          <w:highlight w:val="none"/>
          <w:u w:val="single"/>
          <w:lang w:val="en-US" w:bidi="ar-SA"/>
        </w:rPr>
        <w:t>开工日期7天前。</w:t>
      </w:r>
    </w:p>
    <w:p w14:paraId="6041CBD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2.4.2 </w:t>
      </w:r>
      <w:r>
        <w:rPr>
          <w:rFonts w:hint="eastAsia" w:ascii="宋体" w:hAnsi="宋体" w:eastAsia="宋体" w:cs="宋体"/>
          <w:color w:val="auto"/>
          <w:spacing w:val="0"/>
          <w:w w:val="100"/>
          <w:kern w:val="2"/>
          <w:sz w:val="21"/>
          <w:szCs w:val="24"/>
          <w:highlight w:val="none"/>
          <w:lang w:val="en-US" w:bidi="ar-SA"/>
        </w:rPr>
        <w:t>提供施工条件</w:t>
      </w:r>
    </w:p>
    <w:p w14:paraId="0AAEE86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关于发包人应负责提供施工所需要的条件，包括：</w:t>
      </w:r>
      <w:r>
        <w:rPr>
          <w:rFonts w:hint="eastAsia" w:ascii="宋体" w:hAnsi="宋体" w:eastAsia="宋体" w:cs="宋体"/>
          <w:color w:val="auto"/>
          <w:spacing w:val="0"/>
          <w:w w:val="100"/>
          <w:kern w:val="2"/>
          <w:sz w:val="21"/>
          <w:szCs w:val="24"/>
          <w:highlight w:val="none"/>
          <w:u w:val="single"/>
          <w:lang w:val="en-US" w:bidi="ar-SA"/>
        </w:rPr>
        <w:t>具备施工条件</w:t>
      </w:r>
      <w:r>
        <w:rPr>
          <w:rFonts w:hint="eastAsia" w:ascii="宋体" w:hAnsi="宋体" w:eastAsia="宋体" w:cs="宋体"/>
          <w:color w:val="auto"/>
          <w:spacing w:val="0"/>
          <w:w w:val="100"/>
          <w:kern w:val="2"/>
          <w:sz w:val="21"/>
          <w:szCs w:val="24"/>
          <w:highlight w:val="none"/>
          <w:lang w:val="en-US" w:bidi="ar-SA"/>
        </w:rPr>
        <w:t>。</w:t>
      </w:r>
    </w:p>
    <w:p w14:paraId="334517B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104" w:name="_Toc17744"/>
      <w:bookmarkStart w:id="105" w:name="_Toc21962"/>
      <w:bookmarkStart w:id="106" w:name="_Toc13867"/>
      <w:bookmarkStart w:id="107" w:name="_Toc22911702"/>
      <w:r>
        <w:rPr>
          <w:rFonts w:hint="eastAsia" w:ascii="宋体" w:hAnsi="宋体" w:eastAsia="宋体" w:cs="宋体"/>
          <w:b/>
          <w:bCs/>
          <w:color w:val="auto"/>
          <w:spacing w:val="0"/>
          <w:w w:val="100"/>
          <w:kern w:val="2"/>
          <w:sz w:val="21"/>
          <w:szCs w:val="24"/>
          <w:highlight w:val="none"/>
          <w:lang w:val="en-US" w:bidi="ar-SA"/>
        </w:rPr>
        <w:t>2.5</w:t>
      </w:r>
      <w:r>
        <w:rPr>
          <w:rFonts w:hint="eastAsia" w:ascii="宋体" w:hAnsi="宋体" w:eastAsia="宋体" w:cs="宋体"/>
          <w:color w:val="auto"/>
          <w:spacing w:val="0"/>
          <w:w w:val="100"/>
          <w:kern w:val="2"/>
          <w:sz w:val="21"/>
          <w:szCs w:val="24"/>
          <w:highlight w:val="none"/>
          <w:lang w:val="en-US" w:bidi="ar-SA"/>
        </w:rPr>
        <w:t xml:space="preserve"> 资金来源证明及支付担保</w:t>
      </w:r>
      <w:bookmarkEnd w:id="104"/>
      <w:bookmarkEnd w:id="105"/>
      <w:bookmarkEnd w:id="106"/>
      <w:bookmarkEnd w:id="107"/>
    </w:p>
    <w:p w14:paraId="1B6EBF5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发包人提供资金来源证明的期限要求：</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ED3328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发包人是否提供支付担保：</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D1984B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发包人提供支付担保的形式：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AC1BAE2">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8"/>
          <w:highlight w:val="none"/>
          <w:lang w:val="en-US" w:bidi="ar-SA"/>
        </w:rPr>
      </w:pPr>
      <w:bookmarkStart w:id="108" w:name="_Toc22911703"/>
      <w:r>
        <w:rPr>
          <w:rFonts w:hint="eastAsia" w:ascii="宋体" w:hAnsi="宋体" w:eastAsia="宋体" w:cs="宋体"/>
          <w:b/>
          <w:bCs/>
          <w:color w:val="auto"/>
          <w:spacing w:val="0"/>
          <w:w w:val="100"/>
          <w:kern w:val="2"/>
          <w:sz w:val="21"/>
          <w:szCs w:val="28"/>
          <w:highlight w:val="none"/>
          <w:lang w:val="en-US" w:bidi="ar-SA"/>
        </w:rPr>
        <w:t>3. 承包人</w:t>
      </w:r>
      <w:bookmarkEnd w:id="108"/>
    </w:p>
    <w:p w14:paraId="4DEC70EC">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8"/>
          <w:highlight w:val="none"/>
          <w:lang w:val="en-US" w:bidi="ar-SA"/>
        </w:rPr>
      </w:pPr>
      <w:r>
        <w:rPr>
          <w:rFonts w:hint="eastAsia" w:ascii="宋体" w:hAnsi="宋体" w:eastAsia="宋体" w:cs="宋体"/>
          <w:b/>
          <w:bCs/>
          <w:color w:val="auto"/>
          <w:spacing w:val="0"/>
          <w:w w:val="100"/>
          <w:kern w:val="2"/>
          <w:sz w:val="21"/>
          <w:szCs w:val="28"/>
          <w:highlight w:val="none"/>
          <w:lang w:val="en-US" w:bidi="ar-SA"/>
        </w:rPr>
        <w:t>3.1 承包人的一般义务</w:t>
      </w:r>
    </w:p>
    <w:p w14:paraId="0445BE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w:t>
      </w:r>
      <w:r>
        <w:rPr>
          <w:rFonts w:hint="eastAsia" w:cs="宋体"/>
          <w:color w:val="auto"/>
          <w:spacing w:val="0"/>
          <w:w w:val="100"/>
          <w:kern w:val="0"/>
          <w:sz w:val="21"/>
          <w:szCs w:val="24"/>
          <w:highlight w:val="none"/>
          <w:lang w:val="en-US" w:eastAsia="zh-CN" w:bidi="ar-SA"/>
        </w:rPr>
        <w:t>1</w:t>
      </w: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color w:val="auto"/>
          <w:spacing w:val="0"/>
          <w:w w:val="100"/>
          <w:kern w:val="2"/>
          <w:sz w:val="21"/>
          <w:szCs w:val="24"/>
          <w:highlight w:val="none"/>
          <w:lang w:val="en-US" w:bidi="ar-SA"/>
        </w:rPr>
        <w:t>承包人提交的竣工资料的内容：</w:t>
      </w:r>
      <w:r>
        <w:rPr>
          <w:rFonts w:hint="eastAsia" w:ascii="宋体" w:hAnsi="宋体" w:eastAsia="宋体" w:cs="宋体"/>
          <w:color w:val="auto"/>
          <w:spacing w:val="0"/>
          <w:w w:val="100"/>
          <w:kern w:val="2"/>
          <w:sz w:val="21"/>
          <w:szCs w:val="24"/>
          <w:highlight w:val="none"/>
          <w:u w:val="single"/>
          <w:lang w:val="en-US" w:bidi="ar-SA"/>
        </w:rPr>
        <w:t>竣工图及工程有关所有竣工资料，并满足国家、省、市相关规定和发包人的要求</w:t>
      </w:r>
      <w:r>
        <w:rPr>
          <w:rFonts w:hint="eastAsia" w:ascii="宋体" w:hAnsi="宋体" w:eastAsia="宋体" w:cs="宋体"/>
          <w:color w:val="auto"/>
          <w:spacing w:val="0"/>
          <w:w w:val="100"/>
          <w:kern w:val="2"/>
          <w:sz w:val="21"/>
          <w:szCs w:val="24"/>
          <w:highlight w:val="none"/>
          <w:lang w:val="en-US" w:bidi="ar-SA"/>
        </w:rPr>
        <w:t>。</w:t>
      </w:r>
    </w:p>
    <w:p w14:paraId="2BDB4F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承包人需要提交的竣工资料套数：</w:t>
      </w:r>
      <w:r>
        <w:rPr>
          <w:rFonts w:hint="eastAsia" w:ascii="宋体" w:hAnsi="宋体" w:eastAsia="宋体" w:cs="宋体"/>
          <w:color w:val="auto"/>
          <w:spacing w:val="0"/>
          <w:w w:val="100"/>
          <w:kern w:val="2"/>
          <w:sz w:val="21"/>
          <w:szCs w:val="24"/>
          <w:highlight w:val="none"/>
          <w:u w:val="single"/>
          <w:lang w:val="en-US" w:bidi="ar-SA"/>
        </w:rPr>
        <w:t>4套</w:t>
      </w:r>
      <w:r>
        <w:rPr>
          <w:rFonts w:hint="eastAsia" w:ascii="宋体" w:hAnsi="宋体" w:eastAsia="宋体" w:cs="宋体"/>
          <w:color w:val="auto"/>
          <w:spacing w:val="0"/>
          <w:w w:val="100"/>
          <w:kern w:val="2"/>
          <w:sz w:val="21"/>
          <w:szCs w:val="24"/>
          <w:highlight w:val="none"/>
          <w:lang w:val="en-US" w:bidi="ar-SA"/>
        </w:rPr>
        <w:t>。</w:t>
      </w:r>
    </w:p>
    <w:p w14:paraId="6D5E91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承包人提交的竣工资料的费用承担：</w:t>
      </w:r>
      <w:r>
        <w:rPr>
          <w:rFonts w:hint="eastAsia" w:ascii="宋体" w:hAnsi="宋体" w:eastAsia="宋体" w:cs="宋体"/>
          <w:color w:val="auto"/>
          <w:spacing w:val="0"/>
          <w:w w:val="100"/>
          <w:kern w:val="2"/>
          <w:sz w:val="21"/>
          <w:szCs w:val="24"/>
          <w:highlight w:val="none"/>
          <w:u w:val="single"/>
          <w:lang w:val="en-US" w:bidi="ar-SA"/>
        </w:rPr>
        <w:t>承包人承担</w:t>
      </w:r>
      <w:r>
        <w:rPr>
          <w:rFonts w:hint="eastAsia" w:ascii="宋体" w:hAnsi="宋体" w:eastAsia="宋体" w:cs="宋体"/>
          <w:color w:val="auto"/>
          <w:spacing w:val="0"/>
          <w:w w:val="100"/>
          <w:kern w:val="2"/>
          <w:sz w:val="21"/>
          <w:szCs w:val="24"/>
          <w:highlight w:val="none"/>
          <w:lang w:val="en-US" w:bidi="ar-SA"/>
        </w:rPr>
        <w:t>。</w:t>
      </w:r>
    </w:p>
    <w:p w14:paraId="1550F2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承包人提交的竣工资料移交时间：</w:t>
      </w:r>
      <w:r>
        <w:rPr>
          <w:rFonts w:hint="eastAsia" w:ascii="宋体" w:hAnsi="宋体" w:eastAsia="宋体" w:cs="宋体"/>
          <w:color w:val="auto"/>
          <w:spacing w:val="0"/>
          <w:w w:val="100"/>
          <w:kern w:val="2"/>
          <w:sz w:val="21"/>
          <w:szCs w:val="24"/>
          <w:highlight w:val="none"/>
          <w:u w:val="single"/>
          <w:lang w:val="en-US" w:bidi="ar-SA"/>
        </w:rPr>
        <w:t>竣工验收前7日内</w:t>
      </w:r>
      <w:r>
        <w:rPr>
          <w:rFonts w:hint="eastAsia" w:ascii="宋体" w:hAnsi="宋体" w:eastAsia="宋体" w:cs="宋体"/>
          <w:color w:val="auto"/>
          <w:spacing w:val="0"/>
          <w:w w:val="100"/>
          <w:kern w:val="2"/>
          <w:sz w:val="21"/>
          <w:szCs w:val="24"/>
          <w:highlight w:val="none"/>
          <w:lang w:val="en-US" w:bidi="ar-SA"/>
        </w:rPr>
        <w:t>。</w:t>
      </w:r>
    </w:p>
    <w:p w14:paraId="031724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承包人提交的竣工资料形式要求：</w:t>
      </w:r>
      <w:r>
        <w:rPr>
          <w:rFonts w:hint="eastAsia" w:ascii="宋体" w:hAnsi="宋体" w:eastAsia="宋体" w:cs="宋体"/>
          <w:color w:val="auto"/>
          <w:spacing w:val="0"/>
          <w:w w:val="100"/>
          <w:kern w:val="2"/>
          <w:sz w:val="21"/>
          <w:szCs w:val="24"/>
          <w:highlight w:val="none"/>
          <w:u w:val="single"/>
          <w:lang w:val="en-US" w:bidi="ar-SA"/>
        </w:rPr>
        <w:t>纸质版及扫描件</w:t>
      </w:r>
      <w:r>
        <w:rPr>
          <w:rFonts w:hint="eastAsia" w:ascii="宋体" w:hAnsi="宋体" w:eastAsia="宋体" w:cs="宋体"/>
          <w:color w:val="auto"/>
          <w:spacing w:val="0"/>
          <w:w w:val="100"/>
          <w:kern w:val="2"/>
          <w:sz w:val="21"/>
          <w:szCs w:val="24"/>
          <w:highlight w:val="none"/>
          <w:lang w:val="en-US" w:bidi="ar-SA"/>
        </w:rPr>
        <w:t>。</w:t>
      </w:r>
    </w:p>
    <w:p w14:paraId="51B42E1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w:t>
      </w:r>
      <w:r>
        <w:rPr>
          <w:rFonts w:hint="eastAsia" w:cs="宋体"/>
          <w:color w:val="auto"/>
          <w:spacing w:val="0"/>
          <w:w w:val="100"/>
          <w:kern w:val="0"/>
          <w:sz w:val="21"/>
          <w:szCs w:val="24"/>
          <w:highlight w:val="none"/>
          <w:lang w:val="en-US" w:eastAsia="zh-CN" w:bidi="ar-SA"/>
        </w:rPr>
        <w:t>2</w:t>
      </w:r>
      <w:r>
        <w:rPr>
          <w:rFonts w:hint="eastAsia" w:ascii="宋体" w:hAnsi="宋体" w:eastAsia="宋体" w:cs="宋体"/>
          <w:color w:val="auto"/>
          <w:spacing w:val="0"/>
          <w:w w:val="100"/>
          <w:kern w:val="0"/>
          <w:sz w:val="21"/>
          <w:szCs w:val="24"/>
          <w:highlight w:val="none"/>
          <w:lang w:val="en-US" w:bidi="ar-SA"/>
        </w:rPr>
        <w:t>）承包人应履行的其他义务：</w:t>
      </w:r>
      <w:r>
        <w:rPr>
          <w:rFonts w:hint="eastAsia" w:ascii="宋体" w:hAnsi="宋体" w:eastAsia="宋体" w:cs="宋体"/>
          <w:color w:val="auto"/>
          <w:spacing w:val="0"/>
          <w:w w:val="100"/>
          <w:kern w:val="0"/>
          <w:sz w:val="21"/>
          <w:szCs w:val="24"/>
          <w:highlight w:val="none"/>
          <w:u w:val="single"/>
          <w:lang w:val="en-US" w:bidi="ar-SA"/>
        </w:rPr>
        <w:t>按照本合同要求的工期与质量标准进行施工，确保施工安全，并服从发包人的管理</w:t>
      </w:r>
      <w:r>
        <w:rPr>
          <w:rFonts w:hint="eastAsia" w:ascii="宋体" w:hAnsi="宋体" w:eastAsia="宋体" w:cs="宋体"/>
          <w:color w:val="auto"/>
          <w:spacing w:val="0"/>
          <w:w w:val="100"/>
          <w:kern w:val="2"/>
          <w:sz w:val="21"/>
          <w:szCs w:val="24"/>
          <w:highlight w:val="none"/>
          <w:lang w:val="en-US" w:bidi="ar-SA"/>
        </w:rPr>
        <w:t>。</w:t>
      </w:r>
    </w:p>
    <w:p w14:paraId="43AD899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3.2 项目经理</w:t>
      </w:r>
    </w:p>
    <w:p w14:paraId="1A52907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3.2.1</w:t>
      </w: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color w:val="auto"/>
          <w:spacing w:val="0"/>
          <w:w w:val="100"/>
          <w:kern w:val="2"/>
          <w:sz w:val="21"/>
          <w:szCs w:val="24"/>
          <w:highlight w:val="none"/>
          <w:lang w:val="en-US" w:bidi="ar-SA"/>
        </w:rPr>
        <w:t>项目经理：</w:t>
      </w:r>
    </w:p>
    <w:p w14:paraId="24F9289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姓    名：</w:t>
      </w:r>
      <w:r>
        <w:rPr>
          <w:rFonts w:hint="eastAsia" w:cs="宋体"/>
          <w:color w:val="auto"/>
          <w:spacing w:val="0"/>
          <w:w w:val="100"/>
          <w:kern w:val="2"/>
          <w:sz w:val="21"/>
          <w:szCs w:val="24"/>
          <w:highlight w:val="none"/>
          <w:u w:val="single"/>
          <w:lang w:val="en-US" w:eastAsia="zh-CN" w:bidi="ar-SA"/>
        </w:rPr>
        <w:t>马新涛</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3E47141C">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身份证号：</w:t>
      </w:r>
      <w:r>
        <w:rPr>
          <w:rFonts w:hint="eastAsia" w:ascii="宋体" w:hAnsi="宋体" w:eastAsia="宋体" w:cs="宋体"/>
          <w:color w:val="auto"/>
          <w:spacing w:val="0"/>
          <w:w w:val="100"/>
          <w:kern w:val="2"/>
          <w:sz w:val="21"/>
          <w:szCs w:val="24"/>
          <w:highlight w:val="none"/>
          <w:u w:val="single"/>
          <w:lang w:val="en-US" w:bidi="ar-SA"/>
        </w:rPr>
        <w:t xml:space="preserve">411121198603104011 </w:t>
      </w:r>
      <w:r>
        <w:rPr>
          <w:rFonts w:hint="eastAsia" w:ascii="宋体" w:hAnsi="宋体" w:eastAsia="宋体" w:cs="宋体"/>
          <w:color w:val="auto"/>
          <w:spacing w:val="0"/>
          <w:w w:val="100"/>
          <w:kern w:val="2"/>
          <w:sz w:val="21"/>
          <w:szCs w:val="24"/>
          <w:highlight w:val="none"/>
          <w:lang w:val="en-US" w:bidi="ar-SA"/>
        </w:rPr>
        <w:t>；</w:t>
      </w:r>
    </w:p>
    <w:p w14:paraId="69B93FF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建造师执业资格等级：</w:t>
      </w:r>
      <w:r>
        <w:rPr>
          <w:rFonts w:hint="eastAsia" w:cs="宋体"/>
          <w:color w:val="auto"/>
          <w:spacing w:val="0"/>
          <w:w w:val="100"/>
          <w:kern w:val="2"/>
          <w:sz w:val="21"/>
          <w:szCs w:val="24"/>
          <w:highlight w:val="none"/>
          <w:u w:val="single"/>
          <w:lang w:val="en-US" w:eastAsia="zh-CN" w:bidi="ar-SA"/>
        </w:rPr>
        <w:t>二级</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02C064A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建造师注册证书号：</w:t>
      </w:r>
      <w:r>
        <w:rPr>
          <w:rFonts w:hint="eastAsia" w:ascii="宋体" w:hAnsi="宋体" w:eastAsia="宋体" w:cs="宋体"/>
          <w:color w:val="auto"/>
          <w:spacing w:val="0"/>
          <w:w w:val="100"/>
          <w:kern w:val="2"/>
          <w:sz w:val="21"/>
          <w:szCs w:val="24"/>
          <w:highlight w:val="none"/>
          <w:u w:val="single"/>
          <w:lang w:val="en-US" w:eastAsia="zh-CN" w:bidi="ar-SA"/>
        </w:rPr>
        <w:t>豫241141563516</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7C9D558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安全生产考核合格证书号：</w:t>
      </w:r>
      <w:r>
        <w:rPr>
          <w:rFonts w:hint="eastAsia" w:ascii="宋体" w:hAnsi="宋体" w:eastAsia="宋体" w:cs="宋体"/>
          <w:color w:val="auto"/>
          <w:spacing w:val="0"/>
          <w:w w:val="100"/>
          <w:kern w:val="2"/>
          <w:sz w:val="21"/>
          <w:szCs w:val="24"/>
          <w:highlight w:val="none"/>
          <w:u w:val="single"/>
          <w:lang w:val="en-US" w:bidi="ar-SA"/>
        </w:rPr>
        <w:t xml:space="preserve">豫建安B(2023)1222455 </w:t>
      </w:r>
      <w:r>
        <w:rPr>
          <w:rFonts w:hint="eastAsia" w:ascii="宋体" w:hAnsi="宋体" w:eastAsia="宋体" w:cs="宋体"/>
          <w:color w:val="auto"/>
          <w:spacing w:val="0"/>
          <w:w w:val="100"/>
          <w:kern w:val="2"/>
          <w:sz w:val="21"/>
          <w:szCs w:val="24"/>
          <w:highlight w:val="none"/>
          <w:lang w:val="en-US" w:bidi="ar-SA"/>
        </w:rPr>
        <w:t>；</w:t>
      </w:r>
    </w:p>
    <w:p w14:paraId="4233607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联系电话：</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cs="宋体"/>
          <w:color w:val="auto"/>
          <w:spacing w:val="0"/>
          <w:w w:val="100"/>
          <w:kern w:val="2"/>
          <w:sz w:val="21"/>
          <w:szCs w:val="24"/>
          <w:highlight w:val="none"/>
          <w:u w:val="single"/>
          <w:lang w:val="en-US" w:eastAsia="zh-CN" w:bidi="ar-SA"/>
        </w:rPr>
        <w:t>0371-633388570</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2F0B3C6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电子信箱：</w:t>
      </w:r>
      <w:r>
        <w:rPr>
          <w:rFonts w:hint="eastAsia" w:ascii="宋体" w:hAnsi="宋体" w:eastAsia="宋体" w:cs="宋体"/>
          <w:color w:val="auto"/>
          <w:spacing w:val="0"/>
          <w:w w:val="100"/>
          <w:kern w:val="2"/>
          <w:sz w:val="21"/>
          <w:szCs w:val="21"/>
          <w:highlight w:val="none"/>
          <w:u w:val="single"/>
          <w:lang w:val="en-US" w:bidi="ar-SA"/>
        </w:rPr>
        <w:t>Henanlongding@126.com</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1B6AF7D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通信地址：</w:t>
      </w:r>
      <w:r>
        <w:rPr>
          <w:rFonts w:hint="eastAsia" w:ascii="宋体" w:hAnsi="宋体" w:eastAsia="宋体" w:cs="宋体"/>
          <w:color w:val="auto"/>
          <w:spacing w:val="0"/>
          <w:w w:val="100"/>
          <w:kern w:val="2"/>
          <w:sz w:val="21"/>
          <w:szCs w:val="21"/>
          <w:highlight w:val="none"/>
          <w:u w:val="single"/>
          <w:lang w:val="en-US" w:eastAsia="zh-CN" w:bidi="ar-SA"/>
        </w:rPr>
        <w:t>林州市国家红旗渠经济技术开发区展示中心</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10BE362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承包人对项目经理的授权范围如下：</w:t>
      </w:r>
      <w:r>
        <w:rPr>
          <w:rFonts w:hint="eastAsia" w:ascii="宋体" w:hAnsi="宋体" w:eastAsia="宋体" w:cs="宋体"/>
          <w:color w:val="auto"/>
          <w:spacing w:val="0"/>
          <w:w w:val="100"/>
          <w:kern w:val="2"/>
          <w:sz w:val="21"/>
          <w:szCs w:val="24"/>
          <w:highlight w:val="none"/>
          <w:u w:val="single"/>
          <w:lang w:val="en-US" w:bidi="ar-SA"/>
        </w:rPr>
        <w:t xml:space="preserve">全权负责本项目的施工生产、经营和安全等全过程的履约管理 </w:t>
      </w:r>
      <w:r>
        <w:rPr>
          <w:rFonts w:hint="eastAsia" w:ascii="宋体" w:hAnsi="宋体" w:eastAsia="宋体" w:cs="宋体"/>
          <w:color w:val="auto"/>
          <w:spacing w:val="0"/>
          <w:w w:val="100"/>
          <w:kern w:val="2"/>
          <w:sz w:val="21"/>
          <w:szCs w:val="24"/>
          <w:highlight w:val="none"/>
          <w:lang w:val="en-US" w:bidi="ar-SA"/>
        </w:rPr>
        <w:t>。</w:t>
      </w:r>
    </w:p>
    <w:p w14:paraId="57FB97D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关于项目经理每月在施工现场的时间要求：</w:t>
      </w:r>
      <w:r>
        <w:rPr>
          <w:rFonts w:hint="eastAsia" w:ascii="宋体" w:hAnsi="宋体" w:eastAsia="宋体" w:cs="宋体"/>
          <w:color w:val="auto"/>
          <w:spacing w:val="0"/>
          <w:w w:val="100"/>
          <w:kern w:val="0"/>
          <w:sz w:val="21"/>
          <w:szCs w:val="24"/>
          <w:highlight w:val="none"/>
          <w:u w:val="single"/>
          <w:lang w:val="en-US" w:bidi="ar-SA"/>
        </w:rPr>
        <w:t>每月不少于22天,每天不少于8小时在施工现场</w:t>
      </w:r>
      <w:r>
        <w:rPr>
          <w:rFonts w:hint="eastAsia" w:ascii="宋体" w:hAnsi="宋体" w:eastAsia="宋体" w:cs="宋体"/>
          <w:color w:val="auto"/>
          <w:spacing w:val="0"/>
          <w:w w:val="100"/>
          <w:kern w:val="2"/>
          <w:sz w:val="21"/>
          <w:szCs w:val="24"/>
          <w:highlight w:val="none"/>
          <w:lang w:val="en-US" w:bidi="ar-SA"/>
        </w:rPr>
        <w:t>。</w:t>
      </w:r>
    </w:p>
    <w:p w14:paraId="02620D0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承包人未提交劳动合同，以及没有为项目经理缴纳社会保险证明的违约责任：</w:t>
      </w:r>
      <w:r>
        <w:rPr>
          <w:rFonts w:hint="eastAsia" w:ascii="宋体" w:hAnsi="宋体" w:eastAsia="宋体" w:cs="宋体"/>
          <w:color w:val="auto"/>
          <w:spacing w:val="0"/>
          <w:w w:val="100"/>
          <w:kern w:val="2"/>
          <w:sz w:val="21"/>
          <w:szCs w:val="24"/>
          <w:highlight w:val="none"/>
          <w:u w:val="single"/>
          <w:lang w:val="en-US" w:bidi="ar-SA"/>
        </w:rPr>
        <w:t>发包人有权更换项目经理，由此增加的费用和延误的工期由承包人承担</w:t>
      </w:r>
      <w:r>
        <w:rPr>
          <w:rFonts w:hint="eastAsia" w:ascii="宋体" w:hAnsi="宋体" w:eastAsia="宋体" w:cs="宋体"/>
          <w:color w:val="auto"/>
          <w:spacing w:val="0"/>
          <w:w w:val="100"/>
          <w:kern w:val="2"/>
          <w:sz w:val="21"/>
          <w:szCs w:val="24"/>
          <w:highlight w:val="none"/>
          <w:lang w:val="en-US" w:bidi="ar-SA"/>
        </w:rPr>
        <w:t>。</w:t>
      </w:r>
    </w:p>
    <w:p w14:paraId="61B3ECE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项目经理未经批准，擅自离开施工现场的违约责任：</w:t>
      </w:r>
      <w:r>
        <w:rPr>
          <w:rFonts w:hint="eastAsia" w:ascii="宋体" w:hAnsi="宋体" w:eastAsia="宋体" w:cs="宋体"/>
          <w:color w:val="auto"/>
          <w:spacing w:val="0"/>
          <w:w w:val="100"/>
          <w:kern w:val="2"/>
          <w:sz w:val="21"/>
          <w:szCs w:val="24"/>
          <w:highlight w:val="none"/>
          <w:u w:val="single"/>
          <w:lang w:val="en-US" w:bidi="ar-SA"/>
        </w:rPr>
        <w:t>每月擅自离场≤3天的， 承包人应承担违约金1仟元/天；每月擅自离场＞3天的，发包人有权要求承包人更换同等或以上条件的项目经理，并要求承包人承担违约金5仟元，由此延误的工期以及其它相应的损失由承包人承担</w:t>
      </w:r>
      <w:r>
        <w:rPr>
          <w:rFonts w:hint="eastAsia" w:ascii="宋体" w:hAnsi="宋体" w:eastAsia="宋体" w:cs="宋体"/>
          <w:color w:val="auto"/>
          <w:spacing w:val="0"/>
          <w:w w:val="100"/>
          <w:kern w:val="2"/>
          <w:sz w:val="21"/>
          <w:szCs w:val="24"/>
          <w:highlight w:val="none"/>
          <w:lang w:val="en-US" w:bidi="ar-SA"/>
        </w:rPr>
        <w:t>。</w:t>
      </w:r>
    </w:p>
    <w:p w14:paraId="30A3083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109" w:name="_Toc8123"/>
      <w:bookmarkStart w:id="110" w:name="_Toc3998"/>
      <w:r>
        <w:rPr>
          <w:rFonts w:hint="eastAsia" w:ascii="宋体" w:hAnsi="宋体" w:eastAsia="宋体" w:cs="宋体"/>
          <w:b/>
          <w:bCs/>
          <w:color w:val="auto"/>
          <w:spacing w:val="0"/>
          <w:w w:val="100"/>
          <w:kern w:val="2"/>
          <w:sz w:val="21"/>
          <w:szCs w:val="24"/>
          <w:highlight w:val="none"/>
          <w:lang w:val="en-US" w:bidi="ar-SA"/>
        </w:rPr>
        <w:t>3.2.3</w:t>
      </w:r>
      <w:r>
        <w:rPr>
          <w:rFonts w:hint="eastAsia" w:ascii="宋体" w:hAnsi="宋体" w:eastAsia="宋体" w:cs="宋体"/>
          <w:color w:val="auto"/>
          <w:spacing w:val="0"/>
          <w:w w:val="100"/>
          <w:kern w:val="2"/>
          <w:sz w:val="21"/>
          <w:szCs w:val="24"/>
          <w:highlight w:val="none"/>
          <w:lang w:val="en-US" w:bidi="ar-SA"/>
        </w:rPr>
        <w:t xml:space="preserve"> 承包人擅自更换项目经理的违约责任：</w:t>
      </w:r>
      <w:r>
        <w:rPr>
          <w:rFonts w:hint="eastAsia" w:ascii="宋体" w:hAnsi="宋体" w:eastAsia="宋体" w:cs="宋体"/>
          <w:color w:val="auto"/>
          <w:spacing w:val="0"/>
          <w:w w:val="100"/>
          <w:kern w:val="2"/>
          <w:sz w:val="21"/>
          <w:szCs w:val="24"/>
          <w:highlight w:val="none"/>
          <w:u w:val="single"/>
          <w:lang w:val="en-US" w:bidi="ar-SA"/>
        </w:rPr>
        <w:t>处以2万元违约金，承包人承担因上述违约给发包人造成的一切损失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bookmarkEnd w:id="109"/>
      <w:bookmarkEnd w:id="110"/>
    </w:p>
    <w:p w14:paraId="66D76755">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   </w:t>
      </w:r>
      <w:r>
        <w:rPr>
          <w:rFonts w:hint="eastAsia" w:ascii="宋体" w:hAnsi="宋体" w:eastAsia="宋体" w:cs="宋体"/>
          <w:b/>
          <w:bCs/>
          <w:color w:val="auto"/>
          <w:spacing w:val="0"/>
          <w:w w:val="100"/>
          <w:kern w:val="2"/>
          <w:sz w:val="21"/>
          <w:szCs w:val="24"/>
          <w:highlight w:val="none"/>
          <w:lang w:val="en-US" w:bidi="ar-SA"/>
        </w:rPr>
        <w:t xml:space="preserve"> </w:t>
      </w:r>
      <w:bookmarkStart w:id="111" w:name="_Toc29556"/>
      <w:bookmarkStart w:id="112" w:name="_Toc22911704"/>
      <w:bookmarkStart w:id="113" w:name="_Toc13683"/>
      <w:bookmarkStart w:id="114" w:name="_Toc2066"/>
      <w:r>
        <w:rPr>
          <w:rFonts w:hint="eastAsia" w:ascii="宋体" w:hAnsi="宋体" w:eastAsia="宋体" w:cs="宋体"/>
          <w:b/>
          <w:bCs/>
          <w:color w:val="auto"/>
          <w:spacing w:val="0"/>
          <w:w w:val="100"/>
          <w:kern w:val="2"/>
          <w:sz w:val="21"/>
          <w:szCs w:val="24"/>
          <w:highlight w:val="none"/>
          <w:lang w:val="en-US" w:bidi="ar-SA"/>
        </w:rPr>
        <w:t xml:space="preserve">3.2.4 </w:t>
      </w:r>
      <w:r>
        <w:rPr>
          <w:rFonts w:hint="eastAsia" w:ascii="宋体" w:hAnsi="宋体" w:eastAsia="宋体" w:cs="宋体"/>
          <w:color w:val="auto"/>
          <w:spacing w:val="0"/>
          <w:w w:val="100"/>
          <w:kern w:val="2"/>
          <w:sz w:val="21"/>
          <w:szCs w:val="24"/>
          <w:highlight w:val="none"/>
          <w:lang w:val="en-US" w:bidi="ar-SA"/>
        </w:rPr>
        <w:t>承包人无正当理由拒绝更换项目经理的违约责任：</w:t>
      </w:r>
      <w:r>
        <w:rPr>
          <w:rFonts w:hint="eastAsia" w:ascii="宋体" w:hAnsi="宋体" w:eastAsia="宋体" w:cs="宋体"/>
          <w:color w:val="auto"/>
          <w:spacing w:val="0"/>
          <w:w w:val="100"/>
          <w:kern w:val="2"/>
          <w:sz w:val="21"/>
          <w:szCs w:val="24"/>
          <w:highlight w:val="none"/>
          <w:u w:val="single"/>
          <w:lang w:val="en-US" w:bidi="ar-SA"/>
        </w:rPr>
        <w:t>处以2万元违约金，承包人承担因上述违约给发包人造成的一切损失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bookmarkEnd w:id="111"/>
      <w:bookmarkEnd w:id="112"/>
      <w:bookmarkEnd w:id="113"/>
      <w:bookmarkEnd w:id="114"/>
    </w:p>
    <w:p w14:paraId="2C9E6C4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115" w:name="_Toc28907"/>
      <w:bookmarkStart w:id="116" w:name="_Toc20067"/>
      <w:bookmarkStart w:id="117" w:name="_Toc9515"/>
      <w:r>
        <w:rPr>
          <w:rFonts w:hint="eastAsia" w:ascii="宋体" w:hAnsi="宋体" w:eastAsia="宋体" w:cs="宋体"/>
          <w:b/>
          <w:bCs/>
          <w:color w:val="auto"/>
          <w:spacing w:val="0"/>
          <w:w w:val="100"/>
          <w:kern w:val="2"/>
          <w:sz w:val="21"/>
          <w:szCs w:val="24"/>
          <w:highlight w:val="none"/>
          <w:lang w:val="en-US" w:bidi="ar-SA"/>
        </w:rPr>
        <w:t>3.3 承包人人员</w:t>
      </w:r>
      <w:bookmarkEnd w:id="115"/>
      <w:bookmarkEnd w:id="116"/>
      <w:bookmarkEnd w:id="117"/>
    </w:p>
    <w:p w14:paraId="19A2160B">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3.3.1 </w:t>
      </w:r>
      <w:r>
        <w:rPr>
          <w:rFonts w:hint="eastAsia" w:ascii="宋体" w:hAnsi="宋体" w:eastAsia="宋体" w:cs="宋体"/>
          <w:color w:val="auto"/>
          <w:spacing w:val="0"/>
          <w:w w:val="100"/>
          <w:kern w:val="2"/>
          <w:sz w:val="21"/>
          <w:szCs w:val="24"/>
          <w:highlight w:val="none"/>
          <w:lang w:val="en-US" w:bidi="ar-SA"/>
        </w:rPr>
        <w:t>承包人提交项目管理机构及施工现场管理人员安排报告的期限：</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5CA38DFB">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3.3.2 </w:t>
      </w:r>
      <w:r>
        <w:rPr>
          <w:rFonts w:hint="eastAsia" w:ascii="宋体" w:hAnsi="宋体" w:eastAsia="宋体" w:cs="宋体"/>
          <w:color w:val="auto"/>
          <w:spacing w:val="0"/>
          <w:w w:val="100"/>
          <w:kern w:val="2"/>
          <w:sz w:val="21"/>
          <w:szCs w:val="24"/>
          <w:highlight w:val="none"/>
          <w:lang w:val="en-US" w:bidi="ar-SA"/>
        </w:rPr>
        <w:t>承包人无正当理由拒绝撤换主要施工管理人员的违约责任：</w:t>
      </w:r>
      <w:r>
        <w:rPr>
          <w:rFonts w:hint="eastAsia" w:ascii="宋体" w:hAnsi="宋体" w:eastAsia="宋体" w:cs="宋体"/>
          <w:color w:val="auto"/>
          <w:spacing w:val="0"/>
          <w:w w:val="100"/>
          <w:kern w:val="2"/>
          <w:sz w:val="21"/>
          <w:szCs w:val="24"/>
          <w:highlight w:val="none"/>
          <w:u w:val="single"/>
          <w:lang w:val="en-US" w:bidi="ar-SA"/>
        </w:rPr>
        <w:t xml:space="preserve">如主要施工管理人员失职或其他原因不能继续履行职责，发包人应要求其更换该管理人员，承包人应承担违约金1万元/人，由此延误的工期及其它相应的损失由承包人承担 </w:t>
      </w:r>
      <w:r>
        <w:rPr>
          <w:rFonts w:hint="eastAsia" w:ascii="宋体" w:hAnsi="宋体" w:eastAsia="宋体" w:cs="宋体"/>
          <w:color w:val="auto"/>
          <w:spacing w:val="0"/>
          <w:w w:val="100"/>
          <w:kern w:val="2"/>
          <w:sz w:val="21"/>
          <w:szCs w:val="24"/>
          <w:highlight w:val="none"/>
          <w:lang w:val="en-US" w:bidi="ar-SA"/>
        </w:rPr>
        <w:t>。</w:t>
      </w:r>
    </w:p>
    <w:p w14:paraId="26725CD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
          <w:bCs/>
          <w:color w:val="auto"/>
          <w:spacing w:val="0"/>
          <w:w w:val="100"/>
          <w:kern w:val="2"/>
          <w:sz w:val="21"/>
          <w:szCs w:val="24"/>
          <w:highlight w:val="none"/>
          <w:lang w:val="en-US" w:bidi="ar-SA"/>
        </w:rPr>
        <w:t xml:space="preserve">3.3.3 </w:t>
      </w:r>
      <w:r>
        <w:rPr>
          <w:rFonts w:hint="eastAsia" w:ascii="宋体" w:hAnsi="宋体" w:eastAsia="宋体" w:cs="宋体"/>
          <w:color w:val="auto"/>
          <w:spacing w:val="0"/>
          <w:w w:val="100"/>
          <w:kern w:val="2"/>
          <w:sz w:val="21"/>
          <w:szCs w:val="24"/>
          <w:highlight w:val="none"/>
          <w:lang w:val="en-US" w:bidi="ar-SA"/>
        </w:rPr>
        <w:t xml:space="preserve">承包人主要施工管理人员离开施工现场的批准要求： </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200FB15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3.3.4</w:t>
      </w:r>
      <w:r>
        <w:rPr>
          <w:rFonts w:hint="eastAsia" w:ascii="宋体" w:hAnsi="宋体" w:eastAsia="宋体" w:cs="宋体"/>
          <w:color w:val="auto"/>
          <w:spacing w:val="0"/>
          <w:w w:val="100"/>
          <w:kern w:val="2"/>
          <w:sz w:val="21"/>
          <w:szCs w:val="24"/>
          <w:highlight w:val="none"/>
          <w:lang w:val="en-US" w:bidi="ar-SA"/>
        </w:rPr>
        <w:t>承包人擅自更换主要施工管理人员的违约责任：</w:t>
      </w:r>
      <w:r>
        <w:rPr>
          <w:rFonts w:hint="eastAsia" w:ascii="宋体" w:hAnsi="宋体" w:eastAsia="宋体" w:cs="宋体"/>
          <w:color w:val="auto"/>
          <w:spacing w:val="0"/>
          <w:w w:val="100"/>
          <w:kern w:val="2"/>
          <w:sz w:val="21"/>
          <w:szCs w:val="24"/>
          <w:highlight w:val="none"/>
          <w:u w:val="single"/>
          <w:lang w:val="en-US" w:bidi="ar-SA"/>
        </w:rPr>
        <w:t>处以1万元违约金，承包人承担因上述违约给发包人造成的一切损失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p>
    <w:p w14:paraId="4343725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承包人主要施工管理人员擅自离开施工现场的违约责任：</w:t>
      </w:r>
      <w:r>
        <w:rPr>
          <w:rFonts w:hint="eastAsia" w:ascii="宋体" w:hAnsi="宋体" w:eastAsia="宋体" w:cs="宋体"/>
          <w:color w:val="auto"/>
          <w:spacing w:val="0"/>
          <w:w w:val="100"/>
          <w:kern w:val="2"/>
          <w:sz w:val="21"/>
          <w:szCs w:val="24"/>
          <w:highlight w:val="none"/>
          <w:u w:val="single"/>
          <w:lang w:val="en-US" w:bidi="ar-SA"/>
        </w:rPr>
        <w:t>处以1万元违约金，承包人承担因上述违约给发包人造成的一切损失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p>
    <w:p w14:paraId="3B9266A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w:t>
      </w:r>
      <w:bookmarkStart w:id="118" w:name="_Toc304295523"/>
      <w:bookmarkStart w:id="119" w:name="_Toc296347158"/>
      <w:bookmarkStart w:id="120" w:name="_Toc297048345"/>
      <w:bookmarkStart w:id="121" w:name="_Toc296944498"/>
      <w:bookmarkStart w:id="122" w:name="_Toc297123492"/>
      <w:bookmarkStart w:id="123" w:name="_Toc296891199"/>
      <w:bookmarkStart w:id="124" w:name="_Toc312677988"/>
      <w:bookmarkStart w:id="125" w:name="_Toc300934945"/>
      <w:bookmarkStart w:id="126" w:name="_Toc296346660"/>
      <w:bookmarkStart w:id="127" w:name="_Toc297216151"/>
      <w:bookmarkStart w:id="128" w:name="_Toc296890987"/>
      <w:bookmarkStart w:id="129" w:name="_Toc303539102"/>
      <w:bookmarkStart w:id="130" w:name="_Toc292559364"/>
      <w:bookmarkStart w:id="131" w:name="_Toc296503159"/>
      <w:bookmarkStart w:id="132" w:name="_Toc297120459"/>
      <w:bookmarkStart w:id="133" w:name="_Toc292559869"/>
      <w:r>
        <w:rPr>
          <w:rFonts w:hint="eastAsia" w:ascii="宋体" w:hAnsi="宋体" w:eastAsia="宋体" w:cs="宋体"/>
          <w:b/>
          <w:bCs/>
          <w:color w:val="auto"/>
          <w:spacing w:val="0"/>
          <w:w w:val="100"/>
          <w:kern w:val="2"/>
          <w:sz w:val="21"/>
          <w:szCs w:val="24"/>
          <w:highlight w:val="none"/>
          <w:lang w:val="en-US" w:bidi="ar-SA"/>
        </w:rPr>
        <w:t>.5 分包</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67F4265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w:t>
      </w:r>
      <w:bookmarkStart w:id="134" w:name="_Toc292559870"/>
      <w:bookmarkStart w:id="135" w:name="_Toc297216152"/>
      <w:bookmarkStart w:id="136" w:name="_Toc296503160"/>
      <w:bookmarkStart w:id="137" w:name="_Toc300934946"/>
      <w:bookmarkStart w:id="138" w:name="_Toc292559365"/>
      <w:bookmarkStart w:id="139" w:name="_Toc296891200"/>
      <w:bookmarkStart w:id="140" w:name="_Toc297123493"/>
      <w:bookmarkStart w:id="141" w:name="_Toc297048346"/>
      <w:bookmarkStart w:id="142" w:name="_Toc296890988"/>
      <w:bookmarkStart w:id="143" w:name="_Toc303539103"/>
      <w:bookmarkStart w:id="144" w:name="_Toc296347159"/>
      <w:bookmarkStart w:id="145" w:name="_Toc304295524"/>
      <w:bookmarkStart w:id="146" w:name="_Toc296346661"/>
      <w:bookmarkStart w:id="147" w:name="_Toc297120460"/>
      <w:bookmarkStart w:id="148" w:name="_Toc296944499"/>
      <w:bookmarkStart w:id="149" w:name="_Toc312677989"/>
      <w:bookmarkStart w:id="150" w:name="_Toc318581158"/>
      <w:r>
        <w:rPr>
          <w:rFonts w:hint="eastAsia" w:ascii="宋体" w:hAnsi="宋体" w:eastAsia="宋体" w:cs="宋体"/>
          <w:b/>
          <w:bCs/>
          <w:color w:val="auto"/>
          <w:spacing w:val="0"/>
          <w:w w:val="100"/>
          <w:kern w:val="2"/>
          <w:sz w:val="21"/>
          <w:szCs w:val="24"/>
          <w:highlight w:val="none"/>
          <w:lang w:val="en-US" w:bidi="ar-SA"/>
        </w:rPr>
        <w:t>.5.1</w:t>
      </w:r>
      <w:r>
        <w:rPr>
          <w:rFonts w:hint="eastAsia" w:ascii="宋体" w:hAnsi="宋体" w:eastAsia="宋体" w:cs="宋体"/>
          <w:color w:val="auto"/>
          <w:spacing w:val="0"/>
          <w:w w:val="100"/>
          <w:kern w:val="2"/>
          <w:sz w:val="21"/>
          <w:szCs w:val="24"/>
          <w:highlight w:val="none"/>
          <w:lang w:val="en-US" w:bidi="ar-SA"/>
        </w:rPr>
        <w:t xml:space="preserve"> 分包的一般约定</w:t>
      </w:r>
    </w:p>
    <w:p w14:paraId="05304AB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禁止分包的工程包括：</w:t>
      </w:r>
      <w:r>
        <w:rPr>
          <w:rFonts w:hint="eastAsia" w:ascii="宋体" w:hAnsi="宋体" w:eastAsia="宋体" w:cs="宋体"/>
          <w:color w:val="auto"/>
          <w:spacing w:val="0"/>
          <w:w w:val="100"/>
          <w:kern w:val="2"/>
          <w:sz w:val="21"/>
          <w:szCs w:val="24"/>
          <w:highlight w:val="none"/>
          <w:u w:val="single"/>
          <w:lang w:val="en-US" w:bidi="ar-SA"/>
        </w:rPr>
        <w:t>除发包人同意分包的工程外，承包人不得分包</w:t>
      </w:r>
      <w:r>
        <w:rPr>
          <w:rFonts w:hint="eastAsia" w:ascii="宋体" w:hAnsi="宋体" w:eastAsia="宋体" w:cs="宋体"/>
          <w:color w:val="auto"/>
          <w:spacing w:val="0"/>
          <w:w w:val="100"/>
          <w:kern w:val="2"/>
          <w:sz w:val="21"/>
          <w:szCs w:val="24"/>
          <w:highlight w:val="none"/>
          <w:lang w:val="en-US" w:bidi="ar-SA"/>
        </w:rPr>
        <w:t>。</w:t>
      </w:r>
    </w:p>
    <w:p w14:paraId="677AB303">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主体结构、关键性工作的范围：</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1" w:name="_Toc296944500"/>
      <w:bookmarkStart w:id="152" w:name="_Toc296347160"/>
      <w:bookmarkStart w:id="153" w:name="_Toc296891201"/>
      <w:bookmarkStart w:id="154" w:name="_Toc296346662"/>
      <w:bookmarkStart w:id="155" w:name="_Toc297120461"/>
      <w:bookmarkStart w:id="156" w:name="_Toc303539104"/>
      <w:bookmarkStart w:id="157" w:name="_Toc304295525"/>
      <w:bookmarkStart w:id="158" w:name="_Toc297123494"/>
      <w:bookmarkStart w:id="159" w:name="_Toc297216153"/>
      <w:bookmarkStart w:id="160" w:name="_Toc296503161"/>
      <w:bookmarkStart w:id="161" w:name="_Toc296890989"/>
      <w:bookmarkStart w:id="162" w:name="_Toc297048347"/>
      <w:bookmarkStart w:id="163" w:name="_Toc300934947"/>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3A12A8C6">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   </w:t>
      </w:r>
      <w:r>
        <w:rPr>
          <w:rFonts w:hint="eastAsia" w:ascii="宋体" w:hAnsi="宋体" w:eastAsia="宋体" w:cs="宋体"/>
          <w:b/>
          <w:bCs/>
          <w:color w:val="auto"/>
          <w:spacing w:val="0"/>
          <w:w w:val="100"/>
          <w:kern w:val="2"/>
          <w:sz w:val="21"/>
          <w:szCs w:val="24"/>
          <w:highlight w:val="none"/>
          <w:lang w:val="en-US" w:bidi="ar-SA"/>
        </w:rPr>
        <w:t xml:space="preserve"> 3</w:t>
      </w:r>
      <w:bookmarkStart w:id="164" w:name="_Toc318581159"/>
      <w:bookmarkStart w:id="165" w:name="_Toc312677990"/>
      <w:r>
        <w:rPr>
          <w:rFonts w:hint="eastAsia" w:ascii="宋体" w:hAnsi="宋体" w:eastAsia="宋体" w:cs="宋体"/>
          <w:b/>
          <w:bCs/>
          <w:color w:val="auto"/>
          <w:spacing w:val="0"/>
          <w:w w:val="100"/>
          <w:kern w:val="2"/>
          <w:sz w:val="21"/>
          <w:szCs w:val="24"/>
          <w:highlight w:val="none"/>
          <w:lang w:val="en-US" w:bidi="ar-SA"/>
        </w:rPr>
        <w:t>.5.2</w:t>
      </w:r>
      <w:r>
        <w:rPr>
          <w:rFonts w:hint="eastAsia" w:ascii="宋体" w:hAnsi="宋体" w:eastAsia="宋体" w:cs="宋体"/>
          <w:color w:val="auto"/>
          <w:spacing w:val="0"/>
          <w:w w:val="100"/>
          <w:kern w:val="2"/>
          <w:sz w:val="21"/>
          <w:szCs w:val="24"/>
          <w:highlight w:val="none"/>
          <w:lang w:val="en-US" w:bidi="ar-SA"/>
        </w:rPr>
        <w:t>分包的确定</w:t>
      </w:r>
    </w:p>
    <w:p w14:paraId="092B9F6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允许分包的专业工程包括：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250757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其他关于分包的约定：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5B711C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3.5.4 </w:t>
      </w:r>
      <w:r>
        <w:rPr>
          <w:rFonts w:hint="eastAsia" w:ascii="宋体" w:hAnsi="宋体" w:eastAsia="宋体" w:cs="宋体"/>
          <w:color w:val="auto"/>
          <w:spacing w:val="0"/>
          <w:w w:val="100"/>
          <w:kern w:val="2"/>
          <w:sz w:val="21"/>
          <w:szCs w:val="24"/>
          <w:highlight w:val="none"/>
          <w:lang w:val="en-US" w:bidi="ar-SA"/>
        </w:rPr>
        <w:t>分包合同价款</w:t>
      </w:r>
    </w:p>
    <w:p w14:paraId="6BE1C40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关于分包合同价款支付的约定：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164"/>
    <w:bookmarkEnd w:id="165"/>
    <w:p w14:paraId="21FD165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3.6 工程照管与成品、半成品保护</w:t>
      </w:r>
    </w:p>
    <w:p w14:paraId="28004E7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承包人负责照管工程及工程相关的材料、工程设备的起始时间：</w:t>
      </w:r>
      <w:r>
        <w:rPr>
          <w:rFonts w:hint="eastAsia" w:ascii="宋体" w:hAnsi="宋体" w:eastAsia="宋体" w:cs="宋体"/>
          <w:color w:val="auto"/>
          <w:spacing w:val="0"/>
          <w:w w:val="100"/>
          <w:kern w:val="2"/>
          <w:sz w:val="21"/>
          <w:szCs w:val="24"/>
          <w:highlight w:val="none"/>
          <w:u w:val="single"/>
          <w:lang w:val="en-US" w:bidi="ar-SA"/>
        </w:rPr>
        <w:t>执行通用条款。</w:t>
      </w:r>
    </w:p>
    <w:p w14:paraId="06E849E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3.7 履约担保</w:t>
      </w:r>
    </w:p>
    <w:p w14:paraId="7DD259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承包人是否提供履约担保：</w:t>
      </w:r>
      <w:r>
        <w:rPr>
          <w:rFonts w:hint="eastAsia" w:ascii="宋体" w:hAnsi="宋体" w:eastAsia="宋体" w:cs="宋体"/>
          <w:color w:val="auto"/>
          <w:spacing w:val="0"/>
          <w:w w:val="100"/>
          <w:kern w:val="0"/>
          <w:sz w:val="21"/>
          <w:szCs w:val="24"/>
          <w:highlight w:val="none"/>
          <w:u w:val="single"/>
          <w:lang w:val="en-US" w:bidi="ar-SA"/>
        </w:rPr>
        <w:t>是</w:t>
      </w:r>
      <w:r>
        <w:rPr>
          <w:rFonts w:hint="eastAsia" w:ascii="宋体" w:hAnsi="宋体" w:eastAsia="宋体" w:cs="宋体"/>
          <w:color w:val="auto"/>
          <w:spacing w:val="0"/>
          <w:w w:val="100"/>
          <w:kern w:val="2"/>
          <w:sz w:val="21"/>
          <w:szCs w:val="24"/>
          <w:highlight w:val="none"/>
          <w:lang w:val="en-US" w:bidi="ar-SA"/>
        </w:rPr>
        <w:t>。</w:t>
      </w:r>
    </w:p>
    <w:p w14:paraId="46BE64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承包人提供履约担保的形式、金额及期限的：</w:t>
      </w:r>
      <w:r>
        <w:rPr>
          <w:rFonts w:hint="eastAsia" w:ascii="宋体" w:hAnsi="宋体" w:eastAsia="宋体" w:cs="宋体"/>
          <w:color w:val="auto"/>
          <w:spacing w:val="0"/>
          <w:w w:val="100"/>
          <w:kern w:val="2"/>
          <w:sz w:val="21"/>
          <w:szCs w:val="21"/>
          <w:highlight w:val="none"/>
          <w:lang w:val="en-US" w:bidi="ar-SA"/>
        </w:rPr>
        <w:t>履约担保缴纳形式：</w:t>
      </w:r>
      <w:r>
        <w:rPr>
          <w:rFonts w:hint="eastAsia" w:ascii="宋体" w:hAnsi="宋体" w:eastAsia="宋体" w:cs="宋体"/>
          <w:color w:val="auto"/>
          <w:spacing w:val="0"/>
          <w:w w:val="100"/>
          <w:kern w:val="2"/>
          <w:sz w:val="21"/>
          <w:szCs w:val="21"/>
          <w:highlight w:val="none"/>
          <w:u w:val="single"/>
          <w:lang w:val="en-US" w:bidi="ar-SA"/>
        </w:rPr>
        <w:t>现金转账或履约保函</w:t>
      </w:r>
      <w:r>
        <w:rPr>
          <w:rFonts w:hint="eastAsia" w:ascii="宋体" w:hAnsi="宋体" w:eastAsia="宋体" w:cs="宋体"/>
          <w:color w:val="auto"/>
          <w:spacing w:val="0"/>
          <w:w w:val="100"/>
          <w:kern w:val="2"/>
          <w:sz w:val="21"/>
          <w:szCs w:val="21"/>
          <w:highlight w:val="none"/>
          <w:lang w:val="en-US" w:bidi="ar-SA"/>
        </w:rPr>
        <w:t>。</w:t>
      </w:r>
    </w:p>
    <w:p w14:paraId="34BAE5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1）现金转账：须从</w:t>
      </w:r>
      <w:r>
        <w:rPr>
          <w:rFonts w:hint="eastAsia" w:ascii="宋体" w:hAnsi="宋体" w:eastAsia="宋体" w:cs="宋体"/>
          <w:color w:val="auto"/>
          <w:spacing w:val="0"/>
          <w:w w:val="100"/>
          <w:kern w:val="2"/>
          <w:sz w:val="21"/>
          <w:szCs w:val="21"/>
          <w:highlight w:val="none"/>
          <w:lang w:val="en-US" w:eastAsia="zh-CN" w:bidi="ar-SA"/>
        </w:rPr>
        <w:t>成交人</w:t>
      </w:r>
      <w:r>
        <w:rPr>
          <w:rFonts w:hint="eastAsia" w:ascii="宋体" w:hAnsi="宋体" w:eastAsia="宋体" w:cs="宋体"/>
          <w:color w:val="auto"/>
          <w:spacing w:val="0"/>
          <w:w w:val="100"/>
          <w:kern w:val="2"/>
          <w:sz w:val="21"/>
          <w:szCs w:val="21"/>
          <w:highlight w:val="none"/>
          <w:lang w:val="en-US" w:bidi="ar-SA"/>
        </w:rPr>
        <w:t>基本账户转出，合同价的10%，四舍五入取整至万位。</w:t>
      </w:r>
    </w:p>
    <w:p w14:paraId="4043A9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缴纳时间：中标通知书发出之日起5个工作日内递交至</w:t>
      </w:r>
      <w:r>
        <w:rPr>
          <w:rFonts w:hint="eastAsia" w:ascii="宋体" w:hAnsi="宋体" w:eastAsia="宋体" w:cs="宋体"/>
          <w:color w:val="auto"/>
          <w:spacing w:val="0"/>
          <w:w w:val="100"/>
          <w:kern w:val="2"/>
          <w:sz w:val="21"/>
          <w:szCs w:val="21"/>
          <w:highlight w:val="none"/>
          <w:lang w:val="en-US" w:eastAsia="zh-CN" w:bidi="ar-SA"/>
        </w:rPr>
        <w:t>采购人</w:t>
      </w:r>
      <w:r>
        <w:rPr>
          <w:rFonts w:hint="eastAsia" w:ascii="宋体" w:hAnsi="宋体" w:eastAsia="宋体" w:cs="宋体"/>
          <w:color w:val="auto"/>
          <w:spacing w:val="0"/>
          <w:w w:val="100"/>
          <w:kern w:val="2"/>
          <w:sz w:val="21"/>
          <w:szCs w:val="21"/>
          <w:highlight w:val="none"/>
          <w:lang w:val="en-US" w:bidi="ar-SA"/>
        </w:rPr>
        <w:t>指定账户。</w:t>
      </w:r>
    </w:p>
    <w:p w14:paraId="18B127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退还方式：待</w:t>
      </w:r>
      <w:r>
        <w:rPr>
          <w:rFonts w:hint="eastAsia" w:ascii="宋体" w:hAnsi="宋体" w:eastAsia="宋体" w:cs="宋体"/>
          <w:color w:val="auto"/>
          <w:spacing w:val="0"/>
          <w:w w:val="100"/>
          <w:kern w:val="2"/>
          <w:sz w:val="21"/>
          <w:szCs w:val="21"/>
          <w:highlight w:val="none"/>
          <w:lang w:val="en-US" w:eastAsia="zh-CN" w:bidi="ar-SA"/>
        </w:rPr>
        <w:t>成交人</w:t>
      </w:r>
      <w:r>
        <w:rPr>
          <w:rFonts w:hint="eastAsia" w:ascii="宋体" w:hAnsi="宋体" w:eastAsia="宋体" w:cs="宋体"/>
          <w:color w:val="auto"/>
          <w:spacing w:val="0"/>
          <w:w w:val="100"/>
          <w:kern w:val="2"/>
          <w:sz w:val="21"/>
          <w:szCs w:val="21"/>
          <w:highlight w:val="none"/>
          <w:lang w:val="en-US" w:bidi="ar-SA"/>
        </w:rPr>
        <w:t>按照合同约定完成竣工验收后，自中标单位提交退款申请之日起30个工作日内一次性无息退款。</w:t>
      </w:r>
    </w:p>
    <w:p w14:paraId="094214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2）履约保函：合同价的10%，四舍五入取整至万位。</w:t>
      </w:r>
    </w:p>
    <w:p w14:paraId="09806F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出具方式：由银行开具，要求见索即付。</w:t>
      </w:r>
    </w:p>
    <w:p w14:paraId="45AEF0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保函期限：不少于</w:t>
      </w:r>
      <w:r>
        <w:rPr>
          <w:rFonts w:hint="eastAsia" w:ascii="宋体" w:hAnsi="宋体" w:eastAsia="宋体" w:cs="宋体"/>
          <w:color w:val="auto"/>
          <w:spacing w:val="0"/>
          <w:w w:val="100"/>
          <w:kern w:val="2"/>
          <w:sz w:val="21"/>
          <w:szCs w:val="21"/>
          <w:highlight w:val="none"/>
          <w:lang w:val="en-US" w:eastAsia="zh-CN" w:bidi="ar-SA"/>
        </w:rPr>
        <w:t>合同期限</w:t>
      </w:r>
      <w:r>
        <w:rPr>
          <w:rFonts w:hint="eastAsia" w:ascii="宋体" w:hAnsi="宋体" w:eastAsia="宋体" w:cs="宋体"/>
          <w:color w:val="auto"/>
          <w:spacing w:val="0"/>
          <w:w w:val="100"/>
          <w:kern w:val="2"/>
          <w:sz w:val="21"/>
          <w:szCs w:val="21"/>
          <w:highlight w:val="none"/>
          <w:lang w:val="en-US" w:bidi="ar-SA"/>
        </w:rPr>
        <w:t>。若出现项目延期，</w:t>
      </w:r>
      <w:r>
        <w:rPr>
          <w:rFonts w:hint="eastAsia" w:ascii="宋体" w:hAnsi="宋体" w:eastAsia="宋体" w:cs="宋体"/>
          <w:color w:val="auto"/>
          <w:spacing w:val="0"/>
          <w:w w:val="100"/>
          <w:kern w:val="2"/>
          <w:sz w:val="21"/>
          <w:szCs w:val="21"/>
          <w:highlight w:val="none"/>
          <w:lang w:val="en-US" w:eastAsia="zh-CN" w:bidi="ar-SA"/>
        </w:rPr>
        <w:t>成交人</w:t>
      </w:r>
      <w:r>
        <w:rPr>
          <w:rFonts w:hint="eastAsia" w:ascii="宋体" w:hAnsi="宋体" w:eastAsia="宋体" w:cs="宋体"/>
          <w:color w:val="auto"/>
          <w:spacing w:val="0"/>
          <w:w w:val="100"/>
          <w:kern w:val="2"/>
          <w:sz w:val="21"/>
          <w:szCs w:val="21"/>
          <w:highlight w:val="none"/>
          <w:lang w:val="en-US" w:bidi="ar-SA"/>
        </w:rPr>
        <w:t>需在履约保函失效前20日内按</w:t>
      </w:r>
      <w:r>
        <w:rPr>
          <w:rFonts w:hint="eastAsia" w:ascii="宋体" w:hAnsi="宋体" w:eastAsia="宋体" w:cs="宋体"/>
          <w:color w:val="auto"/>
          <w:spacing w:val="0"/>
          <w:w w:val="100"/>
          <w:kern w:val="2"/>
          <w:sz w:val="21"/>
          <w:szCs w:val="21"/>
          <w:highlight w:val="none"/>
          <w:lang w:val="en-US" w:eastAsia="zh-CN" w:bidi="ar-SA"/>
        </w:rPr>
        <w:t>采购人</w:t>
      </w:r>
      <w:r>
        <w:rPr>
          <w:rFonts w:hint="eastAsia" w:ascii="宋体" w:hAnsi="宋体" w:eastAsia="宋体" w:cs="宋体"/>
          <w:color w:val="auto"/>
          <w:spacing w:val="0"/>
          <w:w w:val="100"/>
          <w:kern w:val="2"/>
          <w:sz w:val="21"/>
          <w:szCs w:val="21"/>
          <w:highlight w:val="none"/>
          <w:lang w:val="en-US" w:bidi="ar-SA"/>
        </w:rPr>
        <w:t>要求对保函进行延期或重新出具履约保函。</w:t>
      </w:r>
    </w:p>
    <w:p w14:paraId="42E0C7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3）缴纳时间：合同签订后10个工作日内提供给</w:t>
      </w:r>
      <w:r>
        <w:rPr>
          <w:rFonts w:hint="eastAsia" w:ascii="宋体" w:hAnsi="宋体" w:eastAsia="宋体" w:cs="宋体"/>
          <w:color w:val="auto"/>
          <w:spacing w:val="0"/>
          <w:w w:val="100"/>
          <w:kern w:val="2"/>
          <w:sz w:val="21"/>
          <w:szCs w:val="21"/>
          <w:highlight w:val="none"/>
          <w:lang w:val="en-US" w:eastAsia="zh-CN" w:bidi="ar-SA"/>
        </w:rPr>
        <w:t>采购人</w:t>
      </w:r>
      <w:r>
        <w:rPr>
          <w:rFonts w:hint="eastAsia" w:ascii="宋体" w:hAnsi="宋体" w:eastAsia="宋体" w:cs="宋体"/>
          <w:color w:val="auto"/>
          <w:spacing w:val="0"/>
          <w:w w:val="100"/>
          <w:kern w:val="2"/>
          <w:sz w:val="21"/>
          <w:szCs w:val="21"/>
          <w:highlight w:val="none"/>
          <w:lang w:val="en-US" w:bidi="ar-SA"/>
        </w:rPr>
        <w:t>。</w:t>
      </w:r>
    </w:p>
    <w:p w14:paraId="4F65E331">
      <w:pPr>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166" w:name="_Toc22911705"/>
      <w:r>
        <w:rPr>
          <w:rFonts w:hint="eastAsia" w:ascii="宋体" w:hAnsi="宋体" w:eastAsia="宋体" w:cs="宋体"/>
          <w:b/>
          <w:color w:val="auto"/>
          <w:spacing w:val="0"/>
          <w:w w:val="100"/>
          <w:kern w:val="2"/>
          <w:sz w:val="21"/>
          <w:szCs w:val="24"/>
          <w:highlight w:val="none"/>
          <w:lang w:val="en-US" w:bidi="ar-SA"/>
        </w:rPr>
        <w:t>4</w:t>
      </w:r>
      <w:bookmarkStart w:id="167" w:name="_Toc296347161"/>
      <w:bookmarkStart w:id="168" w:name="_Toc296346663"/>
      <w:bookmarkStart w:id="169" w:name="_Toc296890990"/>
      <w:bookmarkStart w:id="170" w:name="_Toc297048348"/>
      <w:bookmarkStart w:id="171" w:name="_Toc267251413"/>
      <w:bookmarkStart w:id="172" w:name="_Toc296944501"/>
      <w:bookmarkStart w:id="173" w:name="_Toc292559871"/>
      <w:bookmarkStart w:id="174" w:name="_Toc296891202"/>
      <w:bookmarkStart w:id="175" w:name="_Toc296503162"/>
      <w:bookmarkStart w:id="176" w:name="_Toc292559366"/>
      <w:bookmarkStart w:id="177" w:name="_Toc297120462"/>
      <w:r>
        <w:rPr>
          <w:rFonts w:hint="eastAsia" w:ascii="宋体" w:hAnsi="宋体" w:eastAsia="宋体" w:cs="宋体"/>
          <w:b/>
          <w:color w:val="auto"/>
          <w:spacing w:val="0"/>
          <w:w w:val="100"/>
          <w:kern w:val="2"/>
          <w:sz w:val="21"/>
          <w:szCs w:val="24"/>
          <w:highlight w:val="none"/>
          <w:lang w:val="en-US" w:bidi="ar-SA"/>
        </w:rPr>
        <w:t>. 监</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eastAsia="宋体" w:cs="宋体"/>
          <w:b/>
          <w:color w:val="auto"/>
          <w:spacing w:val="0"/>
          <w:w w:val="100"/>
          <w:kern w:val="2"/>
          <w:sz w:val="21"/>
          <w:szCs w:val="24"/>
          <w:highlight w:val="none"/>
          <w:lang w:val="en-US" w:bidi="ar-SA"/>
        </w:rPr>
        <w:t>理人</w:t>
      </w:r>
      <w:bookmarkEnd w:id="166"/>
      <w:r>
        <w:rPr>
          <w:rFonts w:hint="eastAsia" w:ascii="宋体" w:hAnsi="宋体" w:eastAsia="宋体" w:cs="宋体"/>
          <w:b/>
          <w:color w:val="auto"/>
          <w:spacing w:val="0"/>
          <w:w w:val="100"/>
          <w:kern w:val="2"/>
          <w:sz w:val="21"/>
          <w:szCs w:val="24"/>
          <w:highlight w:val="none"/>
          <w:lang w:val="en-US" w:bidi="ar-SA"/>
        </w:rPr>
        <w:t xml:space="preserve"> </w:t>
      </w:r>
      <w:r>
        <w:rPr>
          <w:rFonts w:hint="eastAsia" w:ascii="宋体" w:hAnsi="宋体" w:eastAsia="宋体" w:cs="宋体"/>
          <w:b/>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5B9E32F">
      <w:pPr>
        <w:pageBreakBefore w:val="0"/>
        <w:tabs>
          <w:tab w:val="left" w:pos="0"/>
        </w:tabs>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4.1监理人的一般规定</w:t>
      </w:r>
    </w:p>
    <w:p w14:paraId="6599BDEC">
      <w:pPr>
        <w:pageBreakBefore w:val="0"/>
        <w:tabs>
          <w:tab w:val="left" w:pos="0"/>
        </w:tabs>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关于监理人的监理内容：</w:t>
      </w:r>
      <w:r>
        <w:rPr>
          <w:rFonts w:hint="eastAsia" w:ascii="宋体" w:hAnsi="宋体" w:eastAsia="宋体" w:cs="宋体"/>
          <w:color w:val="auto"/>
          <w:spacing w:val="0"/>
          <w:w w:val="100"/>
          <w:kern w:val="2"/>
          <w:sz w:val="21"/>
          <w:szCs w:val="24"/>
          <w:highlight w:val="none"/>
          <w:u w:val="single"/>
          <w:lang w:val="en-US" w:bidi="ar-SA"/>
        </w:rPr>
        <w:t>详见工程监理委托合同。</w:t>
      </w:r>
    </w:p>
    <w:p w14:paraId="11F18D1C">
      <w:pPr>
        <w:pageBreakBefore w:val="0"/>
        <w:tabs>
          <w:tab w:val="left" w:pos="0"/>
        </w:tabs>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关于监理人的监理权限：</w:t>
      </w:r>
      <w:r>
        <w:rPr>
          <w:rFonts w:hint="eastAsia" w:ascii="宋体" w:hAnsi="宋体" w:eastAsia="宋体" w:cs="宋体"/>
          <w:color w:val="auto"/>
          <w:spacing w:val="0"/>
          <w:w w:val="100"/>
          <w:kern w:val="2"/>
          <w:sz w:val="21"/>
          <w:szCs w:val="24"/>
          <w:highlight w:val="none"/>
          <w:u w:val="single"/>
          <w:lang w:val="en-US" w:bidi="ar-SA"/>
        </w:rPr>
        <w:t>详见工程监理委托合同。</w:t>
      </w:r>
    </w:p>
    <w:p w14:paraId="0CDED4E7">
      <w:pPr>
        <w:pageBreakBefore w:val="0"/>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关于监理人在施工现场的办公场所、生活场所的提供和费用承担的约定：</w:t>
      </w:r>
      <w:r>
        <w:rPr>
          <w:rFonts w:hint="eastAsia" w:ascii="宋体" w:hAnsi="宋体" w:eastAsia="宋体" w:cs="宋体"/>
          <w:color w:val="auto"/>
          <w:spacing w:val="0"/>
          <w:w w:val="100"/>
          <w:kern w:val="2"/>
          <w:sz w:val="21"/>
          <w:szCs w:val="24"/>
          <w:highlight w:val="none"/>
          <w:u w:val="single"/>
          <w:lang w:val="en-US" w:bidi="ar-SA"/>
        </w:rPr>
        <w:t>由承包人向发包人及监理人各提供一间办公用房及办公家具，并承担相应的费用。</w:t>
      </w:r>
    </w:p>
    <w:p w14:paraId="6C12042E">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4.2 监理人员</w:t>
      </w:r>
    </w:p>
    <w:p w14:paraId="3D5603A3">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总监理工程师：</w:t>
      </w:r>
    </w:p>
    <w:p w14:paraId="470AD3F3">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姓名：</w:t>
      </w:r>
      <w:r>
        <w:rPr>
          <w:rFonts w:hint="eastAsia"/>
          <w:u w:val="single"/>
          <w:lang w:val="en-US" w:eastAsia="zh-CN"/>
        </w:rPr>
        <w:t>王永力</w:t>
      </w:r>
      <w:r>
        <w:rPr>
          <w:rFonts w:hint="eastAsia" w:ascii="宋体" w:hAnsi="宋体" w:eastAsia="宋体" w:cs="宋体"/>
          <w:color w:val="auto"/>
          <w:spacing w:val="0"/>
          <w:w w:val="100"/>
          <w:kern w:val="2"/>
          <w:sz w:val="21"/>
          <w:szCs w:val="24"/>
          <w:highlight w:val="none"/>
          <w:lang w:val="en-US" w:bidi="ar-SA"/>
        </w:rPr>
        <w:t>；</w:t>
      </w:r>
    </w:p>
    <w:p w14:paraId="59B86675">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职务：</w:t>
      </w:r>
      <w:r>
        <w:rPr>
          <w:rFonts w:hint="eastAsia" w:cs="宋体"/>
          <w:color w:val="auto"/>
          <w:spacing w:val="0"/>
          <w:w w:val="100"/>
          <w:kern w:val="2"/>
          <w:sz w:val="21"/>
          <w:szCs w:val="24"/>
          <w:highlight w:val="none"/>
          <w:u w:val="single"/>
          <w:lang w:val="en-US" w:eastAsia="zh-CN" w:bidi="ar-SA"/>
        </w:rPr>
        <w:t>总监理</w:t>
      </w:r>
      <w:r>
        <w:rPr>
          <w:rFonts w:hint="eastAsia"/>
          <w:u w:val="single"/>
          <w:lang w:val="en-US" w:eastAsia="zh-CN"/>
        </w:rPr>
        <w:t>工程师</w:t>
      </w:r>
      <w:r>
        <w:rPr>
          <w:rFonts w:hint="eastAsia" w:ascii="宋体" w:hAnsi="宋体" w:eastAsia="宋体" w:cs="宋体"/>
          <w:color w:val="auto"/>
          <w:spacing w:val="0"/>
          <w:w w:val="100"/>
          <w:kern w:val="2"/>
          <w:sz w:val="21"/>
          <w:szCs w:val="24"/>
          <w:highlight w:val="none"/>
          <w:lang w:val="en-US" w:bidi="ar-SA"/>
        </w:rPr>
        <w:t>；</w:t>
      </w:r>
    </w:p>
    <w:p w14:paraId="3E42D14C">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lang w:val="en-US" w:eastAsia="zh-CN"/>
        </w:rPr>
        <w:t>注册监理工程师证</w:t>
      </w:r>
      <w:r>
        <w:rPr>
          <w:rFonts w:hint="eastAsia" w:ascii="宋体" w:hAnsi="宋体" w:eastAsia="宋体" w:cs="宋体"/>
          <w:color w:val="auto"/>
          <w:spacing w:val="0"/>
          <w:w w:val="100"/>
          <w:kern w:val="2"/>
          <w:sz w:val="21"/>
          <w:szCs w:val="24"/>
          <w:highlight w:val="none"/>
          <w:lang w:val="en-US" w:bidi="ar-SA"/>
        </w:rPr>
        <w:t>号：</w:t>
      </w:r>
      <w:r>
        <w:rPr>
          <w:rFonts w:hint="eastAsia"/>
          <w:u w:val="single"/>
          <w:lang w:val="en-US" w:eastAsia="zh-CN"/>
        </w:rPr>
        <w:t>41009645</w:t>
      </w:r>
      <w:r>
        <w:rPr>
          <w:rFonts w:hint="eastAsia" w:ascii="宋体" w:hAnsi="宋体" w:eastAsia="宋体" w:cs="宋体"/>
          <w:color w:val="auto"/>
          <w:spacing w:val="0"/>
          <w:w w:val="100"/>
          <w:kern w:val="2"/>
          <w:sz w:val="21"/>
          <w:szCs w:val="24"/>
          <w:highlight w:val="none"/>
          <w:lang w:val="en-US" w:bidi="ar-SA"/>
        </w:rPr>
        <w:t>；</w:t>
      </w:r>
    </w:p>
    <w:p w14:paraId="4FD3DB8B">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联系电话：</w:t>
      </w:r>
      <w:r>
        <w:rPr>
          <w:rFonts w:hint="eastAsia" w:ascii="宋体" w:hAnsi="宋体" w:eastAsia="宋体" w:cs="宋体"/>
          <w:color w:val="auto"/>
          <w:spacing w:val="0"/>
          <w:w w:val="100"/>
          <w:kern w:val="2"/>
          <w:sz w:val="21"/>
          <w:szCs w:val="24"/>
          <w:highlight w:val="none"/>
          <w:u w:val="single"/>
          <w:lang w:val="en-US" w:bidi="ar-SA"/>
        </w:rPr>
        <w:t>13569161378</w:t>
      </w:r>
      <w:r>
        <w:rPr>
          <w:rFonts w:hint="eastAsia" w:ascii="宋体" w:hAnsi="宋体" w:eastAsia="宋体" w:cs="宋体"/>
          <w:color w:val="auto"/>
          <w:spacing w:val="0"/>
          <w:w w:val="100"/>
          <w:kern w:val="2"/>
          <w:sz w:val="21"/>
          <w:szCs w:val="24"/>
          <w:highlight w:val="none"/>
          <w:lang w:val="en-US" w:bidi="ar-SA"/>
        </w:rPr>
        <w:t>；</w:t>
      </w:r>
    </w:p>
    <w:p w14:paraId="0F7CA8B7">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电子信箱：</w:t>
      </w:r>
      <w:r>
        <w:rPr>
          <w:rFonts w:hint="eastAsia" w:ascii="宋体" w:hAnsi="宋体" w:eastAsia="宋体" w:cs="宋体"/>
          <w:color w:val="auto"/>
          <w:spacing w:val="0"/>
          <w:w w:val="100"/>
          <w:kern w:val="2"/>
          <w:sz w:val="21"/>
          <w:szCs w:val="24"/>
          <w:highlight w:val="none"/>
          <w:u w:val="single"/>
          <w:lang w:val="en-US" w:bidi="ar-SA"/>
        </w:rPr>
        <w:t>1263789679@qq.com</w:t>
      </w:r>
      <w:r>
        <w:rPr>
          <w:rFonts w:hint="eastAsia" w:ascii="宋体" w:hAnsi="宋体" w:eastAsia="宋体" w:cs="宋体"/>
          <w:color w:val="auto"/>
          <w:spacing w:val="0"/>
          <w:w w:val="100"/>
          <w:kern w:val="2"/>
          <w:sz w:val="21"/>
          <w:szCs w:val="24"/>
          <w:highlight w:val="none"/>
          <w:lang w:val="en-US" w:bidi="ar-SA"/>
        </w:rPr>
        <w:t>；</w:t>
      </w:r>
    </w:p>
    <w:p w14:paraId="7F7CB98C">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通信地址：</w:t>
      </w:r>
      <w:r>
        <w:rPr>
          <w:rFonts w:hint="eastAsia" w:ascii="宋体" w:hAnsi="宋体" w:eastAsia="宋体" w:cs="宋体"/>
          <w:color w:val="auto"/>
          <w:spacing w:val="0"/>
          <w:w w:val="100"/>
          <w:kern w:val="2"/>
          <w:sz w:val="21"/>
          <w:szCs w:val="24"/>
          <w:highlight w:val="none"/>
          <w:u w:val="single"/>
          <w:lang w:val="en-US" w:bidi="ar-SA"/>
        </w:rPr>
        <w:t>商丘市梁园区八一路兴业大厦西楼3层</w:t>
      </w:r>
      <w:r>
        <w:rPr>
          <w:rFonts w:hint="eastAsia" w:ascii="宋体" w:hAnsi="宋体" w:eastAsia="宋体" w:cs="宋体"/>
          <w:color w:val="auto"/>
          <w:spacing w:val="0"/>
          <w:w w:val="100"/>
          <w:kern w:val="2"/>
          <w:sz w:val="21"/>
          <w:szCs w:val="24"/>
          <w:highlight w:val="none"/>
          <w:lang w:val="en-US" w:bidi="ar-SA"/>
        </w:rPr>
        <w:t>；</w:t>
      </w:r>
    </w:p>
    <w:p w14:paraId="7F8722C6">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关于监理人的其他约定：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69D9231">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4.4 商定或确定</w:t>
      </w:r>
    </w:p>
    <w:p w14:paraId="19C2A9CB">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在发包人和承包人不能通过协商达成一致意见时，发包人授权监理人对以下事项进行确定：</w:t>
      </w:r>
    </w:p>
    <w:p w14:paraId="46198231">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w:t>
      </w:r>
      <w:r>
        <w:rPr>
          <w:rFonts w:hint="eastAsia" w:ascii="宋体" w:hAnsi="宋体" w:eastAsia="宋体" w:cs="宋体"/>
          <w:color w:val="auto"/>
          <w:spacing w:val="0"/>
          <w:w w:val="100"/>
          <w:kern w:val="2"/>
          <w:sz w:val="21"/>
          <w:szCs w:val="24"/>
          <w:highlight w:val="none"/>
          <w:u w:val="single"/>
          <w:lang w:val="en-US" w:bidi="ar-SA"/>
        </w:rPr>
        <w:t>无</w:t>
      </w:r>
      <w:r>
        <w:rPr>
          <w:rFonts w:hint="eastAsia" w:ascii="宋体" w:hAnsi="宋体" w:eastAsia="宋体" w:cs="宋体"/>
          <w:color w:val="auto"/>
          <w:spacing w:val="0"/>
          <w:w w:val="100"/>
          <w:kern w:val="2"/>
          <w:sz w:val="21"/>
          <w:szCs w:val="24"/>
          <w:highlight w:val="none"/>
          <w:lang w:val="en-US" w:bidi="ar-SA"/>
        </w:rPr>
        <w:t>；</w:t>
      </w:r>
    </w:p>
    <w:p w14:paraId="2D1B3053">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w:t>
      </w:r>
      <w:r>
        <w:rPr>
          <w:rFonts w:hint="eastAsia" w:ascii="宋体" w:hAnsi="宋体" w:eastAsia="宋体" w:cs="宋体"/>
          <w:color w:val="auto"/>
          <w:spacing w:val="0"/>
          <w:w w:val="100"/>
          <w:kern w:val="2"/>
          <w:sz w:val="21"/>
          <w:szCs w:val="24"/>
          <w:highlight w:val="none"/>
          <w:u w:val="single"/>
          <w:lang w:val="en-US" w:bidi="ar-SA"/>
        </w:rPr>
        <w:t>无</w:t>
      </w:r>
      <w:r>
        <w:rPr>
          <w:rFonts w:hint="eastAsia" w:ascii="宋体" w:hAnsi="宋体" w:eastAsia="宋体" w:cs="宋体"/>
          <w:color w:val="auto"/>
          <w:spacing w:val="0"/>
          <w:w w:val="100"/>
          <w:kern w:val="2"/>
          <w:sz w:val="21"/>
          <w:szCs w:val="24"/>
          <w:highlight w:val="none"/>
          <w:lang w:val="en-US" w:bidi="ar-SA"/>
        </w:rPr>
        <w:t>；</w:t>
      </w:r>
    </w:p>
    <w:p w14:paraId="2EF9D1B5">
      <w:pPr>
        <w:pageBreakBefore w:val="0"/>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w:t>
      </w:r>
      <w:r>
        <w:rPr>
          <w:rFonts w:hint="eastAsia" w:ascii="宋体" w:hAnsi="宋体" w:eastAsia="宋体" w:cs="宋体"/>
          <w:color w:val="auto"/>
          <w:spacing w:val="0"/>
          <w:w w:val="100"/>
          <w:kern w:val="2"/>
          <w:sz w:val="21"/>
          <w:szCs w:val="24"/>
          <w:highlight w:val="none"/>
          <w:u w:val="single"/>
          <w:lang w:val="en-US" w:bidi="ar-SA"/>
        </w:rPr>
        <w:t>无</w:t>
      </w:r>
      <w:r>
        <w:rPr>
          <w:rFonts w:hint="eastAsia" w:ascii="宋体" w:hAnsi="宋体" w:eastAsia="宋体" w:cs="宋体"/>
          <w:color w:val="auto"/>
          <w:spacing w:val="0"/>
          <w:w w:val="100"/>
          <w:kern w:val="2"/>
          <w:sz w:val="21"/>
          <w:szCs w:val="24"/>
          <w:highlight w:val="none"/>
          <w:lang w:val="en-US" w:bidi="ar-SA"/>
        </w:rPr>
        <w:t>。</w:t>
      </w:r>
    </w:p>
    <w:p w14:paraId="03B7B406">
      <w:pPr>
        <w:keepNext/>
        <w:keepLines/>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178" w:name="_Toc22911706"/>
      <w:r>
        <w:rPr>
          <w:rFonts w:hint="eastAsia" w:ascii="宋体" w:hAnsi="宋体" w:eastAsia="宋体" w:cs="宋体"/>
          <w:b/>
          <w:color w:val="auto"/>
          <w:spacing w:val="0"/>
          <w:w w:val="100"/>
          <w:kern w:val="2"/>
          <w:sz w:val="21"/>
          <w:szCs w:val="28"/>
          <w:highlight w:val="none"/>
          <w:lang w:val="en-US" w:bidi="ar-SA"/>
        </w:rPr>
        <w:t>5</w:t>
      </w:r>
      <w:bookmarkStart w:id="179" w:name="_Toc297048349"/>
      <w:bookmarkStart w:id="180" w:name="_Toc296890991"/>
      <w:bookmarkStart w:id="181" w:name="_Toc296346664"/>
      <w:bookmarkStart w:id="182" w:name="_Toc296347162"/>
      <w:bookmarkStart w:id="183" w:name="_Toc297120463"/>
      <w:bookmarkStart w:id="184" w:name="_Toc292559367"/>
      <w:bookmarkStart w:id="185" w:name="_Toc296944502"/>
      <w:bookmarkStart w:id="186" w:name="_Toc296503163"/>
      <w:bookmarkStart w:id="187" w:name="_Toc296891203"/>
      <w:bookmarkStart w:id="188" w:name="_Toc292559872"/>
      <w:r>
        <w:rPr>
          <w:rFonts w:hint="eastAsia" w:ascii="宋体" w:hAnsi="宋体" w:eastAsia="宋体" w:cs="宋体"/>
          <w:b/>
          <w:color w:val="auto"/>
          <w:spacing w:val="0"/>
          <w:w w:val="100"/>
          <w:kern w:val="2"/>
          <w:sz w:val="21"/>
          <w:szCs w:val="28"/>
          <w:highlight w:val="none"/>
          <w:lang w:val="en-US" w:bidi="ar-SA"/>
        </w:rPr>
        <w:t>. 工程质量</w:t>
      </w:r>
      <w:bookmarkEnd w:id="178"/>
    </w:p>
    <w:p w14:paraId="047FDB77">
      <w:pPr>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189" w:name="_Toc22911707"/>
      <w:bookmarkStart w:id="190" w:name="_Toc1230"/>
      <w:bookmarkStart w:id="191" w:name="_Toc31633"/>
      <w:bookmarkStart w:id="192" w:name="_Toc29218"/>
      <w:r>
        <w:rPr>
          <w:rFonts w:hint="eastAsia" w:ascii="宋体" w:hAnsi="宋体" w:eastAsia="宋体" w:cs="宋体"/>
          <w:b/>
          <w:bCs/>
          <w:color w:val="auto"/>
          <w:spacing w:val="0"/>
          <w:w w:val="100"/>
          <w:kern w:val="2"/>
          <w:sz w:val="21"/>
          <w:szCs w:val="24"/>
          <w:highlight w:val="none"/>
          <w:lang w:val="en-US" w:bidi="ar-SA"/>
        </w:rPr>
        <w:t>5.1 质量要求</w:t>
      </w:r>
      <w:bookmarkEnd w:id="189"/>
      <w:bookmarkEnd w:id="190"/>
      <w:bookmarkEnd w:id="191"/>
      <w:bookmarkEnd w:id="192"/>
    </w:p>
    <w:p w14:paraId="48CB3721">
      <w:pPr>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5.1.1 </w:t>
      </w:r>
      <w:r>
        <w:rPr>
          <w:rFonts w:hint="eastAsia" w:ascii="宋体" w:hAnsi="宋体" w:eastAsia="宋体" w:cs="宋体"/>
          <w:color w:val="auto"/>
          <w:spacing w:val="0"/>
          <w:w w:val="100"/>
          <w:kern w:val="2"/>
          <w:sz w:val="21"/>
          <w:szCs w:val="24"/>
          <w:highlight w:val="none"/>
          <w:lang w:val="en-US" w:bidi="ar-SA"/>
        </w:rPr>
        <w:t>特殊质量标准和要求：</w:t>
      </w:r>
      <w:r>
        <w:rPr>
          <w:rFonts w:hint="eastAsia" w:ascii="宋体" w:hAnsi="宋体" w:eastAsia="宋体" w:cs="宋体"/>
          <w:color w:val="auto"/>
          <w:spacing w:val="0"/>
          <w:w w:val="100"/>
          <w:kern w:val="2"/>
          <w:sz w:val="21"/>
          <w:szCs w:val="24"/>
          <w:highlight w:val="none"/>
          <w:u w:val="single"/>
          <w:lang w:val="en-US" w:bidi="ar-SA"/>
        </w:rPr>
        <w:t>符合（现行工程施工质量验收规范）合格标准</w:t>
      </w:r>
      <w:r>
        <w:rPr>
          <w:rFonts w:hint="eastAsia" w:ascii="宋体" w:hAnsi="宋体" w:eastAsia="宋体" w:cs="宋体"/>
          <w:color w:val="auto"/>
          <w:spacing w:val="0"/>
          <w:w w:val="100"/>
          <w:kern w:val="2"/>
          <w:sz w:val="21"/>
          <w:szCs w:val="24"/>
          <w:highlight w:val="none"/>
          <w:lang w:val="en-US" w:bidi="ar-SA"/>
        </w:rPr>
        <w:t>。</w:t>
      </w:r>
    </w:p>
    <w:p w14:paraId="09B8D1DF">
      <w:pPr>
        <w:pageBreakBefore w:val="0"/>
        <w:widowControl/>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关于工程奖项的约定： </w:t>
      </w:r>
      <w:r>
        <w:rPr>
          <w:rFonts w:hint="eastAsia" w:ascii="宋体" w:hAnsi="宋体" w:eastAsia="宋体" w:cs="宋体"/>
          <w:color w:val="auto"/>
          <w:spacing w:val="0"/>
          <w:w w:val="100"/>
          <w:kern w:val="2"/>
          <w:sz w:val="21"/>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 xml:space="preserve"> </w:t>
      </w:r>
    </w:p>
    <w:p w14:paraId="7E0DA2C3">
      <w:pPr>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193" w:name="_Toc1220"/>
      <w:bookmarkStart w:id="194" w:name="_Toc8769"/>
      <w:bookmarkStart w:id="195" w:name="_Toc16994"/>
      <w:bookmarkStart w:id="196" w:name="_Toc22911708"/>
      <w:r>
        <w:rPr>
          <w:rFonts w:hint="eastAsia" w:ascii="宋体" w:hAnsi="宋体" w:eastAsia="宋体" w:cs="宋体"/>
          <w:b/>
          <w:bCs/>
          <w:color w:val="auto"/>
          <w:spacing w:val="0"/>
          <w:w w:val="100"/>
          <w:kern w:val="2"/>
          <w:sz w:val="21"/>
          <w:szCs w:val="24"/>
          <w:highlight w:val="none"/>
          <w:lang w:val="en-US" w:bidi="ar-SA"/>
        </w:rPr>
        <w:t>5.3 隐蔽工程检查</w:t>
      </w:r>
      <w:bookmarkEnd w:id="193"/>
      <w:bookmarkEnd w:id="194"/>
      <w:bookmarkEnd w:id="195"/>
      <w:bookmarkEnd w:id="196"/>
    </w:p>
    <w:p w14:paraId="2602B910">
      <w:pPr>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5.3.2</w:t>
      </w:r>
      <w:r>
        <w:rPr>
          <w:rFonts w:hint="eastAsia" w:ascii="宋体" w:hAnsi="宋体" w:eastAsia="宋体" w:cs="宋体"/>
          <w:color w:val="auto"/>
          <w:spacing w:val="0"/>
          <w:w w:val="100"/>
          <w:kern w:val="2"/>
          <w:sz w:val="21"/>
          <w:szCs w:val="24"/>
          <w:highlight w:val="none"/>
          <w:lang w:val="en-US" w:bidi="ar-SA"/>
        </w:rPr>
        <w:t>承包人提前通知发包人隐蔽工程检查的期限的约定：</w:t>
      </w:r>
      <w:r>
        <w:rPr>
          <w:rFonts w:hint="eastAsia" w:ascii="宋体" w:hAnsi="宋体" w:eastAsia="宋体" w:cs="宋体"/>
          <w:color w:val="auto"/>
          <w:spacing w:val="0"/>
          <w:w w:val="100"/>
          <w:kern w:val="2"/>
          <w:sz w:val="21"/>
          <w:szCs w:val="24"/>
          <w:highlight w:val="none"/>
          <w:u w:val="single"/>
          <w:lang w:val="en-US" w:bidi="ar-SA"/>
        </w:rPr>
        <w:t>48</w:t>
      </w:r>
      <w:r>
        <w:rPr>
          <w:rFonts w:hint="eastAsia" w:ascii="宋体" w:hAnsi="宋体" w:eastAsia="宋体" w:cs="宋体"/>
          <w:color w:val="auto"/>
          <w:spacing w:val="0"/>
          <w:w w:val="100"/>
          <w:kern w:val="2"/>
          <w:sz w:val="21"/>
          <w:szCs w:val="24"/>
          <w:highlight w:val="none"/>
          <w:lang w:val="en-US" w:bidi="ar-SA"/>
        </w:rPr>
        <w:t>小时。</w:t>
      </w:r>
    </w:p>
    <w:p w14:paraId="3EC1EE55">
      <w:pPr>
        <w:pageBreakBefore w:val="0"/>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发包人不能按时进行检查时，应提前</w:t>
      </w:r>
      <w:r>
        <w:rPr>
          <w:rFonts w:hint="eastAsia" w:ascii="宋体" w:hAnsi="宋体" w:eastAsia="宋体" w:cs="宋体"/>
          <w:color w:val="auto"/>
          <w:spacing w:val="0"/>
          <w:w w:val="100"/>
          <w:kern w:val="2"/>
          <w:sz w:val="21"/>
          <w:szCs w:val="24"/>
          <w:highlight w:val="none"/>
          <w:u w:val="single"/>
          <w:lang w:val="en-US" w:bidi="ar-SA"/>
        </w:rPr>
        <w:t>24</w:t>
      </w:r>
      <w:r>
        <w:rPr>
          <w:rFonts w:hint="eastAsia" w:ascii="宋体" w:hAnsi="宋体" w:eastAsia="宋体" w:cs="宋体"/>
          <w:color w:val="auto"/>
          <w:spacing w:val="0"/>
          <w:w w:val="100"/>
          <w:kern w:val="2"/>
          <w:sz w:val="21"/>
          <w:szCs w:val="24"/>
          <w:highlight w:val="none"/>
          <w:lang w:val="en-US" w:bidi="ar-SA"/>
        </w:rPr>
        <w:t>小时提交书面延期要求。</w:t>
      </w:r>
    </w:p>
    <w:p w14:paraId="0F9F017D">
      <w:pPr>
        <w:pageBreakBefore w:val="0"/>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关于延期最长不得超过：</w:t>
      </w:r>
      <w:r>
        <w:rPr>
          <w:rFonts w:hint="eastAsia" w:ascii="宋体" w:hAnsi="宋体" w:eastAsia="宋体" w:cs="宋体"/>
          <w:color w:val="auto"/>
          <w:spacing w:val="0"/>
          <w:w w:val="100"/>
          <w:kern w:val="2"/>
          <w:sz w:val="21"/>
          <w:szCs w:val="24"/>
          <w:highlight w:val="none"/>
          <w:u w:val="single"/>
          <w:lang w:val="en-US" w:bidi="ar-SA"/>
        </w:rPr>
        <w:t>48</w:t>
      </w:r>
      <w:r>
        <w:rPr>
          <w:rFonts w:hint="eastAsia" w:ascii="宋体" w:hAnsi="宋体" w:eastAsia="宋体" w:cs="宋体"/>
          <w:color w:val="auto"/>
          <w:spacing w:val="0"/>
          <w:w w:val="100"/>
          <w:kern w:val="2"/>
          <w:sz w:val="21"/>
          <w:szCs w:val="24"/>
          <w:highlight w:val="none"/>
          <w:lang w:val="en-US" w:bidi="ar-SA"/>
        </w:rPr>
        <w:t>小时。</w:t>
      </w:r>
    </w:p>
    <w:p w14:paraId="57F454D9">
      <w:pPr>
        <w:keepNext/>
        <w:keepLines/>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197" w:name="_Toc22911709"/>
      <w:r>
        <w:rPr>
          <w:rFonts w:hint="eastAsia" w:ascii="宋体" w:hAnsi="宋体" w:eastAsia="宋体" w:cs="宋体"/>
          <w:b/>
          <w:color w:val="auto"/>
          <w:spacing w:val="0"/>
          <w:w w:val="100"/>
          <w:kern w:val="2"/>
          <w:sz w:val="21"/>
          <w:szCs w:val="28"/>
          <w:highlight w:val="none"/>
          <w:lang w:val="en-US" w:bidi="ar-SA"/>
        </w:rPr>
        <w:t>6. 安全文明施工与环境保护</w:t>
      </w:r>
      <w:bookmarkEnd w:id="197"/>
    </w:p>
    <w:p w14:paraId="70038399">
      <w:pPr>
        <w:pageBreakBefore w:val="0"/>
        <w:kinsoku/>
        <w:wordWrap/>
        <w:overflowPunct/>
        <w:topLinePunct w:val="0"/>
        <w:autoSpaceDE/>
        <w:autoSpaceDN/>
        <w:bidi w:val="0"/>
        <w:adjustRightInd w:val="0"/>
        <w:snapToGrid w:val="0"/>
        <w:spacing w:line="360" w:lineRule="auto"/>
        <w:ind w:left="0" w:leftChars="0"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6.1安全文明施工</w:t>
      </w:r>
    </w:p>
    <w:p w14:paraId="21CB600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6.1.1</w:t>
      </w:r>
      <w:r>
        <w:rPr>
          <w:rFonts w:hint="eastAsia" w:ascii="宋体" w:hAnsi="宋体" w:eastAsia="宋体" w:cs="宋体"/>
          <w:color w:val="auto"/>
          <w:spacing w:val="0"/>
          <w:w w:val="100"/>
          <w:kern w:val="2"/>
          <w:sz w:val="21"/>
          <w:szCs w:val="24"/>
          <w:highlight w:val="none"/>
          <w:lang w:val="en-US" w:bidi="ar-SA"/>
        </w:rPr>
        <w:t xml:space="preserve"> 项目安全生产的达标目标及相应事项的约定：</w:t>
      </w:r>
      <w:r>
        <w:rPr>
          <w:rFonts w:hint="eastAsia" w:ascii="宋体" w:hAnsi="宋体" w:eastAsia="宋体" w:cs="宋体"/>
          <w:color w:val="auto"/>
          <w:spacing w:val="0"/>
          <w:w w:val="100"/>
          <w:kern w:val="2"/>
          <w:sz w:val="21"/>
          <w:szCs w:val="24"/>
          <w:highlight w:val="none"/>
          <w:u w:val="single"/>
          <w:lang w:val="en-US" w:bidi="ar-SA"/>
        </w:rPr>
        <w:t xml:space="preserve"> 1.承包人应针对本工程特点制定出相应的安全文明施工措施，还要对其工作人员进行安全教育，凡因承包人违反安全措施而造成的罚款、人身伤亡事故或伤害他人事故，均由承包人负责。2.施工现场的卫生标准、噪声标准应满足国家有关规定，施工中因违反规定造成的损失和发生的费用由承包人负责</w:t>
      </w:r>
      <w:r>
        <w:rPr>
          <w:rFonts w:hint="eastAsia" w:ascii="宋体" w:hAnsi="宋体" w:eastAsia="宋体" w:cs="宋体"/>
          <w:color w:val="auto"/>
          <w:spacing w:val="0"/>
          <w:w w:val="100"/>
          <w:kern w:val="2"/>
          <w:sz w:val="21"/>
          <w:szCs w:val="24"/>
          <w:highlight w:val="none"/>
          <w:lang w:val="en-US" w:bidi="ar-SA"/>
        </w:rPr>
        <w:t>。</w:t>
      </w:r>
    </w:p>
    <w:p w14:paraId="10164354">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6.1.4 </w:t>
      </w:r>
      <w:r>
        <w:rPr>
          <w:rFonts w:hint="eastAsia" w:ascii="宋体" w:hAnsi="宋体" w:eastAsia="宋体" w:cs="宋体"/>
          <w:color w:val="auto"/>
          <w:spacing w:val="0"/>
          <w:w w:val="100"/>
          <w:kern w:val="2"/>
          <w:sz w:val="21"/>
          <w:szCs w:val="24"/>
          <w:highlight w:val="none"/>
          <w:lang w:val="en-US" w:bidi="ar-SA"/>
        </w:rPr>
        <w:t>关于治安保卫的特别约定：</w:t>
      </w:r>
      <w:r>
        <w:rPr>
          <w:rFonts w:hint="eastAsia" w:ascii="宋体" w:hAnsi="宋体" w:eastAsia="宋体" w:cs="宋体"/>
          <w:color w:val="auto"/>
          <w:spacing w:val="0"/>
          <w:w w:val="100"/>
          <w:kern w:val="2"/>
          <w:sz w:val="21"/>
          <w:szCs w:val="24"/>
          <w:highlight w:val="none"/>
          <w:u w:val="single"/>
          <w:lang w:val="en-US" w:bidi="ar-SA"/>
        </w:rPr>
        <w:t>由承包人负责并承担相应的费用</w:t>
      </w:r>
      <w:r>
        <w:rPr>
          <w:rFonts w:hint="eastAsia" w:ascii="宋体" w:hAnsi="宋体" w:eastAsia="宋体" w:cs="宋体"/>
          <w:color w:val="auto"/>
          <w:spacing w:val="0"/>
          <w:w w:val="100"/>
          <w:kern w:val="2"/>
          <w:sz w:val="21"/>
          <w:szCs w:val="24"/>
          <w:highlight w:val="none"/>
          <w:lang w:val="en-US" w:bidi="ar-SA"/>
        </w:rPr>
        <w:t>。</w:t>
      </w:r>
    </w:p>
    <w:p w14:paraId="79FE298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关于编制施工场地治安管理计划的约定：</w:t>
      </w:r>
      <w:r>
        <w:rPr>
          <w:rFonts w:hint="eastAsia" w:ascii="宋体" w:hAnsi="宋体" w:eastAsia="宋体" w:cs="宋体"/>
          <w:color w:val="auto"/>
          <w:spacing w:val="0"/>
          <w:w w:val="100"/>
          <w:kern w:val="2"/>
          <w:sz w:val="21"/>
          <w:szCs w:val="24"/>
          <w:highlight w:val="none"/>
          <w:u w:val="single"/>
          <w:lang w:val="en-US" w:bidi="ar-SA"/>
        </w:rPr>
        <w:t>由承包人负责并承担相应的费用</w:t>
      </w:r>
      <w:r>
        <w:rPr>
          <w:rFonts w:hint="eastAsia" w:ascii="宋体" w:hAnsi="宋体" w:eastAsia="宋体" w:cs="宋体"/>
          <w:color w:val="auto"/>
          <w:spacing w:val="0"/>
          <w:w w:val="100"/>
          <w:kern w:val="2"/>
          <w:sz w:val="21"/>
          <w:szCs w:val="24"/>
          <w:highlight w:val="none"/>
          <w:lang w:val="en-US" w:bidi="ar-SA"/>
        </w:rPr>
        <w:t>。</w:t>
      </w:r>
    </w:p>
    <w:p w14:paraId="30D117E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6.1.5 </w:t>
      </w:r>
      <w:r>
        <w:rPr>
          <w:rFonts w:hint="eastAsia" w:ascii="宋体" w:hAnsi="宋体" w:eastAsia="宋体" w:cs="宋体"/>
          <w:color w:val="auto"/>
          <w:spacing w:val="0"/>
          <w:w w:val="100"/>
          <w:kern w:val="2"/>
          <w:sz w:val="21"/>
          <w:szCs w:val="24"/>
          <w:highlight w:val="none"/>
          <w:lang w:val="en-US" w:bidi="ar-SA"/>
        </w:rPr>
        <w:t>文明施工</w:t>
      </w:r>
    </w:p>
    <w:p w14:paraId="21EEFDB4">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合同当事人对文明施工的要求：</w:t>
      </w:r>
      <w:r>
        <w:rPr>
          <w:rFonts w:hint="eastAsia" w:ascii="宋体" w:hAnsi="宋体" w:eastAsia="宋体" w:cs="宋体"/>
          <w:color w:val="auto"/>
          <w:spacing w:val="0"/>
          <w:w w:val="100"/>
          <w:kern w:val="2"/>
          <w:sz w:val="21"/>
          <w:szCs w:val="24"/>
          <w:highlight w:val="none"/>
          <w:u w:val="single"/>
          <w:lang w:val="en-US" w:bidi="ar-SA"/>
        </w:rPr>
        <w:t>承包人应按文明施工的有关要求，确保施工场地整洁</w:t>
      </w:r>
      <w:r>
        <w:rPr>
          <w:rFonts w:hint="eastAsia" w:ascii="宋体" w:hAnsi="宋体" w:eastAsia="宋体" w:cs="宋体"/>
          <w:color w:val="auto"/>
          <w:spacing w:val="0"/>
          <w:w w:val="100"/>
          <w:kern w:val="2"/>
          <w:sz w:val="21"/>
          <w:szCs w:val="24"/>
          <w:highlight w:val="none"/>
          <w:lang w:val="en-US" w:bidi="ar-SA"/>
        </w:rPr>
        <w:t>。</w:t>
      </w:r>
    </w:p>
    <w:p w14:paraId="469FD5D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6.1.6</w:t>
      </w:r>
      <w:r>
        <w:rPr>
          <w:rFonts w:hint="eastAsia" w:ascii="宋体" w:hAnsi="宋体" w:eastAsia="宋体" w:cs="宋体"/>
          <w:color w:val="auto"/>
          <w:spacing w:val="0"/>
          <w:w w:val="100"/>
          <w:kern w:val="2"/>
          <w:sz w:val="21"/>
          <w:szCs w:val="24"/>
          <w:highlight w:val="none"/>
          <w:lang w:val="en-US" w:bidi="ar-SA"/>
        </w:rPr>
        <w:t xml:space="preserve"> 关于</w:t>
      </w:r>
      <w:r>
        <w:rPr>
          <w:rFonts w:hint="eastAsia" w:ascii="宋体" w:hAnsi="宋体" w:eastAsia="宋体" w:cs="宋体"/>
          <w:color w:val="auto"/>
          <w:spacing w:val="0"/>
          <w:w w:val="100"/>
          <w:kern w:val="2"/>
          <w:sz w:val="21"/>
          <w:szCs w:val="24"/>
          <w:highlight w:val="none"/>
          <w:lang w:val="en-US" w:eastAsia="zh-CN" w:bidi="ar-SA"/>
        </w:rPr>
        <w:t>安全生产措施费</w:t>
      </w:r>
      <w:r>
        <w:rPr>
          <w:rFonts w:hint="eastAsia" w:ascii="宋体" w:hAnsi="宋体" w:eastAsia="宋体" w:cs="宋体"/>
          <w:color w:val="auto"/>
          <w:spacing w:val="0"/>
          <w:w w:val="100"/>
          <w:kern w:val="2"/>
          <w:sz w:val="21"/>
          <w:szCs w:val="24"/>
          <w:highlight w:val="none"/>
          <w:lang w:val="en-US" w:bidi="ar-SA"/>
        </w:rPr>
        <w:t>支付比例和支付期限的约定：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5FDBA2E">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198" w:name="_Toc22911710"/>
      <w:r>
        <w:rPr>
          <w:rFonts w:hint="eastAsia" w:ascii="宋体" w:hAnsi="宋体" w:eastAsia="宋体" w:cs="宋体"/>
          <w:b/>
          <w:color w:val="auto"/>
          <w:spacing w:val="0"/>
          <w:w w:val="100"/>
          <w:kern w:val="2"/>
          <w:sz w:val="21"/>
          <w:szCs w:val="28"/>
          <w:highlight w:val="none"/>
          <w:lang w:val="en-US" w:bidi="ar-SA"/>
        </w:rPr>
        <w:t>7. 工期和进度</w:t>
      </w:r>
      <w:bookmarkEnd w:id="198"/>
    </w:p>
    <w:p w14:paraId="02B9FEB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7.1 施工组织设计</w:t>
      </w:r>
    </w:p>
    <w:p w14:paraId="4E2EC495">
      <w:pPr>
        <w:pageBreakBefore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7.1.1 </w:t>
      </w:r>
      <w:r>
        <w:rPr>
          <w:rFonts w:hint="eastAsia" w:ascii="宋体" w:hAnsi="宋体" w:eastAsia="宋体" w:cs="宋体"/>
          <w:color w:val="auto"/>
          <w:spacing w:val="0"/>
          <w:w w:val="100"/>
          <w:kern w:val="2"/>
          <w:sz w:val="21"/>
          <w:szCs w:val="24"/>
          <w:highlight w:val="none"/>
          <w:lang w:val="en-US" w:bidi="ar-SA"/>
        </w:rPr>
        <w:t>合</w:t>
      </w:r>
      <w:r>
        <w:rPr>
          <w:rFonts w:hint="eastAsia" w:ascii="宋体" w:hAnsi="宋体" w:eastAsia="宋体" w:cs="宋体"/>
          <w:color w:val="auto"/>
          <w:spacing w:val="0"/>
          <w:w w:val="100"/>
          <w:kern w:val="0"/>
          <w:sz w:val="21"/>
          <w:szCs w:val="24"/>
          <w:highlight w:val="none"/>
          <w:lang w:val="en-US" w:bidi="ar-SA"/>
        </w:rPr>
        <w:t>同当事人约定的施工组织设计应包括的其他内容：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A552C70">
      <w:pPr>
        <w:pageBreakBefore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7.1.2 </w:t>
      </w:r>
      <w:r>
        <w:rPr>
          <w:rFonts w:hint="eastAsia" w:ascii="宋体" w:hAnsi="宋体" w:eastAsia="宋体" w:cs="宋体"/>
          <w:color w:val="auto"/>
          <w:spacing w:val="0"/>
          <w:w w:val="100"/>
          <w:kern w:val="0"/>
          <w:sz w:val="21"/>
          <w:szCs w:val="24"/>
          <w:highlight w:val="none"/>
          <w:lang w:val="en-US" w:bidi="ar-SA"/>
        </w:rPr>
        <w:t>施工组织设计的提交和修改</w:t>
      </w:r>
    </w:p>
    <w:p w14:paraId="0E3E8DC2">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承包人提交详细施工组织设计的期限的约定：</w:t>
      </w:r>
      <w:r>
        <w:rPr>
          <w:rFonts w:hint="eastAsia" w:ascii="宋体" w:hAnsi="宋体" w:eastAsia="宋体" w:cs="宋体"/>
          <w:color w:val="auto"/>
          <w:spacing w:val="0"/>
          <w:w w:val="100"/>
          <w:kern w:val="0"/>
          <w:sz w:val="21"/>
          <w:szCs w:val="24"/>
          <w:highlight w:val="none"/>
          <w:u w:val="single"/>
          <w:lang w:val="en-US" w:bidi="ar-SA"/>
        </w:rPr>
        <w:t>开工前</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2"/>
          <w:sz w:val="21"/>
          <w:szCs w:val="24"/>
          <w:highlight w:val="none"/>
          <w:lang w:val="en-US" w:bidi="ar-SA"/>
        </w:rPr>
        <w:t>。</w:t>
      </w:r>
    </w:p>
    <w:p w14:paraId="0553EB1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发包人在收到详细的施工组织设计后确认或提出修改意见的期限：</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0"/>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3B600B1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199" w:name="_Toc312678005"/>
      <w:bookmarkStart w:id="200" w:name="_Toc297216173"/>
      <w:bookmarkStart w:id="201" w:name="_Toc312677479"/>
      <w:bookmarkStart w:id="202" w:name="_Toc300934966"/>
      <w:bookmarkStart w:id="203" w:name="_Toc303539123"/>
      <w:bookmarkStart w:id="204" w:name="_Toc297123514"/>
      <w:bookmarkStart w:id="205" w:name="_Toc304295541"/>
      <w:r>
        <w:rPr>
          <w:rFonts w:hint="eastAsia" w:ascii="宋体" w:hAnsi="宋体" w:eastAsia="宋体" w:cs="宋体"/>
          <w:b/>
          <w:bCs/>
          <w:color w:val="auto"/>
          <w:spacing w:val="0"/>
          <w:w w:val="100"/>
          <w:kern w:val="2"/>
          <w:sz w:val="21"/>
          <w:szCs w:val="24"/>
          <w:highlight w:val="none"/>
          <w:lang w:val="en-US" w:bidi="ar-SA"/>
        </w:rPr>
        <w:t>.2 施工进度计划</w:t>
      </w:r>
    </w:p>
    <w:p w14:paraId="76B6D3E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7.2.2 </w:t>
      </w:r>
      <w:r>
        <w:rPr>
          <w:rFonts w:hint="eastAsia" w:ascii="宋体" w:hAnsi="宋体" w:eastAsia="宋体" w:cs="宋体"/>
          <w:color w:val="auto"/>
          <w:spacing w:val="0"/>
          <w:w w:val="100"/>
          <w:kern w:val="2"/>
          <w:sz w:val="21"/>
          <w:szCs w:val="24"/>
          <w:highlight w:val="none"/>
          <w:lang w:val="en-US" w:bidi="ar-SA"/>
        </w:rPr>
        <w:t>施工进度计划的修订</w:t>
      </w:r>
    </w:p>
    <w:p w14:paraId="2720596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发包人在收到修订的施工进度计划后确认或提出修改意见的期限：</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2"/>
          <w:sz w:val="21"/>
          <w:szCs w:val="24"/>
          <w:highlight w:val="none"/>
          <w:lang w:val="en-US" w:bidi="ar-SA"/>
        </w:rPr>
        <w:t>。</w:t>
      </w:r>
    </w:p>
    <w:p w14:paraId="2F762984">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7.3 开工</w:t>
      </w:r>
    </w:p>
    <w:p w14:paraId="51450C7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7.3.1 </w:t>
      </w:r>
      <w:r>
        <w:rPr>
          <w:rFonts w:hint="eastAsia" w:ascii="宋体" w:hAnsi="宋体" w:eastAsia="宋体" w:cs="宋体"/>
          <w:color w:val="auto"/>
          <w:spacing w:val="0"/>
          <w:w w:val="100"/>
          <w:kern w:val="2"/>
          <w:sz w:val="21"/>
          <w:szCs w:val="24"/>
          <w:highlight w:val="none"/>
          <w:lang w:val="en-US" w:bidi="ar-SA"/>
        </w:rPr>
        <w:t>开工准备</w:t>
      </w:r>
    </w:p>
    <w:p w14:paraId="72344BDC">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关于承包人提交</w:t>
      </w:r>
      <w:r>
        <w:rPr>
          <w:rFonts w:hint="eastAsia" w:ascii="宋体" w:hAnsi="宋体" w:eastAsia="宋体" w:cs="宋体"/>
          <w:color w:val="auto"/>
          <w:spacing w:val="0"/>
          <w:w w:val="100"/>
          <w:kern w:val="0"/>
          <w:sz w:val="21"/>
          <w:szCs w:val="24"/>
          <w:highlight w:val="none"/>
          <w:lang w:val="en-US" w:bidi="ar-SA"/>
        </w:rPr>
        <w:t>工程开工报审表的期限：</w:t>
      </w:r>
      <w:r>
        <w:rPr>
          <w:rFonts w:hint="eastAsia" w:ascii="宋体" w:hAnsi="宋体" w:eastAsia="宋体" w:cs="宋体"/>
          <w:color w:val="auto"/>
          <w:spacing w:val="0"/>
          <w:w w:val="100"/>
          <w:kern w:val="0"/>
          <w:sz w:val="21"/>
          <w:szCs w:val="24"/>
          <w:highlight w:val="none"/>
          <w:u w:val="single"/>
          <w:lang w:val="en-US" w:bidi="ar-SA"/>
        </w:rPr>
        <w:t>开工前</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2"/>
          <w:sz w:val="21"/>
          <w:szCs w:val="24"/>
          <w:highlight w:val="none"/>
          <w:lang w:val="en-US" w:bidi="ar-SA"/>
        </w:rPr>
        <w:t>。</w:t>
      </w:r>
    </w:p>
    <w:p w14:paraId="2E9C77D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关于发包人应完成的其他开工准备工作及期限：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F8C648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关于承包人应完成的其他开工准备工作及期限：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4DEE05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7.3.2</w:t>
      </w:r>
      <w:r>
        <w:rPr>
          <w:rFonts w:hint="eastAsia" w:ascii="宋体" w:hAnsi="宋体" w:eastAsia="宋体" w:cs="宋体"/>
          <w:color w:val="auto"/>
          <w:spacing w:val="0"/>
          <w:w w:val="100"/>
          <w:kern w:val="2"/>
          <w:sz w:val="21"/>
          <w:szCs w:val="24"/>
          <w:highlight w:val="none"/>
          <w:lang w:val="en-US" w:bidi="ar-SA"/>
        </w:rPr>
        <w:t>开工通知</w:t>
      </w:r>
    </w:p>
    <w:p w14:paraId="21C393F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因发包人原因造成承包人未能在计划开工日期之日起</w:t>
      </w:r>
      <w:r>
        <w:rPr>
          <w:rFonts w:hint="eastAsia" w:ascii="宋体" w:hAnsi="宋体" w:eastAsia="宋体" w:cs="宋体"/>
          <w:color w:val="auto"/>
          <w:spacing w:val="0"/>
          <w:w w:val="100"/>
          <w:kern w:val="2"/>
          <w:sz w:val="21"/>
          <w:szCs w:val="24"/>
          <w:highlight w:val="none"/>
          <w:u w:val="single"/>
          <w:lang w:val="en-US" w:bidi="ar-SA"/>
        </w:rPr>
        <w:t>180</w:t>
      </w:r>
      <w:r>
        <w:rPr>
          <w:rFonts w:hint="eastAsia" w:ascii="宋体" w:hAnsi="宋体" w:eastAsia="宋体" w:cs="宋体"/>
          <w:color w:val="auto"/>
          <w:spacing w:val="0"/>
          <w:w w:val="100"/>
          <w:kern w:val="2"/>
          <w:sz w:val="21"/>
          <w:szCs w:val="24"/>
          <w:highlight w:val="none"/>
          <w:lang w:val="en-US" w:bidi="ar-SA"/>
        </w:rPr>
        <w:t>天内发出开工通知的，承包人有权提出价格调整要求，或者解除合同。</w:t>
      </w:r>
    </w:p>
    <w:bookmarkEnd w:id="199"/>
    <w:bookmarkEnd w:id="200"/>
    <w:bookmarkEnd w:id="201"/>
    <w:bookmarkEnd w:id="202"/>
    <w:bookmarkEnd w:id="203"/>
    <w:bookmarkEnd w:id="204"/>
    <w:bookmarkEnd w:id="205"/>
    <w:p w14:paraId="0058BA5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7.4 测量放线</w:t>
      </w:r>
    </w:p>
    <w:p w14:paraId="4490DC7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
          <w:bCs/>
          <w:color w:val="auto"/>
          <w:spacing w:val="0"/>
          <w:w w:val="100"/>
          <w:kern w:val="2"/>
          <w:sz w:val="21"/>
          <w:szCs w:val="24"/>
          <w:highlight w:val="none"/>
          <w:lang w:val="en-US" w:bidi="ar-SA"/>
        </w:rPr>
        <w:t>7.4.1</w:t>
      </w:r>
      <w:r>
        <w:rPr>
          <w:rFonts w:hint="eastAsia" w:ascii="宋体" w:hAnsi="宋体" w:eastAsia="宋体" w:cs="宋体"/>
          <w:color w:val="auto"/>
          <w:spacing w:val="0"/>
          <w:w w:val="100"/>
          <w:kern w:val="2"/>
          <w:sz w:val="21"/>
          <w:szCs w:val="24"/>
          <w:highlight w:val="none"/>
          <w:lang w:val="en-US" w:bidi="ar-SA"/>
        </w:rPr>
        <w:t>发包人向承包人提供测量基准点、基准线和水准点及其书面资料的期限：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19D2DD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06" w:name="_Toc300934968"/>
      <w:bookmarkStart w:id="207" w:name="_Toc297216175"/>
      <w:bookmarkStart w:id="208" w:name="_Toc312678010"/>
      <w:bookmarkStart w:id="209" w:name="_Toc297123516"/>
      <w:bookmarkStart w:id="210" w:name="_Toc303539125"/>
      <w:bookmarkStart w:id="211" w:name="_Toc312677484"/>
      <w:bookmarkStart w:id="212" w:name="_Toc304295546"/>
      <w:r>
        <w:rPr>
          <w:rFonts w:hint="eastAsia" w:ascii="宋体" w:hAnsi="宋体" w:eastAsia="宋体" w:cs="宋体"/>
          <w:b/>
          <w:bCs/>
          <w:color w:val="auto"/>
          <w:spacing w:val="0"/>
          <w:w w:val="100"/>
          <w:kern w:val="2"/>
          <w:sz w:val="21"/>
          <w:szCs w:val="24"/>
          <w:highlight w:val="none"/>
          <w:lang w:val="en-US" w:bidi="ar-SA"/>
        </w:rPr>
        <w:t>.5 工期延误</w:t>
      </w:r>
    </w:p>
    <w:bookmarkEnd w:id="206"/>
    <w:bookmarkEnd w:id="207"/>
    <w:bookmarkEnd w:id="208"/>
    <w:bookmarkEnd w:id="209"/>
    <w:bookmarkEnd w:id="210"/>
    <w:bookmarkEnd w:id="211"/>
    <w:bookmarkEnd w:id="212"/>
    <w:p w14:paraId="28E4201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7.5.1 </w:t>
      </w:r>
      <w:r>
        <w:rPr>
          <w:rFonts w:hint="eastAsia" w:ascii="宋体" w:hAnsi="宋体" w:eastAsia="宋体" w:cs="宋体"/>
          <w:color w:val="auto"/>
          <w:spacing w:val="0"/>
          <w:w w:val="100"/>
          <w:kern w:val="2"/>
          <w:sz w:val="21"/>
          <w:szCs w:val="24"/>
          <w:highlight w:val="none"/>
          <w:lang w:val="en-US" w:bidi="ar-SA"/>
        </w:rPr>
        <w:t>因发包人原因导致工期延误</w:t>
      </w:r>
    </w:p>
    <w:p w14:paraId="2EA8F7D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（7）因发包人原因导致工期延误的其他情形：</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595A1C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13" w:name="_Toc318581169"/>
      <w:bookmarkStart w:id="214" w:name="_Toc312677486"/>
      <w:bookmarkStart w:id="215" w:name="_Toc312678012"/>
      <w:bookmarkStart w:id="216" w:name="_Toc300934970"/>
      <w:bookmarkStart w:id="217" w:name="_Toc297123518"/>
      <w:bookmarkStart w:id="218" w:name="_Toc304295548"/>
      <w:bookmarkStart w:id="219" w:name="_Toc297216177"/>
      <w:bookmarkStart w:id="220" w:name="_Toc303539127"/>
      <w:r>
        <w:rPr>
          <w:rFonts w:hint="eastAsia" w:ascii="宋体" w:hAnsi="宋体" w:eastAsia="宋体" w:cs="宋体"/>
          <w:b/>
          <w:bCs/>
          <w:color w:val="auto"/>
          <w:spacing w:val="0"/>
          <w:w w:val="100"/>
          <w:kern w:val="2"/>
          <w:sz w:val="21"/>
          <w:szCs w:val="24"/>
          <w:highlight w:val="none"/>
          <w:lang w:val="en-US" w:bidi="ar-SA"/>
        </w:rPr>
        <w:t xml:space="preserve">.5.2 </w:t>
      </w:r>
      <w:r>
        <w:rPr>
          <w:rFonts w:hint="eastAsia" w:ascii="宋体" w:hAnsi="宋体" w:eastAsia="宋体" w:cs="宋体"/>
          <w:b/>
          <w:color w:val="auto"/>
          <w:spacing w:val="0"/>
          <w:w w:val="100"/>
          <w:kern w:val="2"/>
          <w:sz w:val="21"/>
          <w:szCs w:val="24"/>
          <w:highlight w:val="none"/>
          <w:lang w:val="en-US" w:bidi="ar-SA"/>
        </w:rPr>
        <w:t>因承包人原因导致工期延误</w:t>
      </w:r>
    </w:p>
    <w:bookmarkEnd w:id="213"/>
    <w:bookmarkEnd w:id="214"/>
    <w:bookmarkEnd w:id="215"/>
    <w:p w14:paraId="6659523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承包人必须按其投标文件中承诺的工期及合同双方确认的增减工期如期竣工。若因承包人原因造成不能按期竣工的，承包人应赔偿</w:t>
      </w:r>
      <w:r>
        <w:rPr>
          <w:rFonts w:hint="eastAsia" w:ascii="宋体" w:hAnsi="宋体" w:eastAsia="宋体" w:cs="宋体"/>
          <w:color w:val="auto"/>
          <w:spacing w:val="0"/>
          <w:w w:val="100"/>
          <w:kern w:val="2"/>
          <w:sz w:val="21"/>
          <w:szCs w:val="24"/>
          <w:highlight w:val="none"/>
          <w:u w:val="single"/>
          <w:lang w:val="en-US" w:eastAsia="zh-CN" w:bidi="ar-SA"/>
        </w:rPr>
        <w:t>采购人</w:t>
      </w:r>
      <w:r>
        <w:rPr>
          <w:rFonts w:hint="eastAsia" w:ascii="宋体" w:hAnsi="宋体" w:eastAsia="宋体" w:cs="宋体"/>
          <w:color w:val="auto"/>
          <w:spacing w:val="0"/>
          <w:w w:val="100"/>
          <w:kern w:val="2"/>
          <w:sz w:val="21"/>
          <w:szCs w:val="24"/>
          <w:highlight w:val="none"/>
          <w:u w:val="single"/>
          <w:lang w:val="en-US" w:bidi="ar-SA"/>
        </w:rPr>
        <w:t>由于拖延工期所带来的损失费，损失费的计算方法：按 2000 元/天向发包人支付违约金。</w:t>
      </w:r>
    </w:p>
    <w:bookmarkEnd w:id="216"/>
    <w:bookmarkEnd w:id="217"/>
    <w:bookmarkEnd w:id="218"/>
    <w:bookmarkEnd w:id="219"/>
    <w:bookmarkEnd w:id="220"/>
    <w:p w14:paraId="2DBA235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因承包人原因造成工期延误，逾</w:t>
      </w:r>
      <w:bookmarkStart w:id="221" w:name="_Toc312678014"/>
      <w:bookmarkStart w:id="222" w:name="_Toc318581171"/>
      <w:r>
        <w:rPr>
          <w:rFonts w:hint="eastAsia" w:ascii="宋体" w:hAnsi="宋体" w:eastAsia="宋体" w:cs="宋体"/>
          <w:color w:val="auto"/>
          <w:spacing w:val="0"/>
          <w:w w:val="100"/>
          <w:kern w:val="2"/>
          <w:sz w:val="21"/>
          <w:szCs w:val="24"/>
          <w:highlight w:val="none"/>
          <w:lang w:val="en-US" w:bidi="ar-SA"/>
        </w:rPr>
        <w:t>期竣工违约金的上限：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221"/>
    <w:bookmarkEnd w:id="222"/>
    <w:p w14:paraId="44F5AF0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23" w:name="_Toc297123519"/>
      <w:bookmarkStart w:id="224" w:name="_Toc300934971"/>
      <w:bookmarkStart w:id="225" w:name="_Toc297216178"/>
      <w:bookmarkStart w:id="226" w:name="_Toc304295549"/>
      <w:bookmarkStart w:id="227" w:name="_Toc303539128"/>
      <w:bookmarkStart w:id="228" w:name="_Toc312678015"/>
      <w:r>
        <w:rPr>
          <w:rFonts w:hint="eastAsia" w:ascii="宋体" w:hAnsi="宋体" w:eastAsia="宋体" w:cs="宋体"/>
          <w:b/>
          <w:bCs/>
          <w:color w:val="auto"/>
          <w:spacing w:val="0"/>
          <w:w w:val="100"/>
          <w:kern w:val="2"/>
          <w:sz w:val="21"/>
          <w:szCs w:val="24"/>
          <w:highlight w:val="none"/>
          <w:lang w:val="en-US" w:bidi="ar-SA"/>
        </w:rPr>
        <w:t>.6 不</w:t>
      </w:r>
      <w:bookmarkEnd w:id="223"/>
      <w:bookmarkEnd w:id="224"/>
      <w:bookmarkEnd w:id="225"/>
      <w:bookmarkEnd w:id="226"/>
      <w:bookmarkEnd w:id="227"/>
      <w:bookmarkEnd w:id="228"/>
      <w:r>
        <w:rPr>
          <w:rFonts w:hint="eastAsia" w:ascii="宋体" w:hAnsi="宋体" w:eastAsia="宋体" w:cs="宋体"/>
          <w:b/>
          <w:bCs/>
          <w:color w:val="auto"/>
          <w:spacing w:val="0"/>
          <w:w w:val="100"/>
          <w:kern w:val="2"/>
          <w:sz w:val="21"/>
          <w:szCs w:val="24"/>
          <w:highlight w:val="none"/>
          <w:lang w:val="en-US" w:bidi="ar-SA"/>
        </w:rPr>
        <w:t>利物质条件</w:t>
      </w:r>
    </w:p>
    <w:p w14:paraId="1FE88CF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229" w:name="_Toc318581172"/>
      <w:bookmarkStart w:id="230" w:name="_Toc303539129"/>
      <w:bookmarkStart w:id="231" w:name="_Toc312678016"/>
      <w:bookmarkStart w:id="232" w:name="_Toc300934972"/>
      <w:bookmarkStart w:id="233" w:name="_Toc297216179"/>
      <w:bookmarkStart w:id="234" w:name="_Toc297123520"/>
      <w:bookmarkStart w:id="235" w:name="_Toc304295550"/>
      <w:r>
        <w:rPr>
          <w:rFonts w:hint="eastAsia" w:ascii="宋体" w:hAnsi="宋体" w:eastAsia="宋体" w:cs="宋体"/>
          <w:color w:val="auto"/>
          <w:spacing w:val="0"/>
          <w:w w:val="100"/>
          <w:kern w:val="2"/>
          <w:sz w:val="21"/>
          <w:szCs w:val="24"/>
          <w:highlight w:val="none"/>
          <w:lang w:val="en-US" w:bidi="ar-SA"/>
        </w:rPr>
        <w:t>不利物质条件的其他情形和有关约定：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229"/>
    <w:bookmarkEnd w:id="230"/>
    <w:bookmarkEnd w:id="231"/>
    <w:bookmarkEnd w:id="232"/>
    <w:bookmarkEnd w:id="233"/>
    <w:bookmarkEnd w:id="234"/>
    <w:bookmarkEnd w:id="235"/>
    <w:p w14:paraId="0DE7BB7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36" w:name="_Toc297123521"/>
      <w:bookmarkStart w:id="237" w:name="_Toc300934973"/>
      <w:bookmarkStart w:id="238" w:name="_Toc303539130"/>
      <w:bookmarkStart w:id="239" w:name="_Toc312678017"/>
      <w:bookmarkStart w:id="240" w:name="_Toc304295551"/>
      <w:bookmarkStart w:id="241" w:name="_Toc297216180"/>
      <w:r>
        <w:rPr>
          <w:rFonts w:hint="eastAsia" w:ascii="宋体" w:hAnsi="宋体" w:eastAsia="宋体" w:cs="宋体"/>
          <w:b/>
          <w:bCs/>
          <w:color w:val="auto"/>
          <w:spacing w:val="0"/>
          <w:w w:val="100"/>
          <w:kern w:val="2"/>
          <w:sz w:val="21"/>
          <w:szCs w:val="24"/>
          <w:highlight w:val="none"/>
          <w:lang w:val="en-US" w:bidi="ar-SA"/>
        </w:rPr>
        <w:t>.7异常恶劣的气候条件</w:t>
      </w:r>
    </w:p>
    <w:bookmarkEnd w:id="236"/>
    <w:bookmarkEnd w:id="237"/>
    <w:bookmarkEnd w:id="238"/>
    <w:bookmarkEnd w:id="239"/>
    <w:bookmarkEnd w:id="240"/>
    <w:bookmarkEnd w:id="241"/>
    <w:p w14:paraId="157BCF7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发包人和承包人同意以下情形视为异常恶劣的气候条件：</w:t>
      </w:r>
    </w:p>
    <w:p w14:paraId="5E14765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w:t>
      </w:r>
      <w:r>
        <w:rPr>
          <w:rFonts w:hint="eastAsia" w:ascii="宋体" w:hAnsi="宋体" w:eastAsia="宋体" w:cs="宋体"/>
          <w:color w:val="auto"/>
          <w:spacing w:val="0"/>
          <w:w w:val="100"/>
          <w:kern w:val="2"/>
          <w:sz w:val="21"/>
          <w:szCs w:val="24"/>
          <w:highlight w:val="none"/>
          <w:u w:val="single"/>
          <w:lang w:val="en-US" w:bidi="ar-SA"/>
        </w:rPr>
        <w:t>强降雨、强降雪达到69mm/小时以上的（以气象台提供的资料为准）</w:t>
      </w:r>
      <w:r>
        <w:rPr>
          <w:rFonts w:hint="eastAsia" w:ascii="宋体" w:hAnsi="宋体" w:eastAsia="宋体" w:cs="宋体"/>
          <w:color w:val="auto"/>
          <w:spacing w:val="0"/>
          <w:w w:val="100"/>
          <w:kern w:val="2"/>
          <w:sz w:val="21"/>
          <w:szCs w:val="24"/>
          <w:highlight w:val="none"/>
          <w:lang w:val="en-US" w:bidi="ar-SA"/>
        </w:rPr>
        <w:t>；</w:t>
      </w:r>
    </w:p>
    <w:p w14:paraId="11CE64C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w:t>
      </w:r>
      <w:r>
        <w:rPr>
          <w:rFonts w:hint="eastAsia" w:ascii="宋体" w:hAnsi="宋体" w:eastAsia="宋体" w:cs="宋体"/>
          <w:color w:val="auto"/>
          <w:spacing w:val="0"/>
          <w:w w:val="100"/>
          <w:kern w:val="2"/>
          <w:sz w:val="21"/>
          <w:szCs w:val="24"/>
          <w:highlight w:val="none"/>
          <w:u w:val="single"/>
          <w:lang w:val="en-US" w:bidi="ar-SA"/>
        </w:rPr>
        <w:t>非正常时间的霜冻、冰雹出现</w:t>
      </w:r>
      <w:r>
        <w:rPr>
          <w:rFonts w:hint="eastAsia" w:ascii="宋体" w:hAnsi="宋体" w:eastAsia="宋体" w:cs="宋体"/>
          <w:color w:val="auto"/>
          <w:spacing w:val="0"/>
          <w:w w:val="100"/>
          <w:kern w:val="2"/>
          <w:sz w:val="21"/>
          <w:szCs w:val="24"/>
          <w:highlight w:val="none"/>
          <w:lang w:val="en-US" w:bidi="ar-SA"/>
        </w:rPr>
        <w:t>；</w:t>
      </w:r>
    </w:p>
    <w:p w14:paraId="492CFA1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w:t>
      </w:r>
      <w:r>
        <w:rPr>
          <w:rFonts w:hint="eastAsia" w:ascii="宋体" w:hAnsi="宋体" w:eastAsia="宋体" w:cs="宋体"/>
          <w:color w:val="auto"/>
          <w:spacing w:val="0"/>
          <w:w w:val="100"/>
          <w:kern w:val="2"/>
          <w:sz w:val="21"/>
          <w:szCs w:val="24"/>
          <w:highlight w:val="none"/>
          <w:u w:val="single"/>
          <w:lang w:val="en-US" w:bidi="ar-SA"/>
        </w:rPr>
        <w:t>6级以上大风持续8小时以上（以气象台提供的资料为准），以及水资源污染等</w:t>
      </w:r>
      <w:r>
        <w:rPr>
          <w:rFonts w:hint="eastAsia" w:ascii="宋体" w:hAnsi="宋体" w:eastAsia="宋体" w:cs="宋体"/>
          <w:color w:val="auto"/>
          <w:spacing w:val="0"/>
          <w:w w:val="100"/>
          <w:kern w:val="2"/>
          <w:sz w:val="21"/>
          <w:szCs w:val="24"/>
          <w:highlight w:val="none"/>
          <w:lang w:val="en-US" w:bidi="ar-SA"/>
        </w:rPr>
        <w:t>。</w:t>
      </w:r>
    </w:p>
    <w:p w14:paraId="05D9D3D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242" w:name="_Toc8148"/>
      <w:bookmarkStart w:id="243" w:name="_Toc22911711"/>
      <w:bookmarkStart w:id="244" w:name="_Toc28011"/>
      <w:r>
        <w:rPr>
          <w:rFonts w:hint="eastAsia" w:ascii="宋体" w:hAnsi="宋体" w:eastAsia="宋体" w:cs="宋体"/>
          <w:b/>
          <w:bCs/>
          <w:color w:val="auto"/>
          <w:spacing w:val="0"/>
          <w:w w:val="100"/>
          <w:kern w:val="2"/>
          <w:sz w:val="21"/>
          <w:szCs w:val="24"/>
          <w:highlight w:val="none"/>
          <w:lang w:val="en-US" w:bidi="ar-SA"/>
        </w:rPr>
        <w:t>7.9 提前竣工的奖励</w:t>
      </w:r>
      <w:bookmarkEnd w:id="242"/>
      <w:bookmarkEnd w:id="243"/>
      <w:bookmarkEnd w:id="244"/>
    </w:p>
    <w:p w14:paraId="193074B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7.9.2</w:t>
      </w:r>
      <w:r>
        <w:rPr>
          <w:rFonts w:hint="eastAsia" w:ascii="宋体" w:hAnsi="宋体" w:eastAsia="宋体" w:cs="宋体"/>
          <w:color w:val="auto"/>
          <w:spacing w:val="0"/>
          <w:w w:val="100"/>
          <w:kern w:val="2"/>
          <w:sz w:val="21"/>
          <w:szCs w:val="24"/>
          <w:highlight w:val="none"/>
          <w:lang w:val="en-US" w:bidi="ar-SA"/>
        </w:rPr>
        <w:t>提前竣工的奖励：</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45BDDE6">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245" w:name="_Toc22911712"/>
      <w:r>
        <w:rPr>
          <w:rFonts w:hint="eastAsia" w:ascii="宋体" w:hAnsi="宋体" w:eastAsia="宋体" w:cs="宋体"/>
          <w:b/>
          <w:color w:val="auto"/>
          <w:spacing w:val="0"/>
          <w:w w:val="100"/>
          <w:kern w:val="2"/>
          <w:sz w:val="21"/>
          <w:szCs w:val="28"/>
          <w:highlight w:val="none"/>
          <w:lang w:val="en-US" w:bidi="ar-SA"/>
        </w:rPr>
        <w:t>8. 材料与设备</w:t>
      </w:r>
      <w:bookmarkEnd w:id="245"/>
    </w:p>
    <w:bookmarkEnd w:id="179"/>
    <w:bookmarkEnd w:id="180"/>
    <w:bookmarkEnd w:id="181"/>
    <w:bookmarkEnd w:id="182"/>
    <w:bookmarkEnd w:id="183"/>
    <w:bookmarkEnd w:id="184"/>
    <w:bookmarkEnd w:id="185"/>
    <w:bookmarkEnd w:id="186"/>
    <w:bookmarkEnd w:id="187"/>
    <w:bookmarkEnd w:id="188"/>
    <w:p w14:paraId="387B6F5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8</w:t>
      </w:r>
      <w:bookmarkStart w:id="246" w:name="_Toc303539136"/>
      <w:bookmarkStart w:id="247" w:name="_Toc296891207"/>
      <w:bookmarkStart w:id="248" w:name="_Toc280868654"/>
      <w:bookmarkStart w:id="249" w:name="_Toc297120467"/>
      <w:bookmarkStart w:id="250" w:name="_Toc300934979"/>
      <w:bookmarkStart w:id="251" w:name="_Toc292559877"/>
      <w:bookmarkStart w:id="252" w:name="_Toc304295556"/>
      <w:bookmarkStart w:id="253" w:name="_Toc292559372"/>
      <w:bookmarkStart w:id="254" w:name="_Toc296944506"/>
      <w:bookmarkStart w:id="255" w:name="_Toc297216186"/>
      <w:bookmarkStart w:id="256" w:name="_Toc312678019"/>
      <w:bookmarkStart w:id="257" w:name="_Toc297123527"/>
      <w:bookmarkStart w:id="258" w:name="_Toc296890995"/>
      <w:bookmarkStart w:id="259" w:name="_Toc296503167"/>
      <w:bookmarkStart w:id="260" w:name="_Toc296347166"/>
      <w:bookmarkStart w:id="261" w:name="_Toc296346668"/>
      <w:bookmarkStart w:id="262" w:name="_Toc297048353"/>
      <w:bookmarkStart w:id="263" w:name="_Toc312677493"/>
      <w:bookmarkStart w:id="264" w:name="_Toc280868655"/>
      <w:bookmarkStart w:id="265" w:name="_Toc280868656"/>
      <w:bookmarkStart w:id="266" w:name="_Toc267251424"/>
      <w:r>
        <w:rPr>
          <w:rFonts w:hint="eastAsia" w:ascii="宋体" w:hAnsi="宋体" w:eastAsia="宋体" w:cs="宋体"/>
          <w:b/>
          <w:bCs/>
          <w:color w:val="auto"/>
          <w:spacing w:val="0"/>
          <w:w w:val="100"/>
          <w:kern w:val="2"/>
          <w:sz w:val="21"/>
          <w:szCs w:val="24"/>
          <w:highlight w:val="none"/>
          <w:lang w:val="en-US" w:bidi="ar-SA"/>
        </w:rPr>
        <w:t>.4材料与工程设备的保管与使用</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078FB2F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8</w:t>
      </w:r>
      <w:bookmarkStart w:id="267" w:name="_Toc292559878"/>
      <w:bookmarkStart w:id="268" w:name="_Toc292559373"/>
      <w:bookmarkStart w:id="269" w:name="_Toc304295557"/>
      <w:bookmarkStart w:id="270" w:name="_Toc318581173"/>
      <w:bookmarkStart w:id="271" w:name="_Toc297216187"/>
      <w:bookmarkStart w:id="272" w:name="_Toc297123528"/>
      <w:bookmarkStart w:id="273" w:name="_Toc297120468"/>
      <w:bookmarkStart w:id="274" w:name="_Toc296347167"/>
      <w:bookmarkStart w:id="275" w:name="_Toc296503168"/>
      <w:bookmarkStart w:id="276" w:name="_Toc300934980"/>
      <w:bookmarkStart w:id="277" w:name="_Toc312677494"/>
      <w:bookmarkStart w:id="278" w:name="_Toc303539137"/>
      <w:bookmarkStart w:id="279" w:name="_Toc297048354"/>
      <w:bookmarkStart w:id="280" w:name="_Toc296944507"/>
      <w:bookmarkStart w:id="281" w:name="_Toc296346669"/>
      <w:bookmarkStart w:id="282" w:name="_Toc312678020"/>
      <w:bookmarkStart w:id="283" w:name="_Toc296891208"/>
      <w:bookmarkStart w:id="284" w:name="_Toc296890996"/>
      <w:r>
        <w:rPr>
          <w:rFonts w:hint="eastAsia" w:ascii="宋体" w:hAnsi="宋体" w:eastAsia="宋体" w:cs="宋体"/>
          <w:b/>
          <w:bCs/>
          <w:color w:val="auto"/>
          <w:spacing w:val="0"/>
          <w:w w:val="100"/>
          <w:kern w:val="2"/>
          <w:sz w:val="21"/>
          <w:szCs w:val="24"/>
          <w:highlight w:val="none"/>
          <w:lang w:val="en-US" w:bidi="ar-SA"/>
        </w:rPr>
        <w:t>.4.1</w:t>
      </w:r>
      <w:r>
        <w:rPr>
          <w:rFonts w:hint="eastAsia" w:ascii="宋体" w:hAnsi="宋体" w:eastAsia="宋体" w:cs="宋体"/>
          <w:color w:val="auto"/>
          <w:spacing w:val="0"/>
          <w:w w:val="100"/>
          <w:kern w:val="2"/>
          <w:sz w:val="21"/>
          <w:szCs w:val="24"/>
          <w:highlight w:val="none"/>
          <w:lang w:val="en-US" w:bidi="ar-SA"/>
        </w:rPr>
        <w:t>发包人供应的材料设备的保管费用的承担：</w:t>
      </w:r>
      <w:bookmarkEnd w:id="267"/>
      <w:bookmarkEnd w:id="268"/>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0CC4FD3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285" w:name="_Toc7376"/>
      <w:bookmarkStart w:id="286" w:name="_Toc32574"/>
      <w:bookmarkStart w:id="287" w:name="_Toc22911713"/>
      <w:bookmarkStart w:id="288" w:name="_Toc17213"/>
      <w:r>
        <w:rPr>
          <w:rFonts w:hint="eastAsia" w:ascii="宋体" w:hAnsi="宋体" w:eastAsia="宋体" w:cs="宋体"/>
          <w:b/>
          <w:bCs/>
          <w:color w:val="auto"/>
          <w:spacing w:val="0"/>
          <w:w w:val="100"/>
          <w:kern w:val="2"/>
          <w:sz w:val="21"/>
          <w:szCs w:val="24"/>
          <w:highlight w:val="none"/>
          <w:lang w:val="en-US" w:bidi="ar-SA"/>
        </w:rPr>
        <w:t>8.6 样品</w:t>
      </w:r>
      <w:bookmarkEnd w:id="285"/>
      <w:bookmarkEnd w:id="286"/>
      <w:bookmarkEnd w:id="287"/>
      <w:bookmarkEnd w:id="288"/>
    </w:p>
    <w:p w14:paraId="200D31B6">
      <w:pPr>
        <w:pageBreakBefore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8.6.1</w:t>
      </w:r>
      <w:r>
        <w:rPr>
          <w:rFonts w:hint="eastAsia" w:ascii="宋体" w:hAnsi="宋体" w:eastAsia="宋体" w:cs="宋体"/>
          <w:b/>
          <w:bCs/>
          <w:color w:val="auto"/>
          <w:spacing w:val="0"/>
          <w:w w:val="100"/>
          <w:kern w:val="0"/>
          <w:sz w:val="21"/>
          <w:szCs w:val="24"/>
          <w:highlight w:val="none"/>
          <w:lang w:val="en-US" w:bidi="ar-SA"/>
        </w:rPr>
        <w:tab/>
      </w:r>
      <w:r>
        <w:rPr>
          <w:rFonts w:hint="eastAsia" w:ascii="宋体" w:hAnsi="宋体" w:eastAsia="宋体" w:cs="宋体"/>
          <w:color w:val="auto"/>
          <w:spacing w:val="0"/>
          <w:w w:val="100"/>
          <w:kern w:val="0"/>
          <w:sz w:val="21"/>
          <w:szCs w:val="24"/>
          <w:highlight w:val="none"/>
          <w:lang w:val="en-US" w:bidi="ar-SA"/>
        </w:rPr>
        <w:t>样品的报送与封存</w:t>
      </w:r>
    </w:p>
    <w:p w14:paraId="598AFFD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需要承包人报送样品的材料或工程设备，样品的种类、名称、规格、数量要求：</w:t>
      </w:r>
      <w:r>
        <w:rPr>
          <w:rFonts w:hint="eastAsia" w:ascii="宋体" w:hAnsi="宋体" w:eastAsia="宋体" w:cs="宋体"/>
          <w:color w:val="auto"/>
          <w:spacing w:val="0"/>
          <w:w w:val="100"/>
          <w:kern w:val="2"/>
          <w:sz w:val="21"/>
          <w:szCs w:val="24"/>
          <w:highlight w:val="none"/>
          <w:u w:val="single"/>
          <w:lang w:val="en-US" w:bidi="ar-SA"/>
        </w:rPr>
        <w:t>（1）承包人应按设计和有关标准要求采购工程所需材料，并提供材料、产品合格证明，报发包人代表和监理工程师签字验收认可后方可进场，不合格的材料、设备不得进场。（2）承包人采购的材料、设备在使用前，应按要求进行检验或试验，检验合格且报发包人和监理工程师签字验收认可后方可使用，不合格的材料不得使用，检验、试验费由承包人承担。（3）发包人发现在施工中有以次充好的、没有产品合格证的、经抽查检验或实验不合规格的材料或设备，承包人必须立即无条件地将这些材料或设备清理出场，并向发包人支付材料或设备价200%的经济赔偿金，赔偿对发包人造成的损失。抽检中涉及的检验、试验费由承包人承担。（4）材料在进货前由承包人组织，由发包人、承包人共同考察确定，承包人按三方认可的产品进货。不合格的材料、与样品不符的材料不准进入施工现场。否则，发包人可以强行清理出场，其费用由承包人承担，并从工程款中直接扣除 。（5）涉及到观感、档次需要在定货前确定样品的材料， 先由承包人提供样品（2个及以上品牌，每个品牌各3个以上款式），再由发包人组织相关单位临时组成遴选小组对样品进行选定确认。（6）承包人采购工程材料应充分考虑材料考察、样品确定、生产周期等各种因素，任何因材料进场不及时而造成工期延误的责任由承包人自行承担。</w:t>
      </w:r>
    </w:p>
    <w:p w14:paraId="0408D37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289" w:name="_Toc32290"/>
      <w:bookmarkStart w:id="290" w:name="_Toc22911714"/>
      <w:bookmarkStart w:id="291" w:name="_Toc4459"/>
      <w:bookmarkStart w:id="292" w:name="_Toc1375"/>
      <w:r>
        <w:rPr>
          <w:rFonts w:hint="eastAsia" w:ascii="宋体" w:hAnsi="宋体" w:eastAsia="宋体" w:cs="宋体"/>
          <w:b/>
          <w:bCs/>
          <w:color w:val="auto"/>
          <w:spacing w:val="0"/>
          <w:w w:val="100"/>
          <w:kern w:val="2"/>
          <w:sz w:val="21"/>
          <w:szCs w:val="24"/>
          <w:highlight w:val="none"/>
          <w:lang w:val="en-US" w:bidi="ar-SA"/>
        </w:rPr>
        <w:t>8.8 施工设备和临时设施</w:t>
      </w:r>
      <w:bookmarkEnd w:id="289"/>
      <w:bookmarkEnd w:id="290"/>
      <w:bookmarkEnd w:id="291"/>
      <w:bookmarkEnd w:id="292"/>
    </w:p>
    <w:p w14:paraId="2CB86B34">
      <w:pPr>
        <w:pageBreakBefore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8.8.1 </w:t>
      </w:r>
      <w:r>
        <w:rPr>
          <w:rFonts w:hint="eastAsia" w:ascii="宋体" w:hAnsi="宋体" w:eastAsia="宋体" w:cs="宋体"/>
          <w:color w:val="auto"/>
          <w:spacing w:val="0"/>
          <w:w w:val="100"/>
          <w:kern w:val="2"/>
          <w:sz w:val="21"/>
          <w:szCs w:val="24"/>
          <w:highlight w:val="none"/>
          <w:lang w:val="en-US" w:bidi="ar-SA"/>
        </w:rPr>
        <w:t>承包人提供的施工设备和临时设施</w:t>
      </w:r>
    </w:p>
    <w:p w14:paraId="1BB15707">
      <w:pPr>
        <w:pageBreakBefore w:val="0"/>
        <w:kinsoku/>
        <w:wordWrap/>
        <w:overflowPunct/>
        <w:topLinePunct w:val="0"/>
        <w:autoSpaceDE w:val="0"/>
        <w:autoSpaceDN w:val="0"/>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关于修建临时设施费用承担的约定：</w:t>
      </w:r>
      <w:r>
        <w:rPr>
          <w:rFonts w:hint="eastAsia" w:ascii="宋体" w:hAnsi="宋体" w:eastAsia="宋体" w:cs="宋体"/>
          <w:color w:val="auto"/>
          <w:spacing w:val="0"/>
          <w:w w:val="100"/>
          <w:kern w:val="0"/>
          <w:sz w:val="21"/>
          <w:szCs w:val="24"/>
          <w:highlight w:val="none"/>
          <w:u w:val="single"/>
          <w:lang w:val="en-US" w:bidi="ar-SA"/>
        </w:rPr>
        <w:t>由承包人承担。承包人工作人员不允许居住在施工现场。</w:t>
      </w:r>
      <w:r>
        <w:rPr>
          <w:rFonts w:hint="eastAsia" w:ascii="宋体" w:hAnsi="宋体" w:eastAsia="宋体" w:cs="宋体"/>
          <w:color w:val="auto"/>
          <w:spacing w:val="0"/>
          <w:w w:val="100"/>
          <w:kern w:val="2"/>
          <w:sz w:val="21"/>
          <w:szCs w:val="24"/>
          <w:highlight w:val="none"/>
          <w:lang w:val="en-US" w:bidi="ar-SA"/>
        </w:rPr>
        <w:t xml:space="preserve"> </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33C5324B">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293" w:name="_Toc22911715"/>
      <w:r>
        <w:rPr>
          <w:rFonts w:hint="eastAsia" w:ascii="宋体" w:hAnsi="宋体" w:eastAsia="宋体" w:cs="宋体"/>
          <w:b/>
          <w:color w:val="auto"/>
          <w:spacing w:val="0"/>
          <w:w w:val="100"/>
          <w:kern w:val="2"/>
          <w:sz w:val="21"/>
          <w:szCs w:val="28"/>
          <w:highlight w:val="none"/>
          <w:lang w:val="en-US" w:bidi="ar-SA"/>
        </w:rPr>
        <w:t>9</w:t>
      </w:r>
      <w:bookmarkEnd w:id="264"/>
      <w:bookmarkEnd w:id="265"/>
      <w:bookmarkEnd w:id="266"/>
      <w:bookmarkStart w:id="294" w:name="_Toc312677495"/>
      <w:bookmarkStart w:id="295" w:name="_Toc304295559"/>
      <w:bookmarkStart w:id="296" w:name="_Toc297123533"/>
      <w:bookmarkStart w:id="297" w:name="_Toc297216192"/>
      <w:bookmarkStart w:id="298" w:name="_Toc312678021"/>
      <w:bookmarkStart w:id="299" w:name="_Toc303539139"/>
      <w:bookmarkStart w:id="300" w:name="_Toc300934982"/>
      <w:bookmarkStart w:id="301" w:name="_Toc296503173"/>
      <w:bookmarkStart w:id="302" w:name="_Toc267251427"/>
      <w:bookmarkStart w:id="303" w:name="_Toc296347172"/>
      <w:bookmarkStart w:id="304" w:name="_Toc297120473"/>
      <w:bookmarkStart w:id="305" w:name="_Toc296346674"/>
      <w:bookmarkStart w:id="306" w:name="_Toc296891213"/>
      <w:bookmarkStart w:id="307" w:name="_Toc292559883"/>
      <w:bookmarkStart w:id="308" w:name="_Toc297048359"/>
      <w:bookmarkStart w:id="309" w:name="_Toc296944512"/>
      <w:bookmarkStart w:id="310" w:name="_Toc292559378"/>
      <w:bookmarkStart w:id="311" w:name="_Toc267251428"/>
      <w:bookmarkStart w:id="312" w:name="_Toc296891001"/>
      <w:r>
        <w:rPr>
          <w:rFonts w:hint="eastAsia" w:ascii="宋体" w:hAnsi="宋体" w:eastAsia="宋体" w:cs="宋体"/>
          <w:b/>
          <w:color w:val="auto"/>
          <w:spacing w:val="0"/>
          <w:w w:val="100"/>
          <w:kern w:val="2"/>
          <w:sz w:val="21"/>
          <w:szCs w:val="28"/>
          <w:highlight w:val="none"/>
          <w:lang w:val="en-US" w:bidi="ar-SA"/>
        </w:rPr>
        <w:t>. 试验与检验</w:t>
      </w:r>
      <w:bookmarkEnd w:id="293"/>
    </w:p>
    <w:bookmarkEnd w:id="294"/>
    <w:bookmarkEnd w:id="295"/>
    <w:bookmarkEnd w:id="296"/>
    <w:bookmarkEnd w:id="297"/>
    <w:bookmarkEnd w:id="298"/>
    <w:bookmarkEnd w:id="299"/>
    <w:bookmarkEnd w:id="300"/>
    <w:p w14:paraId="579BAB2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9</w:t>
      </w:r>
      <w:bookmarkStart w:id="313" w:name="_Toc303539140"/>
      <w:bookmarkStart w:id="314" w:name="_Toc304295560"/>
      <w:bookmarkStart w:id="315" w:name="_Toc297216193"/>
      <w:bookmarkStart w:id="316" w:name="_Toc300934983"/>
      <w:bookmarkStart w:id="317" w:name="_Toc312678022"/>
      <w:bookmarkStart w:id="318" w:name="_Toc297123534"/>
      <w:bookmarkStart w:id="319" w:name="_Toc312677496"/>
      <w:r>
        <w:rPr>
          <w:rFonts w:hint="eastAsia" w:ascii="宋体" w:hAnsi="宋体" w:eastAsia="宋体" w:cs="宋体"/>
          <w:b/>
          <w:bCs/>
          <w:color w:val="auto"/>
          <w:spacing w:val="0"/>
          <w:w w:val="100"/>
          <w:kern w:val="2"/>
          <w:sz w:val="21"/>
          <w:szCs w:val="24"/>
          <w:highlight w:val="none"/>
          <w:lang w:val="en-US" w:bidi="ar-SA"/>
        </w:rPr>
        <w:t>.1试验设备与试验人员</w:t>
      </w:r>
    </w:p>
    <w:bookmarkEnd w:id="313"/>
    <w:bookmarkEnd w:id="314"/>
    <w:bookmarkEnd w:id="315"/>
    <w:bookmarkEnd w:id="316"/>
    <w:bookmarkEnd w:id="317"/>
    <w:bookmarkEnd w:id="318"/>
    <w:bookmarkEnd w:id="319"/>
    <w:p w14:paraId="3EF8BDD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9</w:t>
      </w:r>
      <w:bookmarkStart w:id="320" w:name="_Toc304295561"/>
      <w:bookmarkStart w:id="321" w:name="_Toc297216194"/>
      <w:bookmarkStart w:id="322" w:name="_Toc312677497"/>
      <w:bookmarkStart w:id="323" w:name="_Toc303539141"/>
      <w:bookmarkStart w:id="324" w:name="_Toc312678023"/>
      <w:bookmarkStart w:id="325" w:name="_Toc297123535"/>
      <w:bookmarkStart w:id="326" w:name="_Toc300934984"/>
      <w:bookmarkStart w:id="327" w:name="_Toc318581174"/>
      <w:r>
        <w:rPr>
          <w:rFonts w:hint="eastAsia" w:ascii="宋体" w:hAnsi="宋体" w:eastAsia="宋体" w:cs="宋体"/>
          <w:b/>
          <w:bCs/>
          <w:color w:val="auto"/>
          <w:spacing w:val="0"/>
          <w:w w:val="100"/>
          <w:kern w:val="2"/>
          <w:sz w:val="21"/>
          <w:szCs w:val="24"/>
          <w:highlight w:val="none"/>
          <w:lang w:val="en-US" w:bidi="ar-SA"/>
        </w:rPr>
        <w:t xml:space="preserve">.1.2 </w:t>
      </w:r>
      <w:r>
        <w:rPr>
          <w:rFonts w:hint="eastAsia" w:ascii="宋体" w:hAnsi="宋体" w:eastAsia="宋体" w:cs="宋体"/>
          <w:color w:val="auto"/>
          <w:spacing w:val="0"/>
          <w:w w:val="100"/>
          <w:kern w:val="2"/>
          <w:sz w:val="21"/>
          <w:szCs w:val="24"/>
          <w:highlight w:val="none"/>
          <w:lang w:val="en-US" w:bidi="ar-SA"/>
        </w:rPr>
        <w:t>试验设备</w:t>
      </w:r>
    </w:p>
    <w:p w14:paraId="0E652564">
      <w:pPr>
        <w:pageBreakBefore w:val="0"/>
        <w:kinsoku/>
        <w:wordWrap/>
        <w:overflowPunct/>
        <w:topLinePunct w:val="0"/>
        <w:autoSpaceDE/>
        <w:autoSpaceDN/>
        <w:bidi w:val="0"/>
        <w:adjustRightInd w:val="0"/>
        <w:snapToGrid w:val="0"/>
        <w:spacing w:line="360" w:lineRule="auto"/>
        <w:ind w:firstLine="315" w:firstLineChars="15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施工现场需要配置的试验场所：</w:t>
      </w:r>
      <w:bookmarkEnd w:id="320"/>
      <w:bookmarkEnd w:id="321"/>
      <w:bookmarkEnd w:id="322"/>
      <w:bookmarkEnd w:id="323"/>
      <w:bookmarkEnd w:id="324"/>
      <w:bookmarkEnd w:id="325"/>
      <w:bookmarkEnd w:id="326"/>
      <w:bookmarkStart w:id="328" w:name="_Toc312677498"/>
      <w:bookmarkStart w:id="329" w:name="_Toc312678024"/>
      <w:bookmarkStart w:id="330" w:name="_Toc297216195"/>
      <w:bookmarkStart w:id="331" w:name="_Toc303539142"/>
      <w:bookmarkStart w:id="332" w:name="_Toc304295562"/>
      <w:bookmarkStart w:id="333" w:name="_Toc300934985"/>
      <w:bookmarkStart w:id="334" w:name="_Toc297123536"/>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 xml:space="preserve">。 </w:t>
      </w:r>
    </w:p>
    <w:p w14:paraId="3E305F7F">
      <w:pPr>
        <w:pageBreakBefore w:val="0"/>
        <w:kinsoku/>
        <w:wordWrap/>
        <w:overflowPunct/>
        <w:topLinePunct w:val="0"/>
        <w:autoSpaceDE/>
        <w:autoSpaceDN/>
        <w:bidi w:val="0"/>
        <w:adjustRightInd w:val="0"/>
        <w:snapToGrid w:val="0"/>
        <w:spacing w:line="360" w:lineRule="auto"/>
        <w:ind w:firstLine="315" w:firstLineChars="15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施工现场需要配备的试验设备：</w:t>
      </w:r>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w:t>
      </w:r>
    </w:p>
    <w:p w14:paraId="1117662E">
      <w:pPr>
        <w:pageBreakBefore w:val="0"/>
        <w:kinsoku/>
        <w:wordWrap/>
        <w:overflowPunct/>
        <w:topLinePunct w:val="0"/>
        <w:autoSpaceDE/>
        <w:autoSpaceDN/>
        <w:bidi w:val="0"/>
        <w:adjustRightInd w:val="0"/>
        <w:snapToGrid w:val="0"/>
        <w:spacing w:line="360" w:lineRule="auto"/>
        <w:ind w:firstLine="315" w:firstLineChars="15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施工现场需要具备的其他试验条件：</w:t>
      </w:r>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w:t>
      </w:r>
    </w:p>
    <w:p w14:paraId="10BE9A3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335" w:name="_Toc5461"/>
      <w:bookmarkStart w:id="336" w:name="_Toc22911716"/>
      <w:bookmarkStart w:id="337" w:name="_Toc11088"/>
      <w:bookmarkStart w:id="338" w:name="_Toc17049"/>
      <w:r>
        <w:rPr>
          <w:rFonts w:hint="eastAsia" w:ascii="宋体" w:hAnsi="宋体" w:eastAsia="宋体" w:cs="宋体"/>
          <w:b/>
          <w:bCs/>
          <w:color w:val="auto"/>
          <w:spacing w:val="0"/>
          <w:w w:val="100"/>
          <w:kern w:val="2"/>
          <w:sz w:val="21"/>
          <w:szCs w:val="24"/>
          <w:highlight w:val="none"/>
          <w:lang w:val="en-US" w:bidi="ar-SA"/>
        </w:rPr>
        <w:t>9.4 现场工艺试验</w:t>
      </w:r>
      <w:bookmarkEnd w:id="335"/>
      <w:bookmarkEnd w:id="336"/>
      <w:bookmarkEnd w:id="337"/>
      <w:bookmarkEnd w:id="338"/>
      <w:r>
        <w:rPr>
          <w:rFonts w:hint="eastAsia" w:ascii="宋体" w:hAnsi="宋体" w:eastAsia="宋体" w:cs="宋体"/>
          <w:b/>
          <w:bCs/>
          <w:color w:val="auto"/>
          <w:spacing w:val="0"/>
          <w:w w:val="100"/>
          <w:kern w:val="2"/>
          <w:sz w:val="21"/>
          <w:szCs w:val="24"/>
          <w:highlight w:val="none"/>
          <w:lang w:val="en-US" w:bidi="ar-SA"/>
        </w:rPr>
        <w:t xml:space="preserve"> </w:t>
      </w:r>
    </w:p>
    <w:p w14:paraId="7B405735">
      <w:pPr>
        <w:pageBreakBefore w:val="0"/>
        <w:kinsoku/>
        <w:wordWrap/>
        <w:overflowPunct/>
        <w:topLinePunct w:val="0"/>
        <w:autoSpaceDE/>
        <w:autoSpaceDN/>
        <w:bidi w:val="0"/>
        <w:adjustRightInd w:val="0"/>
        <w:snapToGrid w:val="0"/>
        <w:spacing w:line="360" w:lineRule="auto"/>
        <w:ind w:firstLine="315" w:firstLineChars="15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现场工艺试验的有关约定：</w:t>
      </w:r>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w:t>
      </w:r>
    </w:p>
    <w:bookmarkEnd w:id="327"/>
    <w:bookmarkEnd w:id="328"/>
    <w:bookmarkEnd w:id="329"/>
    <w:bookmarkEnd w:id="330"/>
    <w:bookmarkEnd w:id="331"/>
    <w:bookmarkEnd w:id="332"/>
    <w:bookmarkEnd w:id="333"/>
    <w:bookmarkEnd w:id="334"/>
    <w:p w14:paraId="0B7194FD">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339" w:name="_Toc22911717"/>
      <w:r>
        <w:rPr>
          <w:rFonts w:hint="eastAsia" w:ascii="宋体" w:hAnsi="宋体" w:eastAsia="宋体" w:cs="宋体"/>
          <w:b/>
          <w:color w:val="auto"/>
          <w:spacing w:val="0"/>
          <w:w w:val="100"/>
          <w:kern w:val="2"/>
          <w:sz w:val="21"/>
          <w:szCs w:val="28"/>
          <w:highlight w:val="none"/>
          <w:lang w:val="en-US" w:bidi="ar-SA"/>
        </w:rPr>
        <w:t>1</w:t>
      </w:r>
      <w:bookmarkEnd w:id="301"/>
      <w:bookmarkEnd w:id="302"/>
      <w:bookmarkEnd w:id="303"/>
      <w:bookmarkEnd w:id="304"/>
      <w:bookmarkEnd w:id="305"/>
      <w:bookmarkEnd w:id="306"/>
      <w:bookmarkEnd w:id="307"/>
      <w:bookmarkEnd w:id="308"/>
      <w:bookmarkEnd w:id="309"/>
      <w:bookmarkEnd w:id="310"/>
      <w:bookmarkEnd w:id="311"/>
      <w:bookmarkEnd w:id="312"/>
      <w:bookmarkStart w:id="340" w:name="_Toc297123540"/>
      <w:bookmarkStart w:id="341" w:name="_Toc297120493"/>
      <w:bookmarkStart w:id="342" w:name="_Toc300934989"/>
      <w:bookmarkStart w:id="343" w:name="_Toc292559398"/>
      <w:bookmarkStart w:id="344" w:name="_Toc292559903"/>
      <w:bookmarkStart w:id="345" w:name="_Toc296944532"/>
      <w:bookmarkStart w:id="346" w:name="_Toc297048379"/>
      <w:bookmarkStart w:id="347" w:name="_Toc296891021"/>
      <w:bookmarkStart w:id="348" w:name="_Toc297216199"/>
      <w:bookmarkStart w:id="349" w:name="_Toc304295566"/>
      <w:bookmarkStart w:id="350" w:name="_Toc303539146"/>
      <w:bookmarkStart w:id="351" w:name="_Toc296346694"/>
      <w:bookmarkStart w:id="352" w:name="_Toc296503193"/>
      <w:bookmarkStart w:id="353" w:name="_Toc296891233"/>
      <w:bookmarkStart w:id="354" w:name="_Toc296347192"/>
      <w:bookmarkStart w:id="355" w:name="_Toc312678025"/>
      <w:bookmarkStart w:id="356" w:name="_Toc312677499"/>
      <w:r>
        <w:rPr>
          <w:rFonts w:hint="eastAsia" w:ascii="宋体" w:hAnsi="宋体" w:eastAsia="宋体" w:cs="宋体"/>
          <w:b/>
          <w:color w:val="auto"/>
          <w:spacing w:val="0"/>
          <w:w w:val="100"/>
          <w:kern w:val="2"/>
          <w:sz w:val="21"/>
          <w:szCs w:val="28"/>
          <w:highlight w:val="none"/>
          <w:lang w:val="en-US" w:bidi="ar-SA"/>
        </w:rPr>
        <w:t>0.</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rFonts w:hint="eastAsia" w:ascii="宋体" w:hAnsi="宋体" w:eastAsia="宋体" w:cs="宋体"/>
          <w:color w:val="auto"/>
          <w:spacing w:val="0"/>
          <w:w w:val="100"/>
          <w:kern w:val="2"/>
          <w:sz w:val="21"/>
          <w:szCs w:val="24"/>
          <w:highlight w:val="none"/>
          <w:lang w:val="en-US" w:bidi="ar-SA"/>
        </w:rPr>
        <w:t>工程变更及新增工程</w:t>
      </w:r>
    </w:p>
    <w:bookmarkEnd w:id="355"/>
    <w:bookmarkEnd w:id="356"/>
    <w:p w14:paraId="1756A00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10.1范围</w:t>
      </w:r>
    </w:p>
    <w:p w14:paraId="5474B58A">
      <w:pPr>
        <w:pageBreakBefore w:val="0"/>
        <w:kinsoku/>
        <w:wordWrap/>
        <w:overflowPunct/>
        <w:topLinePunct w:val="0"/>
        <w:autoSpaceDE/>
        <w:autoSpaceDN/>
        <w:bidi w:val="0"/>
        <w:adjustRightInd w:val="0"/>
        <w:snapToGrid w:val="0"/>
        <w:spacing w:line="360" w:lineRule="auto"/>
        <w:ind w:firstLine="315" w:firstLineChars="15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范围的约定：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55F9358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357" w:name="_Toc1427"/>
      <w:bookmarkStart w:id="358" w:name="_Toc22911718"/>
      <w:bookmarkStart w:id="359" w:name="_Toc19747"/>
      <w:bookmarkStart w:id="360" w:name="_Toc16714"/>
      <w:r>
        <w:rPr>
          <w:rFonts w:hint="eastAsia" w:ascii="宋体" w:hAnsi="宋体" w:eastAsia="宋体" w:cs="宋体"/>
          <w:b/>
          <w:bCs/>
          <w:color w:val="auto"/>
          <w:spacing w:val="0"/>
          <w:w w:val="100"/>
          <w:kern w:val="2"/>
          <w:sz w:val="21"/>
          <w:szCs w:val="24"/>
          <w:highlight w:val="none"/>
          <w:lang w:val="en-US" w:bidi="ar-SA"/>
        </w:rPr>
        <w:t>10.4 变更估价</w:t>
      </w:r>
      <w:bookmarkEnd w:id="357"/>
      <w:bookmarkEnd w:id="358"/>
      <w:bookmarkEnd w:id="359"/>
      <w:bookmarkEnd w:id="360"/>
    </w:p>
    <w:p w14:paraId="4F6478F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10.4.1 </w:t>
      </w:r>
      <w:r>
        <w:rPr>
          <w:rFonts w:hint="eastAsia" w:ascii="宋体" w:hAnsi="宋体" w:eastAsia="宋体" w:cs="宋体"/>
          <w:color w:val="auto"/>
          <w:spacing w:val="0"/>
          <w:w w:val="100"/>
          <w:kern w:val="2"/>
          <w:sz w:val="21"/>
          <w:szCs w:val="24"/>
          <w:highlight w:val="none"/>
          <w:lang w:val="en-US" w:bidi="ar-SA"/>
        </w:rPr>
        <w:t>变更估价原则</w:t>
      </w:r>
    </w:p>
    <w:p w14:paraId="69A2F98B">
      <w:pPr>
        <w:pageBreakBefore w:val="0"/>
        <w:kinsoku/>
        <w:wordWrap/>
        <w:overflowPunct/>
        <w:topLinePunct w:val="0"/>
        <w:autoSpaceDE/>
        <w:autoSpaceDN/>
        <w:bidi w:val="0"/>
        <w:adjustRightInd w:val="0"/>
        <w:snapToGrid w:val="0"/>
        <w:spacing w:line="360" w:lineRule="auto"/>
        <w:ind w:left="210" w:leftChars="100" w:firstLine="210" w:firstLineChars="1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关于变更估价的约定: </w:t>
      </w:r>
      <w:r>
        <w:rPr>
          <w:rFonts w:hint="eastAsia" w:ascii="宋体" w:hAnsi="宋体" w:eastAsia="宋体" w:cs="宋体"/>
          <w:color w:val="auto"/>
          <w:spacing w:val="0"/>
          <w:w w:val="100"/>
          <w:kern w:val="2"/>
          <w:sz w:val="21"/>
          <w:szCs w:val="24"/>
          <w:highlight w:val="none"/>
          <w:u w:val="single"/>
          <w:lang w:val="en-US" w:bidi="ar-SA"/>
        </w:rPr>
        <w:t>（1）除专用合同条款另有约定外，因变更引起的价格调整按照本款约定处理：</w:t>
      </w:r>
    </w:p>
    <w:p w14:paraId="0F5F1040">
      <w:pPr>
        <w:pageBreakBefore w:val="0"/>
        <w:kinsoku/>
        <w:wordWrap/>
        <w:overflowPunct/>
        <w:topLinePunct w:val="0"/>
        <w:autoSpaceDE/>
        <w:autoSpaceDN/>
        <w:bidi w:val="0"/>
        <w:adjustRightInd w:val="0"/>
        <w:snapToGrid w:val="0"/>
        <w:spacing w:line="360" w:lineRule="auto"/>
        <w:ind w:left="210" w:leftChars="100" w:firstLine="210" w:firstLineChars="1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①已标价工程量清单中有适用于变更工作的子目的，采购用该子目的单价。</w:t>
      </w:r>
    </w:p>
    <w:p w14:paraId="16B4E61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②已标价工程量清单中无适用于变更工作的子目，但有类似子目的，可在合理范围内参照类似子目的单价，由发包人与承包人商定变更工作的单价。</w:t>
      </w:r>
    </w:p>
    <w:p w14:paraId="6971F42A">
      <w:pPr>
        <w:pageBreakBefore w:val="0"/>
        <w:kinsoku/>
        <w:wordWrap/>
        <w:overflowPunct/>
        <w:topLinePunct w:val="0"/>
        <w:autoSpaceDE/>
        <w:autoSpaceDN/>
        <w:bidi w:val="0"/>
        <w:adjustRightInd w:val="0"/>
        <w:snapToGrid w:val="0"/>
        <w:spacing w:line="360" w:lineRule="auto"/>
        <w:ind w:firstLine="525" w:firstLineChars="25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③已标价工程量清单中无适用或类似子目的单价，可按现行定额和造价文件计算后，并按中标价（扣除暂列金额）和最高投标限价（扣除暂列金额）的优惠比例进行优惠，也可由承包人提出，经发包人确认后执行。</w:t>
      </w:r>
    </w:p>
    <w:p w14:paraId="287F82A5">
      <w:pPr>
        <w:pageBreakBefore w:val="0"/>
        <w:kinsoku/>
        <w:wordWrap/>
        <w:overflowPunct/>
        <w:topLinePunct w:val="0"/>
        <w:autoSpaceDE/>
        <w:autoSpaceDN/>
        <w:bidi w:val="0"/>
        <w:adjustRightInd w:val="0"/>
        <w:snapToGrid w:val="0"/>
        <w:spacing w:line="360" w:lineRule="auto"/>
        <w:ind w:left="210" w:leftChars="100" w:firstLine="315" w:firstLineChars="15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2）承包人投标时已考虑综合单价构成和水平应合理，无严重不平衡报价。变更时，当发现某子目（或材料价格）不平衡报价的幅度超过定额价（材料价格超过造价信息或市场平均价）±10%时，发包人有权要求承包人将该子目修正至合理水平后再执行清单报价（发包范围之内的合同总价不予调整）；</w:t>
      </w:r>
    </w:p>
    <w:p w14:paraId="2AF2939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（3）执行原综合单价时，其人工费、材料费、机械费等均不再进行调整。</w:t>
      </w:r>
    </w:p>
    <w:p w14:paraId="1DAE675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10.4.2 新增工程估价原则：同10.4.1 变更估价原则</w:t>
      </w:r>
    </w:p>
    <w:p w14:paraId="2F67FDC5">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w:t>
      </w:r>
      <w:bookmarkStart w:id="361" w:name="_Toc296944536"/>
      <w:bookmarkStart w:id="362" w:name="_Toc297123544"/>
      <w:bookmarkStart w:id="363" w:name="_Toc292559907"/>
      <w:bookmarkStart w:id="364" w:name="_Toc300934993"/>
      <w:bookmarkStart w:id="365" w:name="_Toc296503197"/>
      <w:bookmarkStart w:id="366" w:name="_Toc297216203"/>
      <w:bookmarkStart w:id="367" w:name="_Toc296891025"/>
      <w:bookmarkStart w:id="368" w:name="_Toc297048383"/>
      <w:bookmarkStart w:id="369" w:name="_Toc292559402"/>
      <w:bookmarkStart w:id="370" w:name="_Toc296891237"/>
      <w:bookmarkStart w:id="371" w:name="_Toc297120497"/>
      <w:bookmarkStart w:id="372" w:name="_Toc303539150"/>
      <w:bookmarkStart w:id="373" w:name="_Toc296346698"/>
      <w:bookmarkStart w:id="374" w:name="_Toc296347196"/>
      <w:bookmarkStart w:id="375" w:name="_Toc312677503"/>
      <w:bookmarkStart w:id="376" w:name="_Toc304295570"/>
      <w:bookmarkStart w:id="377" w:name="_Toc312678029"/>
      <w:r>
        <w:rPr>
          <w:rFonts w:hint="eastAsia" w:ascii="宋体" w:hAnsi="宋体" w:eastAsia="宋体" w:cs="宋体"/>
          <w:b/>
          <w:bCs/>
          <w:color w:val="auto"/>
          <w:spacing w:val="0"/>
          <w:w w:val="100"/>
          <w:kern w:val="2"/>
          <w:sz w:val="21"/>
          <w:szCs w:val="24"/>
          <w:highlight w:val="none"/>
          <w:lang w:val="en-US" w:bidi="ar-SA"/>
        </w:rPr>
        <w:t>0.5承</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8" w:name="_Toc292559408"/>
      <w:bookmarkStart w:id="379" w:name="_Toc297216204"/>
      <w:bookmarkStart w:id="380" w:name="_Toc300934994"/>
      <w:bookmarkStart w:id="381" w:name="_Toc296944542"/>
      <w:bookmarkStart w:id="382" w:name="_Toc297123545"/>
      <w:bookmarkStart w:id="383" w:name="_Toc296503203"/>
      <w:bookmarkStart w:id="384" w:name="_Toc296891243"/>
      <w:bookmarkStart w:id="385" w:name="_Toc297120503"/>
      <w:bookmarkStart w:id="386" w:name="_Toc296891031"/>
      <w:bookmarkStart w:id="387" w:name="_Toc292559913"/>
      <w:bookmarkStart w:id="388" w:name="_Toc296347202"/>
      <w:bookmarkStart w:id="389" w:name="_Toc303539151"/>
      <w:bookmarkStart w:id="390" w:name="_Toc297048389"/>
      <w:bookmarkStart w:id="391" w:name="_Toc296346704"/>
      <w:r>
        <w:rPr>
          <w:rFonts w:hint="eastAsia" w:ascii="宋体" w:hAnsi="宋体" w:eastAsia="宋体" w:cs="宋体"/>
          <w:b/>
          <w:bCs/>
          <w:color w:val="auto"/>
          <w:spacing w:val="0"/>
          <w:w w:val="100"/>
          <w:kern w:val="2"/>
          <w:sz w:val="21"/>
          <w:szCs w:val="24"/>
          <w:highlight w:val="none"/>
          <w:lang w:val="en-US" w:bidi="ar-SA"/>
        </w:rPr>
        <w:t>包人的合理化建议</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2BE2889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监理人审查承包人合理化建议的期限：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B22660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发包人审批承包人合理化建议的期限：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77FE6FA">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承</w:t>
      </w:r>
      <w:bookmarkStart w:id="392" w:name="_Toc297216205"/>
      <w:bookmarkStart w:id="393" w:name="_Toc292559914"/>
      <w:bookmarkStart w:id="394" w:name="_Toc296891244"/>
      <w:bookmarkStart w:id="395" w:name="_Toc312677504"/>
      <w:bookmarkStart w:id="396" w:name="_Toc292559409"/>
      <w:bookmarkStart w:id="397" w:name="_Toc312678030"/>
      <w:bookmarkStart w:id="398" w:name="_Toc297048390"/>
      <w:bookmarkStart w:id="399" w:name="_Toc304295571"/>
      <w:bookmarkStart w:id="400" w:name="_Toc296503204"/>
      <w:bookmarkStart w:id="401" w:name="_Toc296891032"/>
      <w:bookmarkStart w:id="402" w:name="_Toc318581175"/>
      <w:bookmarkStart w:id="403" w:name="_Toc296347203"/>
      <w:bookmarkStart w:id="404" w:name="_Toc296346705"/>
      <w:bookmarkStart w:id="405" w:name="_Toc296944543"/>
      <w:bookmarkStart w:id="406" w:name="_Toc300934995"/>
      <w:bookmarkStart w:id="407" w:name="_Toc303539152"/>
      <w:bookmarkStart w:id="408" w:name="_Toc297120504"/>
      <w:bookmarkStart w:id="409" w:name="_Toc297123546"/>
      <w:r>
        <w:rPr>
          <w:rFonts w:hint="eastAsia" w:ascii="宋体" w:hAnsi="宋体" w:eastAsia="宋体" w:cs="宋体"/>
          <w:color w:val="auto"/>
          <w:spacing w:val="0"/>
          <w:w w:val="100"/>
          <w:kern w:val="2"/>
          <w:sz w:val="21"/>
          <w:szCs w:val="24"/>
          <w:highlight w:val="none"/>
          <w:lang w:val="en-US" w:bidi="ar-SA"/>
        </w:rPr>
        <w:t>包人提出的合理化建议降低了合同价格或者提高了工程经济效益的奖励的方法和金额为：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7E2909C5">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bookmarkStart w:id="410" w:name="_Toc22911719"/>
      <w:bookmarkStart w:id="411" w:name="_Toc4536"/>
      <w:bookmarkStart w:id="412" w:name="_Toc5045"/>
      <w:bookmarkStart w:id="413" w:name="_Toc19759"/>
      <w:r>
        <w:rPr>
          <w:rFonts w:hint="eastAsia" w:ascii="宋体" w:hAnsi="宋体" w:eastAsia="宋体" w:cs="宋体"/>
          <w:b/>
          <w:bCs/>
          <w:color w:val="auto"/>
          <w:spacing w:val="0"/>
          <w:w w:val="100"/>
          <w:kern w:val="2"/>
          <w:sz w:val="21"/>
          <w:szCs w:val="24"/>
          <w:highlight w:val="none"/>
          <w:lang w:val="en-US" w:bidi="ar-SA"/>
        </w:rPr>
        <w:t>1</w:t>
      </w:r>
      <w:bookmarkStart w:id="414" w:name="_Toc297120499"/>
      <w:bookmarkStart w:id="415" w:name="_Toc296891239"/>
      <w:bookmarkStart w:id="416" w:name="_Toc303539154"/>
      <w:bookmarkStart w:id="417" w:name="_Toc292559909"/>
      <w:bookmarkStart w:id="418" w:name="_Toc304295574"/>
      <w:bookmarkStart w:id="419" w:name="_Toc312677507"/>
      <w:bookmarkStart w:id="420" w:name="_Toc292559404"/>
      <w:bookmarkStart w:id="421" w:name="_Toc296503199"/>
      <w:bookmarkStart w:id="422" w:name="_Toc296891027"/>
      <w:bookmarkStart w:id="423" w:name="_Toc297123548"/>
      <w:bookmarkStart w:id="424" w:name="_Toc312678033"/>
      <w:bookmarkStart w:id="425" w:name="_Toc296346700"/>
      <w:bookmarkStart w:id="426" w:name="_Toc296347198"/>
      <w:bookmarkStart w:id="427" w:name="_Toc297216207"/>
      <w:bookmarkStart w:id="428" w:name="_Toc296944538"/>
      <w:bookmarkStart w:id="429" w:name="_Toc300934997"/>
      <w:bookmarkStart w:id="430" w:name="_Toc297048385"/>
      <w:r>
        <w:rPr>
          <w:rFonts w:hint="eastAsia" w:ascii="宋体" w:hAnsi="宋体" w:eastAsia="宋体" w:cs="宋体"/>
          <w:b/>
          <w:bCs/>
          <w:color w:val="auto"/>
          <w:spacing w:val="0"/>
          <w:w w:val="100"/>
          <w:kern w:val="2"/>
          <w:sz w:val="21"/>
          <w:szCs w:val="24"/>
          <w:highlight w:val="none"/>
          <w:lang w:val="en-US" w:bidi="ar-SA"/>
        </w:rPr>
        <w:t>0.7 暂估价</w:t>
      </w:r>
      <w:bookmarkEnd w:id="410"/>
      <w:bookmarkEnd w:id="411"/>
      <w:bookmarkEnd w:id="412"/>
      <w:bookmarkEnd w:id="413"/>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6967655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暂</w:t>
      </w:r>
      <w:bookmarkStart w:id="431" w:name="_Toc318581176"/>
      <w:bookmarkStart w:id="432" w:name="_Toc312678034"/>
      <w:bookmarkStart w:id="433" w:name="_Toc312677508"/>
      <w:r>
        <w:rPr>
          <w:rFonts w:hint="eastAsia" w:ascii="宋体" w:hAnsi="宋体" w:eastAsia="宋体" w:cs="宋体"/>
          <w:color w:val="auto"/>
          <w:spacing w:val="0"/>
          <w:w w:val="100"/>
          <w:kern w:val="0"/>
          <w:sz w:val="21"/>
          <w:szCs w:val="24"/>
          <w:highlight w:val="none"/>
          <w:lang w:val="en-US" w:bidi="ar-SA"/>
        </w:rPr>
        <w:t>估价材料和工程设备的明细详见附件11：《</w:t>
      </w:r>
      <w:r>
        <w:rPr>
          <w:rFonts w:hint="eastAsia" w:ascii="宋体" w:hAnsi="宋体" w:eastAsia="宋体" w:cs="宋体"/>
          <w:color w:val="auto"/>
          <w:spacing w:val="0"/>
          <w:w w:val="100"/>
          <w:kern w:val="2"/>
          <w:sz w:val="21"/>
          <w:szCs w:val="24"/>
          <w:highlight w:val="none"/>
          <w:lang w:val="en-US" w:bidi="ar-SA"/>
        </w:rPr>
        <w:t>暂估价一览表》</w:t>
      </w:r>
      <w:r>
        <w:rPr>
          <w:rFonts w:hint="eastAsia" w:ascii="宋体" w:hAnsi="宋体" w:eastAsia="宋体" w:cs="宋体"/>
          <w:color w:val="auto"/>
          <w:spacing w:val="0"/>
          <w:w w:val="100"/>
          <w:kern w:val="0"/>
          <w:sz w:val="21"/>
          <w:szCs w:val="24"/>
          <w:highlight w:val="none"/>
          <w:lang w:val="en-US" w:bidi="ar-SA"/>
        </w:rPr>
        <w:t>。</w:t>
      </w:r>
    </w:p>
    <w:bookmarkEnd w:id="431"/>
    <w:bookmarkEnd w:id="432"/>
    <w:bookmarkEnd w:id="433"/>
    <w:p w14:paraId="001DAB3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w:t>
      </w:r>
      <w:bookmarkStart w:id="434" w:name="_Toc312677509"/>
      <w:bookmarkStart w:id="435" w:name="_Toc312678035"/>
      <w:bookmarkStart w:id="436" w:name="_Toc318581177"/>
      <w:r>
        <w:rPr>
          <w:rFonts w:hint="eastAsia" w:ascii="宋体" w:hAnsi="宋体" w:eastAsia="宋体" w:cs="宋体"/>
          <w:b/>
          <w:bCs/>
          <w:color w:val="auto"/>
          <w:spacing w:val="0"/>
          <w:w w:val="100"/>
          <w:kern w:val="2"/>
          <w:sz w:val="21"/>
          <w:szCs w:val="24"/>
          <w:highlight w:val="none"/>
          <w:lang w:val="en-US" w:bidi="ar-SA"/>
        </w:rPr>
        <w:t xml:space="preserve">0.7.1 </w:t>
      </w:r>
      <w:r>
        <w:rPr>
          <w:rFonts w:hint="eastAsia" w:ascii="宋体" w:hAnsi="宋体" w:eastAsia="宋体" w:cs="宋体"/>
          <w:color w:val="auto"/>
          <w:spacing w:val="0"/>
          <w:w w:val="100"/>
          <w:kern w:val="2"/>
          <w:sz w:val="21"/>
          <w:szCs w:val="24"/>
          <w:highlight w:val="none"/>
          <w:lang w:val="en-US" w:bidi="ar-SA"/>
        </w:rPr>
        <w:t>依法必须招标的暂估价项目</w:t>
      </w:r>
    </w:p>
    <w:bookmarkEnd w:id="434"/>
    <w:bookmarkEnd w:id="435"/>
    <w:bookmarkEnd w:id="436"/>
    <w:p w14:paraId="6AE4B26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对于依法必须招标的暂估价项目的确认和批准采取第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种方式确定。</w:t>
      </w:r>
    </w:p>
    <w:p w14:paraId="5F00A74D">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10.7.2 </w:t>
      </w:r>
      <w:r>
        <w:rPr>
          <w:rFonts w:hint="eastAsia" w:ascii="宋体" w:hAnsi="宋体" w:eastAsia="宋体" w:cs="宋体"/>
          <w:color w:val="auto"/>
          <w:spacing w:val="0"/>
          <w:w w:val="100"/>
          <w:kern w:val="2"/>
          <w:sz w:val="21"/>
          <w:szCs w:val="24"/>
          <w:highlight w:val="none"/>
          <w:lang w:val="en-US" w:bidi="ar-SA"/>
        </w:rPr>
        <w:t>不属于依法必须招标的暂估价项目</w:t>
      </w:r>
    </w:p>
    <w:p w14:paraId="048AE74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对于不属于依法必须招标的暂估价项目的确认和批准采取第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种方式确定。</w:t>
      </w:r>
    </w:p>
    <w:p w14:paraId="3CE3CEE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第3种方式：</w:t>
      </w:r>
      <w:r>
        <w:rPr>
          <w:rFonts w:hint="eastAsia" w:ascii="宋体" w:hAnsi="宋体" w:eastAsia="宋体" w:cs="宋体"/>
          <w:color w:val="auto"/>
          <w:spacing w:val="0"/>
          <w:w w:val="100"/>
          <w:kern w:val="0"/>
          <w:sz w:val="21"/>
          <w:szCs w:val="24"/>
          <w:highlight w:val="none"/>
          <w:lang w:val="en-US" w:bidi="ar-SA"/>
        </w:rPr>
        <w:t>承包人直接实施的暂估价项目</w:t>
      </w:r>
    </w:p>
    <w:p w14:paraId="34C4EC3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承包人直接实施的暂估价项目的约定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96E004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10.8 暂列金额</w:t>
      </w:r>
    </w:p>
    <w:p w14:paraId="3DD91F36">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合同当事人关于暂列金额使用的约定：</w:t>
      </w:r>
      <w:r>
        <w:rPr>
          <w:rFonts w:hint="eastAsia" w:ascii="宋体" w:hAnsi="宋体" w:eastAsia="宋体" w:cs="宋体"/>
          <w:color w:val="auto"/>
          <w:spacing w:val="0"/>
          <w:w w:val="100"/>
          <w:kern w:val="0"/>
          <w:sz w:val="21"/>
          <w:szCs w:val="24"/>
          <w:highlight w:val="none"/>
          <w:u w:val="single"/>
          <w:lang w:val="en-US" w:bidi="ar-SA"/>
        </w:rPr>
        <w:t>发包人提供的工程量清单中专项列出的暂列金额，只能按照发包人的指示要求使用。尽管暂列金额已含在合同总价内，但并不属于承包人所有，也不必然发生。只有按照合同约定实际发生后，才成为承包人的应得金额，纳入合同结算价款中。扣除实际发生金额后的暂列金额余额（含相应税金）仍属于发包人所有</w:t>
      </w:r>
      <w:r>
        <w:rPr>
          <w:rFonts w:hint="eastAsia" w:ascii="宋体" w:hAnsi="宋体" w:eastAsia="宋体" w:cs="宋体"/>
          <w:color w:val="auto"/>
          <w:spacing w:val="0"/>
          <w:w w:val="100"/>
          <w:kern w:val="0"/>
          <w:sz w:val="21"/>
          <w:szCs w:val="24"/>
          <w:highlight w:val="none"/>
          <w:lang w:val="en-US" w:bidi="ar-SA"/>
        </w:rPr>
        <w:t>。</w:t>
      </w:r>
    </w:p>
    <w:p w14:paraId="024B6D77">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437" w:name="_Toc22911720"/>
      <w:r>
        <w:rPr>
          <w:rFonts w:hint="eastAsia" w:ascii="宋体" w:hAnsi="宋体" w:eastAsia="宋体" w:cs="宋体"/>
          <w:b/>
          <w:color w:val="auto"/>
          <w:spacing w:val="0"/>
          <w:w w:val="100"/>
          <w:kern w:val="2"/>
          <w:sz w:val="21"/>
          <w:szCs w:val="28"/>
          <w:highlight w:val="none"/>
          <w:lang w:val="en-US" w:bidi="ar-SA"/>
        </w:rPr>
        <w:t>11. 价格调整</w:t>
      </w:r>
      <w:bookmarkEnd w:id="437"/>
    </w:p>
    <w:p w14:paraId="72471C1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 市场价格波动引起的调整</w:t>
      </w:r>
    </w:p>
    <w:p w14:paraId="6852B47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市场价格波动是否调整合同价格的约定</w:t>
      </w:r>
      <w:r>
        <w:rPr>
          <w:rFonts w:hint="eastAsia" w:ascii="宋体" w:hAnsi="宋体" w:eastAsia="宋体" w:cs="宋体"/>
          <w:color w:val="auto"/>
          <w:spacing w:val="0"/>
          <w:w w:val="100"/>
          <w:kern w:val="0"/>
          <w:sz w:val="21"/>
          <w:szCs w:val="24"/>
          <w:highlight w:val="none"/>
          <w:u w:val="single"/>
          <w:lang w:val="en-US" w:bidi="ar-SA"/>
        </w:rPr>
        <w:t>：除明确的风险材料外，因市场变化导致的人工、材料、机械的价格变动的，结算时均不予调整</w:t>
      </w:r>
      <w:r>
        <w:rPr>
          <w:rFonts w:hint="eastAsia" w:ascii="宋体" w:hAnsi="宋体" w:eastAsia="宋体" w:cs="宋体"/>
          <w:color w:val="auto"/>
          <w:spacing w:val="0"/>
          <w:w w:val="100"/>
          <w:kern w:val="2"/>
          <w:sz w:val="21"/>
          <w:szCs w:val="24"/>
          <w:highlight w:val="none"/>
          <w:lang w:val="en-US" w:bidi="ar-SA"/>
        </w:rPr>
        <w:t>。</w:t>
      </w:r>
    </w:p>
    <w:p w14:paraId="2CB4C25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因市场价格波动调整合同价格，采用以下第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种方式对合同价格进行调整：</w:t>
      </w:r>
    </w:p>
    <w:p w14:paraId="4352DD5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第1种方式：采用价格指数进行价格调整。</w:t>
      </w:r>
    </w:p>
    <w:p w14:paraId="5CB458E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关于各可调因子、定值和变值权重，以及基本价格指数及其来源的约定：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34B6EDE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第2种方式：采用造价信息进行价格调整。</w:t>
      </w:r>
    </w:p>
    <w:p w14:paraId="08467D1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（2）关于基准价格的约定：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A059E0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%时，或材料单价跌幅以已标价工程量清单或预算书中载明材料单价为基础超过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%时，其超过部分据实调整。</w:t>
      </w:r>
    </w:p>
    <w:p w14:paraId="7503017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%时，材料单价涨幅以已标价工程量清单或预算书中载明材料单价为基础超过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%时，其超过部分据实调整。</w:t>
      </w:r>
    </w:p>
    <w:p w14:paraId="454B7111">
      <w:pPr>
        <w:pageBreakBefore w:val="0"/>
        <w:kinsoku/>
        <w:wordWrap/>
        <w:overflowPunct/>
        <w:topLinePunct w:val="0"/>
        <w:autoSpaceDE/>
        <w:autoSpaceDN/>
        <w:bidi w:val="0"/>
        <w:adjustRightInd w:val="0"/>
        <w:snapToGrid w:val="0"/>
        <w:spacing w:line="360" w:lineRule="auto"/>
        <w:ind w:firstLine="645"/>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%时，其超过部分据实调整。</w:t>
      </w:r>
    </w:p>
    <w:p w14:paraId="5361B35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第3种方式：其他价格调整方式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0358E60">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438" w:name="_Toc22911721"/>
      <w:r>
        <w:rPr>
          <w:rFonts w:hint="eastAsia" w:ascii="宋体" w:hAnsi="宋体" w:eastAsia="宋体" w:cs="宋体"/>
          <w:b/>
          <w:color w:val="auto"/>
          <w:spacing w:val="0"/>
          <w:w w:val="100"/>
          <w:kern w:val="2"/>
          <w:sz w:val="21"/>
          <w:szCs w:val="28"/>
          <w:highlight w:val="none"/>
          <w:lang w:val="en-US" w:bidi="ar-SA"/>
        </w:rPr>
        <w:t>12. 合同价格、计量与支付</w:t>
      </w:r>
      <w:bookmarkEnd w:id="438"/>
    </w:p>
    <w:p w14:paraId="3C54A69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12.1 合同价格形式</w:t>
      </w:r>
    </w:p>
    <w:p w14:paraId="47C203F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1、单价合同。</w:t>
      </w:r>
    </w:p>
    <w:p w14:paraId="6255C79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综合单价包含的风险范围</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0DE7414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风险费用的计算方法：</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60D2B6F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风险范围以外合同价格的调整方法：</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173656C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2、总价合同。</w:t>
      </w:r>
    </w:p>
    <w:p w14:paraId="65B9923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总价包含的风险范围：</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 xml:space="preserve"> 。</w:t>
      </w:r>
    </w:p>
    <w:p w14:paraId="65362B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风险费用的计算方法：</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4"/>
          <w:szCs w:val="24"/>
          <w:highlight w:val="none"/>
          <w:lang w:val="en-US" w:bidi="ar-SA"/>
        </w:rPr>
        <w:t>。</w:t>
      </w:r>
    </w:p>
    <w:p w14:paraId="6694267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eastAsia="zh-CN" w:bidi="ar-SA"/>
        </w:rPr>
      </w:pPr>
      <w:r>
        <w:rPr>
          <w:rFonts w:hint="eastAsia" w:ascii="宋体" w:hAnsi="宋体" w:eastAsia="宋体" w:cs="宋体"/>
          <w:color w:val="auto"/>
          <w:spacing w:val="0"/>
          <w:w w:val="100"/>
          <w:kern w:val="2"/>
          <w:sz w:val="21"/>
          <w:szCs w:val="24"/>
          <w:highlight w:val="none"/>
          <w:lang w:val="en-US" w:bidi="ar-SA"/>
        </w:rPr>
        <w:t>风险范围以外合同价格的调整方法：</w:t>
      </w:r>
      <w:r>
        <w:rPr>
          <w:rFonts w:hint="eastAsia" w:ascii="宋体" w:hAnsi="宋体" w:eastAsia="宋体" w:cs="宋体"/>
          <w:color w:val="auto"/>
          <w:spacing w:val="0"/>
          <w:w w:val="100"/>
          <w:kern w:val="2"/>
          <w:sz w:val="21"/>
          <w:szCs w:val="24"/>
          <w:highlight w:val="none"/>
          <w:u w:val="single"/>
          <w:lang w:val="en-US" w:bidi="ar-SA"/>
        </w:rPr>
        <w:t>① 本工程主要材料风险范围和幅度为：</w:t>
      </w:r>
      <w:r>
        <w:rPr>
          <w:rFonts w:hint="eastAsia" w:ascii="宋体" w:hAnsi="宋体" w:eastAsia="宋体" w:cs="宋体"/>
          <w:color w:val="auto"/>
          <w:spacing w:val="0"/>
          <w:w w:val="100"/>
          <w:kern w:val="2"/>
          <w:sz w:val="21"/>
          <w:szCs w:val="24"/>
          <w:highlight w:val="none"/>
          <w:u w:val="single"/>
          <w:lang w:val="en-US" w:eastAsia="zh-CN" w:bidi="ar-SA"/>
        </w:rPr>
        <w:t>无</w:t>
      </w:r>
      <w:r>
        <w:rPr>
          <w:rFonts w:hint="eastAsia" w:ascii="宋体" w:hAnsi="宋体" w:eastAsia="宋体" w:cs="宋体"/>
          <w:color w:val="auto"/>
          <w:spacing w:val="0"/>
          <w:w w:val="100"/>
          <w:kern w:val="2"/>
          <w:sz w:val="24"/>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eastAsia="zh-CN" w:bidi="ar-SA"/>
        </w:rPr>
        <w:t>；</w:t>
      </w:r>
    </w:p>
    <w:p w14:paraId="4F5557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u w:val="single"/>
          <w:lang w:val="en-US" w:bidi="ar-SA"/>
        </w:rPr>
        <w:t>②工程若发生变更或新增工程，</w:t>
      </w:r>
      <w:r>
        <w:rPr>
          <w:rFonts w:hint="eastAsia" w:ascii="宋体" w:hAnsi="宋体" w:eastAsia="宋体" w:cs="宋体"/>
          <w:color w:val="auto"/>
          <w:spacing w:val="0"/>
          <w:w w:val="100"/>
          <w:kern w:val="2"/>
          <w:sz w:val="21"/>
          <w:szCs w:val="24"/>
          <w:highlight w:val="none"/>
          <w:u w:val="single"/>
          <w:lang w:val="en-US" w:eastAsia="zh-CN" w:bidi="ar-SA"/>
        </w:rPr>
        <w:t>无原子目需要新组价时，</w:t>
      </w:r>
      <w:r>
        <w:rPr>
          <w:rFonts w:hint="eastAsia" w:ascii="宋体" w:hAnsi="宋体" w:eastAsia="宋体" w:cs="宋体"/>
          <w:color w:val="auto"/>
          <w:spacing w:val="0"/>
          <w:w w:val="100"/>
          <w:kern w:val="2"/>
          <w:sz w:val="21"/>
          <w:szCs w:val="24"/>
          <w:highlight w:val="none"/>
          <w:u w:val="single"/>
          <w:lang w:val="en-US" w:bidi="ar-SA"/>
        </w:rPr>
        <w:t>其材料价格依据本工程材料部分要求，参照变更或新增工程时期执行的焦作市标准定额站发布的信息价计取，焦作市信息价中缺项的材料，参照当期郑州市建设工程材料基准价格信息（只参考价格，不增加郑州至焦作的运费）；若实际施工中采用产地、品牌与焦作和郑州市建设工程材料基准价格信息均缺项的材料，按发包人、承包人、监理人三方考察签证的价格结算（考察材料不参与下浮）。人工部分参照施工期间执行的焦作市标准定额站发布的信息价(人工费指导价格）进行找差。施工期间若需对部分变更材料进行考察认价时，发包人将书面通知承包人，由承包人组织发包人、监理人予以实施，并于发包人书面通知日期7日内完成价格认证，否则发包人将</w:t>
      </w:r>
      <w:r>
        <w:rPr>
          <w:rFonts w:hint="eastAsia" w:ascii="宋体" w:hAnsi="宋体" w:eastAsia="宋体" w:cs="宋体"/>
          <w:color w:val="auto"/>
          <w:spacing w:val="0"/>
          <w:w w:val="100"/>
          <w:kern w:val="2"/>
          <w:sz w:val="21"/>
          <w:szCs w:val="24"/>
          <w:highlight w:val="none"/>
          <w:lang w:val="en-US" w:bidi="ar-SA"/>
        </w:rPr>
        <w:t>自</w:t>
      </w:r>
      <w:r>
        <w:rPr>
          <w:rFonts w:hint="eastAsia" w:ascii="宋体" w:hAnsi="宋体" w:eastAsia="宋体" w:cs="宋体"/>
          <w:color w:val="auto"/>
          <w:spacing w:val="0"/>
          <w:w w:val="100"/>
          <w:kern w:val="2"/>
          <w:sz w:val="21"/>
          <w:szCs w:val="24"/>
          <w:highlight w:val="none"/>
          <w:u w:val="single"/>
          <w:lang w:val="en-US" w:bidi="ar-SA"/>
        </w:rPr>
        <w:t>行组织监理人和相关人员考察，考察结果作为结算依据。</w:t>
      </w:r>
    </w:p>
    <w:p w14:paraId="22BD5C3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3、其他价格方式：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68D8FE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12.2 预付款</w:t>
      </w:r>
    </w:p>
    <w:p w14:paraId="437300A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12.2.1</w:t>
      </w:r>
      <w:r>
        <w:rPr>
          <w:rFonts w:hint="eastAsia" w:ascii="宋体" w:hAnsi="宋体" w:eastAsia="宋体" w:cs="宋体"/>
          <w:color w:val="auto"/>
          <w:spacing w:val="0"/>
          <w:w w:val="100"/>
          <w:kern w:val="2"/>
          <w:sz w:val="21"/>
          <w:szCs w:val="24"/>
          <w:highlight w:val="none"/>
          <w:lang w:val="en-US" w:bidi="ar-SA"/>
        </w:rPr>
        <w:t xml:space="preserve"> 预付款的支付</w:t>
      </w:r>
    </w:p>
    <w:p w14:paraId="6373CFCC">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预付款支付比例或金额：</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eastAsia="zh-CN" w:bidi="ar-SA"/>
        </w:rPr>
        <w:t xml:space="preserve">/ </w:t>
      </w:r>
      <w:r>
        <w:rPr>
          <w:rFonts w:hint="eastAsia" w:ascii="宋体" w:hAnsi="宋体" w:eastAsia="宋体" w:cs="宋体"/>
          <w:color w:val="auto"/>
          <w:spacing w:val="0"/>
          <w:w w:val="100"/>
          <w:kern w:val="2"/>
          <w:sz w:val="21"/>
          <w:szCs w:val="24"/>
          <w:highlight w:val="none"/>
          <w:lang w:val="en-US" w:bidi="ar-SA"/>
        </w:rPr>
        <w:t>。</w:t>
      </w:r>
    </w:p>
    <w:p w14:paraId="3848CD5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预付款支付期限：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FAADF8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预付款扣回的方式：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1F9AF9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12.2.2 </w:t>
      </w:r>
      <w:r>
        <w:rPr>
          <w:rFonts w:hint="eastAsia" w:ascii="宋体" w:hAnsi="宋体" w:eastAsia="宋体" w:cs="宋体"/>
          <w:color w:val="auto"/>
          <w:spacing w:val="0"/>
          <w:w w:val="100"/>
          <w:kern w:val="2"/>
          <w:sz w:val="21"/>
          <w:szCs w:val="24"/>
          <w:highlight w:val="none"/>
          <w:lang w:val="en-US" w:bidi="ar-SA"/>
        </w:rPr>
        <w:t>预付款担保</w:t>
      </w:r>
    </w:p>
    <w:p w14:paraId="75D7130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承包人提交预付款担保的期限：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4CCE0D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预付款担保的形式为：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353DB6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12.3 计量</w:t>
      </w:r>
    </w:p>
    <w:p w14:paraId="22335A0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12.3.1</w:t>
      </w:r>
      <w:r>
        <w:rPr>
          <w:rFonts w:hint="eastAsia" w:ascii="宋体" w:hAnsi="宋体" w:eastAsia="宋体" w:cs="宋体"/>
          <w:color w:val="auto"/>
          <w:spacing w:val="0"/>
          <w:w w:val="100"/>
          <w:kern w:val="2"/>
          <w:sz w:val="21"/>
          <w:szCs w:val="24"/>
          <w:highlight w:val="none"/>
          <w:lang w:val="en-US" w:bidi="ar-SA"/>
        </w:rPr>
        <w:t xml:space="preserve"> 计量原则</w:t>
      </w:r>
    </w:p>
    <w:p w14:paraId="0E41012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工程量计算规则：</w:t>
      </w:r>
      <w:r>
        <w:rPr>
          <w:rFonts w:hint="eastAsia" w:ascii="宋体" w:hAnsi="宋体" w:eastAsia="宋体" w:cs="宋体"/>
          <w:color w:val="auto"/>
          <w:spacing w:val="0"/>
          <w:w w:val="100"/>
          <w:kern w:val="2"/>
          <w:sz w:val="21"/>
          <w:szCs w:val="24"/>
          <w:highlight w:val="none"/>
          <w:u w:val="single"/>
          <w:lang w:val="en-US" w:bidi="ar-SA"/>
        </w:rPr>
        <w:t>按</w:t>
      </w:r>
      <w:r>
        <w:rPr>
          <w:rFonts w:hint="eastAsia" w:ascii="宋体" w:hAnsi="宋体" w:eastAsia="宋体" w:cs="宋体"/>
          <w:color w:val="auto"/>
          <w:spacing w:val="0"/>
          <w:w w:val="100"/>
          <w:kern w:val="2"/>
          <w:sz w:val="21"/>
          <w:szCs w:val="24"/>
          <w:highlight w:val="none"/>
          <w:lang w:val="en-US" w:bidi="ar-SA"/>
        </w:rPr>
        <w:t>《建设工程工程量清单计价标准》（GB/T 50500-2024）中</w:t>
      </w:r>
      <w:r>
        <w:rPr>
          <w:rFonts w:hint="eastAsia" w:ascii="宋体" w:hAnsi="宋体" w:eastAsia="宋体" w:cs="宋体"/>
          <w:color w:val="auto"/>
          <w:spacing w:val="0"/>
          <w:w w:val="100"/>
          <w:kern w:val="2"/>
          <w:sz w:val="21"/>
          <w:szCs w:val="24"/>
          <w:highlight w:val="none"/>
          <w:u w:val="single"/>
          <w:lang w:val="en-US" w:bidi="ar-SA"/>
        </w:rPr>
        <w:t>计算规则计算</w:t>
      </w:r>
      <w:r>
        <w:rPr>
          <w:rFonts w:hint="eastAsia" w:ascii="宋体" w:hAnsi="宋体" w:eastAsia="宋体" w:cs="宋体"/>
          <w:color w:val="auto"/>
          <w:spacing w:val="0"/>
          <w:w w:val="100"/>
          <w:kern w:val="2"/>
          <w:sz w:val="21"/>
          <w:szCs w:val="24"/>
          <w:highlight w:val="none"/>
          <w:lang w:val="en-US" w:bidi="ar-SA"/>
        </w:rPr>
        <w:t>。</w:t>
      </w:r>
    </w:p>
    <w:p w14:paraId="562EB86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12.3.2 </w:t>
      </w:r>
      <w:r>
        <w:rPr>
          <w:rFonts w:hint="eastAsia" w:ascii="宋体" w:hAnsi="宋体" w:eastAsia="宋体" w:cs="宋体"/>
          <w:color w:val="auto"/>
          <w:spacing w:val="0"/>
          <w:w w:val="100"/>
          <w:kern w:val="2"/>
          <w:sz w:val="21"/>
          <w:szCs w:val="24"/>
          <w:highlight w:val="none"/>
          <w:lang w:val="en-US" w:bidi="ar-SA"/>
        </w:rPr>
        <w:t>计量周期</w:t>
      </w:r>
    </w:p>
    <w:p w14:paraId="6B3B20E5">
      <w:pPr>
        <w:pageBreakBefore w:val="0"/>
        <w:kinsoku/>
        <w:wordWrap/>
        <w:overflowPunct/>
        <w:topLinePunct w:val="0"/>
        <w:autoSpaceDE/>
        <w:autoSpaceDN/>
        <w:bidi w:val="0"/>
        <w:adjustRightInd w:val="0"/>
        <w:snapToGrid w:val="0"/>
        <w:spacing w:line="360" w:lineRule="auto"/>
        <w:ind w:left="-2" w:leftChars="-1"/>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关于计量周期的约定：</w:t>
      </w:r>
      <w:r>
        <w:rPr>
          <w:rFonts w:hint="eastAsia" w:ascii="宋体" w:hAnsi="宋体" w:eastAsia="宋体" w:cs="宋体"/>
          <w:color w:val="auto"/>
          <w:spacing w:val="0"/>
          <w:w w:val="100"/>
          <w:kern w:val="2"/>
          <w:sz w:val="21"/>
          <w:szCs w:val="24"/>
          <w:highlight w:val="none"/>
          <w:u w:val="single"/>
          <w:lang w:val="en-US" w:bidi="ar-SA"/>
        </w:rPr>
        <w:t>按</w:t>
      </w:r>
      <w:r>
        <w:rPr>
          <w:rFonts w:hint="eastAsia" w:ascii="宋体" w:hAnsi="宋体" w:eastAsia="宋体" w:cs="宋体"/>
          <w:color w:val="auto"/>
          <w:spacing w:val="0"/>
          <w:w w:val="100"/>
          <w:kern w:val="2"/>
          <w:sz w:val="21"/>
          <w:szCs w:val="24"/>
          <w:highlight w:val="none"/>
          <w:u w:val="single"/>
          <w:lang w:val="en-US" w:eastAsia="zh-CN" w:bidi="ar-SA"/>
        </w:rPr>
        <w:t>月进度</w:t>
      </w:r>
      <w:r>
        <w:rPr>
          <w:rFonts w:hint="eastAsia" w:ascii="宋体" w:hAnsi="宋体" w:eastAsia="宋体" w:cs="宋体"/>
          <w:color w:val="auto"/>
          <w:spacing w:val="0"/>
          <w:w w:val="100"/>
          <w:kern w:val="2"/>
          <w:sz w:val="21"/>
          <w:szCs w:val="24"/>
          <w:highlight w:val="none"/>
          <w:u w:val="single"/>
          <w:lang w:val="en-US" w:bidi="ar-SA"/>
        </w:rPr>
        <w:t>付款，每</w:t>
      </w:r>
      <w:r>
        <w:rPr>
          <w:rFonts w:hint="eastAsia" w:ascii="宋体" w:hAnsi="宋体" w:eastAsia="宋体" w:cs="宋体"/>
          <w:color w:val="auto"/>
          <w:spacing w:val="0"/>
          <w:w w:val="100"/>
          <w:kern w:val="2"/>
          <w:sz w:val="21"/>
          <w:szCs w:val="24"/>
          <w:highlight w:val="none"/>
          <w:u w:val="single"/>
          <w:lang w:val="en-US" w:eastAsia="zh-CN" w:bidi="ar-SA"/>
        </w:rPr>
        <w:t>月</w:t>
      </w:r>
      <w:r>
        <w:rPr>
          <w:rFonts w:hint="eastAsia" w:ascii="宋体" w:hAnsi="宋体" w:eastAsia="宋体" w:cs="宋体"/>
          <w:color w:val="auto"/>
          <w:spacing w:val="0"/>
          <w:w w:val="100"/>
          <w:kern w:val="2"/>
          <w:sz w:val="21"/>
          <w:szCs w:val="24"/>
          <w:highlight w:val="none"/>
          <w:u w:val="single"/>
          <w:lang w:val="en-US" w:bidi="ar-SA"/>
        </w:rPr>
        <w:t>25日</w:t>
      </w:r>
      <w:r>
        <w:rPr>
          <w:rFonts w:hint="eastAsia" w:ascii="宋体" w:hAnsi="宋体" w:eastAsia="宋体" w:cs="宋体"/>
          <w:color w:val="auto"/>
          <w:spacing w:val="0"/>
          <w:w w:val="100"/>
          <w:kern w:val="2"/>
          <w:sz w:val="21"/>
          <w:szCs w:val="24"/>
          <w:highlight w:val="none"/>
          <w:u w:val="single"/>
          <w:lang w:val="en-US" w:eastAsia="zh-CN" w:bidi="ar-SA"/>
        </w:rPr>
        <w:t>前</w:t>
      </w:r>
      <w:r>
        <w:rPr>
          <w:rFonts w:hint="eastAsia" w:ascii="宋体" w:hAnsi="宋体" w:eastAsia="宋体" w:cs="宋体"/>
          <w:color w:val="auto"/>
          <w:spacing w:val="0"/>
          <w:w w:val="100"/>
          <w:kern w:val="2"/>
          <w:sz w:val="21"/>
          <w:szCs w:val="24"/>
          <w:highlight w:val="none"/>
          <w:u w:val="single"/>
          <w:lang w:val="en-US" w:bidi="ar-SA"/>
        </w:rPr>
        <w:t>向监理人提交已完工程量报告，监理人收到承包人报告后5个工作日内核定其已完成工程量，并报发包人核准，经发包人核准签认的工程量作为月工程款支付的依据</w:t>
      </w:r>
      <w:r>
        <w:rPr>
          <w:rFonts w:hint="eastAsia" w:ascii="宋体" w:hAnsi="宋体" w:eastAsia="宋体" w:cs="宋体"/>
          <w:color w:val="auto"/>
          <w:spacing w:val="0"/>
          <w:w w:val="100"/>
          <w:kern w:val="2"/>
          <w:sz w:val="21"/>
          <w:szCs w:val="24"/>
          <w:highlight w:val="none"/>
          <w:lang w:val="en-US" w:bidi="ar-SA"/>
        </w:rPr>
        <w:t>。</w:t>
      </w:r>
    </w:p>
    <w:p w14:paraId="1C53541C">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12.3.3 </w:t>
      </w:r>
      <w:r>
        <w:rPr>
          <w:rFonts w:hint="eastAsia" w:ascii="宋体" w:hAnsi="宋体" w:eastAsia="宋体" w:cs="宋体"/>
          <w:color w:val="auto"/>
          <w:spacing w:val="0"/>
          <w:w w:val="100"/>
          <w:kern w:val="2"/>
          <w:sz w:val="21"/>
          <w:szCs w:val="24"/>
          <w:highlight w:val="none"/>
          <w:lang w:val="en-US" w:bidi="ar-SA"/>
        </w:rPr>
        <w:t>单价合同的计量</w:t>
      </w:r>
    </w:p>
    <w:p w14:paraId="7064455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关于单价合同计量的约定：</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27EDC5E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12.3.4 </w:t>
      </w:r>
      <w:r>
        <w:rPr>
          <w:rFonts w:hint="eastAsia" w:ascii="宋体" w:hAnsi="宋体" w:eastAsia="宋体" w:cs="宋体"/>
          <w:color w:val="auto"/>
          <w:spacing w:val="0"/>
          <w:w w:val="100"/>
          <w:kern w:val="2"/>
          <w:sz w:val="21"/>
          <w:szCs w:val="24"/>
          <w:highlight w:val="none"/>
          <w:lang w:val="en-US" w:bidi="ar-SA"/>
        </w:rPr>
        <w:t>总价合同的计量</w:t>
      </w:r>
    </w:p>
    <w:p w14:paraId="3750532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关于总价合同计量的约定：按</w:t>
      </w:r>
      <w:r>
        <w:rPr>
          <w:rFonts w:hint="eastAsia" w:ascii="宋体" w:hAnsi="宋体" w:eastAsia="宋体" w:cs="宋体"/>
          <w:color w:val="auto"/>
          <w:spacing w:val="0"/>
          <w:w w:val="100"/>
          <w:kern w:val="2"/>
          <w:sz w:val="21"/>
          <w:szCs w:val="24"/>
          <w:highlight w:val="none"/>
          <w:u w:val="single"/>
          <w:lang w:val="en-US" w:bidi="ar-SA"/>
        </w:rPr>
        <w:t>《建设工程工程量清单计价标准》（GB/T 50500-2024）中计</w:t>
      </w:r>
      <w:r>
        <w:rPr>
          <w:rFonts w:hint="eastAsia" w:ascii="宋体" w:hAnsi="宋体" w:eastAsia="宋体" w:cs="宋体"/>
          <w:color w:val="auto"/>
          <w:spacing w:val="0"/>
          <w:w w:val="100"/>
          <w:kern w:val="2"/>
          <w:sz w:val="21"/>
          <w:szCs w:val="24"/>
          <w:highlight w:val="none"/>
          <w:lang w:val="en-US" w:bidi="ar-SA"/>
        </w:rPr>
        <w:t>算</w:t>
      </w:r>
      <w:r>
        <w:rPr>
          <w:rFonts w:hint="eastAsia" w:ascii="宋体" w:hAnsi="宋体" w:eastAsia="宋体" w:cs="宋体"/>
          <w:color w:val="auto"/>
          <w:spacing w:val="0"/>
          <w:w w:val="100"/>
          <w:kern w:val="2"/>
          <w:sz w:val="21"/>
          <w:szCs w:val="24"/>
          <w:highlight w:val="none"/>
          <w:u w:val="single"/>
          <w:lang w:val="en-US" w:bidi="ar-SA"/>
        </w:rPr>
        <w:t>规则，按施工图图示完成工程量计算</w:t>
      </w:r>
      <w:r>
        <w:rPr>
          <w:rFonts w:hint="eastAsia" w:ascii="宋体" w:hAnsi="宋体" w:eastAsia="宋体" w:cs="宋体"/>
          <w:color w:val="auto"/>
          <w:spacing w:val="0"/>
          <w:w w:val="100"/>
          <w:kern w:val="2"/>
          <w:sz w:val="21"/>
          <w:szCs w:val="24"/>
          <w:highlight w:val="none"/>
          <w:lang w:val="en-US" w:bidi="ar-SA"/>
        </w:rPr>
        <w:t>。</w:t>
      </w:r>
    </w:p>
    <w:p w14:paraId="23E1993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
          <w:bCs/>
          <w:color w:val="auto"/>
          <w:spacing w:val="0"/>
          <w:w w:val="100"/>
          <w:kern w:val="2"/>
          <w:sz w:val="21"/>
          <w:szCs w:val="24"/>
          <w:highlight w:val="none"/>
          <w:lang w:val="en-US" w:bidi="ar-SA"/>
        </w:rPr>
        <w:t>12.3.5</w:t>
      </w:r>
      <w:r>
        <w:rPr>
          <w:rFonts w:hint="eastAsia" w:ascii="宋体" w:hAnsi="宋体" w:eastAsia="宋体" w:cs="宋体"/>
          <w:color w:val="auto"/>
          <w:spacing w:val="0"/>
          <w:w w:val="100"/>
          <w:kern w:val="2"/>
          <w:sz w:val="21"/>
          <w:szCs w:val="24"/>
          <w:highlight w:val="none"/>
          <w:lang w:val="en-US" w:bidi="ar-SA"/>
        </w:rPr>
        <w:t>总价合同采用支付分解表计量支付的，是否适用第</w:t>
      </w:r>
      <w:r>
        <w:rPr>
          <w:rFonts w:hint="eastAsia" w:ascii="宋体" w:hAnsi="宋体" w:eastAsia="宋体" w:cs="宋体"/>
          <w:color w:val="auto"/>
          <w:spacing w:val="0"/>
          <w:w w:val="100"/>
          <w:kern w:val="0"/>
          <w:sz w:val="21"/>
          <w:szCs w:val="24"/>
          <w:highlight w:val="none"/>
          <w:lang w:val="en-US" w:bidi="ar-SA"/>
        </w:rPr>
        <w:t xml:space="preserve">12.3.4 </w:t>
      </w:r>
      <w:r>
        <w:rPr>
          <w:rFonts w:hint="eastAsia" w:ascii="宋体" w:hAnsi="宋体" w:eastAsia="宋体" w:cs="宋体"/>
          <w:color w:val="auto"/>
          <w:spacing w:val="0"/>
          <w:w w:val="100"/>
          <w:kern w:val="2"/>
          <w:sz w:val="21"/>
          <w:szCs w:val="24"/>
          <w:highlight w:val="none"/>
          <w:lang w:val="en-US" w:bidi="ar-SA"/>
        </w:rPr>
        <w:t>项</w:t>
      </w:r>
      <w:r>
        <w:rPr>
          <w:rFonts w:hint="eastAsia" w:ascii="宋体" w:hAnsi="宋体" w:eastAsia="宋体" w:cs="宋体"/>
          <w:color w:val="auto"/>
          <w:spacing w:val="0"/>
          <w:w w:val="100"/>
          <w:kern w:val="0"/>
          <w:sz w:val="21"/>
          <w:szCs w:val="24"/>
          <w:highlight w:val="none"/>
          <w:lang w:val="en-US" w:bidi="ar-SA"/>
        </w:rPr>
        <w:t>〔总价合同的计量〕</w:t>
      </w:r>
      <w:r>
        <w:rPr>
          <w:rFonts w:hint="eastAsia" w:ascii="宋体" w:hAnsi="宋体" w:eastAsia="宋体" w:cs="宋体"/>
          <w:color w:val="auto"/>
          <w:spacing w:val="0"/>
          <w:w w:val="100"/>
          <w:kern w:val="2"/>
          <w:sz w:val="21"/>
          <w:szCs w:val="24"/>
          <w:highlight w:val="none"/>
          <w:lang w:val="en-US" w:bidi="ar-SA"/>
        </w:rPr>
        <w:t>约定进行计量：</w:t>
      </w:r>
      <w:r>
        <w:rPr>
          <w:rFonts w:hint="eastAsia" w:ascii="宋体" w:hAnsi="宋体" w:eastAsia="宋体" w:cs="宋体"/>
          <w:color w:val="auto"/>
          <w:spacing w:val="0"/>
          <w:w w:val="100"/>
          <w:kern w:val="2"/>
          <w:sz w:val="21"/>
          <w:szCs w:val="24"/>
          <w:highlight w:val="none"/>
          <w:u w:val="single"/>
          <w:lang w:val="en-US" w:bidi="ar-SA"/>
        </w:rPr>
        <w:t>按《建设工程工程量清单计价标准》（GB/T 50500-2024）中计算规则，按施工图图示完成工程量计算。</w:t>
      </w:r>
    </w:p>
    <w:p w14:paraId="26DEE516">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12.3.6 </w:t>
      </w:r>
      <w:r>
        <w:rPr>
          <w:rFonts w:hint="eastAsia" w:ascii="宋体" w:hAnsi="宋体" w:eastAsia="宋体" w:cs="宋体"/>
          <w:color w:val="auto"/>
          <w:spacing w:val="0"/>
          <w:w w:val="100"/>
          <w:kern w:val="2"/>
          <w:sz w:val="21"/>
          <w:szCs w:val="24"/>
          <w:highlight w:val="none"/>
          <w:lang w:val="en-US" w:bidi="ar-SA"/>
        </w:rPr>
        <w:t>其他价格形式合同的计量</w:t>
      </w:r>
    </w:p>
    <w:p w14:paraId="6A110038">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其他价格形式的计量方式和程序：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74FB19B">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12.4 工程进度款支付</w:t>
      </w:r>
    </w:p>
    <w:p w14:paraId="533425E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bookmarkStart w:id="439" w:name="_Toc297123556"/>
      <w:bookmarkStart w:id="440" w:name="_Toc296347210"/>
      <w:bookmarkStart w:id="441" w:name="_Toc296346712"/>
      <w:bookmarkStart w:id="442" w:name="_Toc303539163"/>
      <w:bookmarkStart w:id="443" w:name="_Toc292559416"/>
      <w:bookmarkStart w:id="444" w:name="_Toc296891039"/>
      <w:bookmarkStart w:id="445" w:name="_Toc296503211"/>
      <w:bookmarkStart w:id="446" w:name="_Toc292559921"/>
      <w:bookmarkStart w:id="447" w:name="_Toc296891251"/>
      <w:bookmarkStart w:id="448" w:name="_Toc296944550"/>
      <w:bookmarkStart w:id="449" w:name="_Toc297216215"/>
      <w:bookmarkStart w:id="450" w:name="_Toc297048397"/>
      <w:bookmarkStart w:id="451" w:name="_Toc297120511"/>
      <w:bookmarkStart w:id="452" w:name="_Toc300935006"/>
      <w:r>
        <w:rPr>
          <w:rFonts w:hint="eastAsia" w:ascii="宋体" w:hAnsi="宋体" w:eastAsia="宋体" w:cs="宋体"/>
          <w:b/>
          <w:bCs/>
          <w:color w:val="auto"/>
          <w:spacing w:val="0"/>
          <w:w w:val="100"/>
          <w:kern w:val="2"/>
          <w:sz w:val="21"/>
          <w:szCs w:val="24"/>
          <w:highlight w:val="none"/>
          <w:lang w:val="en-US" w:bidi="ar-SA"/>
        </w:rPr>
        <w:t xml:space="preserve">12.4.1 </w:t>
      </w:r>
      <w:r>
        <w:rPr>
          <w:rFonts w:hint="eastAsia" w:ascii="宋体" w:hAnsi="宋体" w:eastAsia="宋体" w:cs="宋体"/>
          <w:color w:val="auto"/>
          <w:spacing w:val="0"/>
          <w:w w:val="100"/>
          <w:kern w:val="2"/>
          <w:sz w:val="21"/>
          <w:szCs w:val="24"/>
          <w:highlight w:val="none"/>
          <w:lang w:val="en-US" w:bidi="ar-SA"/>
        </w:rPr>
        <w:t>付款周期</w:t>
      </w:r>
    </w:p>
    <w:p w14:paraId="7DBDB414">
      <w:pPr>
        <w:pageBreakBefore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eastAsia="zh-CN" w:bidi="ar-SA"/>
        </w:rPr>
        <w:t xml:space="preserve">工程开工后按月进度付款，付款额为当月完成并验收合格的工程量的80%；工程竣工验收合格并提交完整的竣工资料及结算资料后30日内付至合同价款(扣除暂列金额)的85%，余款等待审计后30日内付至审计价款的100%；承包人须在工程竣工验收后这一节点付款前向发包人缴纳合同价款的3%作为质量保证金。工程质保金在质保期满后（质保期为2年）且工程质量满足要求后30日内，无息退还质保金部分的60%，剩余的40%为保温、屋面及其他部位的防水部分质保金，将在工程竣工验收合格5年后且工程质量满足招标文件要求后30日内一次无息退还。 </w:t>
      </w:r>
    </w:p>
    <w:p w14:paraId="7A3ECD31">
      <w:pPr>
        <w:pageBreakBefore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12.4.2 进度付款申请单的编制</w:t>
      </w:r>
    </w:p>
    <w:p w14:paraId="77A77328">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关于进度付款申请单编制的约定：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0CD90F2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eastAsia="宋体" w:cs="宋体"/>
          <w:b/>
          <w:bCs/>
          <w:color w:val="auto"/>
          <w:spacing w:val="0"/>
          <w:w w:val="100"/>
          <w:kern w:val="2"/>
          <w:sz w:val="21"/>
          <w:szCs w:val="24"/>
          <w:highlight w:val="none"/>
          <w:lang w:val="en-US" w:bidi="ar-SA"/>
        </w:rPr>
        <w:t xml:space="preserve">2.4.3 </w:t>
      </w:r>
      <w:r>
        <w:rPr>
          <w:rFonts w:hint="eastAsia" w:ascii="宋体" w:hAnsi="宋体" w:eastAsia="宋体" w:cs="宋体"/>
          <w:color w:val="auto"/>
          <w:spacing w:val="0"/>
          <w:w w:val="100"/>
          <w:kern w:val="2"/>
          <w:sz w:val="21"/>
          <w:szCs w:val="24"/>
          <w:highlight w:val="none"/>
          <w:lang w:val="en-US" w:bidi="ar-SA"/>
        </w:rPr>
        <w:t>进度付款申请单的提交</w:t>
      </w:r>
    </w:p>
    <w:p w14:paraId="747A0DA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（1）单价合同进度付款申请单提交的约定：</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53CDCE2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（2）总价合同进度付款申请单提交的约定：</w:t>
      </w:r>
      <w:r>
        <w:rPr>
          <w:rFonts w:hint="eastAsia" w:ascii="宋体" w:hAnsi="宋体" w:eastAsia="宋体" w:cs="宋体"/>
          <w:color w:val="auto"/>
          <w:spacing w:val="0"/>
          <w:w w:val="100"/>
          <w:kern w:val="2"/>
          <w:sz w:val="21"/>
          <w:szCs w:val="24"/>
          <w:highlight w:val="none"/>
          <w:u w:val="single"/>
          <w:lang w:val="en-US" w:bidi="ar-SA"/>
        </w:rPr>
        <w:t>承包人每月25日前提交当月工程量报表</w:t>
      </w:r>
      <w:r>
        <w:rPr>
          <w:rFonts w:hint="eastAsia" w:ascii="宋体" w:hAnsi="宋体" w:eastAsia="宋体" w:cs="宋体"/>
          <w:color w:val="auto"/>
          <w:spacing w:val="0"/>
          <w:w w:val="100"/>
          <w:kern w:val="2"/>
          <w:sz w:val="21"/>
          <w:szCs w:val="24"/>
          <w:highlight w:val="none"/>
          <w:lang w:val="en-US" w:bidi="ar-SA"/>
        </w:rPr>
        <w:t>。</w:t>
      </w:r>
    </w:p>
    <w:p w14:paraId="64E7093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（3）其他价格形式合同进度付款申请单提交的约定：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5AAB68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12.4.4 </w:t>
      </w:r>
      <w:r>
        <w:rPr>
          <w:rFonts w:hint="eastAsia" w:ascii="宋体" w:hAnsi="宋体" w:eastAsia="宋体" w:cs="宋体"/>
          <w:color w:val="auto"/>
          <w:spacing w:val="0"/>
          <w:w w:val="100"/>
          <w:kern w:val="2"/>
          <w:sz w:val="21"/>
          <w:szCs w:val="24"/>
          <w:highlight w:val="none"/>
          <w:lang w:val="en-US" w:bidi="ar-SA"/>
        </w:rPr>
        <w:t>进度款审核和支付</w:t>
      </w:r>
    </w:p>
    <w:p w14:paraId="4DC7A43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（1）监理人审查并报送发包人的期限：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C1962DD">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发包人完成审批并签发进度款支付证书的期限：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9B2948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（2）发包人支付进度款的期限：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7D4BD96">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发包人逾期支付进度款的违约金的计算方式：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BCC5148">
      <w:pPr>
        <w:pageBreakBefore w:val="0"/>
        <w:kinsoku/>
        <w:wordWrap/>
        <w:overflowPunct/>
        <w:topLinePunct w:val="0"/>
        <w:autoSpaceDE/>
        <w:autoSpaceDN/>
        <w:bidi w:val="0"/>
        <w:adjustRightInd w:val="0"/>
        <w:snapToGrid w:val="0"/>
        <w:spacing w:line="360" w:lineRule="auto"/>
        <w:ind w:firstLine="527" w:firstLineChars="25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12.4.6 </w:t>
      </w:r>
      <w:r>
        <w:rPr>
          <w:rFonts w:hint="eastAsia" w:ascii="宋体" w:hAnsi="宋体" w:eastAsia="宋体" w:cs="宋体"/>
          <w:color w:val="auto"/>
          <w:spacing w:val="0"/>
          <w:w w:val="100"/>
          <w:kern w:val="2"/>
          <w:sz w:val="21"/>
          <w:szCs w:val="24"/>
          <w:highlight w:val="none"/>
          <w:lang w:val="en-US" w:bidi="ar-SA"/>
        </w:rPr>
        <w:t>支付分解表的编制</w:t>
      </w:r>
    </w:p>
    <w:p w14:paraId="0E7EF36C">
      <w:pPr>
        <w:pageBreakBefore w:val="0"/>
        <w:kinsoku/>
        <w:wordWrap/>
        <w:overflowPunct/>
        <w:topLinePunct w:val="0"/>
        <w:autoSpaceDE/>
        <w:autoSpaceDN/>
        <w:bidi w:val="0"/>
        <w:adjustRightInd w:val="0"/>
        <w:snapToGrid w:val="0"/>
        <w:spacing w:line="360" w:lineRule="auto"/>
        <w:ind w:left="4288" w:leftChars="342" w:hanging="3570" w:hangingChars="1700"/>
        <w:jc w:val="both"/>
        <w:textAlignment w:val="auto"/>
        <w:outlineLvl w:val="9"/>
        <w:rPr>
          <w:rFonts w:ascii="宋体" w:hAnsi="宋体" w:eastAsia="宋体" w:cs="宋体"/>
          <w:color w:val="auto"/>
          <w:spacing w:val="0"/>
          <w:w w:val="100"/>
          <w:kern w:val="2"/>
          <w:sz w:val="21"/>
          <w:szCs w:val="24"/>
          <w:highlight w:val="none"/>
          <w:lang w:val="en-US" w:bidi="ar-SA"/>
        </w:rPr>
      </w:pPr>
      <w:bookmarkStart w:id="453" w:name="_Toc24302"/>
      <w:r>
        <w:rPr>
          <w:rFonts w:hint="eastAsia" w:ascii="宋体" w:hAnsi="宋体" w:eastAsia="宋体" w:cs="宋体"/>
          <w:color w:val="auto"/>
          <w:spacing w:val="0"/>
          <w:w w:val="100"/>
          <w:kern w:val="2"/>
          <w:sz w:val="21"/>
          <w:szCs w:val="24"/>
          <w:highlight w:val="none"/>
          <w:lang w:val="en-US" w:bidi="ar-SA"/>
        </w:rPr>
        <w:t>2、总价合同支付分解表的编制与审批：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bookmarkEnd w:id="453"/>
    </w:p>
    <w:p w14:paraId="61D6ED87">
      <w:pPr>
        <w:pageBreakBefore w:val="0"/>
        <w:kinsoku/>
        <w:wordWrap/>
        <w:overflowPunct/>
        <w:topLinePunct w:val="0"/>
        <w:autoSpaceDE/>
        <w:autoSpaceDN/>
        <w:bidi w:val="0"/>
        <w:adjustRightInd w:val="0"/>
        <w:snapToGrid w:val="0"/>
        <w:spacing w:line="360" w:lineRule="auto"/>
        <w:ind w:firstLine="630" w:firstLineChars="300"/>
        <w:jc w:val="both"/>
        <w:textAlignment w:val="auto"/>
        <w:outlineLvl w:val="9"/>
        <w:rPr>
          <w:rFonts w:ascii="宋体" w:hAnsi="宋体" w:eastAsia="宋体" w:cs="宋体"/>
          <w:color w:val="auto"/>
          <w:spacing w:val="0"/>
          <w:w w:val="100"/>
          <w:kern w:val="2"/>
          <w:sz w:val="21"/>
          <w:szCs w:val="24"/>
          <w:highlight w:val="none"/>
          <w:lang w:val="en-US" w:bidi="ar-SA"/>
        </w:rPr>
      </w:pPr>
      <w:bookmarkStart w:id="454" w:name="_Toc6921"/>
      <w:r>
        <w:rPr>
          <w:rFonts w:hint="eastAsia" w:ascii="宋体" w:hAnsi="宋体" w:eastAsia="宋体" w:cs="宋体"/>
          <w:color w:val="auto"/>
          <w:spacing w:val="0"/>
          <w:w w:val="100"/>
          <w:kern w:val="2"/>
          <w:sz w:val="21"/>
          <w:szCs w:val="24"/>
          <w:highlight w:val="none"/>
          <w:lang w:val="en-US" w:bidi="ar-SA"/>
        </w:rPr>
        <w:t>3、单价合同的总价项目支付分解表的编制与审批：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bookmarkEnd w:id="454"/>
    </w:p>
    <w:p w14:paraId="0368CF57">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455" w:name="_Toc20850"/>
      <w:bookmarkStart w:id="456" w:name="_Toc22911722"/>
      <w:r>
        <w:rPr>
          <w:rFonts w:hint="eastAsia" w:ascii="宋体" w:hAnsi="宋体" w:eastAsia="宋体" w:cs="宋体"/>
          <w:b/>
          <w:color w:val="auto"/>
          <w:spacing w:val="0"/>
          <w:w w:val="100"/>
          <w:kern w:val="2"/>
          <w:sz w:val="21"/>
          <w:szCs w:val="28"/>
          <w:highlight w:val="none"/>
          <w:lang w:val="en-US" w:bidi="ar-SA"/>
        </w:rPr>
        <w:t>13. 验收和工程试车</w:t>
      </w:r>
      <w:bookmarkEnd w:id="455"/>
      <w:bookmarkEnd w:id="456"/>
    </w:p>
    <w:p w14:paraId="256B800D">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13.1 分部分项工程验收</w:t>
      </w:r>
    </w:p>
    <w:p w14:paraId="2C32D46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13.1.2</w:t>
      </w:r>
      <w:r>
        <w:rPr>
          <w:rFonts w:hint="eastAsia" w:ascii="宋体" w:hAnsi="宋体" w:eastAsia="宋体" w:cs="宋体"/>
          <w:color w:val="auto"/>
          <w:spacing w:val="0"/>
          <w:w w:val="100"/>
          <w:kern w:val="2"/>
          <w:sz w:val="21"/>
          <w:szCs w:val="24"/>
          <w:highlight w:val="none"/>
          <w:lang w:val="en-US" w:bidi="ar-SA"/>
        </w:rPr>
        <w:t>发包人不能按时进行验收时，应提前</w:t>
      </w:r>
      <w:r>
        <w:rPr>
          <w:rFonts w:hint="eastAsia" w:ascii="宋体" w:hAnsi="宋体" w:eastAsia="宋体" w:cs="宋体"/>
          <w:color w:val="auto"/>
          <w:spacing w:val="0"/>
          <w:w w:val="100"/>
          <w:kern w:val="2"/>
          <w:sz w:val="21"/>
          <w:szCs w:val="24"/>
          <w:highlight w:val="none"/>
          <w:u w:val="single"/>
          <w:lang w:val="en-US" w:bidi="ar-SA"/>
        </w:rPr>
        <w:t>24</w:t>
      </w:r>
      <w:r>
        <w:rPr>
          <w:rFonts w:hint="eastAsia" w:ascii="宋体" w:hAnsi="宋体" w:eastAsia="宋体" w:cs="宋体"/>
          <w:color w:val="auto"/>
          <w:spacing w:val="0"/>
          <w:w w:val="100"/>
          <w:kern w:val="2"/>
          <w:sz w:val="21"/>
          <w:szCs w:val="24"/>
          <w:highlight w:val="none"/>
          <w:lang w:val="en-US" w:bidi="ar-SA"/>
        </w:rPr>
        <w:t>时提交书面延期要求。</w:t>
      </w:r>
    </w:p>
    <w:p w14:paraId="5E3F2F5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关于延期最长不得超过：</w:t>
      </w:r>
      <w:r>
        <w:rPr>
          <w:rFonts w:hint="eastAsia" w:ascii="宋体" w:hAnsi="宋体" w:eastAsia="宋体" w:cs="宋体"/>
          <w:color w:val="auto"/>
          <w:spacing w:val="0"/>
          <w:w w:val="100"/>
          <w:kern w:val="2"/>
          <w:sz w:val="21"/>
          <w:szCs w:val="24"/>
          <w:highlight w:val="none"/>
          <w:u w:val="single"/>
          <w:lang w:val="en-US" w:bidi="ar-SA"/>
        </w:rPr>
        <w:t>48</w:t>
      </w:r>
      <w:r>
        <w:rPr>
          <w:rFonts w:hint="eastAsia" w:ascii="宋体" w:hAnsi="宋体" w:eastAsia="宋体" w:cs="宋体"/>
          <w:color w:val="auto"/>
          <w:spacing w:val="0"/>
          <w:w w:val="100"/>
          <w:kern w:val="2"/>
          <w:sz w:val="21"/>
          <w:szCs w:val="24"/>
          <w:highlight w:val="none"/>
          <w:lang w:val="en-US" w:bidi="ar-SA"/>
        </w:rPr>
        <w:t>小时。</w:t>
      </w:r>
    </w:p>
    <w:p w14:paraId="1B8EE92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457" w:name="_Toc297048409"/>
      <w:bookmarkStart w:id="458" w:name="_Toc296891051"/>
      <w:bookmarkStart w:id="459" w:name="_Toc292559933"/>
      <w:bookmarkStart w:id="460" w:name="_Toc296503223"/>
      <w:bookmarkStart w:id="461" w:name="_Toc296347222"/>
      <w:bookmarkStart w:id="462" w:name="_Toc296346724"/>
      <w:bookmarkStart w:id="463" w:name="_Toc297123565"/>
      <w:bookmarkStart w:id="464" w:name="_Toc297120523"/>
      <w:bookmarkStart w:id="465" w:name="_Toc296944562"/>
      <w:bookmarkStart w:id="466" w:name="_Toc300935016"/>
      <w:bookmarkStart w:id="467" w:name="_Toc304295596"/>
      <w:bookmarkStart w:id="468" w:name="_Toc297216224"/>
      <w:bookmarkStart w:id="469" w:name="_Toc296891263"/>
      <w:bookmarkStart w:id="470" w:name="_Toc312678056"/>
      <w:bookmarkStart w:id="471" w:name="_Toc292559428"/>
      <w:bookmarkStart w:id="472" w:name="_Toc303539173"/>
      <w:bookmarkStart w:id="473" w:name="_Toc267251472"/>
      <w:bookmarkStart w:id="474" w:name="_Toc267251475"/>
      <w:bookmarkStart w:id="475" w:name="_Toc267251471"/>
      <w:bookmarkStart w:id="476" w:name="_Toc267251476"/>
      <w:bookmarkStart w:id="477" w:name="_Toc267251470"/>
      <w:bookmarkStart w:id="478" w:name="_Toc267251474"/>
      <w:bookmarkStart w:id="479" w:name="_Toc267251473"/>
      <w:r>
        <w:rPr>
          <w:rFonts w:hint="eastAsia" w:ascii="宋体" w:hAnsi="宋体" w:eastAsia="宋体" w:cs="宋体"/>
          <w:b/>
          <w:bCs/>
          <w:color w:val="auto"/>
          <w:spacing w:val="0"/>
          <w:w w:val="100"/>
          <w:kern w:val="2"/>
          <w:sz w:val="21"/>
          <w:szCs w:val="24"/>
          <w:highlight w:val="none"/>
          <w:lang w:val="en-US" w:bidi="ar-SA"/>
        </w:rPr>
        <w:t>13.2 竣工验收</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14:paraId="5B998F0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bookmarkStart w:id="480" w:name="_Toc280868708"/>
      <w:bookmarkStart w:id="481" w:name="_Toc280868709"/>
      <w:r>
        <w:rPr>
          <w:rFonts w:hint="eastAsia" w:ascii="宋体" w:hAnsi="宋体" w:eastAsia="宋体" w:cs="宋体"/>
          <w:b/>
          <w:bCs/>
          <w:color w:val="auto"/>
          <w:spacing w:val="0"/>
          <w:w w:val="100"/>
          <w:kern w:val="2"/>
          <w:sz w:val="21"/>
          <w:szCs w:val="24"/>
          <w:highlight w:val="none"/>
          <w:lang w:val="en-US" w:bidi="ar-SA"/>
        </w:rPr>
        <w:t>13.2.2</w:t>
      </w:r>
      <w:r>
        <w:rPr>
          <w:rFonts w:hint="eastAsia" w:ascii="宋体" w:hAnsi="宋体" w:eastAsia="宋体" w:cs="宋体"/>
          <w:color w:val="auto"/>
          <w:spacing w:val="0"/>
          <w:w w:val="100"/>
          <w:kern w:val="2"/>
          <w:sz w:val="21"/>
          <w:szCs w:val="24"/>
          <w:highlight w:val="none"/>
          <w:lang w:val="en-US" w:bidi="ar-SA"/>
        </w:rPr>
        <w:t>竣工验收程序</w:t>
      </w:r>
    </w:p>
    <w:p w14:paraId="51B2D684">
      <w:pPr>
        <w:pageBreakBefore w:val="0"/>
        <w:kinsoku/>
        <w:wordWrap/>
        <w:overflowPunct/>
        <w:topLinePunct w:val="0"/>
        <w:autoSpaceDE/>
        <w:autoSpaceDN/>
        <w:bidi w:val="0"/>
        <w:adjustRightInd w:val="0"/>
        <w:snapToGrid w:val="0"/>
        <w:spacing w:line="360" w:lineRule="auto"/>
        <w:ind w:left="4200" w:hanging="4200" w:hangingChars="20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关于竣工验收程序的约定：</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5197A3A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发包人不按照本项约定组织竣工验收、颁发工程接收证书的违约金的计算方法：</w:t>
      </w:r>
    </w:p>
    <w:p w14:paraId="3CEC787F">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650A608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13.2.5</w:t>
      </w:r>
      <w:r>
        <w:rPr>
          <w:rFonts w:hint="eastAsia" w:ascii="宋体" w:hAnsi="宋体" w:eastAsia="宋体" w:cs="宋体"/>
          <w:color w:val="auto"/>
          <w:spacing w:val="0"/>
          <w:w w:val="100"/>
          <w:kern w:val="2"/>
          <w:sz w:val="21"/>
          <w:szCs w:val="24"/>
          <w:highlight w:val="none"/>
          <w:lang w:val="en-US" w:bidi="ar-SA"/>
        </w:rPr>
        <w:t>移交、接收全部与部分工程</w:t>
      </w:r>
    </w:p>
    <w:p w14:paraId="42519D4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承包人向发包人移交工程的期限：</w:t>
      </w:r>
      <w:r>
        <w:rPr>
          <w:rFonts w:hint="eastAsia" w:ascii="宋体" w:hAnsi="宋体" w:eastAsia="宋体" w:cs="宋体"/>
          <w:color w:val="auto"/>
          <w:spacing w:val="0"/>
          <w:w w:val="100"/>
          <w:kern w:val="0"/>
          <w:sz w:val="21"/>
          <w:szCs w:val="24"/>
          <w:highlight w:val="none"/>
          <w:u w:val="single"/>
          <w:lang w:val="en-US" w:bidi="ar-SA"/>
        </w:rPr>
        <w:t>竣工验收合格之日起7日内</w:t>
      </w:r>
      <w:r>
        <w:rPr>
          <w:rFonts w:hint="eastAsia" w:ascii="宋体" w:hAnsi="宋体" w:eastAsia="宋体" w:cs="宋体"/>
          <w:color w:val="auto"/>
          <w:spacing w:val="0"/>
          <w:w w:val="100"/>
          <w:kern w:val="2"/>
          <w:sz w:val="21"/>
          <w:szCs w:val="24"/>
          <w:highlight w:val="none"/>
          <w:lang w:val="en-US" w:bidi="ar-SA"/>
        </w:rPr>
        <w:t>。</w:t>
      </w:r>
    </w:p>
    <w:p w14:paraId="06BF616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发包人未按本合同约定接收全部或部分工程的，违约金的计算方法为：</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74E9A24C">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承包人未按时移交工程的，违约金的计算方法为：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C69F441">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13.3 工程试车</w:t>
      </w:r>
    </w:p>
    <w:bookmarkEnd w:id="480"/>
    <w:p w14:paraId="5B3654AB">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13.3.1 试车程序</w:t>
      </w:r>
    </w:p>
    <w:p w14:paraId="0B1367EB">
      <w:pPr>
        <w:pageBreakBefore w:val="0"/>
        <w:kinsoku/>
        <w:wordWrap/>
        <w:overflowPunct/>
        <w:topLinePunct w:val="0"/>
        <w:autoSpaceDE/>
        <w:autoSpaceDN/>
        <w:bidi w:val="0"/>
        <w:adjustRightInd w:val="0"/>
        <w:snapToGrid w:val="0"/>
        <w:spacing w:line="360" w:lineRule="auto"/>
        <w:ind w:firstLine="630" w:firstLineChars="3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工程试车内容：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499A95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（1）单机无负荷试车费用由</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承担；</w:t>
      </w:r>
    </w:p>
    <w:p w14:paraId="2947656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（2）无负荷联动试车费用由</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0"/>
          <w:sz w:val="21"/>
          <w:szCs w:val="24"/>
          <w:highlight w:val="none"/>
          <w:lang w:val="en-US" w:bidi="ar-SA"/>
        </w:rPr>
        <w:t>承担。</w:t>
      </w:r>
    </w:p>
    <w:p w14:paraId="6A0C3A15">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 xml:space="preserve">13.3.3 </w:t>
      </w:r>
      <w:r>
        <w:rPr>
          <w:rFonts w:hint="eastAsia" w:ascii="宋体" w:hAnsi="宋体" w:eastAsia="宋体" w:cs="宋体"/>
          <w:color w:val="auto"/>
          <w:spacing w:val="0"/>
          <w:w w:val="100"/>
          <w:kern w:val="0"/>
          <w:sz w:val="21"/>
          <w:szCs w:val="24"/>
          <w:highlight w:val="none"/>
          <w:lang w:val="en-US" w:bidi="ar-SA"/>
        </w:rPr>
        <w:t>投料试车</w:t>
      </w:r>
    </w:p>
    <w:p w14:paraId="7A43319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关于投料试车相关事项的约定：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52F67F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482" w:name="_Toc11322"/>
      <w:bookmarkStart w:id="483" w:name="_Toc22911723"/>
      <w:bookmarkStart w:id="484" w:name="_Toc3298"/>
      <w:bookmarkStart w:id="485" w:name="_Toc3104"/>
      <w:r>
        <w:rPr>
          <w:rFonts w:hint="eastAsia" w:ascii="宋体" w:hAnsi="宋体" w:eastAsia="宋体" w:cs="宋体"/>
          <w:b/>
          <w:bCs/>
          <w:color w:val="auto"/>
          <w:spacing w:val="0"/>
          <w:w w:val="100"/>
          <w:kern w:val="2"/>
          <w:sz w:val="21"/>
          <w:szCs w:val="24"/>
          <w:highlight w:val="none"/>
          <w:lang w:val="en-US" w:bidi="ar-SA"/>
        </w:rPr>
        <w:t>13.6 竣工退场</w:t>
      </w:r>
      <w:bookmarkEnd w:id="482"/>
      <w:bookmarkEnd w:id="483"/>
      <w:bookmarkEnd w:id="484"/>
      <w:bookmarkEnd w:id="485"/>
    </w:p>
    <w:p w14:paraId="7F7EC12B">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 xml:space="preserve">13.6.1 </w:t>
      </w:r>
      <w:r>
        <w:rPr>
          <w:rFonts w:hint="eastAsia" w:ascii="宋体" w:hAnsi="宋体" w:eastAsia="宋体" w:cs="宋体"/>
          <w:color w:val="auto"/>
          <w:spacing w:val="0"/>
          <w:w w:val="100"/>
          <w:kern w:val="0"/>
          <w:sz w:val="21"/>
          <w:szCs w:val="24"/>
          <w:highlight w:val="none"/>
          <w:lang w:val="en-US" w:bidi="ar-SA"/>
        </w:rPr>
        <w:t>竣工退场</w:t>
      </w:r>
    </w:p>
    <w:p w14:paraId="4A8A708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承包人完成竣工退场的期限：</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0"/>
          <w:sz w:val="21"/>
          <w:szCs w:val="24"/>
          <w:highlight w:val="none"/>
          <w:u w:val="single"/>
          <w:lang w:val="en-US" w:bidi="ar-SA"/>
        </w:rPr>
        <w:t>3日内</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0"/>
          <w:sz w:val="21"/>
          <w:szCs w:val="24"/>
          <w:highlight w:val="none"/>
          <w:lang w:val="en-US" w:bidi="ar-SA"/>
        </w:rPr>
        <w:t>。</w:t>
      </w:r>
    </w:p>
    <w:p w14:paraId="194DAF66">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486" w:name="_Toc22911724"/>
      <w:bookmarkStart w:id="487" w:name="_Toc10059"/>
      <w:r>
        <w:rPr>
          <w:rFonts w:hint="eastAsia" w:ascii="宋体" w:hAnsi="宋体" w:eastAsia="宋体" w:cs="宋体"/>
          <w:b/>
          <w:color w:val="auto"/>
          <w:spacing w:val="0"/>
          <w:w w:val="100"/>
          <w:kern w:val="2"/>
          <w:sz w:val="21"/>
          <w:szCs w:val="28"/>
          <w:highlight w:val="none"/>
          <w:lang w:val="en-US" w:bidi="ar-SA"/>
        </w:rPr>
        <w:t>14. 竣工结算</w:t>
      </w:r>
      <w:bookmarkEnd w:id="486"/>
      <w:bookmarkEnd w:id="487"/>
    </w:p>
    <w:p w14:paraId="7948753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14.1 竣工结算申请</w:t>
      </w:r>
    </w:p>
    <w:p w14:paraId="50A8B8E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承包人提交竣工结算申请单的期限：</w:t>
      </w:r>
      <w:r>
        <w:rPr>
          <w:rFonts w:hint="eastAsia" w:ascii="宋体" w:hAnsi="宋体" w:eastAsia="宋体" w:cs="宋体"/>
          <w:color w:val="auto"/>
          <w:spacing w:val="0"/>
          <w:w w:val="100"/>
          <w:kern w:val="2"/>
          <w:sz w:val="21"/>
          <w:szCs w:val="24"/>
          <w:highlight w:val="none"/>
          <w:u w:val="single"/>
          <w:lang w:val="en-US" w:bidi="ar-SA"/>
        </w:rPr>
        <w:t>工程竣工且经验收合格并提交竣工资料和竣工图纸后28天内，承包人向发包人递交竣工结算申请单及完整的结算资料，双方按照协议约定的合同价款及专用条款约定的合同价款调整内容，进行工程竣工结算</w:t>
      </w:r>
      <w:r>
        <w:rPr>
          <w:rFonts w:hint="eastAsia" w:ascii="宋体" w:hAnsi="宋体" w:eastAsia="宋体" w:cs="宋体"/>
          <w:color w:val="auto"/>
          <w:spacing w:val="0"/>
          <w:w w:val="100"/>
          <w:kern w:val="2"/>
          <w:sz w:val="21"/>
          <w:szCs w:val="24"/>
          <w:highlight w:val="none"/>
          <w:lang w:val="en-US" w:bidi="ar-SA"/>
        </w:rPr>
        <w:t>。</w:t>
      </w:r>
    </w:p>
    <w:p w14:paraId="6F5F8BB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竣工结算申请单应包括的内容：</w:t>
      </w:r>
      <w:r>
        <w:rPr>
          <w:rFonts w:hint="eastAsia" w:ascii="宋体" w:hAnsi="宋体" w:eastAsia="宋体" w:cs="宋体"/>
          <w:color w:val="auto"/>
          <w:spacing w:val="0"/>
          <w:w w:val="100"/>
          <w:kern w:val="2"/>
          <w:sz w:val="21"/>
          <w:szCs w:val="24"/>
          <w:highlight w:val="none"/>
          <w:u w:val="single"/>
          <w:lang w:val="en-US" w:bidi="ar-SA"/>
        </w:rPr>
        <w:t>结算书2份、竣工验收报告（合格）、延期报告、施工合同、招标文件、投标文件、变更及</w:t>
      </w:r>
      <w:r>
        <w:rPr>
          <w:rFonts w:hint="eastAsia" w:ascii="宋体" w:hAnsi="宋体" w:eastAsia="宋体" w:cs="宋体"/>
          <w:color w:val="auto"/>
          <w:spacing w:val="0"/>
          <w:w w:val="100"/>
          <w:kern w:val="2"/>
          <w:sz w:val="21"/>
          <w:szCs w:val="24"/>
          <w:highlight w:val="none"/>
          <w:lang w:val="en-US" w:bidi="ar-SA"/>
        </w:rPr>
        <w:t>新增工程</w:t>
      </w:r>
      <w:r>
        <w:rPr>
          <w:rFonts w:hint="eastAsia" w:ascii="宋体" w:hAnsi="宋体" w:eastAsia="宋体" w:cs="宋体"/>
          <w:color w:val="auto"/>
          <w:spacing w:val="0"/>
          <w:w w:val="100"/>
          <w:kern w:val="2"/>
          <w:sz w:val="21"/>
          <w:szCs w:val="24"/>
          <w:highlight w:val="none"/>
          <w:u w:val="single"/>
          <w:lang w:val="en-US" w:bidi="ar-SA"/>
        </w:rPr>
        <w:t>、相关材料的价格考察认价单、施工图纸等与结算价款有关的所有资料。以上资料均为原件</w:t>
      </w:r>
      <w:r>
        <w:rPr>
          <w:rFonts w:hint="eastAsia" w:ascii="宋体" w:hAnsi="宋体" w:eastAsia="宋体" w:cs="宋体"/>
          <w:color w:val="auto"/>
          <w:spacing w:val="0"/>
          <w:w w:val="100"/>
          <w:kern w:val="2"/>
          <w:sz w:val="21"/>
          <w:szCs w:val="24"/>
          <w:highlight w:val="none"/>
          <w:lang w:val="en-US" w:bidi="ar-SA"/>
        </w:rPr>
        <w:t>。</w:t>
      </w:r>
    </w:p>
    <w:p w14:paraId="21238B3A">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488" w:name="_Toc22911725"/>
      <w:bookmarkStart w:id="489" w:name="_Toc622"/>
      <w:bookmarkStart w:id="490" w:name="_Toc17294"/>
      <w:bookmarkStart w:id="491" w:name="_Toc11156"/>
      <w:r>
        <w:rPr>
          <w:rFonts w:hint="eastAsia" w:ascii="宋体" w:hAnsi="宋体" w:eastAsia="宋体" w:cs="宋体"/>
          <w:b/>
          <w:bCs/>
          <w:color w:val="auto"/>
          <w:spacing w:val="0"/>
          <w:w w:val="100"/>
          <w:kern w:val="2"/>
          <w:sz w:val="21"/>
          <w:szCs w:val="24"/>
          <w:highlight w:val="none"/>
          <w:lang w:val="en-US" w:bidi="ar-SA"/>
        </w:rPr>
        <w:t>14.2 竣工结算审核</w:t>
      </w:r>
      <w:bookmarkEnd w:id="488"/>
      <w:bookmarkEnd w:id="489"/>
      <w:bookmarkEnd w:id="490"/>
      <w:bookmarkEnd w:id="491"/>
    </w:p>
    <w:p w14:paraId="17BA5C5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发包人审批竣工付款申请单的期限：</w:t>
      </w:r>
      <w:r>
        <w:rPr>
          <w:rFonts w:hint="eastAsia" w:ascii="宋体" w:hAnsi="宋体" w:eastAsia="宋体" w:cs="宋体"/>
          <w:color w:val="auto"/>
          <w:spacing w:val="0"/>
          <w:w w:val="100"/>
          <w:kern w:val="2"/>
          <w:sz w:val="21"/>
          <w:szCs w:val="24"/>
          <w:highlight w:val="none"/>
          <w:u w:val="single"/>
          <w:lang w:val="en-US" w:bidi="ar-SA"/>
        </w:rPr>
        <w:t>发包人收到承包人递交的完整结算资料后28天内进行核实，给予确认或者提出修改意见。发包人确认竣工结算并经审计部门审核定案后，向承包人按合同约定支付工程竣工结算价款</w:t>
      </w:r>
      <w:r>
        <w:rPr>
          <w:rFonts w:hint="eastAsia" w:ascii="宋体" w:hAnsi="宋体" w:eastAsia="宋体" w:cs="宋体"/>
          <w:color w:val="auto"/>
          <w:spacing w:val="0"/>
          <w:w w:val="100"/>
          <w:kern w:val="2"/>
          <w:sz w:val="21"/>
          <w:szCs w:val="24"/>
          <w:highlight w:val="none"/>
          <w:lang w:val="en-US" w:bidi="ar-SA"/>
        </w:rPr>
        <w:t>。</w:t>
      </w:r>
    </w:p>
    <w:p w14:paraId="7267573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发包人完成竣工付款的期限：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A7DCBFC">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关于竣工付款证书异议部分复核的方式和程序：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66F327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14.4 最终结清</w:t>
      </w:r>
    </w:p>
    <w:p w14:paraId="014A42C4">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14.4.1</w:t>
      </w:r>
      <w:r>
        <w:rPr>
          <w:rFonts w:hint="eastAsia" w:ascii="宋体" w:hAnsi="宋体" w:eastAsia="宋体" w:cs="宋体"/>
          <w:color w:val="auto"/>
          <w:spacing w:val="0"/>
          <w:w w:val="100"/>
          <w:kern w:val="0"/>
          <w:sz w:val="21"/>
          <w:szCs w:val="24"/>
          <w:highlight w:val="none"/>
          <w:lang w:val="en-US" w:bidi="ar-SA"/>
        </w:rPr>
        <w:t xml:space="preserve"> 最终结清申请单</w:t>
      </w:r>
    </w:p>
    <w:p w14:paraId="35DA666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承包人提交最终结清申请单的份数：</w:t>
      </w:r>
      <w:r>
        <w:rPr>
          <w:rFonts w:hint="eastAsia" w:ascii="宋体" w:hAnsi="宋体" w:eastAsia="宋体" w:cs="宋体"/>
          <w:color w:val="auto"/>
          <w:spacing w:val="0"/>
          <w:w w:val="100"/>
          <w:kern w:val="0"/>
          <w:sz w:val="21"/>
          <w:szCs w:val="24"/>
          <w:highlight w:val="none"/>
          <w:u w:val="single"/>
          <w:lang w:val="en-US" w:bidi="ar-SA"/>
        </w:rPr>
        <w:t>一式三份</w:t>
      </w:r>
      <w:r>
        <w:rPr>
          <w:rFonts w:hint="eastAsia" w:ascii="宋体" w:hAnsi="宋体" w:eastAsia="宋体" w:cs="宋体"/>
          <w:color w:val="auto"/>
          <w:spacing w:val="0"/>
          <w:w w:val="100"/>
          <w:kern w:val="2"/>
          <w:sz w:val="21"/>
          <w:szCs w:val="24"/>
          <w:highlight w:val="none"/>
          <w:lang w:val="en-US" w:bidi="ar-SA"/>
        </w:rPr>
        <w:t>。</w:t>
      </w:r>
    </w:p>
    <w:p w14:paraId="4490098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承包人提交最终结算申请单的期限：</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3D5C85B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14.4.2 </w:t>
      </w:r>
      <w:r>
        <w:rPr>
          <w:rFonts w:hint="eastAsia" w:ascii="宋体" w:hAnsi="宋体" w:eastAsia="宋体" w:cs="宋体"/>
          <w:color w:val="auto"/>
          <w:spacing w:val="0"/>
          <w:w w:val="100"/>
          <w:kern w:val="2"/>
          <w:sz w:val="21"/>
          <w:szCs w:val="24"/>
          <w:highlight w:val="none"/>
          <w:lang w:val="en-US" w:bidi="ar-SA"/>
        </w:rPr>
        <w:t>最终结清证书和支付</w:t>
      </w:r>
    </w:p>
    <w:p w14:paraId="0E051F4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（1）发包人完成最终结清申请单的审批并颁发最终结清证书的期限：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95138B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（2）发包人完成支付的期限：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473"/>
    <w:bookmarkEnd w:id="474"/>
    <w:bookmarkEnd w:id="475"/>
    <w:bookmarkEnd w:id="476"/>
    <w:bookmarkEnd w:id="477"/>
    <w:bookmarkEnd w:id="478"/>
    <w:bookmarkEnd w:id="479"/>
    <w:bookmarkEnd w:id="481"/>
    <w:p w14:paraId="19BEACBB">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492" w:name="_Toc22911726"/>
      <w:bookmarkStart w:id="493" w:name="_Toc30544"/>
      <w:bookmarkStart w:id="494" w:name="_Toc267251498"/>
      <w:bookmarkStart w:id="495" w:name="_Toc267251492"/>
      <w:bookmarkStart w:id="496" w:name="_Toc267251503"/>
      <w:bookmarkStart w:id="497" w:name="_Toc267251499"/>
      <w:bookmarkStart w:id="498" w:name="_Toc267251501"/>
      <w:bookmarkStart w:id="499" w:name="_Toc267251494"/>
      <w:bookmarkStart w:id="500" w:name="_Toc267251491"/>
      <w:bookmarkStart w:id="501" w:name="_Toc267251495"/>
      <w:bookmarkStart w:id="502" w:name="_Toc267251493"/>
      <w:bookmarkStart w:id="503" w:name="_Toc267251497"/>
      <w:bookmarkStart w:id="504" w:name="_Toc267251502"/>
      <w:bookmarkStart w:id="505" w:name="_Toc267251496"/>
      <w:bookmarkStart w:id="506" w:name="_Toc267251506"/>
      <w:bookmarkStart w:id="507" w:name="_Toc267251504"/>
      <w:bookmarkStart w:id="508" w:name="_Toc267251507"/>
      <w:bookmarkStart w:id="509" w:name="_Toc267251508"/>
      <w:bookmarkStart w:id="510" w:name="_Toc267251510"/>
      <w:bookmarkStart w:id="511" w:name="_Toc267251514"/>
      <w:bookmarkStart w:id="512" w:name="_Toc267251511"/>
      <w:bookmarkStart w:id="513" w:name="_Toc267251515"/>
      <w:bookmarkStart w:id="514" w:name="_Toc267251513"/>
      <w:bookmarkStart w:id="515" w:name="_Toc267251509"/>
      <w:r>
        <w:rPr>
          <w:rFonts w:hint="eastAsia" w:ascii="宋体" w:hAnsi="宋体" w:eastAsia="宋体" w:cs="宋体"/>
          <w:b/>
          <w:color w:val="auto"/>
          <w:spacing w:val="0"/>
          <w:w w:val="100"/>
          <w:kern w:val="2"/>
          <w:sz w:val="21"/>
          <w:szCs w:val="28"/>
          <w:highlight w:val="none"/>
          <w:lang w:val="en-US" w:bidi="ar-SA"/>
        </w:rPr>
        <w:t>15. 缺陷责任期与保修</w:t>
      </w:r>
      <w:bookmarkEnd w:id="492"/>
      <w:bookmarkEnd w:id="493"/>
    </w:p>
    <w:p w14:paraId="3652C61D">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15.2缺陷责任期</w:t>
      </w:r>
    </w:p>
    <w:p w14:paraId="6309076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缺陷责任期的具体期限：</w:t>
      </w:r>
      <w:r>
        <w:rPr>
          <w:rFonts w:hint="eastAsia" w:ascii="宋体" w:hAnsi="宋体" w:eastAsia="宋体" w:cs="宋体"/>
          <w:color w:val="auto"/>
          <w:spacing w:val="0"/>
          <w:w w:val="100"/>
          <w:kern w:val="0"/>
          <w:sz w:val="21"/>
          <w:szCs w:val="24"/>
          <w:highlight w:val="none"/>
          <w:u w:val="single"/>
          <w:lang w:val="en-US" w:bidi="ar-SA"/>
        </w:rPr>
        <w:t>按附件《工程质量保修书》执行。</w:t>
      </w:r>
    </w:p>
    <w:p w14:paraId="0506748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516" w:name="_Toc28574"/>
      <w:bookmarkStart w:id="517" w:name="_Toc22911727"/>
      <w:bookmarkStart w:id="518" w:name="_Toc29958"/>
      <w:bookmarkStart w:id="519" w:name="_Toc24138"/>
      <w:r>
        <w:rPr>
          <w:rFonts w:hint="eastAsia" w:ascii="宋体" w:hAnsi="宋体" w:eastAsia="宋体" w:cs="宋体"/>
          <w:b/>
          <w:bCs/>
          <w:color w:val="auto"/>
          <w:spacing w:val="0"/>
          <w:w w:val="100"/>
          <w:kern w:val="2"/>
          <w:sz w:val="21"/>
          <w:szCs w:val="24"/>
          <w:highlight w:val="none"/>
          <w:lang w:val="en-US" w:bidi="ar-SA"/>
        </w:rPr>
        <w:t>15.3 质量保证金</w:t>
      </w:r>
      <w:bookmarkEnd w:id="516"/>
      <w:bookmarkEnd w:id="517"/>
      <w:bookmarkEnd w:id="518"/>
      <w:bookmarkEnd w:id="519"/>
    </w:p>
    <w:p w14:paraId="1262A848">
      <w:pPr>
        <w:pageBreakBefore w:val="0"/>
        <w:kinsoku/>
        <w:wordWrap/>
        <w:overflowPunct/>
        <w:topLinePunct w:val="0"/>
        <w:autoSpaceDE/>
        <w:autoSpaceDN/>
        <w:bidi w:val="0"/>
        <w:adjustRightInd w:val="0"/>
        <w:snapToGrid w:val="0"/>
        <w:spacing w:line="360" w:lineRule="auto"/>
        <w:ind w:left="479" w:leftChars="228"/>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关于是否扣留质量保证金的约定：在工程项目竣工前，承包人按专用合同条款第3.7条提供履约担保的，发包人不得同时预留工程质量保证金。</w:t>
      </w:r>
    </w:p>
    <w:p w14:paraId="7B8856B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bookmarkStart w:id="520" w:name="_Toc22911728"/>
      <w:bookmarkStart w:id="521" w:name="_Toc24886"/>
      <w:bookmarkStart w:id="522" w:name="_Toc1129"/>
      <w:bookmarkStart w:id="523" w:name="_Toc38"/>
      <w:r>
        <w:rPr>
          <w:rFonts w:hint="eastAsia" w:ascii="宋体" w:hAnsi="宋体" w:eastAsia="宋体" w:cs="宋体"/>
          <w:b/>
          <w:bCs/>
          <w:color w:val="auto"/>
          <w:spacing w:val="0"/>
          <w:w w:val="100"/>
          <w:kern w:val="2"/>
          <w:sz w:val="21"/>
          <w:szCs w:val="24"/>
          <w:highlight w:val="none"/>
          <w:lang w:val="en-US" w:bidi="ar-SA"/>
        </w:rPr>
        <w:t xml:space="preserve">15.3.1 </w:t>
      </w:r>
      <w:r>
        <w:rPr>
          <w:rFonts w:hint="eastAsia" w:ascii="宋体" w:hAnsi="宋体" w:eastAsia="宋体" w:cs="宋体"/>
          <w:color w:val="auto"/>
          <w:spacing w:val="0"/>
          <w:w w:val="100"/>
          <w:kern w:val="2"/>
          <w:sz w:val="21"/>
          <w:szCs w:val="24"/>
          <w:highlight w:val="none"/>
          <w:lang w:val="en-US" w:bidi="ar-SA"/>
        </w:rPr>
        <w:t>承包人提供质量保证金的方式</w:t>
      </w:r>
      <w:bookmarkEnd w:id="520"/>
      <w:bookmarkEnd w:id="521"/>
      <w:bookmarkEnd w:id="522"/>
      <w:bookmarkEnd w:id="523"/>
    </w:p>
    <w:p w14:paraId="4C0E7E5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质量保证金采用以下第</w:t>
      </w:r>
      <w:r>
        <w:rPr>
          <w:rFonts w:hint="eastAsia" w:ascii="宋体" w:hAnsi="宋体" w:eastAsia="宋体" w:cs="宋体"/>
          <w:color w:val="auto"/>
          <w:spacing w:val="0"/>
          <w:w w:val="100"/>
          <w:kern w:val="2"/>
          <w:sz w:val="21"/>
          <w:szCs w:val="24"/>
          <w:highlight w:val="none"/>
          <w:u w:val="single"/>
          <w:lang w:val="en-US" w:bidi="ar-SA"/>
        </w:rPr>
        <w:t>（3）</w:t>
      </w:r>
      <w:r>
        <w:rPr>
          <w:rFonts w:hint="eastAsia" w:ascii="宋体" w:hAnsi="宋体" w:eastAsia="宋体" w:cs="宋体"/>
          <w:color w:val="auto"/>
          <w:spacing w:val="0"/>
          <w:w w:val="100"/>
          <w:kern w:val="2"/>
          <w:sz w:val="21"/>
          <w:szCs w:val="24"/>
          <w:highlight w:val="none"/>
          <w:lang w:val="en-US" w:bidi="ar-SA"/>
        </w:rPr>
        <w:t>种方式：</w:t>
      </w:r>
    </w:p>
    <w:p w14:paraId="3B6C5B16">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（1）质量保证金保函，保证金额为：</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 xml:space="preserve">； </w:t>
      </w:r>
    </w:p>
    <w:p w14:paraId="2F71F2AA">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（2）</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%的工程款；</w:t>
      </w:r>
    </w:p>
    <w:p w14:paraId="786B261B">
      <w:pPr>
        <w:pageBreakBefore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color w:val="auto"/>
          <w:spacing w:val="0"/>
          <w:w w:val="100"/>
          <w:kern w:val="2"/>
          <w:sz w:val="21"/>
          <w:szCs w:val="20"/>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（3）其他方式:</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0"/>
          <w:highlight w:val="none"/>
          <w:u w:val="single"/>
          <w:lang w:val="en-US" w:bidi="ar-SA"/>
        </w:rPr>
        <w:t xml:space="preserve">  </w:t>
      </w:r>
    </w:p>
    <w:p w14:paraId="22914866">
      <w:pPr>
        <w:pageBreakBefore w:val="0"/>
        <w:kinsoku/>
        <w:wordWrap/>
        <w:overflowPunct/>
        <w:topLinePunct w:val="0"/>
        <w:autoSpaceDE/>
        <w:autoSpaceDN/>
        <w:bidi w:val="0"/>
        <w:adjustRightInd w:val="0"/>
        <w:snapToGrid w:val="0"/>
        <w:spacing w:line="360" w:lineRule="auto"/>
        <w:ind w:firstLine="630" w:firstLineChars="3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eastAsia="zh-CN" w:bidi="ar-SA"/>
        </w:rPr>
        <w:t>合同价款的</w:t>
      </w:r>
      <w:r>
        <w:rPr>
          <w:rFonts w:hint="eastAsia" w:ascii="宋体" w:hAnsi="宋体" w:eastAsia="宋体" w:cs="宋体"/>
          <w:color w:val="auto"/>
          <w:spacing w:val="0"/>
          <w:w w:val="100"/>
          <w:kern w:val="2"/>
          <w:sz w:val="21"/>
          <w:szCs w:val="24"/>
          <w:highlight w:val="none"/>
          <w:lang w:val="en-US" w:bidi="ar-SA"/>
        </w:rPr>
        <w:t>3%为质保金；工程质保金在质保期满后（质保期为2年）且工程质量满足要求后30日内，无息退还质保金部分的60%，剩余的40%为保温、屋面及其他部位的防水部分质保金，将在工程竣工验收合格5年后且工程质量满足招标文件要求后30日内一次无息退还。</w:t>
      </w:r>
    </w:p>
    <w:p w14:paraId="1F811DA3">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bookmarkStart w:id="524" w:name="_Toc19385"/>
      <w:bookmarkStart w:id="525" w:name="_Toc25494"/>
      <w:bookmarkStart w:id="526" w:name="_Toc22911729"/>
      <w:bookmarkStart w:id="527" w:name="_Toc28918"/>
      <w:r>
        <w:rPr>
          <w:rFonts w:hint="eastAsia" w:ascii="宋体" w:hAnsi="宋体" w:eastAsia="宋体" w:cs="宋体"/>
          <w:b/>
          <w:bCs/>
          <w:color w:val="auto"/>
          <w:spacing w:val="0"/>
          <w:w w:val="100"/>
          <w:kern w:val="2"/>
          <w:sz w:val="21"/>
          <w:szCs w:val="24"/>
          <w:highlight w:val="none"/>
          <w:lang w:val="en-US" w:bidi="ar-SA"/>
        </w:rPr>
        <w:t xml:space="preserve">15.3.2 </w:t>
      </w:r>
      <w:r>
        <w:rPr>
          <w:rFonts w:hint="eastAsia" w:ascii="宋体" w:hAnsi="宋体" w:eastAsia="宋体" w:cs="宋体"/>
          <w:color w:val="auto"/>
          <w:spacing w:val="0"/>
          <w:w w:val="100"/>
          <w:kern w:val="2"/>
          <w:sz w:val="21"/>
          <w:szCs w:val="24"/>
          <w:highlight w:val="none"/>
          <w:lang w:val="en-US" w:bidi="ar-SA"/>
        </w:rPr>
        <w:t>质量保证金的扣留</w:t>
      </w:r>
      <w:bookmarkEnd w:id="524"/>
      <w:bookmarkEnd w:id="525"/>
      <w:bookmarkEnd w:id="526"/>
      <w:bookmarkEnd w:id="527"/>
      <w:r>
        <w:rPr>
          <w:rFonts w:hint="eastAsia" w:ascii="宋体" w:hAnsi="宋体" w:eastAsia="宋体" w:cs="宋体"/>
          <w:color w:val="auto"/>
          <w:spacing w:val="0"/>
          <w:w w:val="100"/>
          <w:kern w:val="2"/>
          <w:sz w:val="21"/>
          <w:szCs w:val="24"/>
          <w:highlight w:val="none"/>
          <w:lang w:val="en-US" w:bidi="ar-SA"/>
        </w:rPr>
        <w:t xml:space="preserve"> </w:t>
      </w:r>
    </w:p>
    <w:p w14:paraId="73AA824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质量保证金的扣留采取以下第</w:t>
      </w:r>
      <w:r>
        <w:rPr>
          <w:rFonts w:hint="eastAsia" w:ascii="宋体" w:hAnsi="宋体" w:eastAsia="宋体" w:cs="宋体"/>
          <w:color w:val="auto"/>
          <w:spacing w:val="0"/>
          <w:w w:val="100"/>
          <w:kern w:val="2"/>
          <w:sz w:val="21"/>
          <w:szCs w:val="24"/>
          <w:highlight w:val="none"/>
          <w:u w:val="single"/>
          <w:lang w:val="en-US" w:bidi="ar-SA"/>
        </w:rPr>
        <w:t>（3）</w:t>
      </w:r>
      <w:r>
        <w:rPr>
          <w:rFonts w:hint="eastAsia" w:ascii="宋体" w:hAnsi="宋体" w:eastAsia="宋体" w:cs="宋体"/>
          <w:color w:val="auto"/>
          <w:spacing w:val="0"/>
          <w:w w:val="100"/>
          <w:kern w:val="2"/>
          <w:sz w:val="21"/>
          <w:szCs w:val="24"/>
          <w:highlight w:val="none"/>
          <w:lang w:val="en-US" w:bidi="ar-SA"/>
        </w:rPr>
        <w:t>种方式：</w:t>
      </w:r>
    </w:p>
    <w:p w14:paraId="2388C0C7">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（1）在支付工程进度款时逐次扣留，在此情形下，质量保证金的计算基数不包括预付款的支付、扣回以及价格调整的金额；</w:t>
      </w:r>
    </w:p>
    <w:p w14:paraId="02AF30B0">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bookmarkStart w:id="528" w:name="_Toc31514"/>
      <w:bookmarkStart w:id="529" w:name="_Toc8473"/>
      <w:bookmarkStart w:id="530" w:name="_Toc22911730"/>
      <w:bookmarkStart w:id="531" w:name="_Toc26965"/>
      <w:r>
        <w:rPr>
          <w:rFonts w:hint="eastAsia" w:ascii="宋体" w:hAnsi="宋体" w:eastAsia="宋体" w:cs="宋体"/>
          <w:color w:val="auto"/>
          <w:spacing w:val="0"/>
          <w:w w:val="100"/>
          <w:kern w:val="0"/>
          <w:sz w:val="21"/>
          <w:szCs w:val="24"/>
          <w:highlight w:val="none"/>
          <w:lang w:val="en-US" w:bidi="ar-SA"/>
        </w:rPr>
        <w:t>（2）工程竣工结算时一次性扣留质量保证金；</w:t>
      </w:r>
      <w:bookmarkEnd w:id="528"/>
      <w:bookmarkEnd w:id="529"/>
      <w:bookmarkEnd w:id="530"/>
      <w:bookmarkEnd w:id="531"/>
    </w:p>
    <w:p w14:paraId="526640B2">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（3）其他扣留方式:</w:t>
      </w:r>
      <w:r>
        <w:rPr>
          <w:rFonts w:hint="eastAsia" w:ascii="宋体" w:hAnsi="宋体" w:eastAsia="宋体" w:cs="宋体"/>
          <w:color w:val="auto"/>
          <w:spacing w:val="0"/>
          <w:w w:val="100"/>
          <w:kern w:val="2"/>
          <w:sz w:val="21"/>
          <w:szCs w:val="24"/>
          <w:highlight w:val="none"/>
          <w:u w:val="single"/>
          <w:lang w:val="en-US" w:bidi="ar-SA"/>
        </w:rPr>
        <w:t>按工程款支付约定。</w:t>
      </w:r>
    </w:p>
    <w:p w14:paraId="58C6F25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关于质量保证金的补充约定：</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567CB1C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15.4保修</w:t>
      </w:r>
    </w:p>
    <w:p w14:paraId="67D012C7">
      <w:pPr>
        <w:pageBreakBefore w:val="0"/>
        <w:kinsoku/>
        <w:wordWrap/>
        <w:overflowPunct/>
        <w:topLinePunct w:val="0"/>
        <w:autoSpaceDE/>
        <w:autoSpaceDN/>
        <w:bidi w:val="0"/>
        <w:adjustRightInd w:val="0"/>
        <w:snapToGrid w:val="0"/>
        <w:spacing w:line="360" w:lineRule="auto"/>
        <w:ind w:firstLine="411" w:firstLineChars="195"/>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15.4.1 </w:t>
      </w:r>
      <w:r>
        <w:rPr>
          <w:rFonts w:hint="eastAsia" w:ascii="宋体" w:hAnsi="宋体" w:eastAsia="宋体" w:cs="宋体"/>
          <w:color w:val="auto"/>
          <w:spacing w:val="0"/>
          <w:w w:val="100"/>
          <w:kern w:val="2"/>
          <w:sz w:val="21"/>
          <w:szCs w:val="24"/>
          <w:highlight w:val="none"/>
          <w:lang w:val="en-US" w:bidi="ar-SA"/>
        </w:rPr>
        <w:t>保修责任</w:t>
      </w:r>
    </w:p>
    <w:p w14:paraId="60B8F62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工程保修期为：</w:t>
      </w:r>
      <w:r>
        <w:rPr>
          <w:rFonts w:hint="eastAsia" w:ascii="宋体" w:hAnsi="宋体" w:eastAsia="宋体" w:cs="宋体"/>
          <w:color w:val="auto"/>
          <w:spacing w:val="0"/>
          <w:w w:val="100"/>
          <w:kern w:val="0"/>
          <w:sz w:val="21"/>
          <w:szCs w:val="24"/>
          <w:highlight w:val="none"/>
          <w:u w:val="single"/>
          <w:lang w:val="en-US" w:bidi="ar-SA"/>
        </w:rPr>
        <w:t>质保期限按国家有关规定执行，在质保期内出现质量问题，由承包人或产品质量本身原因造成的由承包人负责维修，并承担鉴定费及维修费用，如承包人不维修也不承担费用，发包人可按实际发生的费用，从质保金中扣除，承包人承担违约责任。工程质保期内，如遇水、电、暖、渗漏等应急维修工程时，发包人将立即电话通知承包人，若承包人不能及时进行维修，为减少由此造成的损失，发包人可直接安排有关人员进行抢修，并在抢修完成后以书面形式通知承包人，费用按实际发生数额从质保金中直接扣除；如遇其它维修工程，承包人在接到发包人的书面通知之日起48小时内必须到现场进行维修，否则，按上述办法执行</w:t>
      </w:r>
      <w:r>
        <w:rPr>
          <w:rFonts w:hint="eastAsia" w:ascii="宋体" w:hAnsi="宋体" w:eastAsia="宋体" w:cs="宋体"/>
          <w:color w:val="auto"/>
          <w:spacing w:val="0"/>
          <w:w w:val="100"/>
          <w:kern w:val="0"/>
          <w:sz w:val="21"/>
          <w:szCs w:val="24"/>
          <w:highlight w:val="none"/>
          <w:lang w:val="en-US" w:bidi="ar-SA"/>
        </w:rPr>
        <w:t>。</w:t>
      </w:r>
    </w:p>
    <w:p w14:paraId="33ECCC7F">
      <w:pPr>
        <w:pageBreakBefore w:val="0"/>
        <w:kinsoku/>
        <w:wordWrap/>
        <w:overflowPunct/>
        <w:topLinePunct w:val="0"/>
        <w:autoSpaceDE/>
        <w:autoSpaceDN/>
        <w:bidi w:val="0"/>
        <w:adjustRightInd w:val="0"/>
        <w:snapToGrid w:val="0"/>
        <w:spacing w:line="360" w:lineRule="auto"/>
        <w:ind w:firstLine="411" w:firstLineChars="195"/>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15.4.3 </w:t>
      </w:r>
      <w:r>
        <w:rPr>
          <w:rFonts w:hint="eastAsia" w:ascii="宋体" w:hAnsi="宋体" w:eastAsia="宋体" w:cs="宋体"/>
          <w:color w:val="auto"/>
          <w:spacing w:val="0"/>
          <w:w w:val="100"/>
          <w:kern w:val="2"/>
          <w:sz w:val="21"/>
          <w:szCs w:val="24"/>
          <w:highlight w:val="none"/>
          <w:lang w:val="en-US" w:bidi="ar-SA"/>
        </w:rPr>
        <w:t>修复通知</w:t>
      </w:r>
    </w:p>
    <w:p w14:paraId="50EAFB0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承包人收到保修通知并到达工程现场的合理时间：</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C3FA800">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532" w:name="_Toc22911731"/>
      <w:bookmarkStart w:id="533" w:name="_Toc14967"/>
      <w:bookmarkStart w:id="534" w:name="_Toc280868717"/>
      <w:bookmarkStart w:id="535" w:name="_Toc280868718"/>
      <w:r>
        <w:rPr>
          <w:rFonts w:hint="eastAsia" w:ascii="宋体" w:hAnsi="宋体" w:eastAsia="宋体" w:cs="宋体"/>
          <w:b/>
          <w:color w:val="auto"/>
          <w:spacing w:val="0"/>
          <w:w w:val="100"/>
          <w:kern w:val="2"/>
          <w:sz w:val="21"/>
          <w:szCs w:val="28"/>
          <w:highlight w:val="none"/>
          <w:lang w:val="en-US" w:bidi="ar-SA"/>
        </w:rPr>
        <w:t>16. 违约</w:t>
      </w:r>
      <w:bookmarkEnd w:id="532"/>
      <w:bookmarkEnd w:id="533"/>
    </w:p>
    <w:p w14:paraId="6A1F1B5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bookmarkStart w:id="536" w:name="_Toc22911732"/>
      <w:bookmarkStart w:id="537" w:name="_Toc31586"/>
      <w:bookmarkStart w:id="538" w:name="_Toc15330"/>
      <w:bookmarkStart w:id="539" w:name="_Toc26546"/>
      <w:r>
        <w:rPr>
          <w:rFonts w:hint="eastAsia" w:ascii="宋体" w:hAnsi="宋体" w:eastAsia="宋体" w:cs="宋体"/>
          <w:b/>
          <w:color w:val="auto"/>
          <w:spacing w:val="0"/>
          <w:w w:val="100"/>
          <w:kern w:val="2"/>
          <w:sz w:val="21"/>
          <w:szCs w:val="24"/>
          <w:highlight w:val="none"/>
          <w:lang w:val="en-US" w:bidi="ar-SA"/>
        </w:rPr>
        <w:t>16.1 发包人违约</w:t>
      </w:r>
      <w:bookmarkEnd w:id="536"/>
      <w:bookmarkEnd w:id="537"/>
      <w:bookmarkEnd w:id="538"/>
      <w:bookmarkEnd w:id="539"/>
    </w:p>
    <w:p w14:paraId="4BAA76F4">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16.1.1</w:t>
      </w:r>
      <w:r>
        <w:rPr>
          <w:rFonts w:hint="eastAsia" w:ascii="宋体" w:hAnsi="宋体" w:eastAsia="宋体" w:cs="宋体"/>
          <w:color w:val="auto"/>
          <w:spacing w:val="0"/>
          <w:w w:val="100"/>
          <w:kern w:val="2"/>
          <w:sz w:val="21"/>
          <w:szCs w:val="24"/>
          <w:highlight w:val="none"/>
          <w:lang w:val="en-US" w:bidi="ar-SA"/>
        </w:rPr>
        <w:t>发包人违约的情形</w:t>
      </w:r>
    </w:p>
    <w:p w14:paraId="2F9915C3">
      <w:pPr>
        <w:pageBreakBefore w:val="0"/>
        <w:kinsoku/>
        <w:wordWrap/>
        <w:overflowPunct/>
        <w:topLinePunct w:val="0"/>
        <w:autoSpaceDE/>
        <w:autoSpaceDN/>
        <w:bidi w:val="0"/>
        <w:adjustRightInd w:val="0"/>
        <w:snapToGrid w:val="0"/>
        <w:spacing w:line="360" w:lineRule="auto"/>
        <w:ind w:left="1109" w:leftChars="228" w:hanging="630" w:hangingChars="3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发包人违约的其他情形：</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0332348E">
      <w:pPr>
        <w:pageBreakBefore w:val="0"/>
        <w:kinsoku/>
        <w:wordWrap/>
        <w:overflowPunct/>
        <w:topLinePunct w:val="0"/>
        <w:autoSpaceDE/>
        <w:autoSpaceDN/>
        <w:bidi w:val="0"/>
        <w:adjustRightInd w:val="0"/>
        <w:snapToGrid w:val="0"/>
        <w:spacing w:line="360" w:lineRule="auto"/>
        <w:ind w:left="1050" w:hanging="1050" w:hangingChars="5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b/>
          <w:bCs/>
          <w:color w:val="auto"/>
          <w:spacing w:val="0"/>
          <w:w w:val="100"/>
          <w:kern w:val="0"/>
          <w:sz w:val="21"/>
          <w:szCs w:val="24"/>
          <w:highlight w:val="none"/>
          <w:lang w:val="en-US" w:bidi="ar-SA"/>
        </w:rPr>
        <w:t xml:space="preserve"> 16.1.2 </w:t>
      </w:r>
      <w:r>
        <w:rPr>
          <w:rFonts w:hint="eastAsia" w:ascii="宋体" w:hAnsi="宋体" w:eastAsia="宋体" w:cs="宋体"/>
          <w:color w:val="auto"/>
          <w:spacing w:val="0"/>
          <w:w w:val="100"/>
          <w:kern w:val="0"/>
          <w:sz w:val="21"/>
          <w:szCs w:val="24"/>
          <w:highlight w:val="none"/>
          <w:lang w:val="en-US" w:bidi="ar-SA"/>
        </w:rPr>
        <w:t>发包人违约的责任</w:t>
      </w:r>
    </w:p>
    <w:p w14:paraId="3022EBE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发包人违约责任的承担方式和计算方法：</w:t>
      </w:r>
    </w:p>
    <w:p w14:paraId="675CB0C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（1）因发包人原因未能在计划开工日期前7天内下达开工通知的违约责任：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4B492AF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（2）因发包人原因未能按合同约定支付合同价款的违约责任：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13DE2D6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（3）发包人违反第10.1款〔变更的范围〕第（2）项约定，自行实施被取消的工作或转由他人实施的违约责任：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3219646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7CEA248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（5）因发包人违反合同约定造成暂停施工的违约责任：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208A5F3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（6）发包人无正当理由没有在约定期限内发出复工指示，导致承包人无法复工的违约责任：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6DD7938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（7）其他：</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0D1A9D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16.1.3 </w:t>
      </w:r>
      <w:r>
        <w:rPr>
          <w:rFonts w:hint="eastAsia" w:ascii="宋体" w:hAnsi="宋体" w:eastAsia="宋体" w:cs="宋体"/>
          <w:color w:val="auto"/>
          <w:spacing w:val="0"/>
          <w:w w:val="100"/>
          <w:kern w:val="2"/>
          <w:sz w:val="21"/>
          <w:szCs w:val="24"/>
          <w:highlight w:val="none"/>
          <w:lang w:val="en-US" w:bidi="ar-SA"/>
        </w:rPr>
        <w:t>因发包人违约解除合同</w:t>
      </w:r>
    </w:p>
    <w:p w14:paraId="1FCDAB0A">
      <w:pPr>
        <w:pageBreakBefore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承包人按16.1.1项〔发包人违约的情形〕约定暂停施工满</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天后发包人仍不纠正其违约行为并致使合同目的不能实现的，承包人有权解除合同。</w:t>
      </w:r>
    </w:p>
    <w:p w14:paraId="74978F5E">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540" w:name="_Toc4407"/>
      <w:bookmarkStart w:id="541" w:name="_Toc18786"/>
      <w:bookmarkStart w:id="542" w:name="_Toc22911733"/>
      <w:bookmarkStart w:id="543" w:name="_Toc6990"/>
      <w:r>
        <w:rPr>
          <w:rFonts w:hint="eastAsia" w:ascii="宋体" w:hAnsi="宋体" w:eastAsia="宋体" w:cs="宋体"/>
          <w:b/>
          <w:bCs/>
          <w:color w:val="auto"/>
          <w:spacing w:val="0"/>
          <w:w w:val="100"/>
          <w:kern w:val="2"/>
          <w:sz w:val="21"/>
          <w:szCs w:val="24"/>
          <w:highlight w:val="none"/>
          <w:lang w:val="en-US" w:bidi="ar-SA"/>
        </w:rPr>
        <w:t>16.2 承包人违约</w:t>
      </w:r>
      <w:bookmarkEnd w:id="540"/>
      <w:bookmarkEnd w:id="541"/>
      <w:bookmarkEnd w:id="542"/>
      <w:bookmarkEnd w:id="543"/>
    </w:p>
    <w:p w14:paraId="590201F5">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 xml:space="preserve">16.2.1 </w:t>
      </w:r>
      <w:r>
        <w:rPr>
          <w:rFonts w:hint="eastAsia" w:ascii="宋体" w:hAnsi="宋体" w:eastAsia="宋体" w:cs="宋体"/>
          <w:color w:val="auto"/>
          <w:spacing w:val="0"/>
          <w:w w:val="100"/>
          <w:kern w:val="0"/>
          <w:sz w:val="21"/>
          <w:szCs w:val="24"/>
          <w:highlight w:val="none"/>
          <w:lang w:val="en-US" w:bidi="ar-SA"/>
        </w:rPr>
        <w:t>承包人违约的情形</w:t>
      </w:r>
    </w:p>
    <w:p w14:paraId="4E8D637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 xml:space="preserve">承包人违约的其他情形 </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C0EB1C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16.2.2</w:t>
      </w:r>
      <w:r>
        <w:rPr>
          <w:rFonts w:hint="eastAsia" w:ascii="宋体" w:hAnsi="宋体" w:eastAsia="宋体" w:cs="宋体"/>
          <w:color w:val="auto"/>
          <w:spacing w:val="0"/>
          <w:w w:val="100"/>
          <w:kern w:val="0"/>
          <w:sz w:val="21"/>
          <w:szCs w:val="24"/>
          <w:highlight w:val="none"/>
          <w:lang w:val="en-US" w:bidi="ar-SA"/>
        </w:rPr>
        <w:t>承包人违约的责任</w:t>
      </w:r>
    </w:p>
    <w:p w14:paraId="51487FD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承包人违约责任的承担方式和计算方法：</w:t>
      </w:r>
      <w:r>
        <w:rPr>
          <w:rFonts w:hint="eastAsia" w:ascii="宋体" w:hAnsi="宋体" w:eastAsia="宋体" w:cs="宋体"/>
          <w:color w:val="auto"/>
          <w:spacing w:val="0"/>
          <w:w w:val="100"/>
          <w:kern w:val="2"/>
          <w:sz w:val="21"/>
          <w:szCs w:val="24"/>
          <w:highlight w:val="none"/>
          <w:u w:val="single"/>
          <w:lang w:val="en-US" w:bidi="ar-SA"/>
        </w:rPr>
        <w:t xml:space="preserve"> 若达不到国家规定的合格质量标准，承包人必须采取返工、返修或其他弥补措施，使本工程达到规范规定的验收标准，由此引起的工期延误及相关费用由承包人承担，另由承包人向发包人支付合同总价5%的违约金。</w:t>
      </w:r>
      <w:r>
        <w:rPr>
          <w:rFonts w:hint="eastAsia" w:ascii="宋体" w:hAnsi="宋体" w:eastAsia="宋体" w:cs="宋体"/>
          <w:color w:val="auto"/>
          <w:spacing w:val="0"/>
          <w:w w:val="100"/>
          <w:kern w:val="2"/>
          <w:sz w:val="21"/>
          <w:szCs w:val="24"/>
          <w:highlight w:val="none"/>
          <w:lang w:val="en-US" w:bidi="ar-SA"/>
        </w:rPr>
        <w:t xml:space="preserve">    </w:t>
      </w:r>
    </w:p>
    <w:p w14:paraId="3BBBA1A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16.2.3 </w:t>
      </w:r>
      <w:r>
        <w:rPr>
          <w:rFonts w:hint="eastAsia" w:ascii="宋体" w:hAnsi="宋体" w:eastAsia="宋体" w:cs="宋体"/>
          <w:color w:val="auto"/>
          <w:spacing w:val="0"/>
          <w:w w:val="100"/>
          <w:kern w:val="2"/>
          <w:sz w:val="21"/>
          <w:szCs w:val="24"/>
          <w:highlight w:val="none"/>
          <w:lang w:val="en-US" w:bidi="ar-SA"/>
        </w:rPr>
        <w:t>因承包人违约解除合同</w:t>
      </w:r>
    </w:p>
    <w:p w14:paraId="282BAB59">
      <w:pPr>
        <w:pageBreakBefore w:val="0"/>
        <w:kinsoku/>
        <w:wordWrap/>
        <w:overflowPunct/>
        <w:topLinePunct w:val="0"/>
        <w:autoSpaceDE/>
        <w:autoSpaceDN/>
        <w:bidi w:val="0"/>
        <w:adjustRightInd w:val="0"/>
        <w:snapToGrid w:val="0"/>
        <w:spacing w:line="360" w:lineRule="auto"/>
        <w:ind w:firstLine="315" w:firstLineChars="15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关于承包人违约解除合同的特别约定：</w:t>
      </w:r>
      <w:r>
        <w:rPr>
          <w:rFonts w:hint="eastAsia" w:ascii="宋体" w:hAnsi="宋体" w:eastAsia="宋体" w:cs="宋体"/>
          <w:color w:val="auto"/>
          <w:spacing w:val="0"/>
          <w:w w:val="100"/>
          <w:kern w:val="0"/>
          <w:sz w:val="21"/>
          <w:szCs w:val="24"/>
          <w:highlight w:val="none"/>
          <w:u w:val="single"/>
          <w:lang w:val="en-US" w:bidi="ar-SA"/>
        </w:rPr>
        <w:t>对有下列情况之一时，发包人有权停止拨款，有权单方解除合同，责令承包人撤离施工现场，有权留置承包人的施工机械，履约保证金不予退还，并要求承包人赔偿有关损失：1.因承包人责任造成工程重大质量安全事故，且无能力继续履约时；2.承包人与第三方发生的债务诉讼，致使法院通过法律程序冻结发包人银行帐户或划拨发包人银行帐户存款时；3. 合同指定的项目经理没有按要求到岗超过15日的，或未经发包人同意项目经理擅自离开工程现场岗超过30日的</w:t>
      </w:r>
      <w:r>
        <w:rPr>
          <w:rFonts w:hint="eastAsia" w:ascii="宋体" w:hAnsi="宋体" w:eastAsia="宋体" w:cs="宋体"/>
          <w:color w:val="auto"/>
          <w:spacing w:val="0"/>
          <w:w w:val="100"/>
          <w:kern w:val="0"/>
          <w:sz w:val="21"/>
          <w:szCs w:val="24"/>
          <w:highlight w:val="none"/>
          <w:lang w:val="en-US" w:bidi="ar-SA"/>
        </w:rPr>
        <w:t>。</w:t>
      </w:r>
    </w:p>
    <w:p w14:paraId="7D59B87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发包人继续使用承包人在施工现场的材料、设备、临时工程、承包人文件和由承包人或以其名义编制的其他文件的费用承担方式：</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0868849B">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544" w:name="_Toc22911734"/>
      <w:bookmarkStart w:id="545" w:name="_Toc25614"/>
      <w:r>
        <w:rPr>
          <w:rFonts w:hint="eastAsia" w:ascii="宋体" w:hAnsi="宋体" w:eastAsia="宋体" w:cs="宋体"/>
          <w:b/>
          <w:color w:val="auto"/>
          <w:spacing w:val="0"/>
          <w:w w:val="100"/>
          <w:kern w:val="2"/>
          <w:sz w:val="21"/>
          <w:szCs w:val="28"/>
          <w:highlight w:val="none"/>
          <w:lang w:val="en-US" w:bidi="ar-SA"/>
        </w:rPr>
        <w:t>17. 不可抗力</w:t>
      </w:r>
      <w:bookmarkEnd w:id="544"/>
      <w:bookmarkEnd w:id="545"/>
      <w:r>
        <w:rPr>
          <w:rFonts w:hint="eastAsia" w:ascii="宋体" w:hAnsi="宋体" w:eastAsia="宋体" w:cs="宋体"/>
          <w:b/>
          <w:color w:val="auto"/>
          <w:spacing w:val="0"/>
          <w:w w:val="100"/>
          <w:kern w:val="2"/>
          <w:sz w:val="21"/>
          <w:szCs w:val="28"/>
          <w:highlight w:val="none"/>
          <w:lang w:val="en-US" w:bidi="ar-SA"/>
        </w:rPr>
        <w:t xml:space="preserve"> </w:t>
      </w:r>
      <w:bookmarkEnd w:id="534"/>
    </w:p>
    <w:p w14:paraId="615B7C9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17.1 不可抗力的确认</w:t>
      </w:r>
    </w:p>
    <w:p w14:paraId="57A73C80">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 xml:space="preserve">除通用合同条款约定的不可抗力事件之外，视为不可抗力的其他情形： </w:t>
      </w:r>
      <w:r>
        <w:rPr>
          <w:rFonts w:hint="eastAsia" w:ascii="宋体" w:hAnsi="宋体" w:eastAsia="宋体" w:cs="宋体"/>
          <w:color w:val="auto"/>
          <w:spacing w:val="0"/>
          <w:w w:val="100"/>
          <w:kern w:val="2"/>
          <w:sz w:val="21"/>
          <w:szCs w:val="24"/>
          <w:highlight w:val="none"/>
          <w:u w:val="single"/>
          <w:lang w:val="en-US" w:bidi="ar-SA"/>
        </w:rPr>
        <w:t xml:space="preserve"> /  </w:t>
      </w:r>
    </w:p>
    <w:p w14:paraId="408B2EE4">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546" w:name="_Toc1278"/>
      <w:bookmarkStart w:id="547" w:name="_Toc8499"/>
      <w:bookmarkStart w:id="548" w:name="_Toc31963"/>
      <w:bookmarkStart w:id="549" w:name="_Toc22911735"/>
      <w:r>
        <w:rPr>
          <w:rFonts w:hint="eastAsia" w:ascii="宋体" w:hAnsi="宋体" w:eastAsia="宋体" w:cs="宋体"/>
          <w:b/>
          <w:bCs/>
          <w:color w:val="auto"/>
          <w:spacing w:val="0"/>
          <w:w w:val="100"/>
          <w:kern w:val="2"/>
          <w:sz w:val="21"/>
          <w:szCs w:val="24"/>
          <w:highlight w:val="none"/>
          <w:lang w:val="en-US" w:bidi="ar-SA"/>
        </w:rPr>
        <w:t>17.4 因不可抗力解除合同</w:t>
      </w:r>
      <w:bookmarkEnd w:id="546"/>
      <w:bookmarkEnd w:id="547"/>
      <w:bookmarkEnd w:id="548"/>
      <w:bookmarkEnd w:id="549"/>
    </w:p>
    <w:p w14:paraId="0CCB2B31">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合同解除后，发包人应在商定或确定发包人应支付款项后</w:t>
      </w:r>
      <w:r>
        <w:rPr>
          <w:rFonts w:hint="eastAsia" w:ascii="宋体" w:hAnsi="宋体" w:eastAsia="宋体" w:cs="宋体"/>
          <w:color w:val="auto"/>
          <w:spacing w:val="0"/>
          <w:w w:val="100"/>
          <w:kern w:val="2"/>
          <w:sz w:val="21"/>
          <w:szCs w:val="24"/>
          <w:highlight w:val="none"/>
          <w:u w:val="single"/>
          <w:lang w:val="en-US" w:bidi="ar-SA"/>
        </w:rPr>
        <w:t>28</w:t>
      </w:r>
      <w:r>
        <w:rPr>
          <w:rFonts w:hint="eastAsia" w:ascii="宋体" w:hAnsi="宋体" w:eastAsia="宋体" w:cs="宋体"/>
          <w:color w:val="auto"/>
          <w:spacing w:val="0"/>
          <w:w w:val="100"/>
          <w:kern w:val="2"/>
          <w:sz w:val="21"/>
          <w:szCs w:val="24"/>
          <w:highlight w:val="none"/>
          <w:lang w:val="en-US" w:bidi="ar-SA"/>
        </w:rPr>
        <w:t>天内完成款项的支付。</w:t>
      </w:r>
    </w:p>
    <w:p w14:paraId="121528EF">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550" w:name="_Toc22911736"/>
      <w:bookmarkStart w:id="551" w:name="_Toc12474"/>
      <w:r>
        <w:rPr>
          <w:rFonts w:hint="eastAsia" w:ascii="宋体" w:hAnsi="宋体" w:eastAsia="宋体" w:cs="宋体"/>
          <w:b/>
          <w:color w:val="auto"/>
          <w:spacing w:val="0"/>
          <w:w w:val="100"/>
          <w:kern w:val="2"/>
          <w:sz w:val="21"/>
          <w:szCs w:val="28"/>
          <w:highlight w:val="none"/>
          <w:lang w:val="en-US" w:bidi="ar-SA"/>
        </w:rPr>
        <w:t>18. 保险</w:t>
      </w:r>
      <w:bookmarkEnd w:id="550"/>
      <w:bookmarkEnd w:id="551"/>
    </w:p>
    <w:bookmarkEnd w:id="535"/>
    <w:p w14:paraId="7027B377">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18.1 工程保险</w:t>
      </w:r>
    </w:p>
    <w:p w14:paraId="704AE62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关于工程保险的特别约定：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5A162172">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552" w:name="_Toc8691"/>
      <w:bookmarkStart w:id="553" w:name="_Toc10325"/>
      <w:bookmarkStart w:id="554" w:name="_Toc8442"/>
      <w:bookmarkStart w:id="555" w:name="_Toc22911737"/>
      <w:r>
        <w:rPr>
          <w:rFonts w:hint="eastAsia" w:ascii="宋体" w:hAnsi="宋体" w:eastAsia="宋体" w:cs="宋体"/>
          <w:b/>
          <w:bCs/>
          <w:color w:val="auto"/>
          <w:spacing w:val="0"/>
          <w:w w:val="100"/>
          <w:kern w:val="2"/>
          <w:sz w:val="21"/>
          <w:szCs w:val="24"/>
          <w:highlight w:val="none"/>
          <w:lang w:val="en-US" w:bidi="ar-SA"/>
        </w:rPr>
        <w:t>18.3 其他保险</w:t>
      </w:r>
      <w:bookmarkEnd w:id="552"/>
      <w:bookmarkEnd w:id="553"/>
      <w:bookmarkEnd w:id="554"/>
      <w:bookmarkEnd w:id="555"/>
    </w:p>
    <w:p w14:paraId="3B33A70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关于其他保险的约定：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4ED58BAE">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承包人是否应为其施工设备等办理财产保险：</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1FBD7E99">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18.7 通知义务</w:t>
      </w:r>
    </w:p>
    <w:p w14:paraId="1837ED00">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关于变更保险合同时的通知义务的约定：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bookmarkEnd w:id="494"/>
    <w:bookmarkEnd w:id="495"/>
    <w:bookmarkEnd w:id="496"/>
    <w:bookmarkEnd w:id="497"/>
    <w:bookmarkEnd w:id="498"/>
    <w:bookmarkEnd w:id="499"/>
    <w:bookmarkEnd w:id="500"/>
    <w:bookmarkEnd w:id="501"/>
    <w:bookmarkEnd w:id="502"/>
    <w:bookmarkEnd w:id="503"/>
    <w:bookmarkEnd w:id="504"/>
    <w:bookmarkEnd w:id="505"/>
    <w:p w14:paraId="52AF5DE6">
      <w:pPr>
        <w:keepNext/>
        <w:keepLines/>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8"/>
          <w:highlight w:val="none"/>
          <w:lang w:val="en-US" w:bidi="ar-SA"/>
        </w:rPr>
      </w:pPr>
      <w:bookmarkStart w:id="556" w:name="_Toc22911738"/>
      <w:r>
        <w:rPr>
          <w:rFonts w:hint="eastAsia" w:ascii="宋体" w:hAnsi="宋体" w:eastAsia="宋体" w:cs="宋体"/>
          <w:b/>
          <w:color w:val="auto"/>
          <w:spacing w:val="0"/>
          <w:w w:val="100"/>
          <w:kern w:val="2"/>
          <w:sz w:val="21"/>
          <w:szCs w:val="28"/>
          <w:highlight w:val="none"/>
          <w:lang w:val="en-US" w:bidi="ar-SA"/>
        </w:rPr>
        <w:t>20. 争议解决</w:t>
      </w:r>
      <w:bookmarkEnd w:id="556"/>
    </w:p>
    <w:bookmarkEnd w:id="506"/>
    <w:bookmarkEnd w:id="507"/>
    <w:p w14:paraId="5791233F">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color w:val="auto"/>
          <w:spacing w:val="0"/>
          <w:w w:val="100"/>
          <w:kern w:val="2"/>
          <w:sz w:val="21"/>
          <w:szCs w:val="24"/>
          <w:highlight w:val="none"/>
          <w:lang w:val="en-US" w:bidi="ar-SA"/>
        </w:rPr>
      </w:pPr>
      <w:bookmarkStart w:id="557" w:name="_Toc20683"/>
      <w:bookmarkStart w:id="558" w:name="_Toc4938"/>
      <w:bookmarkStart w:id="559" w:name="_Toc22911739"/>
      <w:bookmarkStart w:id="560" w:name="_Toc16811"/>
      <w:r>
        <w:rPr>
          <w:rFonts w:hint="eastAsia" w:ascii="宋体" w:hAnsi="宋体" w:eastAsia="宋体" w:cs="宋体"/>
          <w:b/>
          <w:color w:val="auto"/>
          <w:spacing w:val="0"/>
          <w:w w:val="100"/>
          <w:kern w:val="2"/>
          <w:sz w:val="21"/>
          <w:szCs w:val="24"/>
          <w:highlight w:val="none"/>
          <w:lang w:val="en-US" w:bidi="ar-SA"/>
        </w:rPr>
        <w:t>20.3 争</w:t>
      </w:r>
      <w:bookmarkEnd w:id="508"/>
      <w:r>
        <w:rPr>
          <w:rFonts w:hint="eastAsia" w:ascii="宋体" w:hAnsi="宋体" w:eastAsia="宋体" w:cs="宋体"/>
          <w:b/>
          <w:color w:val="auto"/>
          <w:spacing w:val="0"/>
          <w:w w:val="100"/>
          <w:kern w:val="2"/>
          <w:sz w:val="21"/>
          <w:szCs w:val="24"/>
          <w:highlight w:val="none"/>
          <w:lang w:val="en-US" w:bidi="ar-SA"/>
        </w:rPr>
        <w:t>议评审</w:t>
      </w:r>
      <w:bookmarkEnd w:id="557"/>
      <w:bookmarkEnd w:id="558"/>
      <w:bookmarkEnd w:id="559"/>
      <w:bookmarkEnd w:id="560"/>
    </w:p>
    <w:p w14:paraId="6CF205A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合同当事人是否同意将工程争议提交争议评审小组决定：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4644B718">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2"/>
          <w:sz w:val="21"/>
          <w:szCs w:val="24"/>
          <w:highlight w:val="none"/>
          <w:lang w:val="en-US" w:bidi="ar-SA"/>
        </w:rPr>
      </w:pPr>
      <w:bookmarkStart w:id="561" w:name="_Toc12527"/>
      <w:bookmarkStart w:id="562" w:name="_Toc22256"/>
      <w:bookmarkStart w:id="563" w:name="_Toc12760"/>
      <w:bookmarkStart w:id="564" w:name="_Toc22911740"/>
      <w:r>
        <w:rPr>
          <w:rFonts w:hint="eastAsia" w:ascii="宋体" w:hAnsi="宋体" w:eastAsia="宋体" w:cs="宋体"/>
          <w:b/>
          <w:bCs/>
          <w:color w:val="auto"/>
          <w:spacing w:val="0"/>
          <w:w w:val="100"/>
          <w:kern w:val="2"/>
          <w:sz w:val="21"/>
          <w:szCs w:val="24"/>
          <w:highlight w:val="none"/>
          <w:lang w:val="en-US" w:bidi="ar-SA"/>
        </w:rPr>
        <w:t xml:space="preserve">20.3.1 </w:t>
      </w:r>
      <w:r>
        <w:rPr>
          <w:rFonts w:hint="eastAsia" w:ascii="宋体" w:hAnsi="宋体" w:eastAsia="宋体" w:cs="宋体"/>
          <w:color w:val="auto"/>
          <w:spacing w:val="0"/>
          <w:w w:val="100"/>
          <w:kern w:val="2"/>
          <w:sz w:val="21"/>
          <w:szCs w:val="24"/>
          <w:highlight w:val="none"/>
          <w:lang w:val="en-US" w:bidi="ar-SA"/>
        </w:rPr>
        <w:t>争议评审小组的确定</w:t>
      </w:r>
      <w:bookmarkEnd w:id="561"/>
      <w:bookmarkEnd w:id="562"/>
      <w:bookmarkEnd w:id="563"/>
      <w:bookmarkEnd w:id="564"/>
    </w:p>
    <w:p w14:paraId="4B221C7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争议评审小组成员的确定：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8504B67">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选定争议评审员的期限：</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18EBE34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争议评审小组成员的报酬承担方式：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B90852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其他事项的约定：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E666DB7">
      <w:pPr>
        <w:pageBreakBefore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ascii="宋体" w:hAnsi="宋体" w:eastAsia="宋体" w:cs="宋体"/>
          <w:color w:val="auto"/>
          <w:spacing w:val="0"/>
          <w:w w:val="100"/>
          <w:kern w:val="0"/>
          <w:sz w:val="21"/>
          <w:szCs w:val="24"/>
          <w:highlight w:val="none"/>
          <w:lang w:val="en-US" w:bidi="ar-SA"/>
        </w:rPr>
      </w:pPr>
      <w:bookmarkStart w:id="565" w:name="_Toc32232"/>
      <w:bookmarkStart w:id="566" w:name="_Toc25630"/>
      <w:bookmarkStart w:id="567" w:name="_Toc22911741"/>
      <w:bookmarkStart w:id="568" w:name="_Toc15934"/>
      <w:r>
        <w:rPr>
          <w:rFonts w:hint="eastAsia" w:ascii="宋体" w:hAnsi="宋体" w:eastAsia="宋体" w:cs="宋体"/>
          <w:b/>
          <w:bCs/>
          <w:color w:val="auto"/>
          <w:spacing w:val="0"/>
          <w:w w:val="100"/>
          <w:kern w:val="0"/>
          <w:sz w:val="21"/>
          <w:szCs w:val="24"/>
          <w:highlight w:val="none"/>
          <w:lang w:val="en-US" w:bidi="ar-SA"/>
        </w:rPr>
        <w:t xml:space="preserve">20.3.2 </w:t>
      </w:r>
      <w:r>
        <w:rPr>
          <w:rFonts w:hint="eastAsia" w:ascii="宋体" w:hAnsi="宋体" w:eastAsia="宋体" w:cs="宋体"/>
          <w:color w:val="auto"/>
          <w:spacing w:val="0"/>
          <w:w w:val="100"/>
          <w:kern w:val="0"/>
          <w:sz w:val="21"/>
          <w:szCs w:val="24"/>
          <w:highlight w:val="none"/>
          <w:lang w:val="en-US" w:bidi="ar-SA"/>
        </w:rPr>
        <w:t>争议评审小组的决定</w:t>
      </w:r>
      <w:bookmarkEnd w:id="565"/>
      <w:bookmarkEnd w:id="566"/>
      <w:bookmarkEnd w:id="567"/>
      <w:bookmarkEnd w:id="568"/>
    </w:p>
    <w:p w14:paraId="0AE699B5">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合同当事人关于本项的约定：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6C88170">
      <w:pPr>
        <w:pageBreakBefore w:val="0"/>
        <w:kinsoku/>
        <w:wordWrap/>
        <w:overflowPunct/>
        <w:topLinePunct w:val="0"/>
        <w:autoSpaceDE/>
        <w:autoSpaceDN/>
        <w:bidi w:val="0"/>
        <w:adjustRightInd w:val="0"/>
        <w:snapToGrid w:val="0"/>
        <w:spacing w:line="360" w:lineRule="auto"/>
        <w:ind w:firstLine="422" w:firstLineChars="200"/>
        <w:jc w:val="both"/>
        <w:textAlignment w:val="auto"/>
        <w:outlineLvl w:val="9"/>
        <w:rPr>
          <w:rFonts w:ascii="宋体" w:hAnsi="宋体" w:eastAsia="宋体" w:cs="宋体"/>
          <w:b/>
          <w:bCs/>
          <w:color w:val="auto"/>
          <w:spacing w:val="0"/>
          <w:w w:val="100"/>
          <w:kern w:val="2"/>
          <w:sz w:val="21"/>
          <w:szCs w:val="24"/>
          <w:highlight w:val="none"/>
          <w:lang w:val="en-US" w:bidi="ar-SA"/>
        </w:rPr>
      </w:pPr>
      <w:bookmarkStart w:id="569" w:name="_Toc28458"/>
      <w:bookmarkStart w:id="570" w:name="_Toc18232"/>
      <w:bookmarkStart w:id="571" w:name="_Toc22911742"/>
      <w:r>
        <w:rPr>
          <w:rFonts w:hint="eastAsia" w:ascii="宋体" w:hAnsi="宋体" w:eastAsia="宋体" w:cs="宋体"/>
          <w:b/>
          <w:bCs/>
          <w:color w:val="auto"/>
          <w:spacing w:val="0"/>
          <w:w w:val="100"/>
          <w:kern w:val="2"/>
          <w:sz w:val="21"/>
          <w:szCs w:val="24"/>
          <w:highlight w:val="none"/>
          <w:lang w:val="en-US" w:bidi="ar-SA"/>
        </w:rPr>
        <w:t>20.4仲裁或诉讼</w:t>
      </w:r>
      <w:bookmarkEnd w:id="509"/>
      <w:bookmarkEnd w:id="569"/>
      <w:bookmarkEnd w:id="570"/>
      <w:bookmarkEnd w:id="571"/>
    </w:p>
    <w:p w14:paraId="1773707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因合同及合同有关事项发生的争议，按下列第（2）种方式解决：</w:t>
      </w:r>
    </w:p>
    <w:p w14:paraId="6387F13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（1）向</w:t>
      </w:r>
      <w:r>
        <w:rPr>
          <w:rFonts w:hint="eastAsia" w:ascii="宋体" w:hAnsi="宋体" w:eastAsia="宋体" w:cs="宋体"/>
          <w:color w:val="auto"/>
          <w:spacing w:val="0"/>
          <w:w w:val="100"/>
          <w:kern w:val="2"/>
          <w:sz w:val="21"/>
          <w:szCs w:val="24"/>
          <w:highlight w:val="none"/>
          <w:u w:val="single"/>
          <w:lang w:val="en-US" w:bidi="ar-SA"/>
        </w:rPr>
        <w:t>焦作</w:t>
      </w:r>
      <w:r>
        <w:rPr>
          <w:rFonts w:hint="eastAsia" w:ascii="宋体" w:hAnsi="宋体" w:eastAsia="宋体" w:cs="宋体"/>
          <w:color w:val="auto"/>
          <w:spacing w:val="0"/>
          <w:w w:val="100"/>
          <w:kern w:val="2"/>
          <w:sz w:val="21"/>
          <w:szCs w:val="24"/>
          <w:highlight w:val="none"/>
          <w:lang w:val="en-US" w:bidi="ar-SA"/>
        </w:rPr>
        <w:t>仲裁委员会申请仲裁；</w:t>
      </w:r>
    </w:p>
    <w:p w14:paraId="13880F7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（2）向</w:t>
      </w:r>
      <w:r>
        <w:rPr>
          <w:rFonts w:hint="eastAsia" w:ascii="宋体" w:hAnsi="宋体" w:eastAsia="宋体" w:cs="宋体"/>
          <w:color w:val="auto"/>
          <w:spacing w:val="0"/>
          <w:w w:val="100"/>
          <w:kern w:val="2"/>
          <w:sz w:val="21"/>
          <w:szCs w:val="24"/>
          <w:highlight w:val="none"/>
          <w:u w:val="single"/>
          <w:lang w:val="en-US" w:bidi="ar-SA"/>
        </w:rPr>
        <w:t>工程所在地</w:t>
      </w:r>
      <w:r>
        <w:rPr>
          <w:rFonts w:hint="eastAsia" w:ascii="宋体" w:hAnsi="宋体" w:eastAsia="宋体" w:cs="宋体"/>
          <w:color w:val="auto"/>
          <w:spacing w:val="0"/>
          <w:w w:val="100"/>
          <w:kern w:val="2"/>
          <w:sz w:val="21"/>
          <w:szCs w:val="24"/>
          <w:highlight w:val="none"/>
          <w:lang w:val="en-US" w:bidi="ar-SA"/>
        </w:rPr>
        <w:t>人民法院起诉。</w:t>
      </w:r>
      <w:bookmarkEnd w:id="510"/>
      <w:bookmarkEnd w:id="511"/>
      <w:bookmarkEnd w:id="512"/>
      <w:bookmarkEnd w:id="513"/>
      <w:bookmarkEnd w:id="514"/>
      <w:bookmarkEnd w:id="515"/>
    </w:p>
    <w:p w14:paraId="6388A015">
      <w:pPr>
        <w:pageBreakBefore w:val="0"/>
        <w:kinsoku/>
        <w:wordWrap/>
        <w:overflowPunct/>
        <w:topLinePunct w:val="0"/>
        <w:autoSpaceDE/>
        <w:autoSpaceDN/>
        <w:bidi w:val="0"/>
        <w:adjustRightInd w:val="0"/>
        <w:snapToGrid w:val="0"/>
        <w:spacing w:line="360" w:lineRule="auto"/>
        <w:ind w:firstLine="196" w:firstLineChars="93"/>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21．补充条款</w:t>
      </w:r>
    </w:p>
    <w:p w14:paraId="28A68026">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 施工用电按发包人要求装表计量，施工用水用电费用由承包人自行解决。</w:t>
      </w:r>
    </w:p>
    <w:p w14:paraId="37A02CE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21.2.承包人未经发包人同意，不得将所承包工程的任何部分分包。</w:t>
      </w:r>
    </w:p>
    <w:p w14:paraId="0F3FB309">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21.3.承包人不得将其承包的全部工程转包给他人，也不得将其承包的全部工程肢解以后以分包的名义分别转包给他人。违反本条规定违法分包的，发包人可单方解除合同，承包人应当向发包人承担合同价款30%的违约金。</w:t>
      </w:r>
    </w:p>
    <w:p w14:paraId="1937DF23">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21.4.由发包人引起的工期延期及时由发包人、承包人、监理人三方共同签字认可，时效为现场发生时7日内，逾将不予认可。</w:t>
      </w:r>
    </w:p>
    <w:p w14:paraId="6912C087">
      <w:pPr>
        <w:pageBreakBefore w:val="0"/>
        <w:kinsoku/>
        <w:wordWrap/>
        <w:overflowPunct/>
        <w:topLinePunct w:val="0"/>
        <w:autoSpaceDE/>
        <w:autoSpaceDN/>
        <w:bidi w:val="0"/>
        <w:adjustRightInd w:val="0"/>
        <w:snapToGrid w:val="0"/>
        <w:spacing w:line="360" w:lineRule="auto"/>
        <w:ind w:left="-53" w:leftChars="-25" w:right="-45" w:firstLine="420" w:firstLineChars="200"/>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21.5. 所有付款均需开具合法、合规发票。</w:t>
      </w:r>
      <w:r>
        <w:rPr>
          <w:rFonts w:hint="eastAsia" w:ascii="宋体" w:hAnsi="宋体" w:eastAsia="宋体" w:cs="宋体"/>
          <w:color w:val="auto"/>
          <w:spacing w:val="0"/>
          <w:w w:val="100"/>
          <w:kern w:val="2"/>
          <w:sz w:val="21"/>
          <w:szCs w:val="24"/>
          <w:highlight w:val="none"/>
          <w:u w:val="single"/>
          <w:lang w:val="en-US" w:bidi="ar-SA"/>
        </w:rPr>
        <w:t>工程结算（审计）完成后剩余发票一次全部开出。</w:t>
      </w:r>
    </w:p>
    <w:p w14:paraId="5119637A">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21.6. 所有工程竣工资料齐全，发包人方可组织工程竣工验收（含施工日志、竣工资料、竣工图等）。工程验收合格后，承包人应当及时向发包人移交所有相关的工程资料。否则，发包人可以暂停支付工程款。</w:t>
      </w:r>
    </w:p>
    <w:p w14:paraId="3FBE322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21.7. 若因设计图纸局部设计不详，在后续图纸会审或施工中需进一步细化设计的，发包人仅对细化后的图纸进行技术认可，不再调整其相应价款。</w:t>
      </w:r>
    </w:p>
    <w:p w14:paraId="4F40B8FE">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21.8. 其它按本工程招标文件及补充通知、投标文件、中标通知书等相关内容执行，与本合同具有同等法律效力。</w:t>
      </w:r>
    </w:p>
    <w:p w14:paraId="631DD05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21.9. 若由于工人或农民工工资及相关问题导致工人或农民工向发包方投诉或上访等（如围堵学校大门或办公场所、校内外游行等）影响发包方正常教学办公秩序行为或其他给学校造成负面影响的，发包方有权拒付工程款，且承包方应向发包方支付违约金</w:t>
      </w:r>
      <w:r>
        <w:rPr>
          <w:rFonts w:hint="eastAsia" w:ascii="宋体" w:hAnsi="宋体" w:eastAsia="宋体" w:cs="宋体"/>
          <w:b/>
          <w:bCs/>
          <w:color w:val="auto"/>
          <w:spacing w:val="0"/>
          <w:w w:val="100"/>
          <w:kern w:val="2"/>
          <w:sz w:val="21"/>
          <w:szCs w:val="24"/>
          <w:highlight w:val="none"/>
          <w:u w:val="single"/>
          <w:lang w:val="en-US" w:bidi="ar-SA"/>
        </w:rPr>
        <w:t>（每次</w:t>
      </w:r>
      <w:r>
        <w:rPr>
          <w:rFonts w:hint="eastAsia" w:ascii="宋体" w:hAnsi="宋体" w:eastAsia="宋体" w:cs="宋体"/>
          <w:b/>
          <w:bCs/>
          <w:color w:val="auto"/>
          <w:spacing w:val="0"/>
          <w:w w:val="100"/>
          <w:kern w:val="2"/>
          <w:sz w:val="21"/>
          <w:szCs w:val="24"/>
          <w:highlight w:val="none"/>
          <w:u w:val="single"/>
          <w:lang w:val="en-US" w:eastAsia="zh-CN" w:bidi="ar-SA"/>
        </w:rPr>
        <w:t>10</w:t>
      </w:r>
      <w:r>
        <w:rPr>
          <w:rFonts w:hint="eastAsia" w:ascii="宋体" w:hAnsi="宋体" w:eastAsia="宋体" w:cs="宋体"/>
          <w:b/>
          <w:bCs/>
          <w:color w:val="auto"/>
          <w:spacing w:val="0"/>
          <w:w w:val="100"/>
          <w:kern w:val="2"/>
          <w:sz w:val="21"/>
          <w:szCs w:val="24"/>
          <w:highlight w:val="none"/>
          <w:u w:val="single"/>
          <w:lang w:val="en-US" w:bidi="ar-SA"/>
        </w:rPr>
        <w:t>万元人民币</w:t>
      </w:r>
      <w:r>
        <w:rPr>
          <w:rFonts w:hint="eastAsia" w:ascii="宋体" w:hAnsi="宋体" w:eastAsia="宋体" w:cs="宋体"/>
          <w:bCs/>
          <w:color w:val="auto"/>
          <w:spacing w:val="0"/>
          <w:w w:val="100"/>
          <w:kern w:val="2"/>
          <w:sz w:val="21"/>
          <w:szCs w:val="24"/>
          <w:highlight w:val="none"/>
          <w:u w:val="single"/>
          <w:lang w:val="en-US" w:bidi="ar-SA"/>
        </w:rPr>
        <w:t>）；若对发包方造成损失的，承包方还应当承担相应的赔偿责任。因承包人拖欠农民工工资造成发包人涉及法律诉讼的，承包人应当向发包人承担合同价款20%的违约金，同时项目经理要承担连带责任。</w:t>
      </w:r>
    </w:p>
    <w:p w14:paraId="1D2A0482">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21.10.</w:t>
      </w:r>
      <w:r>
        <w:rPr>
          <w:rFonts w:hint="eastAsia" w:ascii="宋体" w:hAnsi="宋体" w:eastAsia="宋体" w:cs="宋体"/>
          <w:bCs/>
          <w:color w:val="auto"/>
          <w:spacing w:val="0"/>
          <w:w w:val="100"/>
          <w:kern w:val="2"/>
          <w:sz w:val="21"/>
          <w:szCs w:val="24"/>
          <w:highlight w:val="none"/>
          <w:u w:val="single"/>
          <w:lang w:val="en-US" w:eastAsia="zh-CN" w:bidi="ar-SA"/>
        </w:rPr>
        <w:t>成交人</w:t>
      </w:r>
      <w:r>
        <w:rPr>
          <w:rFonts w:hint="eastAsia" w:ascii="宋体" w:hAnsi="宋体" w:eastAsia="宋体" w:cs="宋体"/>
          <w:bCs/>
          <w:color w:val="auto"/>
          <w:spacing w:val="0"/>
          <w:w w:val="100"/>
          <w:kern w:val="2"/>
          <w:sz w:val="21"/>
          <w:szCs w:val="24"/>
          <w:highlight w:val="none"/>
          <w:u w:val="single"/>
          <w:lang w:val="en-US" w:bidi="ar-SA"/>
        </w:rPr>
        <w:t>确定后需向</w:t>
      </w:r>
      <w:r>
        <w:rPr>
          <w:rFonts w:hint="eastAsia" w:ascii="宋体" w:hAnsi="宋体" w:eastAsia="宋体" w:cs="宋体"/>
          <w:bCs/>
          <w:color w:val="auto"/>
          <w:spacing w:val="0"/>
          <w:w w:val="100"/>
          <w:kern w:val="2"/>
          <w:sz w:val="21"/>
          <w:szCs w:val="24"/>
          <w:highlight w:val="none"/>
          <w:u w:val="single"/>
          <w:lang w:val="en-US" w:eastAsia="zh-CN" w:bidi="ar-SA"/>
        </w:rPr>
        <w:t>采购人</w:t>
      </w:r>
      <w:r>
        <w:rPr>
          <w:rFonts w:hint="eastAsia" w:ascii="宋体" w:hAnsi="宋体" w:eastAsia="宋体" w:cs="宋体"/>
          <w:bCs/>
          <w:color w:val="auto"/>
          <w:spacing w:val="0"/>
          <w:w w:val="100"/>
          <w:kern w:val="2"/>
          <w:sz w:val="21"/>
          <w:szCs w:val="24"/>
          <w:highlight w:val="none"/>
          <w:u w:val="single"/>
          <w:lang w:val="en-US" w:bidi="ar-SA"/>
        </w:rPr>
        <w:t>提供广联达版本的已标价工程量清单电子版。</w:t>
      </w:r>
    </w:p>
    <w:p w14:paraId="477318CB">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21.11.本合同约定的承包人应支付的违约金直接从发包人应实付的工程款中扣除，只有在工程款不足以支付违约金时才从履约保证金中扣除。</w:t>
      </w:r>
    </w:p>
    <w:p w14:paraId="7424307D">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21.12.承包人在施工过程中不得扰民，若有扰民，在接到发包人指示后，应当立即改正，否则，发包人可以视情况从安全文明措施费中扣除部分款项。承包人也不得以扰民停工为由向发包人主张延长工期等任何请求。</w:t>
      </w:r>
    </w:p>
    <w:p w14:paraId="32DF6DEA">
      <w:pPr>
        <w:pageBreakBefore w:val="0"/>
        <w:kinsoku/>
        <w:wordWrap/>
        <w:overflowPunct/>
        <w:topLinePunct w:val="0"/>
        <w:autoSpaceDE/>
        <w:autoSpaceDN/>
        <w:bidi w:val="0"/>
        <w:adjustRightInd w:val="0"/>
        <w:snapToGrid w:val="0"/>
        <w:spacing w:line="360" w:lineRule="auto"/>
        <w:ind w:left="-53" w:leftChars="-25" w:right="-43"/>
        <w:jc w:val="both"/>
        <w:textAlignment w:val="auto"/>
        <w:outlineLvl w:val="9"/>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lang w:val="en-US" w:bidi="ar-SA"/>
        </w:rPr>
        <w:t xml:space="preserve">    </w:t>
      </w:r>
      <w:r>
        <w:rPr>
          <w:rFonts w:hint="eastAsia" w:ascii="宋体" w:hAnsi="宋体" w:eastAsia="宋体" w:cs="宋体"/>
          <w:bCs/>
          <w:color w:val="auto"/>
          <w:spacing w:val="0"/>
          <w:w w:val="100"/>
          <w:kern w:val="2"/>
          <w:sz w:val="21"/>
          <w:szCs w:val="24"/>
          <w:highlight w:val="none"/>
          <w:u w:val="single"/>
          <w:lang w:val="en-US" w:bidi="ar-SA"/>
        </w:rPr>
        <w:t>21.13</w:t>
      </w:r>
      <w:r>
        <w:rPr>
          <w:rFonts w:hint="eastAsia" w:ascii="宋体" w:hAnsi="宋体" w:eastAsia="宋体" w:cs="宋体"/>
          <w:color w:val="auto"/>
          <w:spacing w:val="0"/>
          <w:w w:val="100"/>
          <w:kern w:val="2"/>
          <w:sz w:val="21"/>
          <w:szCs w:val="24"/>
          <w:highlight w:val="none"/>
          <w:lang w:val="en-US" w:bidi="ar-SA"/>
        </w:rPr>
        <w:t>.</w:t>
      </w:r>
      <w:r>
        <w:rPr>
          <w:rFonts w:hint="eastAsia" w:ascii="宋体" w:hAnsi="宋体" w:eastAsia="宋体" w:cs="宋体"/>
          <w:color w:val="auto"/>
          <w:spacing w:val="0"/>
          <w:w w:val="100"/>
          <w:kern w:val="2"/>
          <w:sz w:val="21"/>
          <w:szCs w:val="24"/>
          <w:highlight w:val="none"/>
          <w:u w:val="single"/>
          <w:lang w:val="en-US" w:bidi="ar-SA"/>
        </w:rPr>
        <w:t>材料考察应及时由发包人、承包人、监理人三方共同签字认可，时效为现场发生时7日内，逾期将不予认可。</w:t>
      </w:r>
    </w:p>
    <w:p w14:paraId="35501524">
      <w:pPr>
        <w:pageBreakBefore w:val="0"/>
        <w:kinsoku/>
        <w:wordWrap/>
        <w:overflowPunct/>
        <w:topLinePunct w:val="0"/>
        <w:autoSpaceDE/>
        <w:autoSpaceDN/>
        <w:bidi w:val="0"/>
        <w:adjustRightInd w:val="0"/>
        <w:snapToGrid w:val="0"/>
        <w:spacing w:line="360" w:lineRule="auto"/>
        <w:ind w:left="-53" w:leftChars="-25" w:right="-45" w:firstLine="42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21.14</w:t>
      </w:r>
      <w:r>
        <w:rPr>
          <w:rFonts w:hint="eastAsia" w:ascii="宋体" w:hAnsi="宋体" w:eastAsia="宋体" w:cs="宋体"/>
          <w:color w:val="auto"/>
          <w:spacing w:val="0"/>
          <w:w w:val="100"/>
          <w:kern w:val="2"/>
          <w:sz w:val="21"/>
          <w:szCs w:val="24"/>
          <w:highlight w:val="none"/>
          <w:lang w:val="en-US" w:bidi="ar-SA"/>
        </w:rPr>
        <w:t>.</w:t>
      </w:r>
      <w:r>
        <w:rPr>
          <w:rFonts w:hint="eastAsia" w:ascii="宋体" w:hAnsi="宋体" w:eastAsia="宋体" w:cs="宋体"/>
          <w:bCs/>
          <w:color w:val="auto"/>
          <w:spacing w:val="0"/>
          <w:w w:val="100"/>
          <w:kern w:val="2"/>
          <w:sz w:val="21"/>
          <w:szCs w:val="24"/>
          <w:highlight w:val="none"/>
          <w:u w:val="single"/>
          <w:lang w:val="en-US" w:bidi="ar-SA"/>
        </w:rPr>
        <w:t>工程施工中若发生合同价款以外计日工，其价格参照焦作市定额站发布的施工当期各工种信息价格（普工）乘1.38系数计入税前（含管理费和利润）；若发生零星机械台班，其价格参照现行定额机械台班预算价格计入税前（含管理费和利润）</w:t>
      </w:r>
    </w:p>
    <w:p w14:paraId="610E3C8F">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w:t>
      </w:r>
      <w:r>
        <w:rPr>
          <w:rFonts w:hint="eastAsia" w:ascii="宋体" w:hAnsi="宋体" w:eastAsia="宋体" w:cs="宋体"/>
          <w:bCs/>
          <w:color w:val="auto"/>
          <w:spacing w:val="0"/>
          <w:w w:val="100"/>
          <w:kern w:val="2"/>
          <w:sz w:val="21"/>
          <w:szCs w:val="24"/>
          <w:highlight w:val="none"/>
          <w:u w:val="single"/>
          <w:lang w:val="en-US" w:eastAsia="zh-CN" w:bidi="ar-SA"/>
        </w:rPr>
        <w:t>5</w:t>
      </w:r>
      <w:r>
        <w:rPr>
          <w:rFonts w:hint="eastAsia" w:ascii="宋体" w:hAnsi="宋体" w:eastAsia="宋体" w:cs="宋体"/>
          <w:bCs/>
          <w:color w:val="auto"/>
          <w:spacing w:val="0"/>
          <w:w w:val="100"/>
          <w:kern w:val="2"/>
          <w:sz w:val="21"/>
          <w:szCs w:val="24"/>
          <w:highlight w:val="none"/>
          <w:u w:val="single"/>
          <w:lang w:val="en-US" w:bidi="ar-SA"/>
        </w:rPr>
        <w:t>.未尽事宜，按国家有关规定执行。</w:t>
      </w:r>
    </w:p>
    <w:p w14:paraId="083CE824">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w:t>
      </w:r>
      <w:r>
        <w:rPr>
          <w:rFonts w:hint="eastAsia" w:ascii="宋体" w:hAnsi="宋体" w:eastAsia="宋体" w:cs="宋体"/>
          <w:bCs/>
          <w:color w:val="auto"/>
          <w:spacing w:val="0"/>
          <w:w w:val="100"/>
          <w:kern w:val="2"/>
          <w:sz w:val="21"/>
          <w:szCs w:val="24"/>
          <w:highlight w:val="none"/>
          <w:u w:val="single"/>
          <w:lang w:val="en-US" w:eastAsia="zh-CN" w:bidi="ar-SA"/>
        </w:rPr>
        <w:t>6</w:t>
      </w:r>
      <w:r>
        <w:rPr>
          <w:rFonts w:hint="eastAsia" w:ascii="宋体" w:hAnsi="宋体" w:eastAsia="宋体" w:cs="宋体"/>
          <w:bCs/>
          <w:color w:val="auto"/>
          <w:spacing w:val="0"/>
          <w:w w:val="100"/>
          <w:kern w:val="2"/>
          <w:sz w:val="21"/>
          <w:szCs w:val="24"/>
          <w:highlight w:val="none"/>
          <w:u w:val="single"/>
          <w:lang w:val="en-US" w:bidi="ar-SA"/>
        </w:rPr>
        <w:t>其他“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如需）。”</w:t>
      </w:r>
    </w:p>
    <w:p w14:paraId="4BF9D158">
      <w:pPr>
        <w:pageBreakBefore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w:t>
      </w:r>
      <w:r>
        <w:rPr>
          <w:rFonts w:hint="eastAsia" w:ascii="宋体" w:hAnsi="宋体" w:eastAsia="宋体" w:cs="宋体"/>
          <w:bCs/>
          <w:color w:val="auto"/>
          <w:spacing w:val="0"/>
          <w:w w:val="100"/>
          <w:kern w:val="2"/>
          <w:sz w:val="21"/>
          <w:szCs w:val="24"/>
          <w:highlight w:val="none"/>
          <w:u w:val="single"/>
          <w:lang w:val="en-US" w:eastAsia="zh-CN" w:bidi="ar-SA"/>
        </w:rPr>
        <w:t>17</w:t>
      </w:r>
      <w:r>
        <w:rPr>
          <w:rFonts w:hint="eastAsia" w:ascii="宋体" w:hAnsi="宋体" w:eastAsia="宋体" w:cs="宋体"/>
          <w:bCs/>
          <w:color w:val="auto"/>
          <w:spacing w:val="0"/>
          <w:w w:val="100"/>
          <w:kern w:val="2"/>
          <w:sz w:val="21"/>
          <w:szCs w:val="24"/>
          <w:highlight w:val="none"/>
          <w:u w:val="single"/>
          <w:lang w:val="en-US" w:bidi="ar-SA"/>
        </w:rPr>
        <w:t>承包人应按照要求与发包人签订《工程建设意识形态责任书》</w:t>
      </w:r>
      <w:r>
        <w:rPr>
          <w:rFonts w:hint="eastAsia" w:ascii="宋体" w:hAnsi="宋体" w:eastAsia="宋体" w:cs="宋体"/>
          <w:bCs/>
          <w:color w:val="auto"/>
          <w:spacing w:val="0"/>
          <w:w w:val="100"/>
          <w:kern w:val="2"/>
          <w:sz w:val="21"/>
          <w:szCs w:val="24"/>
          <w:highlight w:val="none"/>
          <w:u w:val="single"/>
          <w:lang w:val="en-US" w:eastAsia="zh-CN" w:bidi="ar-SA"/>
        </w:rPr>
        <w:t>、《施工现场安全管理细则》、《施工单位廉政承诺书》</w:t>
      </w:r>
      <w:r>
        <w:rPr>
          <w:rFonts w:hint="eastAsia" w:ascii="宋体" w:hAnsi="宋体" w:eastAsia="宋体" w:cs="宋体"/>
          <w:bCs/>
          <w:color w:val="auto"/>
          <w:spacing w:val="0"/>
          <w:w w:val="100"/>
          <w:kern w:val="2"/>
          <w:sz w:val="21"/>
          <w:szCs w:val="24"/>
          <w:highlight w:val="none"/>
          <w:u w:val="single"/>
          <w:lang w:val="en-US" w:bidi="ar-SA"/>
        </w:rPr>
        <w:t>。</w:t>
      </w:r>
    </w:p>
    <w:p w14:paraId="385C743D">
      <w:pPr>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br w:type="page"/>
      </w:r>
    </w:p>
    <w:p w14:paraId="034B5367">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附件</w:t>
      </w:r>
    </w:p>
    <w:p w14:paraId="3EFB3B80">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协议书附件：</w:t>
      </w:r>
    </w:p>
    <w:p w14:paraId="229D96A3">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2" w:name="_Toc10053"/>
      <w:r>
        <w:rPr>
          <w:rFonts w:hint="eastAsia" w:ascii="宋体" w:hAnsi="宋体" w:eastAsia="宋体" w:cs="宋体"/>
          <w:color w:val="auto"/>
          <w:spacing w:val="0"/>
          <w:w w:val="100"/>
          <w:kern w:val="2"/>
          <w:sz w:val="21"/>
          <w:szCs w:val="24"/>
          <w:highlight w:val="none"/>
          <w:lang w:val="en-US" w:bidi="ar-SA"/>
        </w:rPr>
        <w:t>附件1：承包人承揽工程项目一览表</w:t>
      </w:r>
      <w:bookmarkEnd w:id="572"/>
    </w:p>
    <w:p w14:paraId="5920988D">
      <w:pPr>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pacing w:val="0"/>
          <w:w w:val="100"/>
          <w:kern w:val="2"/>
          <w:sz w:val="21"/>
          <w:szCs w:val="24"/>
          <w:highlight w:val="none"/>
          <w:lang w:val="en-US" w:eastAsia="zh-CN" w:bidi="ar-SA"/>
        </w:rPr>
      </w:pPr>
      <w:r>
        <w:rPr>
          <w:rFonts w:hint="eastAsia" w:ascii="宋体" w:hAnsi="宋体" w:eastAsia="宋体" w:cs="宋体"/>
          <w:color w:val="auto"/>
          <w:spacing w:val="0"/>
          <w:w w:val="100"/>
          <w:kern w:val="2"/>
          <w:sz w:val="21"/>
          <w:szCs w:val="24"/>
          <w:highlight w:val="none"/>
          <w:lang w:val="en-US" w:bidi="ar-SA"/>
        </w:rPr>
        <w:t>专用合同条款附件：</w:t>
      </w:r>
    </w:p>
    <w:p w14:paraId="2B763DEF">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3" w:name="_Toc6289"/>
      <w:r>
        <w:rPr>
          <w:rFonts w:hint="eastAsia" w:ascii="宋体" w:hAnsi="宋体" w:eastAsia="宋体" w:cs="宋体"/>
          <w:color w:val="auto"/>
          <w:spacing w:val="0"/>
          <w:w w:val="100"/>
          <w:kern w:val="2"/>
          <w:sz w:val="21"/>
          <w:szCs w:val="24"/>
          <w:highlight w:val="none"/>
          <w:lang w:val="en-US" w:bidi="ar-SA"/>
        </w:rPr>
        <w:t>附件2：发包人供应材料设备一览表</w:t>
      </w:r>
      <w:bookmarkEnd w:id="573"/>
    </w:p>
    <w:p w14:paraId="4B40FD80">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4" w:name="_Toc18"/>
      <w:r>
        <w:rPr>
          <w:rFonts w:hint="eastAsia" w:ascii="宋体" w:hAnsi="宋体" w:eastAsia="宋体" w:cs="宋体"/>
          <w:color w:val="auto"/>
          <w:spacing w:val="0"/>
          <w:w w:val="100"/>
          <w:kern w:val="2"/>
          <w:sz w:val="21"/>
          <w:szCs w:val="24"/>
          <w:highlight w:val="none"/>
          <w:lang w:val="en-US" w:bidi="ar-SA"/>
        </w:rPr>
        <w:t>附件3：工程质量保修书</w:t>
      </w:r>
      <w:bookmarkEnd w:id="574"/>
    </w:p>
    <w:p w14:paraId="3BE76558">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5" w:name="_Toc10768"/>
      <w:r>
        <w:rPr>
          <w:rFonts w:hint="eastAsia" w:ascii="宋体" w:hAnsi="宋体" w:eastAsia="宋体" w:cs="宋体"/>
          <w:color w:val="auto"/>
          <w:spacing w:val="0"/>
          <w:w w:val="100"/>
          <w:kern w:val="2"/>
          <w:sz w:val="21"/>
          <w:szCs w:val="24"/>
          <w:highlight w:val="none"/>
          <w:lang w:val="en-US" w:bidi="ar-SA"/>
        </w:rPr>
        <w:t>附件4：主要建设工程文件目录</w:t>
      </w:r>
      <w:bookmarkEnd w:id="575"/>
    </w:p>
    <w:p w14:paraId="02E85AF3">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6" w:name="_Toc4740"/>
      <w:r>
        <w:rPr>
          <w:rFonts w:hint="eastAsia" w:ascii="宋体" w:hAnsi="宋体" w:eastAsia="宋体" w:cs="宋体"/>
          <w:color w:val="auto"/>
          <w:spacing w:val="0"/>
          <w:w w:val="100"/>
          <w:kern w:val="2"/>
          <w:sz w:val="21"/>
          <w:szCs w:val="24"/>
          <w:highlight w:val="none"/>
          <w:lang w:val="en-US" w:bidi="ar-SA"/>
        </w:rPr>
        <w:t>附件5：承包人用于本工程施工的机械设备表</w:t>
      </w:r>
      <w:bookmarkEnd w:id="576"/>
    </w:p>
    <w:p w14:paraId="5436A815">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7" w:name="_Toc19985"/>
      <w:r>
        <w:rPr>
          <w:rFonts w:hint="eastAsia" w:ascii="宋体" w:hAnsi="宋体" w:eastAsia="宋体" w:cs="宋体"/>
          <w:color w:val="auto"/>
          <w:spacing w:val="0"/>
          <w:w w:val="100"/>
          <w:kern w:val="2"/>
          <w:sz w:val="21"/>
          <w:szCs w:val="24"/>
          <w:highlight w:val="none"/>
          <w:lang w:val="en-US" w:bidi="ar-SA"/>
        </w:rPr>
        <w:t>附件6：承包人主要施工管理人员表</w:t>
      </w:r>
      <w:bookmarkEnd w:id="577"/>
    </w:p>
    <w:p w14:paraId="43BC7170">
      <w:pPr>
        <w:pageBreakBefore w:val="0"/>
        <w:kinsoku/>
        <w:wordWrap/>
        <w:overflowPunct/>
        <w:topLinePunct w:val="0"/>
        <w:autoSpaceDE/>
        <w:autoSpaceDN/>
        <w:bidi w:val="0"/>
        <w:adjustRightInd w:val="0"/>
        <w:snapToGrid w:val="0"/>
        <w:spacing w:line="360" w:lineRule="auto"/>
        <w:jc w:val="both"/>
        <w:textAlignment w:val="auto"/>
        <w:outlineLvl w:val="9"/>
        <w:rPr>
          <w:rFonts w:ascii="宋体" w:hAnsi="宋体" w:eastAsia="宋体" w:cs="宋体"/>
          <w:color w:val="auto"/>
          <w:spacing w:val="0"/>
          <w:w w:val="100"/>
          <w:kern w:val="2"/>
          <w:sz w:val="21"/>
          <w:szCs w:val="24"/>
          <w:highlight w:val="none"/>
          <w:lang w:val="en-US" w:bidi="ar-SA"/>
        </w:rPr>
      </w:pPr>
      <w:bookmarkStart w:id="578" w:name="_Toc1049"/>
      <w:r>
        <w:rPr>
          <w:rFonts w:hint="eastAsia" w:ascii="宋体" w:hAnsi="宋体" w:eastAsia="宋体" w:cs="宋体"/>
          <w:color w:val="auto"/>
          <w:spacing w:val="0"/>
          <w:w w:val="100"/>
          <w:kern w:val="2"/>
          <w:sz w:val="21"/>
          <w:szCs w:val="24"/>
          <w:highlight w:val="none"/>
          <w:lang w:val="en-US" w:bidi="ar-SA"/>
        </w:rPr>
        <w:t>附件7：分包人主要施工管理人员表</w:t>
      </w:r>
      <w:bookmarkEnd w:id="578"/>
    </w:p>
    <w:p w14:paraId="62C91C11">
      <w:pPr>
        <w:pageBreakBefore w:val="0"/>
        <w:overflowPunct/>
        <w:topLinePunct w:val="0"/>
        <w:bidi w:val="0"/>
        <w:spacing w:line="360" w:lineRule="auto"/>
        <w:outlineLvl w:val="9"/>
        <w:rPr>
          <w:rFonts w:hint="eastAsia" w:ascii="宋体" w:hAnsi="宋体" w:eastAsia="宋体" w:cs="宋体"/>
          <w:color w:val="auto"/>
          <w:spacing w:val="0"/>
          <w:w w:val="100"/>
          <w:highlight w:val="none"/>
        </w:rPr>
        <w:sectPr>
          <w:footerReference r:id="rId8" w:type="first"/>
          <w:pgSz w:w="11906" w:h="16838"/>
          <w:pgMar w:top="1418" w:right="1555" w:bottom="1418" w:left="1531" w:header="851" w:footer="992" w:gutter="0"/>
          <w:pgNumType w:fmt="decimal"/>
          <w:cols w:space="720" w:num="1"/>
          <w:titlePg/>
          <w:docGrid w:type="lines" w:linePitch="312" w:charSpace="0"/>
        </w:sectPr>
      </w:pPr>
    </w:p>
    <w:tbl>
      <w:tblPr>
        <w:tblStyle w:val="12"/>
        <w:tblpPr w:leftFromText="180" w:rightFromText="180" w:vertAnchor="text" w:horzAnchor="page" w:tblpX="942" w:tblpY="66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80"/>
        <w:gridCol w:w="1360"/>
        <w:gridCol w:w="1332"/>
        <w:gridCol w:w="1552"/>
        <w:gridCol w:w="947"/>
        <w:gridCol w:w="1483"/>
        <w:gridCol w:w="1923"/>
        <w:gridCol w:w="1634"/>
        <w:gridCol w:w="1428"/>
        <w:gridCol w:w="1401"/>
      </w:tblGrid>
      <w:tr w14:paraId="64474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9" w:hRule="atLeast"/>
        </w:trPr>
        <w:tc>
          <w:tcPr>
            <w:tcW w:w="2280" w:type="dxa"/>
            <w:tcBorders>
              <w:top w:val="single" w:color="auto" w:sz="12" w:space="0"/>
              <w:bottom w:val="double" w:color="auto" w:sz="6" w:space="0"/>
            </w:tcBorders>
            <w:noWrap w:val="0"/>
            <w:vAlign w:val="center"/>
          </w:tcPr>
          <w:p w14:paraId="2DCAFE4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单位工程名称</w:t>
            </w:r>
          </w:p>
        </w:tc>
        <w:tc>
          <w:tcPr>
            <w:tcW w:w="1360" w:type="dxa"/>
            <w:tcBorders>
              <w:top w:val="single" w:color="auto" w:sz="12" w:space="0"/>
              <w:bottom w:val="double" w:color="auto" w:sz="6" w:space="0"/>
            </w:tcBorders>
            <w:noWrap w:val="0"/>
            <w:vAlign w:val="center"/>
          </w:tcPr>
          <w:p w14:paraId="3AF23D3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建设规模</w:t>
            </w:r>
          </w:p>
        </w:tc>
        <w:tc>
          <w:tcPr>
            <w:tcW w:w="1332" w:type="dxa"/>
            <w:tcBorders>
              <w:top w:val="single" w:color="auto" w:sz="12" w:space="0"/>
              <w:bottom w:val="double" w:color="auto" w:sz="6" w:space="0"/>
            </w:tcBorders>
            <w:noWrap w:val="0"/>
            <w:vAlign w:val="center"/>
          </w:tcPr>
          <w:p w14:paraId="42C5D5A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建筑面积</w:t>
            </w:r>
          </w:p>
          <w:p w14:paraId="4751D87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(平方米)</w:t>
            </w:r>
          </w:p>
        </w:tc>
        <w:tc>
          <w:tcPr>
            <w:tcW w:w="1552" w:type="dxa"/>
            <w:tcBorders>
              <w:top w:val="single" w:color="auto" w:sz="12" w:space="0"/>
              <w:bottom w:val="double" w:color="auto" w:sz="6" w:space="0"/>
            </w:tcBorders>
            <w:noWrap w:val="0"/>
            <w:vAlign w:val="center"/>
          </w:tcPr>
          <w:p w14:paraId="33D0CEC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结构形式</w:t>
            </w:r>
          </w:p>
        </w:tc>
        <w:tc>
          <w:tcPr>
            <w:tcW w:w="947" w:type="dxa"/>
            <w:tcBorders>
              <w:top w:val="single" w:color="auto" w:sz="12" w:space="0"/>
              <w:bottom w:val="double" w:color="auto" w:sz="6" w:space="0"/>
            </w:tcBorders>
            <w:noWrap w:val="0"/>
            <w:vAlign w:val="center"/>
          </w:tcPr>
          <w:p w14:paraId="00CDCB7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层数</w:t>
            </w:r>
          </w:p>
        </w:tc>
        <w:tc>
          <w:tcPr>
            <w:tcW w:w="1483" w:type="dxa"/>
            <w:tcBorders>
              <w:top w:val="single" w:color="auto" w:sz="12" w:space="0"/>
              <w:bottom w:val="double" w:color="auto" w:sz="6" w:space="0"/>
            </w:tcBorders>
            <w:noWrap w:val="0"/>
            <w:vAlign w:val="center"/>
          </w:tcPr>
          <w:p w14:paraId="6BB6B92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生产能力</w:t>
            </w:r>
          </w:p>
        </w:tc>
        <w:tc>
          <w:tcPr>
            <w:tcW w:w="1923" w:type="dxa"/>
            <w:tcBorders>
              <w:top w:val="single" w:color="auto" w:sz="12" w:space="0"/>
              <w:bottom w:val="double" w:color="auto" w:sz="6" w:space="0"/>
            </w:tcBorders>
            <w:noWrap w:val="0"/>
            <w:vAlign w:val="center"/>
          </w:tcPr>
          <w:p w14:paraId="2F845D0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设备安装内容</w:t>
            </w:r>
          </w:p>
        </w:tc>
        <w:tc>
          <w:tcPr>
            <w:tcW w:w="1634" w:type="dxa"/>
            <w:tcBorders>
              <w:top w:val="single" w:color="auto" w:sz="12" w:space="0"/>
              <w:bottom w:val="double" w:color="auto" w:sz="6" w:space="0"/>
            </w:tcBorders>
            <w:noWrap w:val="0"/>
            <w:vAlign w:val="center"/>
          </w:tcPr>
          <w:p w14:paraId="6EE7B26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合同价格（元）</w:t>
            </w:r>
          </w:p>
        </w:tc>
        <w:tc>
          <w:tcPr>
            <w:tcW w:w="1428" w:type="dxa"/>
            <w:tcBorders>
              <w:top w:val="single" w:color="auto" w:sz="12" w:space="0"/>
              <w:bottom w:val="double" w:color="auto" w:sz="6" w:space="0"/>
            </w:tcBorders>
            <w:noWrap w:val="0"/>
            <w:vAlign w:val="center"/>
          </w:tcPr>
          <w:p w14:paraId="3209E3A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开工日期</w:t>
            </w:r>
          </w:p>
        </w:tc>
        <w:tc>
          <w:tcPr>
            <w:tcW w:w="1401" w:type="dxa"/>
            <w:tcBorders>
              <w:top w:val="single" w:color="auto" w:sz="12" w:space="0"/>
              <w:bottom w:val="double" w:color="auto" w:sz="6" w:space="0"/>
            </w:tcBorders>
            <w:noWrap w:val="0"/>
            <w:vAlign w:val="center"/>
          </w:tcPr>
          <w:p w14:paraId="064E1AC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竣工日期</w:t>
            </w:r>
          </w:p>
        </w:tc>
      </w:tr>
      <w:tr w14:paraId="79369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5" w:hRule="atLeast"/>
        </w:trPr>
        <w:tc>
          <w:tcPr>
            <w:tcW w:w="2280" w:type="dxa"/>
            <w:tcBorders>
              <w:top w:val="double" w:color="auto" w:sz="6" w:space="0"/>
              <w:bottom w:val="single" w:color="auto" w:sz="6" w:space="0"/>
            </w:tcBorders>
            <w:noWrap w:val="0"/>
            <w:vAlign w:val="center"/>
          </w:tcPr>
          <w:p w14:paraId="4069D38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tcBorders>
              <w:top w:val="double" w:color="auto" w:sz="6" w:space="0"/>
              <w:bottom w:val="single" w:color="auto" w:sz="6" w:space="0"/>
            </w:tcBorders>
            <w:noWrap w:val="0"/>
            <w:vAlign w:val="center"/>
          </w:tcPr>
          <w:p w14:paraId="463CEF5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tcBorders>
              <w:top w:val="double" w:color="auto" w:sz="6" w:space="0"/>
              <w:bottom w:val="single" w:color="auto" w:sz="6" w:space="0"/>
            </w:tcBorders>
            <w:noWrap w:val="0"/>
            <w:vAlign w:val="center"/>
          </w:tcPr>
          <w:p w14:paraId="7C8CD44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tcBorders>
              <w:top w:val="double" w:color="auto" w:sz="6" w:space="0"/>
              <w:bottom w:val="single" w:color="auto" w:sz="6" w:space="0"/>
            </w:tcBorders>
            <w:noWrap w:val="0"/>
            <w:vAlign w:val="center"/>
          </w:tcPr>
          <w:p w14:paraId="706E2DF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tcBorders>
              <w:top w:val="double" w:color="auto" w:sz="6" w:space="0"/>
              <w:bottom w:val="single" w:color="auto" w:sz="6" w:space="0"/>
            </w:tcBorders>
            <w:noWrap w:val="0"/>
            <w:vAlign w:val="center"/>
          </w:tcPr>
          <w:p w14:paraId="2C4DDB2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tcBorders>
              <w:top w:val="double" w:color="auto" w:sz="6" w:space="0"/>
              <w:bottom w:val="single" w:color="auto" w:sz="6" w:space="0"/>
            </w:tcBorders>
            <w:noWrap w:val="0"/>
            <w:vAlign w:val="center"/>
          </w:tcPr>
          <w:p w14:paraId="642E040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tcBorders>
              <w:top w:val="double" w:color="auto" w:sz="6" w:space="0"/>
              <w:bottom w:val="single" w:color="auto" w:sz="6" w:space="0"/>
            </w:tcBorders>
            <w:noWrap w:val="0"/>
            <w:vAlign w:val="center"/>
          </w:tcPr>
          <w:p w14:paraId="08DF71E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tcBorders>
              <w:top w:val="double" w:color="auto" w:sz="6" w:space="0"/>
              <w:bottom w:val="single" w:color="auto" w:sz="6" w:space="0"/>
            </w:tcBorders>
            <w:noWrap w:val="0"/>
            <w:vAlign w:val="center"/>
          </w:tcPr>
          <w:p w14:paraId="3E49BC6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tcBorders>
              <w:top w:val="double" w:color="auto" w:sz="6" w:space="0"/>
              <w:bottom w:val="single" w:color="auto" w:sz="6" w:space="0"/>
            </w:tcBorders>
            <w:noWrap w:val="0"/>
            <w:vAlign w:val="center"/>
          </w:tcPr>
          <w:p w14:paraId="08E6ECF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tcBorders>
              <w:top w:val="double" w:color="auto" w:sz="6" w:space="0"/>
              <w:bottom w:val="single" w:color="auto" w:sz="6" w:space="0"/>
            </w:tcBorders>
            <w:noWrap w:val="0"/>
            <w:vAlign w:val="center"/>
          </w:tcPr>
          <w:p w14:paraId="7849BB5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30C1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02B4E88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6B609B9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3374E07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22015FA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568B993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1B604EE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3F0E09D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130071E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3E6F8AE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227BF49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10CD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5869CC1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3DEC79F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572CE08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018513F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7B478B0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3A68918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15A6DB5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34D50C7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69FB3F7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0617E32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69C92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74505BE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noWrap w:val="0"/>
            <w:vAlign w:val="center"/>
          </w:tcPr>
          <w:p w14:paraId="6D79EAA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noWrap w:val="0"/>
            <w:vAlign w:val="center"/>
          </w:tcPr>
          <w:p w14:paraId="73267A2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noWrap w:val="0"/>
            <w:vAlign w:val="center"/>
          </w:tcPr>
          <w:p w14:paraId="732EA4C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noWrap w:val="0"/>
            <w:vAlign w:val="center"/>
          </w:tcPr>
          <w:p w14:paraId="6DB3B6D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noWrap w:val="0"/>
            <w:vAlign w:val="center"/>
          </w:tcPr>
          <w:p w14:paraId="4E430C2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noWrap w:val="0"/>
            <w:vAlign w:val="center"/>
          </w:tcPr>
          <w:p w14:paraId="1F7745C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noWrap w:val="0"/>
            <w:vAlign w:val="center"/>
          </w:tcPr>
          <w:p w14:paraId="51D5E92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noWrap w:val="0"/>
            <w:vAlign w:val="center"/>
          </w:tcPr>
          <w:p w14:paraId="3C5D9C1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noWrap w:val="0"/>
            <w:vAlign w:val="center"/>
          </w:tcPr>
          <w:p w14:paraId="74A2F7A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7928E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6A5114A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66A975E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1568F25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4D1E624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711B8A9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3676A64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759A09E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15216BC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20727F1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12CCEF4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2ED00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340300F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noWrap w:val="0"/>
            <w:vAlign w:val="center"/>
          </w:tcPr>
          <w:p w14:paraId="22E5872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noWrap w:val="0"/>
            <w:vAlign w:val="center"/>
          </w:tcPr>
          <w:p w14:paraId="07DB02C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noWrap w:val="0"/>
            <w:vAlign w:val="center"/>
          </w:tcPr>
          <w:p w14:paraId="2C61F00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noWrap w:val="0"/>
            <w:vAlign w:val="center"/>
          </w:tcPr>
          <w:p w14:paraId="49F1BA6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noWrap w:val="0"/>
            <w:vAlign w:val="center"/>
          </w:tcPr>
          <w:p w14:paraId="1A3F51F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noWrap w:val="0"/>
            <w:vAlign w:val="center"/>
          </w:tcPr>
          <w:p w14:paraId="04C6454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noWrap w:val="0"/>
            <w:vAlign w:val="center"/>
          </w:tcPr>
          <w:p w14:paraId="219E1F0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noWrap w:val="0"/>
            <w:vAlign w:val="center"/>
          </w:tcPr>
          <w:p w14:paraId="22CD1A3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noWrap w:val="0"/>
            <w:vAlign w:val="center"/>
          </w:tcPr>
          <w:p w14:paraId="4D2E34F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07B3D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4106AAA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3D778BD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536AEF9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46B6CDD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18B6583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3F9E9A9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6349D4D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40DD4DD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4120B62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2CCCC9F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B18D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38A9581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7689AB0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4815516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6A4AE57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4223089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6D40061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4F41F25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7BABB2F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0CDBB3C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53A79D9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683CC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6D06201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60" w:type="dxa"/>
            <w:noWrap w:val="0"/>
            <w:vAlign w:val="center"/>
          </w:tcPr>
          <w:p w14:paraId="26661AA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332" w:type="dxa"/>
            <w:noWrap w:val="0"/>
            <w:vAlign w:val="center"/>
          </w:tcPr>
          <w:p w14:paraId="3C6DDB7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552" w:type="dxa"/>
            <w:noWrap w:val="0"/>
            <w:vAlign w:val="center"/>
          </w:tcPr>
          <w:p w14:paraId="7037B11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7" w:type="dxa"/>
            <w:noWrap w:val="0"/>
            <w:vAlign w:val="center"/>
          </w:tcPr>
          <w:p w14:paraId="604C2F6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3" w:type="dxa"/>
            <w:noWrap w:val="0"/>
            <w:vAlign w:val="center"/>
          </w:tcPr>
          <w:p w14:paraId="4902A96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923" w:type="dxa"/>
            <w:noWrap w:val="0"/>
            <w:vAlign w:val="center"/>
          </w:tcPr>
          <w:p w14:paraId="4023656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34" w:type="dxa"/>
            <w:noWrap w:val="0"/>
            <w:vAlign w:val="center"/>
          </w:tcPr>
          <w:p w14:paraId="2E3B9D3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28" w:type="dxa"/>
            <w:noWrap w:val="0"/>
            <w:vAlign w:val="center"/>
          </w:tcPr>
          <w:p w14:paraId="301340B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01" w:type="dxa"/>
            <w:noWrap w:val="0"/>
            <w:vAlign w:val="center"/>
          </w:tcPr>
          <w:p w14:paraId="3F6BDE1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bl>
    <w:p w14:paraId="52073272">
      <w:pPr>
        <w:pageBreakBefore w:val="0"/>
        <w:wordWrap/>
        <w:overflowPunct/>
        <w:topLinePunct w:val="0"/>
        <w:autoSpaceDE/>
        <w:autoSpaceDN/>
        <w:bidi w:val="0"/>
        <w:spacing w:beforeLines="50" w:afterLines="50" w:line="360" w:lineRule="auto"/>
        <w:jc w:val="both"/>
        <w:outlineLvl w:val="9"/>
        <w:rPr>
          <w:rFonts w:ascii="宋体" w:hAnsi="宋体" w:eastAsia="宋体" w:cs="宋体"/>
          <w:color w:val="auto"/>
          <w:spacing w:val="0"/>
          <w:w w:val="100"/>
          <w:kern w:val="2"/>
          <w:sz w:val="21"/>
          <w:szCs w:val="21"/>
          <w:highlight w:val="none"/>
          <w:lang w:val="en-US" w:bidi="ar-SA"/>
        </w:rPr>
      </w:pPr>
      <w:bookmarkStart w:id="579" w:name="_Toc4519"/>
      <w:r>
        <w:rPr>
          <w:rFonts w:hint="eastAsia" w:ascii="宋体" w:hAnsi="宋体" w:eastAsia="宋体" w:cs="宋体"/>
          <w:color w:val="auto"/>
          <w:spacing w:val="0"/>
          <w:w w:val="100"/>
          <w:kern w:val="2"/>
          <w:sz w:val="21"/>
          <w:szCs w:val="21"/>
          <w:highlight w:val="none"/>
          <w:lang w:val="en-US" w:bidi="ar-SA"/>
        </w:rPr>
        <w:t>附件1：                            承包人承揽工程项目一览表</w:t>
      </w:r>
      <w:bookmarkEnd w:id="579"/>
      <w:r>
        <w:rPr>
          <w:rFonts w:hint="eastAsia" w:ascii="宋体" w:hAnsi="宋体" w:eastAsia="宋体" w:cs="宋体"/>
          <w:color w:val="auto"/>
          <w:spacing w:val="0"/>
          <w:w w:val="100"/>
          <w:kern w:val="2"/>
          <w:sz w:val="21"/>
          <w:szCs w:val="21"/>
          <w:highlight w:val="none"/>
          <w:lang w:val="en-US" w:bidi="ar-SA"/>
        </w:rPr>
        <w:t xml:space="preserve">  </w:t>
      </w:r>
    </w:p>
    <w:p w14:paraId="4079D958">
      <w:pPr>
        <w:pageBreakBefore w:val="0"/>
        <w:wordWrap/>
        <w:overflowPunct/>
        <w:topLinePunct w:val="0"/>
        <w:autoSpaceDE/>
        <w:autoSpaceDN/>
        <w:bidi w:val="0"/>
        <w:spacing w:beforeLines="50" w:afterLines="50" w:line="360" w:lineRule="auto"/>
        <w:jc w:val="both"/>
        <w:outlineLvl w:val="9"/>
        <w:rPr>
          <w:rFonts w:ascii="宋体" w:hAnsi="宋体" w:eastAsia="宋体" w:cs="宋体"/>
          <w:color w:val="auto"/>
          <w:spacing w:val="0"/>
          <w:w w:val="100"/>
          <w:kern w:val="2"/>
          <w:sz w:val="30"/>
          <w:szCs w:val="30"/>
          <w:highlight w:val="none"/>
          <w:lang w:val="en-US" w:bidi="ar-SA"/>
        </w:rPr>
      </w:pPr>
    </w:p>
    <w:p w14:paraId="72904AD1">
      <w:pPr>
        <w:pageBreakBefore w:val="0"/>
        <w:overflowPunct/>
        <w:topLinePunct w:val="0"/>
        <w:bidi w:val="0"/>
        <w:spacing w:line="360" w:lineRule="auto"/>
        <w:outlineLvl w:val="9"/>
        <w:rPr>
          <w:rFonts w:hint="eastAsia" w:ascii="宋体" w:hAnsi="宋体" w:eastAsia="宋体" w:cs="宋体"/>
          <w:b/>
          <w:color w:val="auto"/>
          <w:spacing w:val="0"/>
          <w:w w:val="100"/>
          <w:sz w:val="30"/>
          <w:szCs w:val="30"/>
          <w:highlight w:val="none"/>
        </w:rPr>
        <w:sectPr>
          <w:pgSz w:w="16838" w:h="11906" w:orient="landscape"/>
          <w:pgMar w:top="1417" w:right="1418" w:bottom="1417" w:left="1418" w:header="851" w:footer="992" w:gutter="0"/>
          <w:pgNumType w:fmt="decimal"/>
          <w:cols w:space="720" w:num="1"/>
          <w:titlePg/>
          <w:docGrid w:type="linesAndChars" w:linePitch="312" w:charSpace="0"/>
        </w:sectPr>
      </w:pPr>
    </w:p>
    <w:p w14:paraId="3B177B41">
      <w:pPr>
        <w:pageBreakBefore w:val="0"/>
        <w:wordWrap/>
        <w:overflowPunct/>
        <w:topLinePunct w:val="0"/>
        <w:autoSpaceDE/>
        <w:autoSpaceDN/>
        <w:bidi w:val="0"/>
        <w:spacing w:beforeLines="50" w:afterLines="50" w:line="360" w:lineRule="auto"/>
        <w:jc w:val="both"/>
        <w:outlineLvl w:val="9"/>
        <w:rPr>
          <w:rFonts w:ascii="宋体" w:hAnsi="宋体" w:eastAsia="宋体" w:cs="宋体"/>
          <w:color w:val="auto"/>
          <w:spacing w:val="0"/>
          <w:w w:val="100"/>
          <w:kern w:val="2"/>
          <w:sz w:val="21"/>
          <w:szCs w:val="21"/>
          <w:highlight w:val="none"/>
          <w:lang w:val="en-US" w:bidi="ar-SA"/>
        </w:rPr>
      </w:pPr>
      <w:bookmarkStart w:id="580" w:name="_Toc23808"/>
      <w:r>
        <w:rPr>
          <w:rFonts w:hint="eastAsia" w:ascii="宋体" w:hAnsi="宋体" w:eastAsia="宋体" w:cs="宋体"/>
          <w:color w:val="auto"/>
          <w:spacing w:val="0"/>
          <w:w w:val="100"/>
          <w:kern w:val="2"/>
          <w:sz w:val="21"/>
          <w:szCs w:val="21"/>
          <w:highlight w:val="none"/>
          <w:lang w:val="en-US" w:bidi="ar-SA"/>
        </w:rPr>
        <w:t>附件2：</w:t>
      </w:r>
      <w:bookmarkEnd w:id="580"/>
    </w:p>
    <w:p w14:paraId="0AD3831A">
      <w:pPr>
        <w:pageBreakBefore w:val="0"/>
        <w:wordWrap/>
        <w:overflowPunct/>
        <w:topLinePunct w:val="0"/>
        <w:autoSpaceDE/>
        <w:autoSpaceDN/>
        <w:bidi w:val="0"/>
        <w:spacing w:beforeLines="50" w:afterLines="50"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发包人供应材料设备一览表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597A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6BFA29D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序号</w:t>
            </w:r>
          </w:p>
        </w:tc>
        <w:tc>
          <w:tcPr>
            <w:tcW w:w="1276" w:type="dxa"/>
            <w:tcBorders>
              <w:top w:val="single" w:color="auto" w:sz="12" w:space="0"/>
              <w:bottom w:val="double" w:color="auto" w:sz="6" w:space="0"/>
            </w:tcBorders>
            <w:noWrap w:val="0"/>
            <w:vAlign w:val="center"/>
          </w:tcPr>
          <w:p w14:paraId="14E3ACF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 xml:space="preserve">  材料、</w:t>
            </w:r>
          </w:p>
          <w:p w14:paraId="461D479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设备品种</w:t>
            </w:r>
          </w:p>
        </w:tc>
        <w:tc>
          <w:tcPr>
            <w:tcW w:w="1418" w:type="dxa"/>
            <w:tcBorders>
              <w:top w:val="single" w:color="auto" w:sz="12" w:space="0"/>
              <w:bottom w:val="double" w:color="auto" w:sz="6" w:space="0"/>
            </w:tcBorders>
            <w:noWrap w:val="0"/>
            <w:vAlign w:val="center"/>
          </w:tcPr>
          <w:p w14:paraId="07BFA6B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规格型号</w:t>
            </w:r>
          </w:p>
        </w:tc>
        <w:tc>
          <w:tcPr>
            <w:tcW w:w="940" w:type="dxa"/>
            <w:tcBorders>
              <w:top w:val="single" w:color="auto" w:sz="12" w:space="0"/>
              <w:bottom w:val="double" w:color="auto" w:sz="6" w:space="0"/>
            </w:tcBorders>
            <w:noWrap w:val="0"/>
            <w:vAlign w:val="center"/>
          </w:tcPr>
          <w:p w14:paraId="293AB93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单位</w:t>
            </w:r>
          </w:p>
        </w:tc>
        <w:tc>
          <w:tcPr>
            <w:tcW w:w="851" w:type="dxa"/>
            <w:tcBorders>
              <w:top w:val="single" w:color="auto" w:sz="12" w:space="0"/>
              <w:bottom w:val="double" w:color="auto" w:sz="6" w:space="0"/>
            </w:tcBorders>
            <w:noWrap w:val="0"/>
            <w:vAlign w:val="center"/>
          </w:tcPr>
          <w:p w14:paraId="1A285BB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数量</w:t>
            </w:r>
          </w:p>
        </w:tc>
        <w:tc>
          <w:tcPr>
            <w:tcW w:w="1044" w:type="dxa"/>
            <w:tcBorders>
              <w:top w:val="single" w:color="auto" w:sz="12" w:space="0"/>
              <w:bottom w:val="double" w:color="auto" w:sz="6" w:space="0"/>
            </w:tcBorders>
            <w:noWrap w:val="0"/>
            <w:vAlign w:val="center"/>
          </w:tcPr>
          <w:p w14:paraId="755A433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单价（元）</w:t>
            </w:r>
          </w:p>
        </w:tc>
        <w:tc>
          <w:tcPr>
            <w:tcW w:w="992" w:type="dxa"/>
            <w:tcBorders>
              <w:top w:val="single" w:color="auto" w:sz="12" w:space="0"/>
              <w:bottom w:val="double" w:color="auto" w:sz="6" w:space="0"/>
            </w:tcBorders>
            <w:noWrap w:val="0"/>
            <w:vAlign w:val="center"/>
          </w:tcPr>
          <w:p w14:paraId="7EA8C3C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p>
          <w:p w14:paraId="49B4F98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等级</w:t>
            </w:r>
          </w:p>
        </w:tc>
        <w:tc>
          <w:tcPr>
            <w:tcW w:w="851" w:type="dxa"/>
            <w:tcBorders>
              <w:top w:val="single" w:color="auto" w:sz="12" w:space="0"/>
              <w:bottom w:val="double" w:color="auto" w:sz="6" w:space="0"/>
            </w:tcBorders>
            <w:noWrap w:val="0"/>
            <w:vAlign w:val="center"/>
          </w:tcPr>
          <w:p w14:paraId="030874C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供应</w:t>
            </w:r>
          </w:p>
          <w:p w14:paraId="0553193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时间</w:t>
            </w:r>
          </w:p>
        </w:tc>
        <w:tc>
          <w:tcPr>
            <w:tcW w:w="1487" w:type="dxa"/>
            <w:tcBorders>
              <w:top w:val="single" w:color="auto" w:sz="12" w:space="0"/>
              <w:bottom w:val="double" w:color="auto" w:sz="6" w:space="0"/>
            </w:tcBorders>
            <w:noWrap w:val="0"/>
            <w:vAlign w:val="center"/>
          </w:tcPr>
          <w:p w14:paraId="668375D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送达地点</w:t>
            </w:r>
          </w:p>
        </w:tc>
        <w:tc>
          <w:tcPr>
            <w:tcW w:w="992" w:type="dxa"/>
            <w:tcBorders>
              <w:top w:val="single" w:color="auto" w:sz="12" w:space="0"/>
              <w:bottom w:val="double" w:color="auto" w:sz="6" w:space="0"/>
            </w:tcBorders>
            <w:noWrap w:val="0"/>
            <w:vAlign w:val="center"/>
          </w:tcPr>
          <w:p w14:paraId="4CE6F7F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备注</w:t>
            </w:r>
          </w:p>
        </w:tc>
      </w:tr>
      <w:tr w14:paraId="2D5EF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174FCDE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tcBorders>
              <w:top w:val="double" w:color="auto" w:sz="6" w:space="0"/>
              <w:bottom w:val="single" w:color="auto" w:sz="6" w:space="0"/>
            </w:tcBorders>
            <w:noWrap w:val="0"/>
            <w:vAlign w:val="center"/>
          </w:tcPr>
          <w:p w14:paraId="40596DA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tcBorders>
              <w:top w:val="double" w:color="auto" w:sz="6" w:space="0"/>
              <w:bottom w:val="single" w:color="auto" w:sz="6" w:space="0"/>
            </w:tcBorders>
            <w:noWrap w:val="0"/>
            <w:vAlign w:val="center"/>
          </w:tcPr>
          <w:p w14:paraId="07D4537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tcBorders>
              <w:top w:val="double" w:color="auto" w:sz="6" w:space="0"/>
              <w:bottom w:val="single" w:color="auto" w:sz="6" w:space="0"/>
            </w:tcBorders>
            <w:noWrap w:val="0"/>
            <w:vAlign w:val="center"/>
          </w:tcPr>
          <w:p w14:paraId="32C4D43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tcBorders>
              <w:top w:val="double" w:color="auto" w:sz="6" w:space="0"/>
              <w:bottom w:val="single" w:color="auto" w:sz="6" w:space="0"/>
            </w:tcBorders>
            <w:noWrap w:val="0"/>
            <w:vAlign w:val="center"/>
          </w:tcPr>
          <w:p w14:paraId="1C6933A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tcBorders>
              <w:top w:val="double" w:color="auto" w:sz="6" w:space="0"/>
              <w:bottom w:val="single" w:color="auto" w:sz="6" w:space="0"/>
            </w:tcBorders>
            <w:noWrap w:val="0"/>
            <w:vAlign w:val="center"/>
          </w:tcPr>
          <w:p w14:paraId="1C237E4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tcBorders>
              <w:top w:val="double" w:color="auto" w:sz="6" w:space="0"/>
              <w:bottom w:val="single" w:color="auto" w:sz="6" w:space="0"/>
            </w:tcBorders>
            <w:noWrap w:val="0"/>
            <w:vAlign w:val="center"/>
          </w:tcPr>
          <w:p w14:paraId="6AE958C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tcBorders>
              <w:top w:val="double" w:color="auto" w:sz="6" w:space="0"/>
              <w:bottom w:val="single" w:color="auto" w:sz="6" w:space="0"/>
            </w:tcBorders>
            <w:noWrap w:val="0"/>
            <w:vAlign w:val="center"/>
          </w:tcPr>
          <w:p w14:paraId="5929F90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tcBorders>
              <w:top w:val="double" w:color="auto" w:sz="6" w:space="0"/>
              <w:bottom w:val="single" w:color="auto" w:sz="6" w:space="0"/>
            </w:tcBorders>
            <w:noWrap w:val="0"/>
            <w:vAlign w:val="center"/>
          </w:tcPr>
          <w:p w14:paraId="1B28F55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tcBorders>
              <w:top w:val="double" w:color="auto" w:sz="6" w:space="0"/>
              <w:bottom w:val="single" w:color="auto" w:sz="6" w:space="0"/>
            </w:tcBorders>
            <w:noWrap w:val="0"/>
            <w:vAlign w:val="center"/>
          </w:tcPr>
          <w:p w14:paraId="329C750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65019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E5CD3C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tcBorders>
              <w:top w:val="nil"/>
            </w:tcBorders>
            <w:noWrap w:val="0"/>
            <w:vAlign w:val="center"/>
          </w:tcPr>
          <w:p w14:paraId="78BD260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tcBorders>
              <w:top w:val="nil"/>
            </w:tcBorders>
            <w:noWrap w:val="0"/>
            <w:vAlign w:val="center"/>
          </w:tcPr>
          <w:p w14:paraId="13A2854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tcBorders>
              <w:top w:val="nil"/>
            </w:tcBorders>
            <w:noWrap w:val="0"/>
            <w:vAlign w:val="center"/>
          </w:tcPr>
          <w:p w14:paraId="7E78A20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tcBorders>
              <w:top w:val="nil"/>
            </w:tcBorders>
            <w:noWrap w:val="0"/>
            <w:vAlign w:val="center"/>
          </w:tcPr>
          <w:p w14:paraId="25DA5D6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tcBorders>
              <w:top w:val="nil"/>
            </w:tcBorders>
            <w:noWrap w:val="0"/>
            <w:vAlign w:val="center"/>
          </w:tcPr>
          <w:p w14:paraId="34EDC80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tcBorders>
              <w:top w:val="nil"/>
            </w:tcBorders>
            <w:noWrap w:val="0"/>
            <w:vAlign w:val="center"/>
          </w:tcPr>
          <w:p w14:paraId="6AF74BA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tcBorders>
              <w:top w:val="nil"/>
            </w:tcBorders>
            <w:noWrap w:val="0"/>
            <w:vAlign w:val="center"/>
          </w:tcPr>
          <w:p w14:paraId="7F0549D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tcBorders>
              <w:top w:val="nil"/>
            </w:tcBorders>
            <w:noWrap w:val="0"/>
            <w:vAlign w:val="center"/>
          </w:tcPr>
          <w:p w14:paraId="042079C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tcBorders>
              <w:top w:val="nil"/>
            </w:tcBorders>
            <w:noWrap w:val="0"/>
            <w:vAlign w:val="center"/>
          </w:tcPr>
          <w:p w14:paraId="53EED87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188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ED4291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3DC0492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1C388A9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5596FAC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3EF5432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4261F5D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015249E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58EFF53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719F3A2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3E6A7EF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737B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9E6862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110FF96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0A11B2B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2768E0E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497E1EE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3816030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6B32419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7D5CB48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70FEC38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744D2C1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C894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0F33C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06EBC8A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C2848A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11F15C4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5BFAEE2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4993822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492A421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6203AB1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6DBFB7B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7D579F8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578D3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E32AD7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3916065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4E4F18B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730E4A6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EC9450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3F7D1EC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0172106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7771DE3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289512E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657E707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5BBE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D22DC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5A9707A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5B37A9E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088DDC7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4B14660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4B4FC56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5724955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6AFE060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198E067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677D125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2038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EC066E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40CE3EC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03E54B7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2CE36E5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30E2B1F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327A24F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21574A6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3AA9C1C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3AB37D8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5674EA6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386F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A3621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1F76CB9E">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3482D9D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0473565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3DDFB75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6976905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5E40BBE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10396B0D">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159ABF5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430C507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13903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55D154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3021F4E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1AE979B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76A65FD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3BDBF7B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2A6E08E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6B05287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C1E5DB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78DB7B9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3F65CD2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6FCB5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681555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4AFEE72E">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44B37D7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6B1C35A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538553B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0ABE18D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2B62CF7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4A5D898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25992CA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1E5F471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3EE13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F0422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605F955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5C864E1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3E16F38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0BE082A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707BC3A5">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360870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3E05085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25C80C8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2433CCB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27B88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08C113D">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193819A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30EF41A5">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44E4644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3D8EA565">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6BD03480">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79874F0">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684EF93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2CABBDC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7E36090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6B6B4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8DA350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6843E15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68F573C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6CE6615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595C12D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343912B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7B4ECB4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32F580E8">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3802463E">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245344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4D35B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A1B08E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19434B0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72188AC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36DC060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681077B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556DC2D8">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03C49F2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75386DF8">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6CEE819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9C4E0A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50727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9AAF8B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547455F5">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4ED3104D">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545EF18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35EF876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67C2220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CA39588">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04872C8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3303D4E5">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4EA01E9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bl>
    <w:p w14:paraId="05CF74DC">
      <w:pPr>
        <w:pageBreakBefore w:val="0"/>
        <w:overflowPunct/>
        <w:topLinePunct w:val="0"/>
        <w:bidi w:val="0"/>
        <w:spacing w:line="360" w:lineRule="auto"/>
        <w:outlineLvl w:val="9"/>
        <w:rPr>
          <w:rFonts w:hint="eastAsia" w:ascii="宋体" w:hAnsi="宋体" w:eastAsia="宋体" w:cs="宋体"/>
          <w:color w:val="auto"/>
          <w:spacing w:val="0"/>
          <w:w w:val="100"/>
          <w:sz w:val="30"/>
          <w:szCs w:val="30"/>
          <w:highlight w:val="none"/>
        </w:rPr>
        <w:sectPr>
          <w:pgSz w:w="11906" w:h="16838"/>
          <w:pgMar w:top="1418" w:right="1134" w:bottom="1418" w:left="1134" w:header="851" w:footer="992" w:gutter="0"/>
          <w:pgNumType w:fmt="decimal"/>
          <w:cols w:space="720" w:num="1"/>
          <w:docGrid w:type="lines" w:linePitch="312" w:charSpace="0"/>
        </w:sectPr>
      </w:pPr>
      <w:bookmarkStart w:id="581" w:name="_Toc22040"/>
    </w:p>
    <w:p w14:paraId="7AAAD505">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附件3：</w:t>
      </w:r>
      <w:bookmarkEnd w:id="581"/>
      <w:r>
        <w:rPr>
          <w:rFonts w:hint="eastAsia" w:ascii="宋体" w:hAnsi="宋体" w:eastAsia="宋体" w:cs="宋体"/>
          <w:color w:val="auto"/>
          <w:spacing w:val="0"/>
          <w:w w:val="100"/>
          <w:kern w:val="2"/>
          <w:sz w:val="21"/>
          <w:szCs w:val="21"/>
          <w:highlight w:val="none"/>
          <w:lang w:val="en-US" w:bidi="ar-SA"/>
        </w:rPr>
        <w:t xml:space="preserve">    </w:t>
      </w:r>
    </w:p>
    <w:p w14:paraId="46B0A423">
      <w:pPr>
        <w:pageBreakBefore w:val="0"/>
        <w:wordWrap/>
        <w:overflowPunct/>
        <w:topLinePunct w:val="0"/>
        <w:autoSpaceDE/>
        <w:autoSpaceDN/>
        <w:bidi w:val="0"/>
        <w:spacing w:beforeLines="50" w:afterLines="50"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工程质量保修书</w:t>
      </w:r>
    </w:p>
    <w:p w14:paraId="09724A17">
      <w:pPr>
        <w:pageBreakBefore w:val="0"/>
        <w:wordWrap/>
        <w:overflowPunct/>
        <w:topLinePunct w:val="0"/>
        <w:autoSpaceDE/>
        <w:autoSpaceDN/>
        <w:bidi w:val="0"/>
        <w:spacing w:line="360" w:lineRule="auto"/>
        <w:ind w:firstLine="630" w:firstLineChars="3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发包人（全称）：</w:t>
      </w:r>
      <w:r>
        <w:rPr>
          <w:rFonts w:hint="eastAsia" w:ascii="宋体" w:hAnsi="宋体" w:eastAsia="宋体" w:cs="宋体"/>
          <w:color w:val="auto"/>
          <w:spacing w:val="0"/>
          <w:w w:val="100"/>
          <w:kern w:val="2"/>
          <w:sz w:val="21"/>
          <w:szCs w:val="21"/>
          <w:highlight w:val="none"/>
          <w:u w:val="single"/>
          <w:lang w:val="en-US" w:bidi="ar-SA"/>
        </w:rPr>
        <w:t>河南理工大学</w:t>
      </w:r>
    </w:p>
    <w:p w14:paraId="6F9AD1DC">
      <w:pPr>
        <w:pageBreakBefore w:val="0"/>
        <w:wordWrap/>
        <w:overflowPunct/>
        <w:topLinePunct w:val="0"/>
        <w:autoSpaceDE/>
        <w:autoSpaceDN/>
        <w:bidi w:val="0"/>
        <w:spacing w:line="360" w:lineRule="auto"/>
        <w:ind w:firstLine="630" w:firstLineChars="300"/>
        <w:jc w:val="both"/>
        <w:outlineLvl w:val="9"/>
        <w:rPr>
          <w:rFonts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承包人（全称）：</w:t>
      </w:r>
      <w:r>
        <w:rPr>
          <w:rFonts w:hint="eastAsia" w:ascii="宋体" w:hAnsi="宋体" w:eastAsia="宋体" w:cs="宋体"/>
          <w:color w:val="auto"/>
          <w:spacing w:val="0"/>
          <w:w w:val="100"/>
          <w:kern w:val="2"/>
          <w:sz w:val="21"/>
          <w:szCs w:val="21"/>
          <w:highlight w:val="none"/>
          <w:u w:val="single"/>
          <w:lang w:val="en-US" w:bidi="ar-SA"/>
        </w:rPr>
        <w:t>河南隆鼎建筑工程有限公司</w:t>
      </w:r>
    </w:p>
    <w:p w14:paraId="4E493808">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发包人和承包人根据《中华人民共和国建筑法》和《建设工程质量管理条例》，经协商一致就</w:t>
      </w:r>
      <w:r>
        <w:rPr>
          <w:rFonts w:hint="eastAsia" w:ascii="宋体" w:hAnsi="宋体" w:eastAsia="宋体" w:cs="宋体"/>
          <w:color w:val="auto"/>
          <w:spacing w:val="0"/>
          <w:w w:val="100"/>
          <w:kern w:val="2"/>
          <w:sz w:val="21"/>
          <w:szCs w:val="21"/>
          <w:highlight w:val="none"/>
          <w:u w:val="single"/>
          <w:lang w:val="en-US" w:bidi="ar-SA"/>
        </w:rPr>
        <w:t xml:space="preserve">河南理工大学南校区室外管网提升工程 </w:t>
      </w:r>
      <w:r>
        <w:rPr>
          <w:rFonts w:hint="eastAsia" w:ascii="宋体" w:hAnsi="宋体" w:eastAsia="宋体" w:cs="宋体"/>
          <w:color w:val="auto"/>
          <w:spacing w:val="0"/>
          <w:w w:val="100"/>
          <w:kern w:val="2"/>
          <w:sz w:val="21"/>
          <w:szCs w:val="21"/>
          <w:highlight w:val="none"/>
          <w:lang w:val="en-US" w:bidi="ar-SA"/>
        </w:rPr>
        <w:t>（工程全称）签订工程质量保修书。</w:t>
      </w:r>
    </w:p>
    <w:p w14:paraId="76CDA598">
      <w:pPr>
        <w:pageBreakBefore w:val="0"/>
        <w:wordWrap/>
        <w:overflowPunct/>
        <w:topLinePunct w:val="0"/>
        <w:autoSpaceDE/>
        <w:autoSpaceDN/>
        <w:bidi w:val="0"/>
        <w:spacing w:line="360" w:lineRule="auto"/>
        <w:jc w:val="both"/>
        <w:outlineLvl w:val="9"/>
        <w:rPr>
          <w:rFonts w:ascii="宋体" w:hAnsi="宋体" w:eastAsia="宋体" w:cs="宋体"/>
          <w:b/>
          <w:bCs/>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w:t>
      </w:r>
      <w:bookmarkStart w:id="582" w:name="_Toc17774"/>
      <w:bookmarkStart w:id="583" w:name="_Toc29653"/>
      <w:bookmarkStart w:id="584" w:name="_Toc22911743"/>
      <w:bookmarkStart w:id="585" w:name="_Toc4859"/>
      <w:r>
        <w:rPr>
          <w:rFonts w:hint="eastAsia" w:ascii="宋体" w:hAnsi="宋体" w:eastAsia="宋体" w:cs="宋体"/>
          <w:b/>
          <w:bCs/>
          <w:color w:val="auto"/>
          <w:spacing w:val="0"/>
          <w:w w:val="100"/>
          <w:kern w:val="2"/>
          <w:sz w:val="21"/>
          <w:szCs w:val="21"/>
          <w:highlight w:val="none"/>
          <w:lang w:val="en-US" w:bidi="ar-SA"/>
        </w:rPr>
        <w:t>一、工程质量保修范围和内容</w:t>
      </w:r>
      <w:bookmarkEnd w:id="582"/>
      <w:bookmarkEnd w:id="583"/>
      <w:bookmarkEnd w:id="584"/>
      <w:bookmarkEnd w:id="585"/>
    </w:p>
    <w:p w14:paraId="50A00897">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承包人在质量保修期内，按照有关法律规定和合同约定，承担工程质量保修责任。</w:t>
      </w:r>
    </w:p>
    <w:p w14:paraId="37838C08">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质量保修范围包括地基基础工程、供热与供冷系统，电气管线、给排水管道、设备安装，以及双方约定的其他项目。具体保修的内容，双方约定如下：</w:t>
      </w:r>
    </w:p>
    <w:p w14:paraId="59A37F67">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　</w:t>
      </w:r>
      <w:r>
        <w:rPr>
          <w:rFonts w:hint="eastAsia" w:ascii="宋体" w:hAnsi="宋体" w:eastAsia="宋体" w:cs="宋体"/>
          <w:color w:val="auto"/>
          <w:spacing w:val="0"/>
          <w:w w:val="100"/>
          <w:kern w:val="2"/>
          <w:sz w:val="21"/>
          <w:szCs w:val="21"/>
          <w:highlight w:val="none"/>
          <w:u w:val="single"/>
          <w:lang w:val="en-US" w:bidi="ar-SA"/>
        </w:rPr>
        <w:t>（1）承包人在质量保修期内，按照有关法律、法规、规章的管理规定和双方约定，承担本工程质量保修责任</w:t>
      </w:r>
      <w:r>
        <w:rPr>
          <w:rFonts w:hint="eastAsia" w:ascii="宋体" w:hAnsi="宋体" w:eastAsia="宋体" w:cs="宋体"/>
          <w:color w:val="auto"/>
          <w:spacing w:val="0"/>
          <w:w w:val="100"/>
          <w:kern w:val="2"/>
          <w:sz w:val="21"/>
          <w:szCs w:val="21"/>
          <w:highlight w:val="none"/>
          <w:lang w:val="en-US" w:bidi="ar-SA"/>
        </w:rPr>
        <w:t>。</w:t>
      </w:r>
    </w:p>
    <w:p w14:paraId="1764EBD2">
      <w:pPr>
        <w:pageBreakBefore w:val="0"/>
        <w:wordWrap/>
        <w:overflowPunct/>
        <w:topLinePunct w:val="0"/>
        <w:autoSpaceDE/>
        <w:autoSpaceDN/>
        <w:bidi w:val="0"/>
        <w:spacing w:line="360" w:lineRule="auto"/>
        <w:ind w:firstLine="210" w:firstLineChars="1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bidi="ar-SA"/>
        </w:rPr>
        <w:t>（2）质量保修范围包括本工程所包含的全部内容，以及双方约定的其他项目</w:t>
      </w:r>
      <w:r>
        <w:rPr>
          <w:rFonts w:hint="eastAsia" w:ascii="宋体" w:hAnsi="宋体" w:eastAsia="宋体" w:cs="宋体"/>
          <w:color w:val="auto"/>
          <w:spacing w:val="0"/>
          <w:w w:val="100"/>
          <w:kern w:val="2"/>
          <w:sz w:val="21"/>
          <w:szCs w:val="21"/>
          <w:highlight w:val="none"/>
          <w:lang w:val="en-US" w:bidi="ar-SA"/>
        </w:rPr>
        <w:t>。</w:t>
      </w:r>
    </w:p>
    <w:p w14:paraId="1A3A8FB8">
      <w:pPr>
        <w:pageBreakBefore w:val="0"/>
        <w:wordWrap/>
        <w:overflowPunct/>
        <w:topLinePunct w:val="0"/>
        <w:autoSpaceDE/>
        <w:autoSpaceDN/>
        <w:bidi w:val="0"/>
        <w:spacing w:line="360" w:lineRule="auto"/>
        <w:jc w:val="both"/>
        <w:outlineLvl w:val="9"/>
        <w:rPr>
          <w:rFonts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w:t>
      </w:r>
      <w:bookmarkStart w:id="586" w:name="_Toc27864"/>
      <w:bookmarkStart w:id="587" w:name="_Toc28736"/>
      <w:bookmarkStart w:id="588" w:name="_Toc22911744"/>
      <w:r>
        <w:rPr>
          <w:rFonts w:hint="eastAsia" w:ascii="宋体" w:hAnsi="宋体" w:eastAsia="宋体" w:cs="宋体"/>
          <w:b/>
          <w:bCs/>
          <w:color w:val="auto"/>
          <w:spacing w:val="0"/>
          <w:w w:val="100"/>
          <w:kern w:val="2"/>
          <w:sz w:val="21"/>
          <w:szCs w:val="21"/>
          <w:highlight w:val="none"/>
          <w:lang w:val="en-US" w:bidi="ar-SA"/>
        </w:rPr>
        <w:t>二、质量保修期</w:t>
      </w:r>
      <w:bookmarkEnd w:id="586"/>
      <w:bookmarkEnd w:id="587"/>
      <w:bookmarkEnd w:id="588"/>
    </w:p>
    <w:p w14:paraId="3C71D4E7">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根据《建设工程质量管理条例》及有关规定，工程的质量保修期如下：</w:t>
      </w:r>
    </w:p>
    <w:p w14:paraId="35FAD949">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1．地基基础工程和主体结构工程为设计文件规定的工程合理使用年限；</w:t>
      </w:r>
    </w:p>
    <w:p w14:paraId="57C42999">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2．屋面防水工程、有防水要求的卫生间、房间和外墙面的防渗为</w:t>
      </w:r>
      <w:r>
        <w:rPr>
          <w:rFonts w:hint="eastAsia" w:ascii="宋体" w:hAnsi="宋体" w:eastAsia="宋体" w:cs="宋体"/>
          <w:b/>
          <w:color w:val="auto"/>
          <w:spacing w:val="0"/>
          <w:w w:val="100"/>
          <w:kern w:val="2"/>
          <w:sz w:val="21"/>
          <w:szCs w:val="21"/>
          <w:highlight w:val="none"/>
          <w:u w:val="single"/>
          <w:lang w:val="en-US" w:bidi="ar-SA"/>
        </w:rPr>
        <w:t>伍</w:t>
      </w:r>
      <w:r>
        <w:rPr>
          <w:rFonts w:hint="eastAsia" w:ascii="宋体" w:hAnsi="宋体" w:eastAsia="宋体" w:cs="宋体"/>
          <w:color w:val="auto"/>
          <w:spacing w:val="0"/>
          <w:w w:val="100"/>
          <w:kern w:val="2"/>
          <w:sz w:val="21"/>
          <w:szCs w:val="21"/>
          <w:highlight w:val="none"/>
          <w:lang w:val="en-US" w:bidi="ar-SA"/>
        </w:rPr>
        <w:t>年；</w:t>
      </w:r>
    </w:p>
    <w:p w14:paraId="0BBE820F">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3．装饰装修工程为</w:t>
      </w:r>
      <w:r>
        <w:rPr>
          <w:rFonts w:hint="eastAsia" w:ascii="宋体" w:hAnsi="宋体" w:eastAsia="宋体" w:cs="宋体"/>
          <w:b/>
          <w:color w:val="auto"/>
          <w:spacing w:val="0"/>
          <w:w w:val="100"/>
          <w:kern w:val="2"/>
          <w:sz w:val="21"/>
          <w:szCs w:val="21"/>
          <w:highlight w:val="none"/>
          <w:u w:val="single"/>
          <w:lang w:val="en-US" w:bidi="ar-SA"/>
        </w:rPr>
        <w:t>贰</w:t>
      </w:r>
      <w:r>
        <w:rPr>
          <w:rFonts w:hint="eastAsia" w:ascii="宋体" w:hAnsi="宋体" w:eastAsia="宋体" w:cs="宋体"/>
          <w:color w:val="auto"/>
          <w:spacing w:val="0"/>
          <w:w w:val="100"/>
          <w:kern w:val="2"/>
          <w:sz w:val="21"/>
          <w:szCs w:val="21"/>
          <w:highlight w:val="none"/>
          <w:lang w:val="en-US" w:bidi="ar-SA"/>
        </w:rPr>
        <w:t>年；</w:t>
      </w:r>
    </w:p>
    <w:p w14:paraId="169D99D7">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1"/>
          <w:highlight w:val="none"/>
          <w:lang w:val="en-US" w:bidi="ar-SA"/>
        </w:rPr>
        <w:t>4．电气管线、给排</w:t>
      </w:r>
      <w:r>
        <w:rPr>
          <w:rFonts w:hint="eastAsia" w:ascii="宋体" w:hAnsi="宋体" w:eastAsia="宋体" w:cs="宋体"/>
          <w:color w:val="auto"/>
          <w:spacing w:val="0"/>
          <w:w w:val="100"/>
          <w:kern w:val="2"/>
          <w:sz w:val="21"/>
          <w:szCs w:val="24"/>
          <w:highlight w:val="none"/>
          <w:lang w:val="en-US" w:bidi="ar-SA"/>
        </w:rPr>
        <w:t>水管道、设备安装工程为</w:t>
      </w:r>
      <w:r>
        <w:rPr>
          <w:rFonts w:hint="eastAsia" w:ascii="宋体" w:hAnsi="宋体" w:eastAsia="宋体" w:cs="宋体"/>
          <w:b/>
          <w:color w:val="auto"/>
          <w:spacing w:val="0"/>
          <w:w w:val="100"/>
          <w:kern w:val="2"/>
          <w:sz w:val="21"/>
          <w:szCs w:val="24"/>
          <w:highlight w:val="none"/>
          <w:u w:val="single"/>
          <w:lang w:val="en-US" w:bidi="ar-SA"/>
        </w:rPr>
        <w:t>贰</w:t>
      </w:r>
      <w:r>
        <w:rPr>
          <w:rFonts w:hint="eastAsia" w:ascii="宋体" w:hAnsi="宋体" w:eastAsia="宋体" w:cs="宋体"/>
          <w:color w:val="auto"/>
          <w:spacing w:val="0"/>
          <w:w w:val="100"/>
          <w:kern w:val="2"/>
          <w:sz w:val="21"/>
          <w:szCs w:val="24"/>
          <w:highlight w:val="none"/>
          <w:lang w:val="en-US" w:bidi="ar-SA"/>
        </w:rPr>
        <w:t>年；</w:t>
      </w:r>
    </w:p>
    <w:p w14:paraId="6ACFFB99">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5．供热与供冷系统为</w:t>
      </w:r>
      <w:r>
        <w:rPr>
          <w:rFonts w:hint="eastAsia" w:ascii="宋体" w:hAnsi="宋体" w:eastAsia="宋体" w:cs="宋体"/>
          <w:b/>
          <w:color w:val="auto"/>
          <w:spacing w:val="0"/>
          <w:w w:val="100"/>
          <w:kern w:val="2"/>
          <w:sz w:val="21"/>
          <w:szCs w:val="24"/>
          <w:highlight w:val="none"/>
          <w:u w:val="single"/>
          <w:lang w:val="en-US" w:bidi="ar-SA"/>
        </w:rPr>
        <w:t>贰</w:t>
      </w:r>
      <w:r>
        <w:rPr>
          <w:rFonts w:hint="eastAsia" w:ascii="宋体" w:hAnsi="宋体" w:eastAsia="宋体" w:cs="宋体"/>
          <w:color w:val="auto"/>
          <w:spacing w:val="0"/>
          <w:w w:val="100"/>
          <w:kern w:val="2"/>
          <w:sz w:val="21"/>
          <w:szCs w:val="24"/>
          <w:highlight w:val="none"/>
          <w:lang w:val="en-US" w:bidi="ar-SA"/>
        </w:rPr>
        <w:t>个采暖期、供冷期；</w:t>
      </w:r>
    </w:p>
    <w:p w14:paraId="45D5DA2A">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6．住宅小区内的给排水设施、道路等配套工程为</w:t>
      </w:r>
      <w:r>
        <w:rPr>
          <w:rFonts w:hint="eastAsia" w:ascii="宋体" w:hAnsi="宋体" w:eastAsia="宋体" w:cs="宋体"/>
          <w:b/>
          <w:color w:val="auto"/>
          <w:spacing w:val="0"/>
          <w:w w:val="100"/>
          <w:kern w:val="2"/>
          <w:sz w:val="21"/>
          <w:szCs w:val="24"/>
          <w:highlight w:val="none"/>
          <w:u w:val="single"/>
          <w:lang w:val="en-US" w:bidi="ar-SA"/>
        </w:rPr>
        <w:t>贰</w:t>
      </w:r>
      <w:r>
        <w:rPr>
          <w:rFonts w:hint="eastAsia" w:ascii="宋体" w:hAnsi="宋体" w:eastAsia="宋体" w:cs="宋体"/>
          <w:color w:val="auto"/>
          <w:spacing w:val="0"/>
          <w:w w:val="100"/>
          <w:kern w:val="2"/>
          <w:sz w:val="21"/>
          <w:szCs w:val="24"/>
          <w:highlight w:val="none"/>
          <w:lang w:val="en-US" w:bidi="ar-SA"/>
        </w:rPr>
        <w:t>年；</w:t>
      </w:r>
    </w:p>
    <w:p w14:paraId="04E30D20">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7．其他项目保修期限约定如下：</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524A9FC">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质量保修期自工程竣工验收合格之日起计算(具体质保日期以</w:t>
      </w:r>
      <w:r>
        <w:rPr>
          <w:rFonts w:hint="eastAsia" w:ascii="宋体" w:hAnsi="宋体" w:eastAsia="宋体" w:cs="宋体"/>
          <w:color w:val="auto"/>
          <w:spacing w:val="0"/>
          <w:w w:val="100"/>
          <w:kern w:val="2"/>
          <w:sz w:val="21"/>
          <w:szCs w:val="24"/>
          <w:highlight w:val="none"/>
          <w:lang w:val="en-US" w:eastAsia="zh-CN" w:bidi="ar-SA"/>
        </w:rPr>
        <w:t>供应商</w:t>
      </w:r>
      <w:r>
        <w:rPr>
          <w:rFonts w:hint="eastAsia" w:ascii="宋体" w:hAnsi="宋体" w:eastAsia="宋体" w:cs="宋体"/>
          <w:color w:val="auto"/>
          <w:spacing w:val="0"/>
          <w:w w:val="100"/>
          <w:kern w:val="2"/>
          <w:sz w:val="21"/>
          <w:szCs w:val="24"/>
          <w:highlight w:val="none"/>
          <w:lang w:val="en-US" w:bidi="ar-SA"/>
        </w:rPr>
        <w:t>承诺为准)。</w:t>
      </w:r>
    </w:p>
    <w:p w14:paraId="11A8E1D4">
      <w:pPr>
        <w:pageBreakBefore w:val="0"/>
        <w:wordWrap/>
        <w:overflowPunct/>
        <w:topLinePunct w:val="0"/>
        <w:autoSpaceDE/>
        <w:autoSpaceDN/>
        <w:bidi w:val="0"/>
        <w:spacing w:line="360" w:lineRule="auto"/>
        <w:ind w:firstLine="422" w:firstLineChars="200"/>
        <w:jc w:val="both"/>
        <w:outlineLvl w:val="9"/>
        <w:rPr>
          <w:rFonts w:ascii="宋体" w:hAnsi="宋体" w:eastAsia="宋体" w:cs="宋体"/>
          <w:b/>
          <w:bCs/>
          <w:color w:val="auto"/>
          <w:spacing w:val="0"/>
          <w:w w:val="100"/>
          <w:kern w:val="2"/>
          <w:sz w:val="21"/>
          <w:szCs w:val="24"/>
          <w:highlight w:val="none"/>
          <w:lang w:val="en-US" w:bidi="ar-SA"/>
        </w:rPr>
      </w:pPr>
      <w:bookmarkStart w:id="589" w:name="_Toc14945"/>
      <w:bookmarkStart w:id="590" w:name="_Toc26631"/>
      <w:bookmarkStart w:id="591" w:name="_Toc22911745"/>
      <w:bookmarkStart w:id="592" w:name="_Toc1710"/>
      <w:r>
        <w:rPr>
          <w:rFonts w:hint="eastAsia" w:ascii="宋体" w:hAnsi="宋体" w:eastAsia="宋体" w:cs="宋体"/>
          <w:b/>
          <w:bCs/>
          <w:color w:val="auto"/>
          <w:spacing w:val="0"/>
          <w:w w:val="100"/>
          <w:kern w:val="2"/>
          <w:sz w:val="21"/>
          <w:szCs w:val="24"/>
          <w:highlight w:val="none"/>
          <w:lang w:val="en-US" w:bidi="ar-SA"/>
        </w:rPr>
        <w:t>三、缺陷责任期</w:t>
      </w:r>
      <w:bookmarkEnd w:id="589"/>
      <w:bookmarkEnd w:id="590"/>
      <w:bookmarkEnd w:id="591"/>
      <w:bookmarkEnd w:id="592"/>
    </w:p>
    <w:p w14:paraId="0B57BBDF">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工程缺陷责任期为</w:t>
      </w:r>
      <w:r>
        <w:rPr>
          <w:rFonts w:hint="eastAsia" w:ascii="宋体" w:hAnsi="宋体" w:eastAsia="宋体" w:cs="宋体"/>
          <w:color w:val="auto"/>
          <w:spacing w:val="0"/>
          <w:w w:val="100"/>
          <w:kern w:val="2"/>
          <w:sz w:val="21"/>
          <w:szCs w:val="24"/>
          <w:highlight w:val="none"/>
          <w:u w:val="single"/>
          <w:lang w:val="en-US" w:bidi="ar-SA"/>
        </w:rPr>
        <w:t>24</w:t>
      </w:r>
      <w:r>
        <w:rPr>
          <w:rFonts w:hint="eastAsia" w:ascii="宋体" w:hAnsi="宋体" w:eastAsia="宋体" w:cs="宋体"/>
          <w:color w:val="auto"/>
          <w:spacing w:val="0"/>
          <w:w w:val="100"/>
          <w:kern w:val="2"/>
          <w:sz w:val="21"/>
          <w:szCs w:val="24"/>
          <w:highlight w:val="none"/>
          <w:lang w:val="en-US" w:bidi="ar-SA"/>
        </w:rPr>
        <w:t>个月，缺陷责任期自工程通过竣工验收之日起计算。单位工程先于全部工程进行验收，单位工程缺陷责任期自单位工程验收合格之日起算。</w:t>
      </w:r>
    </w:p>
    <w:p w14:paraId="13D87B36">
      <w:pPr>
        <w:pageBreakBefore w:val="0"/>
        <w:wordWrap/>
        <w:overflowPunct/>
        <w:topLinePunct w:val="0"/>
        <w:autoSpaceDE/>
        <w:autoSpaceDN/>
        <w:bidi w:val="0"/>
        <w:spacing w:line="360" w:lineRule="auto"/>
        <w:ind w:firstLine="420" w:firstLineChars="200"/>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缺陷责任期终止后，发包人应退还剩余的质量保证金。</w:t>
      </w:r>
    </w:p>
    <w:p w14:paraId="22ABFC22">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   </w:t>
      </w:r>
      <w:r>
        <w:rPr>
          <w:rFonts w:hint="eastAsia" w:ascii="宋体" w:hAnsi="宋体" w:eastAsia="宋体" w:cs="宋体"/>
          <w:b/>
          <w:bCs/>
          <w:color w:val="auto"/>
          <w:spacing w:val="0"/>
          <w:w w:val="100"/>
          <w:kern w:val="2"/>
          <w:sz w:val="21"/>
          <w:szCs w:val="24"/>
          <w:highlight w:val="none"/>
          <w:lang w:val="en-US" w:bidi="ar-SA"/>
        </w:rPr>
        <w:t xml:space="preserve"> </w:t>
      </w:r>
      <w:bookmarkStart w:id="593" w:name="_Toc22911746"/>
      <w:bookmarkStart w:id="594" w:name="_Toc12236"/>
      <w:bookmarkStart w:id="595" w:name="_Toc7391"/>
      <w:bookmarkStart w:id="596" w:name="_Toc7848"/>
      <w:r>
        <w:rPr>
          <w:rFonts w:hint="eastAsia" w:ascii="宋体" w:hAnsi="宋体" w:eastAsia="宋体" w:cs="宋体"/>
          <w:b/>
          <w:bCs/>
          <w:color w:val="auto"/>
          <w:spacing w:val="0"/>
          <w:w w:val="100"/>
          <w:kern w:val="2"/>
          <w:sz w:val="21"/>
          <w:szCs w:val="24"/>
          <w:highlight w:val="none"/>
          <w:lang w:val="en-US" w:bidi="ar-SA"/>
        </w:rPr>
        <w:t>四、质量保修责任</w:t>
      </w:r>
      <w:bookmarkEnd w:id="593"/>
      <w:bookmarkEnd w:id="594"/>
      <w:bookmarkEnd w:id="595"/>
      <w:bookmarkEnd w:id="596"/>
    </w:p>
    <w:p w14:paraId="16789378">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color w:val="auto"/>
          <w:spacing w:val="0"/>
          <w:w w:val="100"/>
          <w:kern w:val="2"/>
          <w:sz w:val="21"/>
          <w:szCs w:val="24"/>
          <w:highlight w:val="none"/>
          <w:lang w:val="en-US" w:bidi="ar-SA"/>
        </w:rPr>
        <w:t>1．属于保修范围、内容的项目，承包人应当在接到保修通知之日起7天内派人保修。</w:t>
      </w:r>
    </w:p>
    <w:p w14:paraId="05EDC15A">
      <w:pPr>
        <w:pageBreakBefore w:val="0"/>
        <w:widowControl w:val="0"/>
        <w:wordWrap/>
        <w:overflowPunct/>
        <w:topLinePunct w:val="0"/>
        <w:autoSpaceDE w:val="0"/>
        <w:autoSpaceDN w:val="0"/>
        <w:bidi w:val="0"/>
        <w:spacing w:line="360" w:lineRule="auto"/>
        <w:ind w:left="420" w:leftChars="200" w:firstLine="420" w:firstLineChars="200"/>
        <w:jc w:val="both"/>
        <w:outlineLvl w:val="9"/>
        <w:rPr>
          <w:rFonts w:hint="eastAsia" w:ascii="宋体" w:hAnsi="宋体" w:eastAsia="宋体" w:cs="宋体"/>
          <w:color w:val="auto"/>
          <w:spacing w:val="0"/>
          <w:w w:val="100"/>
          <w:kern w:val="2"/>
          <w:sz w:val="21"/>
          <w:szCs w:val="20"/>
          <w:highlight w:val="none"/>
          <w:lang w:val="en-US" w:eastAsia="zh-CN" w:bidi="ar-SA"/>
        </w:rPr>
      </w:pPr>
      <w:bookmarkStart w:id="621" w:name="_GoBack"/>
      <w:r>
        <w:drawing>
          <wp:inline distT="0" distB="0" distL="114300" distR="114300">
            <wp:extent cx="5723890" cy="7994015"/>
            <wp:effectExtent l="0" t="0" r="1016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723890" cy="7994015"/>
                    </a:xfrm>
                    <a:prstGeom prst="rect">
                      <a:avLst/>
                    </a:prstGeom>
                    <a:noFill/>
                    <a:ln>
                      <a:noFill/>
                    </a:ln>
                  </pic:spPr>
                </pic:pic>
              </a:graphicData>
            </a:graphic>
          </wp:inline>
        </w:drawing>
      </w:r>
      <w:bookmarkEnd w:id="621"/>
    </w:p>
    <w:p w14:paraId="237A817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bookmarkStart w:id="597" w:name="_Toc30047"/>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附件4：</w:t>
      </w:r>
      <w:bookmarkEnd w:id="597"/>
    </w:p>
    <w:p w14:paraId="19ED7548">
      <w:pPr>
        <w:pageBreakBefore w:val="0"/>
        <w:wordWrap/>
        <w:overflowPunct/>
        <w:topLinePunct w:val="0"/>
        <w:autoSpaceDE/>
        <w:autoSpaceDN/>
        <w:bidi w:val="0"/>
        <w:spacing w:beforeLines="50" w:afterLines="50"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主要建设工程文件目录</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553A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297D2D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文件名称</w:t>
            </w:r>
          </w:p>
        </w:tc>
        <w:tc>
          <w:tcPr>
            <w:tcW w:w="1276" w:type="dxa"/>
            <w:tcBorders>
              <w:top w:val="single" w:color="auto" w:sz="12" w:space="0"/>
              <w:bottom w:val="double" w:color="auto" w:sz="6" w:space="0"/>
            </w:tcBorders>
            <w:noWrap w:val="0"/>
            <w:vAlign w:val="center"/>
          </w:tcPr>
          <w:p w14:paraId="16ADAD4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套数</w:t>
            </w:r>
          </w:p>
        </w:tc>
        <w:tc>
          <w:tcPr>
            <w:tcW w:w="1450" w:type="dxa"/>
            <w:tcBorders>
              <w:top w:val="single" w:color="auto" w:sz="12" w:space="0"/>
              <w:bottom w:val="double" w:color="auto" w:sz="6" w:space="0"/>
            </w:tcBorders>
            <w:noWrap w:val="0"/>
            <w:vAlign w:val="center"/>
          </w:tcPr>
          <w:p w14:paraId="385167E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费用（元）</w:t>
            </w:r>
          </w:p>
        </w:tc>
        <w:tc>
          <w:tcPr>
            <w:tcW w:w="1243" w:type="dxa"/>
            <w:tcBorders>
              <w:top w:val="single" w:color="auto" w:sz="12" w:space="0"/>
              <w:bottom w:val="double" w:color="auto" w:sz="6" w:space="0"/>
            </w:tcBorders>
            <w:noWrap w:val="0"/>
            <w:vAlign w:val="center"/>
          </w:tcPr>
          <w:p w14:paraId="0A8B088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p>
        </w:tc>
        <w:tc>
          <w:tcPr>
            <w:tcW w:w="1450" w:type="dxa"/>
            <w:tcBorders>
              <w:top w:val="single" w:color="auto" w:sz="12" w:space="0"/>
              <w:bottom w:val="double" w:color="auto" w:sz="6" w:space="0"/>
            </w:tcBorders>
            <w:noWrap w:val="0"/>
            <w:vAlign w:val="top"/>
          </w:tcPr>
          <w:p w14:paraId="1A5BB9C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移交时间</w:t>
            </w:r>
          </w:p>
        </w:tc>
        <w:tc>
          <w:tcPr>
            <w:tcW w:w="1667" w:type="dxa"/>
            <w:tcBorders>
              <w:top w:val="single" w:color="auto" w:sz="12" w:space="0"/>
              <w:bottom w:val="double" w:color="auto" w:sz="6" w:space="0"/>
            </w:tcBorders>
            <w:noWrap w:val="0"/>
            <w:vAlign w:val="top"/>
          </w:tcPr>
          <w:p w14:paraId="51D92C3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责任人</w:t>
            </w:r>
          </w:p>
        </w:tc>
      </w:tr>
      <w:tr w14:paraId="65727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780B72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tcBorders>
              <w:top w:val="double" w:color="auto" w:sz="6" w:space="0"/>
              <w:bottom w:val="single" w:color="auto" w:sz="6" w:space="0"/>
            </w:tcBorders>
            <w:noWrap w:val="0"/>
            <w:vAlign w:val="center"/>
          </w:tcPr>
          <w:p w14:paraId="659EEB2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50" w:type="dxa"/>
            <w:tcBorders>
              <w:top w:val="double" w:color="auto" w:sz="6" w:space="0"/>
              <w:bottom w:val="single" w:color="auto" w:sz="6" w:space="0"/>
            </w:tcBorders>
            <w:noWrap w:val="0"/>
            <w:vAlign w:val="center"/>
          </w:tcPr>
          <w:p w14:paraId="72529F7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43" w:type="dxa"/>
            <w:tcBorders>
              <w:top w:val="double" w:color="auto" w:sz="6" w:space="0"/>
              <w:bottom w:val="single" w:color="auto" w:sz="6" w:space="0"/>
            </w:tcBorders>
            <w:noWrap w:val="0"/>
            <w:vAlign w:val="center"/>
          </w:tcPr>
          <w:p w14:paraId="378DC5A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50" w:type="dxa"/>
            <w:tcBorders>
              <w:top w:val="double" w:color="auto" w:sz="6" w:space="0"/>
              <w:bottom w:val="single" w:color="auto" w:sz="6" w:space="0"/>
            </w:tcBorders>
            <w:noWrap w:val="0"/>
            <w:vAlign w:val="center"/>
          </w:tcPr>
          <w:p w14:paraId="3C019D4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67" w:type="dxa"/>
            <w:tcBorders>
              <w:top w:val="double" w:color="auto" w:sz="6" w:space="0"/>
              <w:bottom w:val="single" w:color="auto" w:sz="6" w:space="0"/>
            </w:tcBorders>
            <w:noWrap w:val="0"/>
            <w:vAlign w:val="center"/>
          </w:tcPr>
          <w:p w14:paraId="2C2F71C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622B3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E16BC7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tcBorders>
              <w:top w:val="nil"/>
            </w:tcBorders>
            <w:noWrap w:val="0"/>
            <w:vAlign w:val="center"/>
          </w:tcPr>
          <w:p w14:paraId="543C629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50" w:type="dxa"/>
            <w:tcBorders>
              <w:top w:val="nil"/>
            </w:tcBorders>
            <w:noWrap w:val="0"/>
            <w:vAlign w:val="center"/>
          </w:tcPr>
          <w:p w14:paraId="6E929D0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43" w:type="dxa"/>
            <w:tcBorders>
              <w:top w:val="nil"/>
            </w:tcBorders>
            <w:noWrap w:val="0"/>
            <w:vAlign w:val="center"/>
          </w:tcPr>
          <w:p w14:paraId="26BCAC3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50" w:type="dxa"/>
            <w:tcBorders>
              <w:top w:val="nil"/>
            </w:tcBorders>
            <w:noWrap w:val="0"/>
            <w:vAlign w:val="center"/>
          </w:tcPr>
          <w:p w14:paraId="6D67895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67" w:type="dxa"/>
            <w:tcBorders>
              <w:top w:val="nil"/>
            </w:tcBorders>
            <w:noWrap w:val="0"/>
            <w:vAlign w:val="center"/>
          </w:tcPr>
          <w:p w14:paraId="2695E7A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EBE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25CF2D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5BB36C7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50" w:type="dxa"/>
            <w:noWrap w:val="0"/>
            <w:vAlign w:val="center"/>
          </w:tcPr>
          <w:p w14:paraId="62D776E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243" w:type="dxa"/>
            <w:noWrap w:val="0"/>
            <w:vAlign w:val="center"/>
          </w:tcPr>
          <w:p w14:paraId="0D55D93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50" w:type="dxa"/>
            <w:noWrap w:val="0"/>
            <w:vAlign w:val="center"/>
          </w:tcPr>
          <w:p w14:paraId="6DA01AF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667" w:type="dxa"/>
            <w:noWrap w:val="0"/>
            <w:vAlign w:val="center"/>
          </w:tcPr>
          <w:p w14:paraId="34A8409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5ACA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4AE18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38DD12C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4C66CA8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7CEB48A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1669543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06FE84D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r>
      <w:tr w14:paraId="46D42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53D36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43F7B67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1A26313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089FA39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625A7FB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3E16639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r>
      <w:tr w14:paraId="1AE0F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EE486D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6598C20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6C5C000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096B89E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5A7536A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000FB9A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r>
      <w:tr w14:paraId="7E8C9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3AB63B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6A72A97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6B49F72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58D5356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056C11C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4167D6E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r>
      <w:tr w14:paraId="35E53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AA46C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0C42EF9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5A875AE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65DAB63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75AC2A7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4FB9A8F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30"/>
                <w:szCs w:val="30"/>
                <w:highlight w:val="none"/>
                <w:lang w:val="en-US" w:bidi="ar-SA"/>
              </w:rPr>
            </w:pPr>
          </w:p>
        </w:tc>
      </w:tr>
      <w:tr w14:paraId="0E75B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CDC1CB1">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0807398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2A32F336">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2C41BA07">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7405F25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2A794817">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r w14:paraId="30C63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F4082B2">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5580D28D">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8408A85">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54B55B8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43732D8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4404271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r w14:paraId="7BE73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98C2AB5">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1A291D0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508391C7">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60F2CE8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50A5AF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2CE5F83A">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r w14:paraId="3CCD7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117EAB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32405756">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2F432A2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0D9DA249">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6CC4F950">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56D9EB5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r w14:paraId="125D8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A4FC69">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239609F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573DF086">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05E3CF49">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02AB515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73F2184D">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r w14:paraId="0D8C9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A319F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51963E3C">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26FC5B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706451B6">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41F951D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328A9659">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r w14:paraId="574DC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F2B971">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4D9AB818">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CA733B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1D41F57F">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259752FD">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088C33E0">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tc>
      </w:tr>
    </w:tbl>
    <w:p w14:paraId="77494F8B">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30"/>
          <w:szCs w:val="30"/>
          <w:highlight w:val="none"/>
          <w:lang w:val="en-US" w:bidi="ar-SA"/>
        </w:rPr>
      </w:pPr>
    </w:p>
    <w:p w14:paraId="6E30DDA9">
      <w:pPr>
        <w:pageBreakBefore w:val="0"/>
        <w:wordWrap/>
        <w:overflowPunct/>
        <w:topLinePunct w:val="0"/>
        <w:autoSpaceDE/>
        <w:autoSpaceDN/>
        <w:bidi w:val="0"/>
        <w:spacing w:line="360" w:lineRule="auto"/>
        <w:jc w:val="both"/>
        <w:outlineLvl w:val="9"/>
        <w:rPr>
          <w:rFonts w:hint="eastAsia"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30"/>
          <w:szCs w:val="30"/>
          <w:highlight w:val="none"/>
          <w:lang w:val="en-US" w:bidi="ar-SA"/>
        </w:rPr>
        <w:br w:type="page"/>
      </w:r>
      <w:bookmarkStart w:id="598" w:name="_Toc12894"/>
      <w:r>
        <w:rPr>
          <w:rFonts w:hint="eastAsia" w:ascii="宋体" w:hAnsi="宋体" w:eastAsia="宋体" w:cs="宋体"/>
          <w:color w:val="auto"/>
          <w:spacing w:val="0"/>
          <w:w w:val="100"/>
          <w:kern w:val="2"/>
          <w:sz w:val="21"/>
          <w:szCs w:val="21"/>
          <w:highlight w:val="none"/>
          <w:lang w:val="en-US" w:bidi="ar-SA"/>
        </w:rPr>
        <w:t>附</w:t>
      </w:r>
      <w:bookmarkStart w:id="599" w:name="_Toc296347226"/>
      <w:bookmarkStart w:id="600" w:name="_Toc296944566"/>
      <w:bookmarkStart w:id="601" w:name="_Toc296891055"/>
      <w:bookmarkStart w:id="602" w:name="_Toc296891267"/>
      <w:bookmarkStart w:id="603" w:name="_Toc267261698"/>
      <w:bookmarkStart w:id="604" w:name="_Toc296346728"/>
      <w:bookmarkStart w:id="605" w:name="_Toc296503227"/>
      <w:r>
        <w:rPr>
          <w:rFonts w:hint="eastAsia" w:ascii="宋体" w:hAnsi="宋体" w:eastAsia="宋体" w:cs="宋体"/>
          <w:color w:val="auto"/>
          <w:spacing w:val="0"/>
          <w:w w:val="100"/>
          <w:kern w:val="2"/>
          <w:sz w:val="21"/>
          <w:szCs w:val="21"/>
          <w:highlight w:val="none"/>
          <w:lang w:val="en-US" w:bidi="ar-SA"/>
        </w:rPr>
        <w:t>件5：</w:t>
      </w:r>
      <w:bookmarkEnd w:id="598"/>
      <w:bookmarkEnd w:id="599"/>
      <w:bookmarkEnd w:id="600"/>
      <w:bookmarkEnd w:id="601"/>
      <w:bookmarkEnd w:id="602"/>
      <w:bookmarkEnd w:id="603"/>
      <w:bookmarkEnd w:id="604"/>
      <w:bookmarkEnd w:id="605"/>
      <w:r>
        <w:rPr>
          <w:rFonts w:hint="eastAsia" w:cs="宋体"/>
          <w:color w:val="auto"/>
          <w:spacing w:val="0"/>
          <w:w w:val="100"/>
          <w:kern w:val="2"/>
          <w:sz w:val="21"/>
          <w:szCs w:val="21"/>
          <w:highlight w:val="none"/>
          <w:lang w:val="en-US" w:eastAsia="zh-CN" w:bidi="ar-SA"/>
        </w:rPr>
        <w:t xml:space="preserve">        </w:t>
      </w:r>
    </w:p>
    <w:p w14:paraId="722D9212">
      <w:pPr>
        <w:pageBreakBefore w:val="0"/>
        <w:wordWrap/>
        <w:overflowPunct/>
        <w:topLinePunct w:val="0"/>
        <w:autoSpaceDE/>
        <w:autoSpaceDN/>
        <w:bidi w:val="0"/>
        <w:spacing w:line="360" w:lineRule="auto"/>
        <w:ind w:firstLine="1890" w:firstLineChars="900"/>
        <w:jc w:val="both"/>
        <w:outlineLvl w:val="9"/>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承包人用于本工程施工的机械设备表</w:t>
      </w:r>
      <w:r>
        <w:rPr>
          <w:rFonts w:hint="eastAsia" w:cs="宋体"/>
          <w:color w:val="auto"/>
          <w:spacing w:val="0"/>
          <w:w w:val="100"/>
          <w:kern w:val="2"/>
          <w:sz w:val="21"/>
          <w:szCs w:val="21"/>
          <w:highlight w:val="none"/>
          <w:lang w:val="en-US" w:eastAsia="zh-CN" w:bidi="ar-SA"/>
        </w:rPr>
        <w:t xml:space="preserve">  </w:t>
      </w:r>
    </w:p>
    <w:tbl>
      <w:tblPr>
        <w:tblStyle w:val="12"/>
        <w:tblW w:w="101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9"/>
        <w:gridCol w:w="1714"/>
        <w:gridCol w:w="1183"/>
        <w:gridCol w:w="792"/>
        <w:gridCol w:w="911"/>
        <w:gridCol w:w="1055"/>
        <w:gridCol w:w="1532"/>
        <w:gridCol w:w="1055"/>
        <w:gridCol w:w="954"/>
      </w:tblGrid>
      <w:tr w14:paraId="20977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959" w:type="dxa"/>
            <w:tcBorders>
              <w:top w:val="single" w:color="auto" w:sz="12" w:space="0"/>
              <w:bottom w:val="double" w:color="auto" w:sz="6" w:space="0"/>
            </w:tcBorders>
            <w:noWrap w:val="0"/>
            <w:vAlign w:val="center"/>
          </w:tcPr>
          <w:p w14:paraId="5684D9D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序号</w:t>
            </w:r>
          </w:p>
        </w:tc>
        <w:tc>
          <w:tcPr>
            <w:tcW w:w="1714" w:type="dxa"/>
            <w:tcBorders>
              <w:top w:val="single" w:color="auto" w:sz="12" w:space="0"/>
              <w:bottom w:val="double" w:color="auto" w:sz="6" w:space="0"/>
            </w:tcBorders>
            <w:noWrap w:val="0"/>
            <w:vAlign w:val="center"/>
          </w:tcPr>
          <w:p w14:paraId="310388E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机械或设备名称</w:t>
            </w:r>
          </w:p>
        </w:tc>
        <w:tc>
          <w:tcPr>
            <w:tcW w:w="1183" w:type="dxa"/>
            <w:tcBorders>
              <w:top w:val="single" w:color="auto" w:sz="12" w:space="0"/>
              <w:bottom w:val="double" w:color="auto" w:sz="6" w:space="0"/>
            </w:tcBorders>
            <w:noWrap w:val="0"/>
            <w:vAlign w:val="center"/>
          </w:tcPr>
          <w:p w14:paraId="5CD3CFE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规格型号</w:t>
            </w:r>
          </w:p>
        </w:tc>
        <w:tc>
          <w:tcPr>
            <w:tcW w:w="792" w:type="dxa"/>
            <w:tcBorders>
              <w:top w:val="single" w:color="auto" w:sz="12" w:space="0"/>
              <w:bottom w:val="double" w:color="auto" w:sz="6" w:space="0"/>
            </w:tcBorders>
            <w:noWrap w:val="0"/>
            <w:vAlign w:val="center"/>
          </w:tcPr>
          <w:p w14:paraId="1351E28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数量</w:t>
            </w:r>
          </w:p>
        </w:tc>
        <w:tc>
          <w:tcPr>
            <w:tcW w:w="911" w:type="dxa"/>
            <w:tcBorders>
              <w:top w:val="single" w:color="auto" w:sz="12" w:space="0"/>
              <w:bottom w:val="double" w:color="auto" w:sz="6" w:space="0"/>
            </w:tcBorders>
            <w:noWrap w:val="0"/>
            <w:vAlign w:val="center"/>
          </w:tcPr>
          <w:p w14:paraId="351EA68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产地</w:t>
            </w:r>
          </w:p>
        </w:tc>
        <w:tc>
          <w:tcPr>
            <w:tcW w:w="1055" w:type="dxa"/>
            <w:tcBorders>
              <w:top w:val="single" w:color="auto" w:sz="12" w:space="0"/>
              <w:bottom w:val="double" w:color="auto" w:sz="6" w:space="0"/>
            </w:tcBorders>
            <w:noWrap w:val="0"/>
            <w:vAlign w:val="center"/>
          </w:tcPr>
          <w:p w14:paraId="6E0D5C1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制造年份</w:t>
            </w:r>
          </w:p>
        </w:tc>
        <w:tc>
          <w:tcPr>
            <w:tcW w:w="1532" w:type="dxa"/>
            <w:tcBorders>
              <w:top w:val="single" w:color="auto" w:sz="12" w:space="0"/>
              <w:bottom w:val="double" w:color="auto" w:sz="6" w:space="0"/>
            </w:tcBorders>
            <w:noWrap w:val="0"/>
            <w:vAlign w:val="center"/>
          </w:tcPr>
          <w:p w14:paraId="71A6017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额定功率(kW)</w:t>
            </w:r>
          </w:p>
        </w:tc>
        <w:tc>
          <w:tcPr>
            <w:tcW w:w="1055" w:type="dxa"/>
            <w:tcBorders>
              <w:top w:val="single" w:color="auto" w:sz="12" w:space="0"/>
              <w:bottom w:val="double" w:color="auto" w:sz="6" w:space="0"/>
            </w:tcBorders>
            <w:noWrap w:val="0"/>
            <w:vAlign w:val="center"/>
          </w:tcPr>
          <w:p w14:paraId="7058A18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生产能力</w:t>
            </w:r>
          </w:p>
        </w:tc>
        <w:tc>
          <w:tcPr>
            <w:tcW w:w="954" w:type="dxa"/>
            <w:tcBorders>
              <w:top w:val="single" w:color="auto" w:sz="12" w:space="0"/>
              <w:bottom w:val="double" w:color="auto" w:sz="6" w:space="0"/>
            </w:tcBorders>
            <w:noWrap w:val="0"/>
            <w:vAlign w:val="center"/>
          </w:tcPr>
          <w:p w14:paraId="610EBAE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备注</w:t>
            </w:r>
          </w:p>
        </w:tc>
      </w:tr>
      <w:tr w14:paraId="4B72F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959" w:type="dxa"/>
            <w:tcBorders>
              <w:top w:val="double" w:color="auto" w:sz="6" w:space="0"/>
              <w:bottom w:val="single" w:color="auto" w:sz="6" w:space="0"/>
            </w:tcBorders>
            <w:noWrap w:val="0"/>
            <w:vAlign w:val="center"/>
          </w:tcPr>
          <w:p w14:paraId="0018414C">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w:t>
            </w:r>
          </w:p>
        </w:tc>
        <w:tc>
          <w:tcPr>
            <w:tcW w:w="1714" w:type="dxa"/>
            <w:tcBorders>
              <w:top w:val="double" w:color="auto" w:sz="6" w:space="0"/>
              <w:bottom w:val="single" w:color="auto" w:sz="6" w:space="0"/>
            </w:tcBorders>
            <w:noWrap w:val="0"/>
            <w:vAlign w:val="center"/>
          </w:tcPr>
          <w:p w14:paraId="2088A849">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反铲挖掘机</w:t>
            </w:r>
          </w:p>
        </w:tc>
        <w:tc>
          <w:tcPr>
            <w:tcW w:w="1183" w:type="dxa"/>
            <w:tcBorders>
              <w:top w:val="double" w:color="auto" w:sz="6" w:space="0"/>
              <w:bottom w:val="single" w:color="auto" w:sz="6" w:space="0"/>
            </w:tcBorders>
            <w:noWrap w:val="0"/>
            <w:vAlign w:val="center"/>
          </w:tcPr>
          <w:p w14:paraId="0FD7169E">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1m³</w:t>
            </w:r>
          </w:p>
        </w:tc>
        <w:tc>
          <w:tcPr>
            <w:tcW w:w="792" w:type="dxa"/>
            <w:tcBorders>
              <w:top w:val="double" w:color="auto" w:sz="6" w:space="0"/>
              <w:bottom w:val="single" w:color="auto" w:sz="6" w:space="0"/>
            </w:tcBorders>
            <w:noWrap w:val="0"/>
            <w:vAlign w:val="center"/>
          </w:tcPr>
          <w:p w14:paraId="49F385E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6</w:t>
            </w:r>
          </w:p>
        </w:tc>
        <w:tc>
          <w:tcPr>
            <w:tcW w:w="911" w:type="dxa"/>
            <w:tcBorders>
              <w:top w:val="double" w:color="auto" w:sz="6" w:space="0"/>
              <w:bottom w:val="single" w:color="auto" w:sz="6" w:space="0"/>
            </w:tcBorders>
            <w:noWrap w:val="0"/>
            <w:vAlign w:val="center"/>
          </w:tcPr>
          <w:p w14:paraId="1DA41A8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山东</w:t>
            </w:r>
          </w:p>
        </w:tc>
        <w:tc>
          <w:tcPr>
            <w:tcW w:w="1055" w:type="dxa"/>
            <w:tcBorders>
              <w:top w:val="double" w:color="auto" w:sz="6" w:space="0"/>
              <w:bottom w:val="single" w:color="auto" w:sz="6" w:space="0"/>
            </w:tcBorders>
            <w:noWrap w:val="0"/>
            <w:vAlign w:val="center"/>
          </w:tcPr>
          <w:p w14:paraId="2801427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2021</w:t>
            </w:r>
          </w:p>
        </w:tc>
        <w:tc>
          <w:tcPr>
            <w:tcW w:w="1532" w:type="dxa"/>
            <w:tcBorders>
              <w:top w:val="double" w:color="auto" w:sz="6" w:space="0"/>
              <w:bottom w:val="single" w:color="auto" w:sz="6" w:space="0"/>
            </w:tcBorders>
            <w:noWrap w:val="0"/>
            <w:vAlign w:val="center"/>
          </w:tcPr>
          <w:p w14:paraId="49DF76C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40.5</w:t>
            </w:r>
          </w:p>
        </w:tc>
        <w:tc>
          <w:tcPr>
            <w:tcW w:w="1055" w:type="dxa"/>
            <w:tcBorders>
              <w:top w:val="double" w:color="auto" w:sz="6" w:space="0"/>
              <w:bottom w:val="single" w:color="auto" w:sz="6" w:space="0"/>
            </w:tcBorders>
            <w:noWrap w:val="0"/>
            <w:vAlign w:val="center"/>
          </w:tcPr>
          <w:p w14:paraId="61A7A973">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完好</w:t>
            </w:r>
          </w:p>
        </w:tc>
        <w:tc>
          <w:tcPr>
            <w:tcW w:w="954" w:type="dxa"/>
            <w:tcBorders>
              <w:top w:val="double" w:color="auto" w:sz="6" w:space="0"/>
              <w:bottom w:val="single" w:color="auto" w:sz="6" w:space="0"/>
            </w:tcBorders>
            <w:noWrap w:val="0"/>
            <w:vAlign w:val="center"/>
          </w:tcPr>
          <w:p w14:paraId="148A8890">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0549A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tcBorders>
              <w:top w:val="nil"/>
            </w:tcBorders>
            <w:noWrap w:val="0"/>
            <w:vAlign w:val="center"/>
          </w:tcPr>
          <w:p w14:paraId="52C49261">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2</w:t>
            </w:r>
          </w:p>
        </w:tc>
        <w:tc>
          <w:tcPr>
            <w:tcW w:w="1714" w:type="dxa"/>
            <w:tcBorders>
              <w:top w:val="nil"/>
            </w:tcBorders>
            <w:noWrap w:val="0"/>
            <w:vAlign w:val="center"/>
          </w:tcPr>
          <w:p w14:paraId="429805E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挖掘机</w:t>
            </w:r>
          </w:p>
        </w:tc>
        <w:tc>
          <w:tcPr>
            <w:tcW w:w="1183" w:type="dxa"/>
            <w:tcBorders>
              <w:top w:val="nil"/>
            </w:tcBorders>
            <w:noWrap w:val="0"/>
            <w:vAlign w:val="center"/>
          </w:tcPr>
          <w:p w14:paraId="0674908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0.3m³</w:t>
            </w:r>
          </w:p>
        </w:tc>
        <w:tc>
          <w:tcPr>
            <w:tcW w:w="792" w:type="dxa"/>
            <w:tcBorders>
              <w:top w:val="nil"/>
            </w:tcBorders>
            <w:noWrap w:val="0"/>
            <w:vAlign w:val="center"/>
          </w:tcPr>
          <w:p w14:paraId="2D1D3683">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10</w:t>
            </w:r>
          </w:p>
        </w:tc>
        <w:tc>
          <w:tcPr>
            <w:tcW w:w="911" w:type="dxa"/>
            <w:tcBorders>
              <w:top w:val="nil"/>
            </w:tcBorders>
            <w:noWrap w:val="0"/>
            <w:vAlign w:val="center"/>
          </w:tcPr>
          <w:p w14:paraId="694360C5">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天津</w:t>
            </w:r>
          </w:p>
        </w:tc>
        <w:tc>
          <w:tcPr>
            <w:tcW w:w="1055" w:type="dxa"/>
            <w:tcBorders>
              <w:top w:val="nil"/>
            </w:tcBorders>
            <w:noWrap w:val="0"/>
            <w:vAlign w:val="center"/>
          </w:tcPr>
          <w:p w14:paraId="0BF582A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tcBorders>
              <w:top w:val="nil"/>
            </w:tcBorders>
            <w:noWrap w:val="0"/>
            <w:vAlign w:val="center"/>
          </w:tcPr>
          <w:p w14:paraId="6026928F">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228</w:t>
            </w:r>
          </w:p>
        </w:tc>
        <w:tc>
          <w:tcPr>
            <w:tcW w:w="1055" w:type="dxa"/>
            <w:tcBorders>
              <w:top w:val="nil"/>
            </w:tcBorders>
            <w:noWrap w:val="0"/>
            <w:vAlign w:val="center"/>
          </w:tcPr>
          <w:p w14:paraId="4D8619F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cs="宋体"/>
                <w:color w:val="auto"/>
                <w:spacing w:val="0"/>
                <w:w w:val="100"/>
                <w:kern w:val="0"/>
                <w:sz w:val="21"/>
                <w:szCs w:val="21"/>
                <w:highlight w:val="none"/>
                <w:lang w:val="en-US" w:eastAsia="zh-CN" w:bidi="ar-SA"/>
              </w:rPr>
              <w:t>完好</w:t>
            </w:r>
          </w:p>
        </w:tc>
        <w:tc>
          <w:tcPr>
            <w:tcW w:w="954" w:type="dxa"/>
            <w:tcBorders>
              <w:top w:val="nil"/>
            </w:tcBorders>
            <w:noWrap w:val="0"/>
            <w:vAlign w:val="center"/>
          </w:tcPr>
          <w:p w14:paraId="6704357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w:t>
            </w:r>
          </w:p>
        </w:tc>
      </w:tr>
      <w:tr w14:paraId="21B54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center"/>
          </w:tcPr>
          <w:p w14:paraId="638CA50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3</w:t>
            </w:r>
          </w:p>
        </w:tc>
        <w:tc>
          <w:tcPr>
            <w:tcW w:w="1714" w:type="dxa"/>
            <w:noWrap w:val="0"/>
            <w:vAlign w:val="center"/>
          </w:tcPr>
          <w:p w14:paraId="4E31BCA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铲车</w:t>
            </w:r>
          </w:p>
        </w:tc>
        <w:tc>
          <w:tcPr>
            <w:tcW w:w="1183" w:type="dxa"/>
            <w:noWrap w:val="0"/>
            <w:vAlign w:val="center"/>
          </w:tcPr>
          <w:p w14:paraId="4EC841C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ML50</w:t>
            </w:r>
          </w:p>
        </w:tc>
        <w:tc>
          <w:tcPr>
            <w:tcW w:w="792" w:type="dxa"/>
            <w:noWrap w:val="0"/>
            <w:vAlign w:val="center"/>
          </w:tcPr>
          <w:p w14:paraId="1428FD6C">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6</w:t>
            </w:r>
          </w:p>
        </w:tc>
        <w:tc>
          <w:tcPr>
            <w:tcW w:w="911" w:type="dxa"/>
            <w:noWrap w:val="0"/>
            <w:vAlign w:val="center"/>
          </w:tcPr>
          <w:p w14:paraId="2490DBA9">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浙江</w:t>
            </w:r>
          </w:p>
        </w:tc>
        <w:tc>
          <w:tcPr>
            <w:tcW w:w="1055" w:type="dxa"/>
            <w:noWrap w:val="0"/>
            <w:vAlign w:val="center"/>
          </w:tcPr>
          <w:p w14:paraId="6BFF909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center"/>
          </w:tcPr>
          <w:p w14:paraId="0B71C98E">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155</w:t>
            </w:r>
          </w:p>
        </w:tc>
        <w:tc>
          <w:tcPr>
            <w:tcW w:w="1055" w:type="dxa"/>
            <w:noWrap w:val="0"/>
            <w:vAlign w:val="center"/>
          </w:tcPr>
          <w:p w14:paraId="12105C9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cs="宋体"/>
                <w:color w:val="auto"/>
                <w:spacing w:val="0"/>
                <w:w w:val="100"/>
                <w:kern w:val="0"/>
                <w:sz w:val="21"/>
                <w:szCs w:val="21"/>
                <w:highlight w:val="none"/>
                <w:lang w:val="en-US" w:eastAsia="zh-CN" w:bidi="ar-SA"/>
              </w:rPr>
              <w:t>完好</w:t>
            </w:r>
          </w:p>
        </w:tc>
        <w:tc>
          <w:tcPr>
            <w:tcW w:w="954" w:type="dxa"/>
            <w:noWrap w:val="0"/>
            <w:vAlign w:val="center"/>
          </w:tcPr>
          <w:p w14:paraId="5CC6710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w:t>
            </w:r>
          </w:p>
        </w:tc>
      </w:tr>
      <w:tr w14:paraId="31B60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center"/>
          </w:tcPr>
          <w:p w14:paraId="27CE70F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4</w:t>
            </w:r>
          </w:p>
        </w:tc>
        <w:tc>
          <w:tcPr>
            <w:tcW w:w="1714" w:type="dxa"/>
            <w:noWrap w:val="0"/>
            <w:vAlign w:val="center"/>
          </w:tcPr>
          <w:p w14:paraId="76724D6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自卸汽车</w:t>
            </w:r>
          </w:p>
        </w:tc>
        <w:tc>
          <w:tcPr>
            <w:tcW w:w="1183" w:type="dxa"/>
            <w:noWrap w:val="0"/>
            <w:vAlign w:val="center"/>
          </w:tcPr>
          <w:p w14:paraId="5750ADE1">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15吨</w:t>
            </w:r>
          </w:p>
        </w:tc>
        <w:tc>
          <w:tcPr>
            <w:tcW w:w="792" w:type="dxa"/>
            <w:noWrap w:val="0"/>
            <w:vAlign w:val="center"/>
          </w:tcPr>
          <w:p w14:paraId="628ACDC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w:t>
            </w:r>
          </w:p>
        </w:tc>
        <w:tc>
          <w:tcPr>
            <w:tcW w:w="911" w:type="dxa"/>
            <w:noWrap w:val="0"/>
            <w:vAlign w:val="center"/>
          </w:tcPr>
          <w:p w14:paraId="3E8EC921">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江西</w:t>
            </w:r>
          </w:p>
        </w:tc>
        <w:tc>
          <w:tcPr>
            <w:tcW w:w="1055" w:type="dxa"/>
            <w:noWrap w:val="0"/>
            <w:vAlign w:val="center"/>
          </w:tcPr>
          <w:p w14:paraId="25D48320">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2023</w:t>
            </w:r>
          </w:p>
        </w:tc>
        <w:tc>
          <w:tcPr>
            <w:tcW w:w="1532" w:type="dxa"/>
            <w:noWrap w:val="0"/>
            <w:vAlign w:val="center"/>
          </w:tcPr>
          <w:p w14:paraId="61FE1A81">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213</w:t>
            </w:r>
          </w:p>
        </w:tc>
        <w:tc>
          <w:tcPr>
            <w:tcW w:w="1055" w:type="dxa"/>
            <w:noWrap w:val="0"/>
            <w:vAlign w:val="center"/>
          </w:tcPr>
          <w:p w14:paraId="4A36B91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cs="宋体"/>
                <w:color w:val="auto"/>
                <w:spacing w:val="0"/>
                <w:w w:val="100"/>
                <w:kern w:val="0"/>
                <w:sz w:val="21"/>
                <w:szCs w:val="21"/>
                <w:highlight w:val="none"/>
                <w:lang w:val="en-US" w:eastAsia="zh-CN" w:bidi="ar-SA"/>
              </w:rPr>
              <w:t>完好</w:t>
            </w:r>
          </w:p>
        </w:tc>
        <w:tc>
          <w:tcPr>
            <w:tcW w:w="954" w:type="dxa"/>
            <w:noWrap w:val="0"/>
            <w:vAlign w:val="center"/>
          </w:tcPr>
          <w:p w14:paraId="19FD494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w:t>
            </w:r>
          </w:p>
        </w:tc>
      </w:tr>
      <w:tr w14:paraId="56938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center"/>
          </w:tcPr>
          <w:p w14:paraId="29FA70D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cs="宋体"/>
                <w:color w:val="auto"/>
                <w:spacing w:val="0"/>
                <w:w w:val="100"/>
                <w:kern w:val="0"/>
                <w:sz w:val="21"/>
                <w:szCs w:val="21"/>
                <w:highlight w:val="none"/>
                <w:lang w:val="en-US" w:eastAsia="zh-CN" w:bidi="ar-SA"/>
              </w:rPr>
              <w:t>5</w:t>
            </w:r>
          </w:p>
        </w:tc>
        <w:tc>
          <w:tcPr>
            <w:tcW w:w="1714" w:type="dxa"/>
            <w:noWrap w:val="0"/>
            <w:vAlign w:val="center"/>
          </w:tcPr>
          <w:p w14:paraId="7304E7E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摊铺机</w:t>
            </w:r>
          </w:p>
        </w:tc>
        <w:tc>
          <w:tcPr>
            <w:tcW w:w="1183" w:type="dxa"/>
            <w:noWrap w:val="0"/>
            <w:vAlign w:val="center"/>
          </w:tcPr>
          <w:p w14:paraId="5028411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ABG423</w:t>
            </w:r>
          </w:p>
        </w:tc>
        <w:tc>
          <w:tcPr>
            <w:tcW w:w="792" w:type="dxa"/>
            <w:noWrap w:val="0"/>
            <w:vAlign w:val="center"/>
          </w:tcPr>
          <w:p w14:paraId="5B76C7A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w:t>
            </w:r>
          </w:p>
        </w:tc>
        <w:tc>
          <w:tcPr>
            <w:tcW w:w="911" w:type="dxa"/>
            <w:noWrap w:val="0"/>
            <w:vAlign w:val="center"/>
          </w:tcPr>
          <w:p w14:paraId="6643D0E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江苏</w:t>
            </w:r>
          </w:p>
        </w:tc>
        <w:tc>
          <w:tcPr>
            <w:tcW w:w="1055" w:type="dxa"/>
            <w:noWrap w:val="0"/>
            <w:vAlign w:val="center"/>
          </w:tcPr>
          <w:p w14:paraId="4F178AD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center"/>
          </w:tcPr>
          <w:p w14:paraId="60D7532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151</w:t>
            </w:r>
          </w:p>
        </w:tc>
        <w:tc>
          <w:tcPr>
            <w:tcW w:w="1055" w:type="dxa"/>
            <w:noWrap w:val="0"/>
            <w:vAlign w:val="center"/>
          </w:tcPr>
          <w:p w14:paraId="630B0C3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cs="宋体"/>
                <w:color w:val="auto"/>
                <w:spacing w:val="0"/>
                <w:w w:val="100"/>
                <w:kern w:val="0"/>
                <w:sz w:val="21"/>
                <w:szCs w:val="21"/>
                <w:highlight w:val="none"/>
                <w:lang w:val="en-US" w:eastAsia="zh-CN" w:bidi="ar-SA"/>
              </w:rPr>
              <w:t>完好</w:t>
            </w:r>
          </w:p>
        </w:tc>
        <w:tc>
          <w:tcPr>
            <w:tcW w:w="954" w:type="dxa"/>
            <w:noWrap w:val="0"/>
            <w:vAlign w:val="center"/>
          </w:tcPr>
          <w:p w14:paraId="2A059F8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w:t>
            </w:r>
          </w:p>
        </w:tc>
      </w:tr>
      <w:tr w14:paraId="6FAC2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center"/>
          </w:tcPr>
          <w:p w14:paraId="1014E950">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6</w:t>
            </w:r>
          </w:p>
        </w:tc>
        <w:tc>
          <w:tcPr>
            <w:tcW w:w="1714" w:type="dxa"/>
            <w:noWrap w:val="0"/>
            <w:vAlign w:val="center"/>
          </w:tcPr>
          <w:p w14:paraId="4F5FD842">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双轮压路机</w:t>
            </w:r>
          </w:p>
        </w:tc>
        <w:tc>
          <w:tcPr>
            <w:tcW w:w="1183" w:type="dxa"/>
            <w:noWrap w:val="0"/>
            <w:vAlign w:val="center"/>
          </w:tcPr>
          <w:p w14:paraId="405E9E6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BMW217D</w:t>
            </w:r>
          </w:p>
        </w:tc>
        <w:tc>
          <w:tcPr>
            <w:tcW w:w="792" w:type="dxa"/>
            <w:noWrap w:val="0"/>
            <w:vAlign w:val="center"/>
          </w:tcPr>
          <w:p w14:paraId="3153E453">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911" w:type="dxa"/>
            <w:noWrap w:val="0"/>
            <w:vAlign w:val="center"/>
          </w:tcPr>
          <w:p w14:paraId="07FD32A0">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山东</w:t>
            </w:r>
          </w:p>
        </w:tc>
        <w:tc>
          <w:tcPr>
            <w:tcW w:w="1055" w:type="dxa"/>
            <w:noWrap w:val="0"/>
            <w:vAlign w:val="center"/>
          </w:tcPr>
          <w:p w14:paraId="6657C485">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2023</w:t>
            </w:r>
          </w:p>
        </w:tc>
        <w:tc>
          <w:tcPr>
            <w:tcW w:w="1532" w:type="dxa"/>
            <w:noWrap w:val="0"/>
            <w:vAlign w:val="center"/>
          </w:tcPr>
          <w:p w14:paraId="628B06E1">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48.8</w:t>
            </w:r>
          </w:p>
        </w:tc>
        <w:tc>
          <w:tcPr>
            <w:tcW w:w="1055" w:type="dxa"/>
            <w:noWrap w:val="0"/>
            <w:vAlign w:val="center"/>
          </w:tcPr>
          <w:p w14:paraId="1B5A2165">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center"/>
          </w:tcPr>
          <w:p w14:paraId="15200FA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26196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center"/>
          </w:tcPr>
          <w:p w14:paraId="2745282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7</w:t>
            </w:r>
          </w:p>
        </w:tc>
        <w:tc>
          <w:tcPr>
            <w:tcW w:w="1714" w:type="dxa"/>
            <w:noWrap w:val="0"/>
            <w:vAlign w:val="center"/>
          </w:tcPr>
          <w:p w14:paraId="223C229B">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轮胎压路机</w:t>
            </w:r>
          </w:p>
        </w:tc>
        <w:tc>
          <w:tcPr>
            <w:tcW w:w="1183" w:type="dxa"/>
            <w:noWrap w:val="0"/>
            <w:vAlign w:val="center"/>
          </w:tcPr>
          <w:p w14:paraId="13834C8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YZ30</w:t>
            </w:r>
          </w:p>
        </w:tc>
        <w:tc>
          <w:tcPr>
            <w:tcW w:w="792" w:type="dxa"/>
            <w:noWrap w:val="0"/>
            <w:vAlign w:val="center"/>
          </w:tcPr>
          <w:p w14:paraId="2831D79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w:t>
            </w:r>
          </w:p>
        </w:tc>
        <w:tc>
          <w:tcPr>
            <w:tcW w:w="911" w:type="dxa"/>
            <w:noWrap w:val="0"/>
            <w:vAlign w:val="center"/>
          </w:tcPr>
          <w:p w14:paraId="425FB66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center"/>
          </w:tcPr>
          <w:p w14:paraId="78AEDF8F">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center"/>
          </w:tcPr>
          <w:p w14:paraId="03ADB100">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48</w:t>
            </w:r>
          </w:p>
        </w:tc>
        <w:tc>
          <w:tcPr>
            <w:tcW w:w="1055" w:type="dxa"/>
            <w:noWrap w:val="0"/>
            <w:vAlign w:val="center"/>
          </w:tcPr>
          <w:p w14:paraId="5D058D47">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center"/>
          </w:tcPr>
          <w:p w14:paraId="34C4B3D1">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4B945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center"/>
          </w:tcPr>
          <w:p w14:paraId="7E483A09">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8</w:t>
            </w:r>
          </w:p>
        </w:tc>
        <w:tc>
          <w:tcPr>
            <w:tcW w:w="1714" w:type="dxa"/>
            <w:noWrap w:val="0"/>
            <w:vAlign w:val="center"/>
          </w:tcPr>
          <w:p w14:paraId="27D59C63">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砼振动棒</w:t>
            </w:r>
          </w:p>
        </w:tc>
        <w:tc>
          <w:tcPr>
            <w:tcW w:w="1183" w:type="dxa"/>
            <w:noWrap w:val="0"/>
            <w:vAlign w:val="center"/>
          </w:tcPr>
          <w:p w14:paraId="2C1E6673">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ZN50</w:t>
            </w:r>
          </w:p>
        </w:tc>
        <w:tc>
          <w:tcPr>
            <w:tcW w:w="792" w:type="dxa"/>
            <w:noWrap w:val="0"/>
            <w:vAlign w:val="center"/>
          </w:tcPr>
          <w:p w14:paraId="2DA8235E">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5</w:t>
            </w:r>
          </w:p>
        </w:tc>
        <w:tc>
          <w:tcPr>
            <w:tcW w:w="911" w:type="dxa"/>
            <w:noWrap w:val="0"/>
            <w:vAlign w:val="center"/>
          </w:tcPr>
          <w:p w14:paraId="1E6E1A0A">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center"/>
          </w:tcPr>
          <w:p w14:paraId="0960B3A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center"/>
          </w:tcPr>
          <w:p w14:paraId="6CFD84EA">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20×1.1</w:t>
            </w:r>
          </w:p>
        </w:tc>
        <w:tc>
          <w:tcPr>
            <w:tcW w:w="1055" w:type="dxa"/>
            <w:noWrap w:val="0"/>
            <w:vAlign w:val="center"/>
          </w:tcPr>
          <w:p w14:paraId="558F3F5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center"/>
          </w:tcPr>
          <w:p w14:paraId="641C5A1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190B3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top"/>
          </w:tcPr>
          <w:p w14:paraId="086CBBD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9</w:t>
            </w:r>
          </w:p>
        </w:tc>
        <w:tc>
          <w:tcPr>
            <w:tcW w:w="1714" w:type="dxa"/>
            <w:noWrap w:val="0"/>
            <w:vAlign w:val="top"/>
          </w:tcPr>
          <w:p w14:paraId="7361F56A">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平板振动器</w:t>
            </w:r>
          </w:p>
        </w:tc>
        <w:tc>
          <w:tcPr>
            <w:tcW w:w="1183" w:type="dxa"/>
            <w:noWrap w:val="0"/>
            <w:vAlign w:val="top"/>
          </w:tcPr>
          <w:p w14:paraId="629D58BB">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ZN11</w:t>
            </w:r>
          </w:p>
        </w:tc>
        <w:tc>
          <w:tcPr>
            <w:tcW w:w="792" w:type="dxa"/>
            <w:noWrap w:val="0"/>
            <w:vAlign w:val="top"/>
          </w:tcPr>
          <w:p w14:paraId="2C1797F2">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w:t>
            </w:r>
          </w:p>
        </w:tc>
        <w:tc>
          <w:tcPr>
            <w:tcW w:w="911" w:type="dxa"/>
            <w:noWrap w:val="0"/>
            <w:vAlign w:val="top"/>
          </w:tcPr>
          <w:p w14:paraId="6013515A">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天津</w:t>
            </w:r>
          </w:p>
        </w:tc>
        <w:tc>
          <w:tcPr>
            <w:tcW w:w="1055" w:type="dxa"/>
            <w:noWrap w:val="0"/>
            <w:vAlign w:val="top"/>
          </w:tcPr>
          <w:p w14:paraId="620580A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1255CE36">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48</w:t>
            </w:r>
          </w:p>
        </w:tc>
        <w:tc>
          <w:tcPr>
            <w:tcW w:w="1055" w:type="dxa"/>
            <w:noWrap w:val="0"/>
            <w:vAlign w:val="top"/>
          </w:tcPr>
          <w:p w14:paraId="61F2583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590D07C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5358C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top"/>
          </w:tcPr>
          <w:p w14:paraId="69D09124">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10</w:t>
            </w:r>
          </w:p>
        </w:tc>
        <w:tc>
          <w:tcPr>
            <w:tcW w:w="1714" w:type="dxa"/>
            <w:noWrap w:val="0"/>
            <w:vAlign w:val="top"/>
          </w:tcPr>
          <w:p w14:paraId="33A10ED4">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立式夯土机</w:t>
            </w:r>
          </w:p>
        </w:tc>
        <w:tc>
          <w:tcPr>
            <w:tcW w:w="1183" w:type="dxa"/>
            <w:noWrap w:val="0"/>
            <w:vAlign w:val="top"/>
          </w:tcPr>
          <w:p w14:paraId="152F75E0">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HW-60</w:t>
            </w:r>
          </w:p>
        </w:tc>
        <w:tc>
          <w:tcPr>
            <w:tcW w:w="792" w:type="dxa"/>
            <w:noWrap w:val="0"/>
            <w:vAlign w:val="top"/>
          </w:tcPr>
          <w:p w14:paraId="11C0A342">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w:t>
            </w:r>
          </w:p>
        </w:tc>
        <w:tc>
          <w:tcPr>
            <w:tcW w:w="911" w:type="dxa"/>
            <w:noWrap w:val="0"/>
            <w:vAlign w:val="top"/>
          </w:tcPr>
          <w:p w14:paraId="5A09FCCB">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top"/>
          </w:tcPr>
          <w:p w14:paraId="002E0E1B">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4A002C7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3</w:t>
            </w:r>
          </w:p>
        </w:tc>
        <w:tc>
          <w:tcPr>
            <w:tcW w:w="1055" w:type="dxa"/>
            <w:noWrap w:val="0"/>
            <w:vAlign w:val="top"/>
          </w:tcPr>
          <w:p w14:paraId="56BA2FE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58E8A218">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195F7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top"/>
          </w:tcPr>
          <w:p w14:paraId="4970DEE4">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11</w:t>
            </w:r>
          </w:p>
        </w:tc>
        <w:tc>
          <w:tcPr>
            <w:tcW w:w="1714" w:type="dxa"/>
            <w:noWrap w:val="0"/>
            <w:vAlign w:val="top"/>
          </w:tcPr>
          <w:p w14:paraId="3BF32CE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砂轮切割机</w:t>
            </w:r>
          </w:p>
        </w:tc>
        <w:tc>
          <w:tcPr>
            <w:tcW w:w="1183" w:type="dxa"/>
            <w:noWrap w:val="0"/>
            <w:vAlign w:val="top"/>
          </w:tcPr>
          <w:p w14:paraId="71940CB8">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φ400</w:t>
            </w:r>
          </w:p>
        </w:tc>
        <w:tc>
          <w:tcPr>
            <w:tcW w:w="792" w:type="dxa"/>
            <w:noWrap w:val="0"/>
            <w:vAlign w:val="top"/>
          </w:tcPr>
          <w:p w14:paraId="0CDB537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3</w:t>
            </w:r>
          </w:p>
        </w:tc>
        <w:tc>
          <w:tcPr>
            <w:tcW w:w="911" w:type="dxa"/>
            <w:noWrap w:val="0"/>
            <w:vAlign w:val="top"/>
          </w:tcPr>
          <w:p w14:paraId="1CE9F740">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河南</w:t>
            </w:r>
          </w:p>
        </w:tc>
        <w:tc>
          <w:tcPr>
            <w:tcW w:w="1055" w:type="dxa"/>
            <w:noWrap w:val="0"/>
            <w:vAlign w:val="top"/>
          </w:tcPr>
          <w:p w14:paraId="15B19CE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2020</w:t>
            </w:r>
          </w:p>
        </w:tc>
        <w:tc>
          <w:tcPr>
            <w:tcW w:w="1532" w:type="dxa"/>
            <w:noWrap w:val="0"/>
            <w:vAlign w:val="top"/>
          </w:tcPr>
          <w:p w14:paraId="3F50938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1.2</w:t>
            </w:r>
          </w:p>
        </w:tc>
        <w:tc>
          <w:tcPr>
            <w:tcW w:w="1055" w:type="dxa"/>
            <w:noWrap w:val="0"/>
            <w:vAlign w:val="top"/>
          </w:tcPr>
          <w:p w14:paraId="45B08C59">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0AE0705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67F8B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959" w:type="dxa"/>
            <w:noWrap w:val="0"/>
            <w:vAlign w:val="top"/>
          </w:tcPr>
          <w:p w14:paraId="29C0711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12</w:t>
            </w:r>
          </w:p>
        </w:tc>
        <w:tc>
          <w:tcPr>
            <w:tcW w:w="1714" w:type="dxa"/>
            <w:noWrap w:val="0"/>
            <w:vAlign w:val="top"/>
          </w:tcPr>
          <w:p w14:paraId="711A11A1">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电焊机</w:t>
            </w:r>
          </w:p>
        </w:tc>
        <w:tc>
          <w:tcPr>
            <w:tcW w:w="1183" w:type="dxa"/>
            <w:noWrap w:val="0"/>
            <w:vAlign w:val="top"/>
          </w:tcPr>
          <w:p w14:paraId="619CFF12">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BX3-500</w:t>
            </w:r>
          </w:p>
        </w:tc>
        <w:tc>
          <w:tcPr>
            <w:tcW w:w="792" w:type="dxa"/>
            <w:noWrap w:val="0"/>
            <w:vAlign w:val="top"/>
          </w:tcPr>
          <w:p w14:paraId="3BD86BD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w:t>
            </w:r>
          </w:p>
        </w:tc>
        <w:tc>
          <w:tcPr>
            <w:tcW w:w="911" w:type="dxa"/>
            <w:noWrap w:val="0"/>
            <w:vAlign w:val="top"/>
          </w:tcPr>
          <w:p w14:paraId="33D7181F">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top"/>
          </w:tcPr>
          <w:p w14:paraId="5B6E850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1F7FB82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1055" w:type="dxa"/>
            <w:noWrap w:val="0"/>
            <w:vAlign w:val="top"/>
          </w:tcPr>
          <w:p w14:paraId="626990A3">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6A39444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51C46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3BD119F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13</w:t>
            </w:r>
          </w:p>
        </w:tc>
        <w:tc>
          <w:tcPr>
            <w:tcW w:w="1714" w:type="dxa"/>
            <w:noWrap w:val="0"/>
            <w:vAlign w:val="top"/>
          </w:tcPr>
          <w:p w14:paraId="35303143">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电焊机</w:t>
            </w:r>
          </w:p>
        </w:tc>
        <w:tc>
          <w:tcPr>
            <w:tcW w:w="1183" w:type="dxa"/>
            <w:noWrap w:val="0"/>
            <w:vAlign w:val="top"/>
          </w:tcPr>
          <w:p w14:paraId="772E4C25">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BX1-300</w:t>
            </w:r>
          </w:p>
        </w:tc>
        <w:tc>
          <w:tcPr>
            <w:tcW w:w="792" w:type="dxa"/>
            <w:noWrap w:val="0"/>
            <w:vAlign w:val="top"/>
          </w:tcPr>
          <w:p w14:paraId="15468B64">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w:t>
            </w:r>
          </w:p>
        </w:tc>
        <w:tc>
          <w:tcPr>
            <w:tcW w:w="911" w:type="dxa"/>
            <w:noWrap w:val="0"/>
            <w:vAlign w:val="top"/>
          </w:tcPr>
          <w:p w14:paraId="3D04E72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河南</w:t>
            </w:r>
          </w:p>
        </w:tc>
        <w:tc>
          <w:tcPr>
            <w:tcW w:w="1055" w:type="dxa"/>
            <w:noWrap w:val="0"/>
            <w:vAlign w:val="top"/>
          </w:tcPr>
          <w:p w14:paraId="21692CA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5D41F73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1055" w:type="dxa"/>
            <w:noWrap w:val="0"/>
            <w:vAlign w:val="top"/>
          </w:tcPr>
          <w:p w14:paraId="043FF26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19069F52">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06BE6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354FE146">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14</w:t>
            </w:r>
          </w:p>
        </w:tc>
        <w:tc>
          <w:tcPr>
            <w:tcW w:w="1714" w:type="dxa"/>
            <w:noWrap w:val="0"/>
            <w:vAlign w:val="top"/>
          </w:tcPr>
          <w:p w14:paraId="2241B08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水泵</w:t>
            </w:r>
          </w:p>
        </w:tc>
        <w:tc>
          <w:tcPr>
            <w:tcW w:w="1183" w:type="dxa"/>
            <w:noWrap w:val="0"/>
            <w:vAlign w:val="top"/>
          </w:tcPr>
          <w:p w14:paraId="5B3F77C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50A</w:t>
            </w:r>
          </w:p>
        </w:tc>
        <w:tc>
          <w:tcPr>
            <w:tcW w:w="792" w:type="dxa"/>
            <w:noWrap w:val="0"/>
            <w:vAlign w:val="top"/>
          </w:tcPr>
          <w:p w14:paraId="109E551F">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911" w:type="dxa"/>
            <w:noWrap w:val="0"/>
            <w:vAlign w:val="top"/>
          </w:tcPr>
          <w:p w14:paraId="2A920319">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top"/>
          </w:tcPr>
          <w:p w14:paraId="0D2503C0">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2023</w:t>
            </w:r>
          </w:p>
        </w:tc>
        <w:tc>
          <w:tcPr>
            <w:tcW w:w="1532" w:type="dxa"/>
            <w:noWrap w:val="0"/>
            <w:vAlign w:val="top"/>
          </w:tcPr>
          <w:p w14:paraId="4A2FCA7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5.5</w:t>
            </w:r>
          </w:p>
        </w:tc>
        <w:tc>
          <w:tcPr>
            <w:tcW w:w="1055" w:type="dxa"/>
            <w:noWrap w:val="0"/>
            <w:vAlign w:val="top"/>
          </w:tcPr>
          <w:p w14:paraId="1C791C6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3844E7C7">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3C8D5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443F3136">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15</w:t>
            </w:r>
          </w:p>
        </w:tc>
        <w:tc>
          <w:tcPr>
            <w:tcW w:w="1714" w:type="dxa"/>
            <w:noWrap w:val="0"/>
            <w:vAlign w:val="top"/>
          </w:tcPr>
          <w:p w14:paraId="16F41D14">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发电机组</w:t>
            </w:r>
          </w:p>
        </w:tc>
        <w:tc>
          <w:tcPr>
            <w:tcW w:w="1183" w:type="dxa"/>
            <w:noWrap w:val="0"/>
            <w:vAlign w:val="top"/>
          </w:tcPr>
          <w:p w14:paraId="49EAF018">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225KVA</w:t>
            </w:r>
          </w:p>
        </w:tc>
        <w:tc>
          <w:tcPr>
            <w:tcW w:w="792" w:type="dxa"/>
            <w:noWrap w:val="0"/>
            <w:vAlign w:val="top"/>
          </w:tcPr>
          <w:p w14:paraId="26E82B21">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w:t>
            </w:r>
          </w:p>
        </w:tc>
        <w:tc>
          <w:tcPr>
            <w:tcW w:w="911" w:type="dxa"/>
            <w:noWrap w:val="0"/>
            <w:vAlign w:val="top"/>
          </w:tcPr>
          <w:p w14:paraId="2DD3195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山东</w:t>
            </w:r>
          </w:p>
        </w:tc>
        <w:tc>
          <w:tcPr>
            <w:tcW w:w="1055" w:type="dxa"/>
            <w:noWrap w:val="0"/>
            <w:vAlign w:val="top"/>
          </w:tcPr>
          <w:p w14:paraId="2639D328">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2E4732F5">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13.02</w:t>
            </w:r>
          </w:p>
        </w:tc>
        <w:tc>
          <w:tcPr>
            <w:tcW w:w="1055" w:type="dxa"/>
            <w:noWrap w:val="0"/>
            <w:vAlign w:val="top"/>
          </w:tcPr>
          <w:p w14:paraId="0358E100">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0C67BC4B">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5B4FB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7E848B1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16</w:t>
            </w:r>
          </w:p>
        </w:tc>
        <w:tc>
          <w:tcPr>
            <w:tcW w:w="1714" w:type="dxa"/>
            <w:noWrap w:val="0"/>
            <w:vAlign w:val="top"/>
          </w:tcPr>
          <w:p w14:paraId="04BC8E0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打药车</w:t>
            </w:r>
          </w:p>
        </w:tc>
        <w:tc>
          <w:tcPr>
            <w:tcW w:w="1183" w:type="dxa"/>
            <w:noWrap w:val="0"/>
            <w:vAlign w:val="top"/>
          </w:tcPr>
          <w:p w14:paraId="56DB014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4m3</w:t>
            </w:r>
          </w:p>
        </w:tc>
        <w:tc>
          <w:tcPr>
            <w:tcW w:w="792" w:type="dxa"/>
            <w:noWrap w:val="0"/>
            <w:vAlign w:val="top"/>
          </w:tcPr>
          <w:p w14:paraId="0A398092">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911" w:type="dxa"/>
            <w:noWrap w:val="0"/>
            <w:vAlign w:val="top"/>
          </w:tcPr>
          <w:p w14:paraId="3048950B">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top"/>
          </w:tcPr>
          <w:p w14:paraId="632C8D24">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2021</w:t>
            </w:r>
          </w:p>
        </w:tc>
        <w:tc>
          <w:tcPr>
            <w:tcW w:w="1532" w:type="dxa"/>
            <w:noWrap w:val="0"/>
            <w:vAlign w:val="top"/>
          </w:tcPr>
          <w:p w14:paraId="3192815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6.5</w:t>
            </w:r>
          </w:p>
        </w:tc>
        <w:tc>
          <w:tcPr>
            <w:tcW w:w="1055" w:type="dxa"/>
            <w:noWrap w:val="0"/>
            <w:vAlign w:val="top"/>
          </w:tcPr>
          <w:p w14:paraId="1E752FC4">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4FE39694">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31BA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19B65752">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17</w:t>
            </w:r>
          </w:p>
        </w:tc>
        <w:tc>
          <w:tcPr>
            <w:tcW w:w="1714" w:type="dxa"/>
            <w:noWrap w:val="0"/>
            <w:vAlign w:val="top"/>
          </w:tcPr>
          <w:p w14:paraId="43AF452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割灌机</w:t>
            </w:r>
          </w:p>
        </w:tc>
        <w:tc>
          <w:tcPr>
            <w:tcW w:w="1183" w:type="dxa"/>
            <w:noWrap w:val="0"/>
            <w:vAlign w:val="top"/>
          </w:tcPr>
          <w:p w14:paraId="768F9AE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本田</w:t>
            </w:r>
          </w:p>
        </w:tc>
        <w:tc>
          <w:tcPr>
            <w:tcW w:w="792" w:type="dxa"/>
            <w:noWrap w:val="0"/>
            <w:vAlign w:val="top"/>
          </w:tcPr>
          <w:p w14:paraId="1CE368E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3</w:t>
            </w:r>
          </w:p>
        </w:tc>
        <w:tc>
          <w:tcPr>
            <w:tcW w:w="911" w:type="dxa"/>
            <w:noWrap w:val="0"/>
            <w:vAlign w:val="top"/>
          </w:tcPr>
          <w:p w14:paraId="081DC773">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top"/>
          </w:tcPr>
          <w:p w14:paraId="7AA1AAEC">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05E5288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351.1</w:t>
            </w:r>
          </w:p>
        </w:tc>
        <w:tc>
          <w:tcPr>
            <w:tcW w:w="1055" w:type="dxa"/>
            <w:noWrap w:val="0"/>
            <w:vAlign w:val="top"/>
          </w:tcPr>
          <w:p w14:paraId="175F296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63B5F127">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60307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69376EC1">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18</w:t>
            </w:r>
          </w:p>
        </w:tc>
        <w:tc>
          <w:tcPr>
            <w:tcW w:w="1714" w:type="dxa"/>
            <w:noWrap w:val="0"/>
            <w:vAlign w:val="top"/>
          </w:tcPr>
          <w:p w14:paraId="58FBEBFB">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绿篱机</w:t>
            </w:r>
          </w:p>
        </w:tc>
        <w:tc>
          <w:tcPr>
            <w:tcW w:w="1183" w:type="dxa"/>
            <w:noWrap w:val="0"/>
            <w:vAlign w:val="top"/>
          </w:tcPr>
          <w:p w14:paraId="5A6CD66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小松</w:t>
            </w:r>
          </w:p>
        </w:tc>
        <w:tc>
          <w:tcPr>
            <w:tcW w:w="792" w:type="dxa"/>
            <w:noWrap w:val="0"/>
            <w:vAlign w:val="top"/>
          </w:tcPr>
          <w:p w14:paraId="68ACA0FE">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911" w:type="dxa"/>
            <w:noWrap w:val="0"/>
            <w:vAlign w:val="top"/>
          </w:tcPr>
          <w:p w14:paraId="3322AC0A">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中国</w:t>
            </w:r>
          </w:p>
        </w:tc>
        <w:tc>
          <w:tcPr>
            <w:tcW w:w="1055" w:type="dxa"/>
            <w:noWrap w:val="0"/>
            <w:vAlign w:val="top"/>
          </w:tcPr>
          <w:p w14:paraId="1334F555">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2023</w:t>
            </w:r>
          </w:p>
        </w:tc>
        <w:tc>
          <w:tcPr>
            <w:tcW w:w="1532" w:type="dxa"/>
            <w:noWrap w:val="0"/>
            <w:vAlign w:val="top"/>
          </w:tcPr>
          <w:p w14:paraId="0D2FB1D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0.65</w:t>
            </w:r>
          </w:p>
        </w:tc>
        <w:tc>
          <w:tcPr>
            <w:tcW w:w="1055" w:type="dxa"/>
            <w:noWrap w:val="0"/>
            <w:vAlign w:val="top"/>
          </w:tcPr>
          <w:p w14:paraId="3FB9BD17">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3F93A107">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34FBE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9" w:type="dxa"/>
            <w:noWrap w:val="0"/>
            <w:vAlign w:val="top"/>
          </w:tcPr>
          <w:p w14:paraId="016D1AB5">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19</w:t>
            </w:r>
          </w:p>
        </w:tc>
        <w:tc>
          <w:tcPr>
            <w:tcW w:w="1714" w:type="dxa"/>
            <w:noWrap w:val="0"/>
            <w:vAlign w:val="top"/>
          </w:tcPr>
          <w:p w14:paraId="13FC591C">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洒水车</w:t>
            </w:r>
          </w:p>
        </w:tc>
        <w:tc>
          <w:tcPr>
            <w:tcW w:w="1183" w:type="dxa"/>
            <w:noWrap w:val="0"/>
            <w:vAlign w:val="top"/>
          </w:tcPr>
          <w:p w14:paraId="1830BD87">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CSC5160</w:t>
            </w:r>
          </w:p>
        </w:tc>
        <w:tc>
          <w:tcPr>
            <w:tcW w:w="792" w:type="dxa"/>
            <w:noWrap w:val="0"/>
            <w:vAlign w:val="top"/>
          </w:tcPr>
          <w:p w14:paraId="7B6646D0">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w:t>
            </w:r>
          </w:p>
        </w:tc>
        <w:tc>
          <w:tcPr>
            <w:tcW w:w="911" w:type="dxa"/>
            <w:noWrap w:val="0"/>
            <w:vAlign w:val="top"/>
          </w:tcPr>
          <w:p w14:paraId="019BAAE5">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山东</w:t>
            </w:r>
          </w:p>
        </w:tc>
        <w:tc>
          <w:tcPr>
            <w:tcW w:w="1055" w:type="dxa"/>
            <w:noWrap w:val="0"/>
            <w:vAlign w:val="top"/>
          </w:tcPr>
          <w:p w14:paraId="7C9B3A7B">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2020</w:t>
            </w:r>
          </w:p>
        </w:tc>
        <w:tc>
          <w:tcPr>
            <w:tcW w:w="1532" w:type="dxa"/>
            <w:noWrap w:val="0"/>
            <w:vAlign w:val="top"/>
          </w:tcPr>
          <w:p w14:paraId="1BEBCE56">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115</w:t>
            </w:r>
          </w:p>
        </w:tc>
        <w:tc>
          <w:tcPr>
            <w:tcW w:w="1055" w:type="dxa"/>
            <w:noWrap w:val="0"/>
            <w:vAlign w:val="top"/>
          </w:tcPr>
          <w:p w14:paraId="7F10668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07A977CC">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61554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959" w:type="dxa"/>
            <w:noWrap w:val="0"/>
            <w:vAlign w:val="top"/>
          </w:tcPr>
          <w:p w14:paraId="41EB6208">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w:t>
            </w:r>
          </w:p>
        </w:tc>
        <w:tc>
          <w:tcPr>
            <w:tcW w:w="1714" w:type="dxa"/>
            <w:noWrap w:val="0"/>
            <w:vAlign w:val="top"/>
          </w:tcPr>
          <w:p w14:paraId="310827D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雾炮车</w:t>
            </w:r>
          </w:p>
        </w:tc>
        <w:tc>
          <w:tcPr>
            <w:tcW w:w="1183" w:type="dxa"/>
            <w:noWrap w:val="0"/>
            <w:vAlign w:val="top"/>
          </w:tcPr>
          <w:p w14:paraId="117B530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18"/>
                <w:szCs w:val="18"/>
                <w:highlight w:val="none"/>
                <w:lang w:val="en-US" w:eastAsia="zh-CN" w:bidi="ar-SA"/>
              </w:rPr>
              <w:t xml:space="preserve">东风福瑞卡 </w:t>
            </w:r>
          </w:p>
        </w:tc>
        <w:tc>
          <w:tcPr>
            <w:tcW w:w="792" w:type="dxa"/>
            <w:noWrap w:val="0"/>
            <w:vAlign w:val="top"/>
          </w:tcPr>
          <w:p w14:paraId="1A98BE3B">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1</w:t>
            </w:r>
          </w:p>
        </w:tc>
        <w:tc>
          <w:tcPr>
            <w:tcW w:w="911" w:type="dxa"/>
            <w:noWrap w:val="0"/>
            <w:vAlign w:val="top"/>
          </w:tcPr>
          <w:p w14:paraId="43BBFCD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河南</w:t>
            </w:r>
          </w:p>
        </w:tc>
        <w:tc>
          <w:tcPr>
            <w:tcW w:w="1055" w:type="dxa"/>
            <w:noWrap w:val="0"/>
            <w:vAlign w:val="top"/>
          </w:tcPr>
          <w:p w14:paraId="495785AD">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6DC2913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95</w:t>
            </w:r>
          </w:p>
        </w:tc>
        <w:tc>
          <w:tcPr>
            <w:tcW w:w="1055" w:type="dxa"/>
            <w:noWrap w:val="0"/>
            <w:vAlign w:val="top"/>
          </w:tcPr>
          <w:p w14:paraId="004B34DC">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2330B615">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537B8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59" w:type="dxa"/>
            <w:noWrap w:val="0"/>
            <w:vAlign w:val="top"/>
          </w:tcPr>
          <w:p w14:paraId="31E0781D">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21</w:t>
            </w:r>
          </w:p>
        </w:tc>
        <w:tc>
          <w:tcPr>
            <w:tcW w:w="1714" w:type="dxa"/>
            <w:noWrap w:val="0"/>
            <w:vAlign w:val="top"/>
          </w:tcPr>
          <w:p w14:paraId="4577941F">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自动喷淋系统</w:t>
            </w:r>
          </w:p>
        </w:tc>
        <w:tc>
          <w:tcPr>
            <w:tcW w:w="1183" w:type="dxa"/>
            <w:noWrap w:val="0"/>
            <w:vAlign w:val="top"/>
          </w:tcPr>
          <w:p w14:paraId="24FFCFD2">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DN15</w:t>
            </w:r>
          </w:p>
        </w:tc>
        <w:tc>
          <w:tcPr>
            <w:tcW w:w="792" w:type="dxa"/>
            <w:noWrap w:val="0"/>
            <w:vAlign w:val="top"/>
          </w:tcPr>
          <w:p w14:paraId="16D06006">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5</w:t>
            </w:r>
          </w:p>
        </w:tc>
        <w:tc>
          <w:tcPr>
            <w:tcW w:w="911" w:type="dxa"/>
            <w:noWrap w:val="0"/>
            <w:vAlign w:val="top"/>
          </w:tcPr>
          <w:p w14:paraId="65FB244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山东</w:t>
            </w:r>
          </w:p>
        </w:tc>
        <w:tc>
          <w:tcPr>
            <w:tcW w:w="1055" w:type="dxa"/>
            <w:noWrap w:val="0"/>
            <w:vAlign w:val="top"/>
          </w:tcPr>
          <w:p w14:paraId="602AF1BA">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2021</w:t>
            </w:r>
          </w:p>
        </w:tc>
        <w:tc>
          <w:tcPr>
            <w:tcW w:w="1532" w:type="dxa"/>
            <w:noWrap w:val="0"/>
            <w:vAlign w:val="top"/>
          </w:tcPr>
          <w:p w14:paraId="4141EED5">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0.5</w:t>
            </w:r>
          </w:p>
        </w:tc>
        <w:tc>
          <w:tcPr>
            <w:tcW w:w="1055" w:type="dxa"/>
            <w:noWrap w:val="0"/>
            <w:vAlign w:val="top"/>
          </w:tcPr>
          <w:p w14:paraId="0B30CC6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491C979E">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r w14:paraId="50316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59" w:type="dxa"/>
            <w:noWrap w:val="0"/>
            <w:vAlign w:val="top"/>
          </w:tcPr>
          <w:p w14:paraId="2563E09E">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22</w:t>
            </w:r>
          </w:p>
        </w:tc>
        <w:tc>
          <w:tcPr>
            <w:tcW w:w="1714" w:type="dxa"/>
            <w:noWrap w:val="0"/>
            <w:vAlign w:val="top"/>
          </w:tcPr>
          <w:p w14:paraId="255BA365">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冲洗设备</w:t>
            </w:r>
          </w:p>
        </w:tc>
        <w:tc>
          <w:tcPr>
            <w:tcW w:w="1183" w:type="dxa"/>
            <w:noWrap w:val="0"/>
            <w:vAlign w:val="top"/>
          </w:tcPr>
          <w:p w14:paraId="433154D7">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DLT-C8617</w:t>
            </w:r>
          </w:p>
        </w:tc>
        <w:tc>
          <w:tcPr>
            <w:tcW w:w="792" w:type="dxa"/>
            <w:noWrap w:val="0"/>
            <w:vAlign w:val="top"/>
          </w:tcPr>
          <w:p w14:paraId="38A8F95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5</w:t>
            </w:r>
          </w:p>
        </w:tc>
        <w:tc>
          <w:tcPr>
            <w:tcW w:w="911" w:type="dxa"/>
            <w:noWrap w:val="0"/>
            <w:vAlign w:val="top"/>
          </w:tcPr>
          <w:p w14:paraId="2EEB645B">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河南</w:t>
            </w:r>
          </w:p>
        </w:tc>
        <w:tc>
          <w:tcPr>
            <w:tcW w:w="1055" w:type="dxa"/>
            <w:noWrap w:val="0"/>
            <w:vAlign w:val="top"/>
          </w:tcPr>
          <w:p w14:paraId="5EE64989">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2022</w:t>
            </w:r>
          </w:p>
        </w:tc>
        <w:tc>
          <w:tcPr>
            <w:tcW w:w="1532" w:type="dxa"/>
            <w:noWrap w:val="0"/>
            <w:vAlign w:val="top"/>
          </w:tcPr>
          <w:p w14:paraId="5CE2125E">
            <w:pPr>
              <w:keepNext/>
              <w:pageBreakBefore w:val="0"/>
              <w:wordWrap/>
              <w:overflowPunct/>
              <w:topLinePunct w:val="0"/>
              <w:autoSpaceDE/>
              <w:autoSpaceDN/>
              <w:bidi w:val="0"/>
              <w:spacing w:line="360" w:lineRule="auto"/>
              <w:ind w:left="63" w:right="63"/>
              <w:jc w:val="left"/>
              <w:outlineLvl w:val="9"/>
              <w:rPr>
                <w:rFonts w:hint="default"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2.6</w:t>
            </w:r>
          </w:p>
        </w:tc>
        <w:tc>
          <w:tcPr>
            <w:tcW w:w="1055" w:type="dxa"/>
            <w:noWrap w:val="0"/>
            <w:vAlign w:val="top"/>
          </w:tcPr>
          <w:p w14:paraId="1DDA33BF">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完好</w:t>
            </w:r>
          </w:p>
        </w:tc>
        <w:tc>
          <w:tcPr>
            <w:tcW w:w="954" w:type="dxa"/>
            <w:noWrap w:val="0"/>
            <w:vAlign w:val="top"/>
          </w:tcPr>
          <w:p w14:paraId="0F26C856">
            <w:pPr>
              <w:keepNext/>
              <w:pageBreakBefore w:val="0"/>
              <w:wordWrap/>
              <w:overflowPunct/>
              <w:topLinePunct w:val="0"/>
              <w:autoSpaceDE/>
              <w:autoSpaceDN/>
              <w:bidi w:val="0"/>
              <w:spacing w:line="360" w:lineRule="auto"/>
              <w:ind w:left="63" w:right="63"/>
              <w:jc w:val="left"/>
              <w:outlineLvl w:val="9"/>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w:t>
            </w:r>
          </w:p>
        </w:tc>
      </w:tr>
    </w:tbl>
    <w:p w14:paraId="50A5EEF5">
      <w:pPr>
        <w:pageBreakBefore w:val="0"/>
        <w:wordWrap/>
        <w:overflowPunct/>
        <w:topLinePunct w:val="0"/>
        <w:autoSpaceDE/>
        <w:autoSpaceDN/>
        <w:bidi w:val="0"/>
        <w:spacing w:line="360" w:lineRule="auto"/>
        <w:jc w:val="both"/>
        <w:outlineLvl w:val="9"/>
        <w:rPr>
          <w:rFonts w:hint="default" w:ascii="宋体" w:hAnsi="宋体" w:eastAsia="宋体" w:cs="宋体"/>
          <w:color w:val="auto"/>
          <w:spacing w:val="0"/>
          <w:w w:val="100"/>
          <w:kern w:val="2"/>
          <w:sz w:val="21"/>
          <w:szCs w:val="21"/>
          <w:highlight w:val="yellow"/>
          <w:lang w:val="en-US" w:eastAsia="zh-CN" w:bidi="ar-SA"/>
        </w:rPr>
      </w:pPr>
    </w:p>
    <w:p w14:paraId="473A87F4">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bookmarkStart w:id="606" w:name="_Toc30442"/>
      <w:r>
        <w:rPr>
          <w:rFonts w:hint="eastAsia" w:ascii="宋体" w:hAnsi="宋体" w:eastAsia="宋体" w:cs="宋体"/>
          <w:color w:val="auto"/>
          <w:spacing w:val="0"/>
          <w:w w:val="100"/>
          <w:kern w:val="2"/>
          <w:sz w:val="21"/>
          <w:szCs w:val="21"/>
          <w:highlight w:val="none"/>
          <w:lang w:val="en-US" w:bidi="ar-SA"/>
        </w:rPr>
        <w:t>附</w:t>
      </w:r>
      <w:bookmarkStart w:id="607" w:name="_Toc296891268"/>
      <w:bookmarkStart w:id="608" w:name="_Toc296944567"/>
      <w:bookmarkStart w:id="609" w:name="_Toc296891056"/>
      <w:bookmarkStart w:id="610" w:name="_Toc267261699"/>
      <w:bookmarkStart w:id="611" w:name="_Toc296347227"/>
      <w:bookmarkStart w:id="612" w:name="_Toc296346729"/>
      <w:bookmarkStart w:id="613" w:name="_Toc296503228"/>
      <w:r>
        <w:rPr>
          <w:rFonts w:hint="eastAsia" w:ascii="宋体" w:hAnsi="宋体" w:eastAsia="宋体" w:cs="宋体"/>
          <w:color w:val="auto"/>
          <w:spacing w:val="0"/>
          <w:w w:val="100"/>
          <w:kern w:val="2"/>
          <w:sz w:val="21"/>
          <w:szCs w:val="21"/>
          <w:highlight w:val="none"/>
          <w:lang w:val="en-US" w:bidi="ar-SA"/>
        </w:rPr>
        <w:t>件6：</w:t>
      </w:r>
      <w:bookmarkEnd w:id="606"/>
    </w:p>
    <w:bookmarkEnd w:id="607"/>
    <w:bookmarkEnd w:id="608"/>
    <w:bookmarkEnd w:id="609"/>
    <w:bookmarkEnd w:id="610"/>
    <w:bookmarkEnd w:id="611"/>
    <w:bookmarkEnd w:id="612"/>
    <w:bookmarkEnd w:id="613"/>
    <w:p w14:paraId="338C6339">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承包人主要施工管理人员表</w:t>
      </w:r>
    </w:p>
    <w:tbl>
      <w:tblPr>
        <w:tblStyle w:val="12"/>
        <w:tblW w:w="102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8"/>
        <w:gridCol w:w="1297"/>
        <w:gridCol w:w="1236"/>
        <w:gridCol w:w="1306"/>
        <w:gridCol w:w="4429"/>
      </w:tblGrid>
      <w:tr w14:paraId="45560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1948" w:type="dxa"/>
            <w:tcBorders>
              <w:top w:val="single" w:color="auto" w:sz="12" w:space="0"/>
              <w:bottom w:val="double" w:color="auto" w:sz="6" w:space="0"/>
            </w:tcBorders>
            <w:noWrap w:val="0"/>
            <w:vAlign w:val="center"/>
          </w:tcPr>
          <w:p w14:paraId="19B7BD0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名    称</w:t>
            </w:r>
          </w:p>
        </w:tc>
        <w:tc>
          <w:tcPr>
            <w:tcW w:w="1297" w:type="dxa"/>
            <w:tcBorders>
              <w:top w:val="single" w:color="auto" w:sz="12" w:space="0"/>
              <w:bottom w:val="double" w:color="auto" w:sz="6" w:space="0"/>
            </w:tcBorders>
            <w:noWrap w:val="0"/>
            <w:vAlign w:val="center"/>
          </w:tcPr>
          <w:p w14:paraId="66C07A8E">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姓名</w:t>
            </w:r>
          </w:p>
        </w:tc>
        <w:tc>
          <w:tcPr>
            <w:tcW w:w="1236" w:type="dxa"/>
            <w:tcBorders>
              <w:top w:val="single" w:color="auto" w:sz="12" w:space="0"/>
              <w:bottom w:val="double" w:color="auto" w:sz="6" w:space="0"/>
            </w:tcBorders>
            <w:noWrap w:val="0"/>
            <w:vAlign w:val="center"/>
          </w:tcPr>
          <w:p w14:paraId="732CF4A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职务</w:t>
            </w:r>
          </w:p>
        </w:tc>
        <w:tc>
          <w:tcPr>
            <w:tcW w:w="1306" w:type="dxa"/>
            <w:tcBorders>
              <w:top w:val="single" w:color="auto" w:sz="12" w:space="0"/>
              <w:bottom w:val="double" w:color="auto" w:sz="6" w:space="0"/>
            </w:tcBorders>
            <w:noWrap w:val="0"/>
            <w:vAlign w:val="center"/>
          </w:tcPr>
          <w:p w14:paraId="56C2618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职称</w:t>
            </w:r>
          </w:p>
        </w:tc>
        <w:tc>
          <w:tcPr>
            <w:tcW w:w="4429" w:type="dxa"/>
            <w:tcBorders>
              <w:top w:val="single" w:color="auto" w:sz="12" w:space="0"/>
              <w:bottom w:val="double" w:color="auto" w:sz="6" w:space="0"/>
            </w:tcBorders>
            <w:noWrap w:val="0"/>
            <w:vAlign w:val="center"/>
          </w:tcPr>
          <w:p w14:paraId="4505E24D">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主要资历、经验及承担过的项目</w:t>
            </w:r>
          </w:p>
        </w:tc>
      </w:tr>
      <w:tr w14:paraId="4844B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0216" w:type="dxa"/>
            <w:gridSpan w:val="5"/>
            <w:tcBorders>
              <w:top w:val="double" w:color="auto" w:sz="6" w:space="0"/>
              <w:bottom w:val="single" w:color="auto" w:sz="6" w:space="0"/>
            </w:tcBorders>
            <w:noWrap w:val="0"/>
            <w:vAlign w:val="center"/>
          </w:tcPr>
          <w:p w14:paraId="4859F24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一、总部人员</w:t>
            </w:r>
          </w:p>
        </w:tc>
      </w:tr>
      <w:tr w14:paraId="3F1C2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1948" w:type="dxa"/>
            <w:tcBorders>
              <w:top w:val="nil"/>
              <w:bottom w:val="nil"/>
            </w:tcBorders>
            <w:noWrap w:val="0"/>
            <w:vAlign w:val="center"/>
          </w:tcPr>
          <w:p w14:paraId="4315DC7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项目主管</w:t>
            </w:r>
          </w:p>
        </w:tc>
        <w:tc>
          <w:tcPr>
            <w:tcW w:w="1297" w:type="dxa"/>
            <w:tcBorders>
              <w:top w:val="nil"/>
            </w:tcBorders>
            <w:shd w:val="clear" w:color="auto" w:fill="auto"/>
            <w:noWrap w:val="0"/>
            <w:vAlign w:val="center"/>
          </w:tcPr>
          <w:p w14:paraId="6FF75D18">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穆武</w:t>
            </w:r>
          </w:p>
        </w:tc>
        <w:tc>
          <w:tcPr>
            <w:tcW w:w="1236" w:type="dxa"/>
            <w:tcBorders>
              <w:top w:val="nil"/>
            </w:tcBorders>
            <w:shd w:val="clear" w:color="auto" w:fill="auto"/>
            <w:noWrap w:val="0"/>
            <w:vAlign w:val="center"/>
          </w:tcPr>
          <w:p w14:paraId="4E7A5630">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0"/>
                <w:sz w:val="21"/>
                <w:szCs w:val="21"/>
                <w:highlight w:val="none"/>
                <w:lang w:val="en-US" w:eastAsia="zh-CN" w:bidi="ar-SA"/>
              </w:rPr>
              <w:t>总经理</w:t>
            </w:r>
          </w:p>
        </w:tc>
        <w:tc>
          <w:tcPr>
            <w:tcW w:w="1306" w:type="dxa"/>
            <w:tcBorders>
              <w:top w:val="nil"/>
            </w:tcBorders>
            <w:shd w:val="clear" w:color="auto" w:fill="auto"/>
            <w:noWrap w:val="0"/>
            <w:vAlign w:val="center"/>
          </w:tcPr>
          <w:p w14:paraId="74BE175B">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0"/>
                <w:sz w:val="21"/>
                <w:szCs w:val="21"/>
                <w:highlight w:val="none"/>
                <w:lang w:val="en-US" w:eastAsia="zh-CN" w:bidi="ar-SA"/>
              </w:rPr>
              <w:t>高级工程师</w:t>
            </w:r>
          </w:p>
        </w:tc>
        <w:tc>
          <w:tcPr>
            <w:tcW w:w="4429" w:type="dxa"/>
            <w:tcBorders>
              <w:top w:val="nil"/>
            </w:tcBorders>
            <w:noWrap w:val="0"/>
            <w:vAlign w:val="center"/>
          </w:tcPr>
          <w:p w14:paraId="51D701D8">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36A51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1948" w:type="dxa"/>
            <w:tcBorders>
              <w:top w:val="single" w:color="auto" w:sz="6" w:space="0"/>
              <w:bottom w:val="nil"/>
            </w:tcBorders>
            <w:noWrap w:val="0"/>
            <w:vAlign w:val="center"/>
          </w:tcPr>
          <w:p w14:paraId="73AF4F0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34CE139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36" w:type="dxa"/>
            <w:noWrap w:val="0"/>
            <w:vAlign w:val="center"/>
          </w:tcPr>
          <w:p w14:paraId="267901D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306" w:type="dxa"/>
            <w:noWrap w:val="0"/>
            <w:vAlign w:val="center"/>
          </w:tcPr>
          <w:p w14:paraId="43050B2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1AFCE3D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09860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948" w:type="dxa"/>
            <w:tcBorders>
              <w:top w:val="nil"/>
              <w:bottom w:val="nil"/>
            </w:tcBorders>
            <w:noWrap w:val="0"/>
            <w:vAlign w:val="center"/>
          </w:tcPr>
          <w:p w14:paraId="1B3242E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其他人员</w:t>
            </w:r>
          </w:p>
        </w:tc>
        <w:tc>
          <w:tcPr>
            <w:tcW w:w="1297" w:type="dxa"/>
            <w:noWrap w:val="0"/>
            <w:vAlign w:val="center"/>
          </w:tcPr>
          <w:p w14:paraId="79541D4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36" w:type="dxa"/>
            <w:noWrap w:val="0"/>
            <w:vAlign w:val="center"/>
          </w:tcPr>
          <w:p w14:paraId="68D62930">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306" w:type="dxa"/>
            <w:noWrap w:val="0"/>
            <w:vAlign w:val="center"/>
          </w:tcPr>
          <w:p w14:paraId="2F8229A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487CEA7D">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27965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1948" w:type="dxa"/>
            <w:tcBorders>
              <w:top w:val="nil"/>
              <w:bottom w:val="nil"/>
            </w:tcBorders>
            <w:noWrap w:val="0"/>
            <w:vAlign w:val="center"/>
          </w:tcPr>
          <w:p w14:paraId="1956495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13CBB79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36" w:type="dxa"/>
            <w:noWrap w:val="0"/>
            <w:vAlign w:val="center"/>
          </w:tcPr>
          <w:p w14:paraId="0285B7E1">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306" w:type="dxa"/>
            <w:noWrap w:val="0"/>
            <w:vAlign w:val="center"/>
          </w:tcPr>
          <w:p w14:paraId="43BA19A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069ED02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50FC0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10216" w:type="dxa"/>
            <w:gridSpan w:val="5"/>
            <w:tcBorders>
              <w:top w:val="single" w:color="auto" w:sz="6" w:space="0"/>
              <w:bottom w:val="single" w:color="auto" w:sz="6" w:space="0"/>
            </w:tcBorders>
            <w:noWrap w:val="0"/>
            <w:vAlign w:val="center"/>
          </w:tcPr>
          <w:p w14:paraId="30E2B4C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二、现场人员</w:t>
            </w:r>
          </w:p>
        </w:tc>
      </w:tr>
      <w:tr w14:paraId="27221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1948" w:type="dxa"/>
            <w:tcBorders>
              <w:top w:val="single" w:color="auto" w:sz="6" w:space="0"/>
              <w:bottom w:val="single" w:color="auto" w:sz="6" w:space="0"/>
            </w:tcBorders>
            <w:noWrap w:val="0"/>
            <w:vAlign w:val="center"/>
          </w:tcPr>
          <w:p w14:paraId="123B1F05">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项目经理</w:t>
            </w:r>
          </w:p>
        </w:tc>
        <w:tc>
          <w:tcPr>
            <w:tcW w:w="1297" w:type="dxa"/>
            <w:noWrap w:val="0"/>
            <w:vAlign w:val="center"/>
          </w:tcPr>
          <w:p w14:paraId="2BEDA3CC">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马新涛</w:t>
            </w:r>
          </w:p>
        </w:tc>
        <w:tc>
          <w:tcPr>
            <w:tcW w:w="1236" w:type="dxa"/>
            <w:noWrap w:val="0"/>
            <w:vAlign w:val="center"/>
          </w:tcPr>
          <w:p w14:paraId="7FE35FB3">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项目经理</w:t>
            </w:r>
          </w:p>
        </w:tc>
        <w:tc>
          <w:tcPr>
            <w:tcW w:w="1306" w:type="dxa"/>
            <w:noWrap w:val="0"/>
            <w:vAlign w:val="center"/>
          </w:tcPr>
          <w:p w14:paraId="05FF7AF1">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w:t>
            </w:r>
          </w:p>
        </w:tc>
        <w:tc>
          <w:tcPr>
            <w:tcW w:w="4429" w:type="dxa"/>
            <w:noWrap w:val="0"/>
            <w:vAlign w:val="center"/>
          </w:tcPr>
          <w:p w14:paraId="7765DFB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1799A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1948" w:type="dxa"/>
            <w:tcBorders>
              <w:top w:val="single" w:color="auto" w:sz="6" w:space="0"/>
              <w:bottom w:val="single" w:color="auto" w:sz="6" w:space="0"/>
            </w:tcBorders>
            <w:noWrap w:val="0"/>
            <w:vAlign w:val="center"/>
          </w:tcPr>
          <w:p w14:paraId="6E181238">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项目副经理</w:t>
            </w:r>
          </w:p>
        </w:tc>
        <w:tc>
          <w:tcPr>
            <w:tcW w:w="1297" w:type="dxa"/>
            <w:noWrap w:val="0"/>
            <w:vAlign w:val="center"/>
          </w:tcPr>
          <w:p w14:paraId="4146F064">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w:t>
            </w:r>
          </w:p>
        </w:tc>
        <w:tc>
          <w:tcPr>
            <w:tcW w:w="1236" w:type="dxa"/>
            <w:noWrap w:val="0"/>
            <w:vAlign w:val="center"/>
          </w:tcPr>
          <w:p w14:paraId="122B1542">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w:t>
            </w:r>
          </w:p>
        </w:tc>
        <w:tc>
          <w:tcPr>
            <w:tcW w:w="1306" w:type="dxa"/>
            <w:noWrap w:val="0"/>
            <w:vAlign w:val="center"/>
          </w:tcPr>
          <w:p w14:paraId="0FAAED52">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w:t>
            </w:r>
          </w:p>
        </w:tc>
        <w:tc>
          <w:tcPr>
            <w:tcW w:w="4429" w:type="dxa"/>
            <w:noWrap w:val="0"/>
            <w:vAlign w:val="center"/>
          </w:tcPr>
          <w:p w14:paraId="4600192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6B5DB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948" w:type="dxa"/>
            <w:tcBorders>
              <w:top w:val="single" w:color="auto" w:sz="6" w:space="0"/>
              <w:bottom w:val="single" w:color="auto" w:sz="6" w:space="0"/>
            </w:tcBorders>
            <w:noWrap w:val="0"/>
            <w:vAlign w:val="center"/>
          </w:tcPr>
          <w:p w14:paraId="2E53BA1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技术负责人</w:t>
            </w:r>
          </w:p>
        </w:tc>
        <w:tc>
          <w:tcPr>
            <w:tcW w:w="1297" w:type="dxa"/>
            <w:noWrap w:val="0"/>
            <w:vAlign w:val="center"/>
          </w:tcPr>
          <w:p w14:paraId="3F8C6804">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穆武</w:t>
            </w:r>
          </w:p>
        </w:tc>
        <w:tc>
          <w:tcPr>
            <w:tcW w:w="1236" w:type="dxa"/>
            <w:noWrap w:val="0"/>
            <w:vAlign w:val="center"/>
          </w:tcPr>
          <w:p w14:paraId="2D83EB83">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技术负责人</w:t>
            </w:r>
          </w:p>
        </w:tc>
        <w:tc>
          <w:tcPr>
            <w:tcW w:w="1306" w:type="dxa"/>
            <w:noWrap w:val="0"/>
            <w:vAlign w:val="center"/>
          </w:tcPr>
          <w:p w14:paraId="225BCD29">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高级工程师</w:t>
            </w:r>
          </w:p>
        </w:tc>
        <w:tc>
          <w:tcPr>
            <w:tcW w:w="4429" w:type="dxa"/>
            <w:noWrap w:val="0"/>
            <w:vAlign w:val="center"/>
          </w:tcPr>
          <w:p w14:paraId="544753FE">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0B3DE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1948" w:type="dxa"/>
            <w:tcBorders>
              <w:top w:val="single" w:color="auto" w:sz="6" w:space="0"/>
              <w:bottom w:val="single" w:color="auto" w:sz="6" w:space="0"/>
            </w:tcBorders>
            <w:noWrap w:val="0"/>
            <w:vAlign w:val="center"/>
          </w:tcPr>
          <w:p w14:paraId="6466A64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造价管理</w:t>
            </w:r>
          </w:p>
        </w:tc>
        <w:tc>
          <w:tcPr>
            <w:tcW w:w="1297" w:type="dxa"/>
            <w:noWrap w:val="0"/>
            <w:vAlign w:val="center"/>
          </w:tcPr>
          <w:p w14:paraId="69FCE9C0">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张晓珍</w:t>
            </w:r>
          </w:p>
        </w:tc>
        <w:tc>
          <w:tcPr>
            <w:tcW w:w="1236" w:type="dxa"/>
            <w:noWrap w:val="0"/>
            <w:vAlign w:val="center"/>
          </w:tcPr>
          <w:p w14:paraId="1F957BBD">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造价</w:t>
            </w:r>
            <w:r>
              <w:rPr>
                <w:rFonts w:hint="eastAsia" w:ascii="宋体" w:hAnsi="宋体" w:eastAsia="宋体" w:cs="宋体"/>
                <w:color w:val="auto"/>
                <w:spacing w:val="0"/>
                <w:w w:val="100"/>
                <w:kern w:val="0"/>
                <w:sz w:val="21"/>
                <w:szCs w:val="21"/>
                <w:highlight w:val="none"/>
                <w:lang w:val="en-US" w:eastAsia="zh-CN" w:bidi="ar-SA"/>
              </w:rPr>
              <w:t>师</w:t>
            </w:r>
          </w:p>
        </w:tc>
        <w:tc>
          <w:tcPr>
            <w:tcW w:w="1306" w:type="dxa"/>
            <w:noWrap w:val="0"/>
            <w:vAlign w:val="center"/>
          </w:tcPr>
          <w:p w14:paraId="68DC422A">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w:t>
            </w:r>
          </w:p>
        </w:tc>
        <w:tc>
          <w:tcPr>
            <w:tcW w:w="4429" w:type="dxa"/>
            <w:noWrap w:val="0"/>
            <w:vAlign w:val="center"/>
          </w:tcPr>
          <w:p w14:paraId="2BC9959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6D100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8" w:type="dxa"/>
            <w:tcBorders>
              <w:top w:val="single" w:color="auto" w:sz="6" w:space="0"/>
              <w:bottom w:val="single" w:color="auto" w:sz="6" w:space="0"/>
            </w:tcBorders>
            <w:noWrap w:val="0"/>
            <w:vAlign w:val="center"/>
          </w:tcPr>
          <w:p w14:paraId="7DB7BBF7">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质量管理</w:t>
            </w:r>
          </w:p>
        </w:tc>
        <w:tc>
          <w:tcPr>
            <w:tcW w:w="1297" w:type="dxa"/>
            <w:noWrap w:val="0"/>
            <w:vAlign w:val="center"/>
          </w:tcPr>
          <w:p w14:paraId="5B5AD21E">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张雪慧</w:t>
            </w:r>
          </w:p>
        </w:tc>
        <w:tc>
          <w:tcPr>
            <w:tcW w:w="1236" w:type="dxa"/>
            <w:noWrap w:val="0"/>
            <w:vAlign w:val="center"/>
          </w:tcPr>
          <w:p w14:paraId="790DF404">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r>
              <w:rPr>
                <w:rFonts w:hint="eastAsia" w:ascii="宋体" w:hAnsi="宋体" w:eastAsia="宋体" w:cs="宋体"/>
                <w:color w:val="auto"/>
                <w:spacing w:val="0"/>
                <w:w w:val="100"/>
                <w:kern w:val="0"/>
                <w:sz w:val="21"/>
                <w:szCs w:val="21"/>
                <w:highlight w:val="none"/>
                <w:lang w:val="en-US" w:eastAsia="zh-CN" w:bidi="ar-SA"/>
              </w:rPr>
              <w:t>员</w:t>
            </w:r>
          </w:p>
        </w:tc>
        <w:tc>
          <w:tcPr>
            <w:tcW w:w="1306" w:type="dxa"/>
            <w:noWrap w:val="0"/>
            <w:vAlign w:val="center"/>
          </w:tcPr>
          <w:p w14:paraId="296E893B">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w:t>
            </w:r>
          </w:p>
        </w:tc>
        <w:tc>
          <w:tcPr>
            <w:tcW w:w="4429" w:type="dxa"/>
            <w:noWrap w:val="0"/>
            <w:vAlign w:val="center"/>
          </w:tcPr>
          <w:p w14:paraId="6F68C55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1B3F5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948" w:type="dxa"/>
            <w:tcBorders>
              <w:top w:val="single" w:color="auto" w:sz="6" w:space="0"/>
              <w:bottom w:val="single" w:color="auto" w:sz="6" w:space="0"/>
            </w:tcBorders>
            <w:noWrap w:val="0"/>
            <w:vAlign w:val="center"/>
          </w:tcPr>
          <w:p w14:paraId="2336E30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材料管理</w:t>
            </w:r>
          </w:p>
        </w:tc>
        <w:tc>
          <w:tcPr>
            <w:tcW w:w="1297" w:type="dxa"/>
            <w:noWrap w:val="0"/>
            <w:vAlign w:val="center"/>
          </w:tcPr>
          <w:p w14:paraId="0AE98AB7">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刘霞</w:t>
            </w:r>
          </w:p>
        </w:tc>
        <w:tc>
          <w:tcPr>
            <w:tcW w:w="1236" w:type="dxa"/>
            <w:noWrap w:val="0"/>
            <w:vAlign w:val="center"/>
          </w:tcPr>
          <w:p w14:paraId="656711BD">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材料</w:t>
            </w:r>
            <w:r>
              <w:rPr>
                <w:rFonts w:hint="eastAsia" w:ascii="宋体" w:hAnsi="宋体" w:eastAsia="宋体" w:cs="宋体"/>
                <w:color w:val="auto"/>
                <w:spacing w:val="0"/>
                <w:w w:val="100"/>
                <w:kern w:val="0"/>
                <w:sz w:val="21"/>
                <w:szCs w:val="21"/>
                <w:highlight w:val="none"/>
                <w:lang w:val="en-US" w:eastAsia="zh-CN" w:bidi="ar-SA"/>
              </w:rPr>
              <w:t>员</w:t>
            </w:r>
          </w:p>
        </w:tc>
        <w:tc>
          <w:tcPr>
            <w:tcW w:w="1306" w:type="dxa"/>
            <w:noWrap w:val="0"/>
            <w:vAlign w:val="center"/>
          </w:tcPr>
          <w:p w14:paraId="456C3D00">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w:t>
            </w:r>
          </w:p>
        </w:tc>
        <w:tc>
          <w:tcPr>
            <w:tcW w:w="4429" w:type="dxa"/>
            <w:noWrap w:val="0"/>
            <w:vAlign w:val="center"/>
          </w:tcPr>
          <w:p w14:paraId="205C35B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57402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1948" w:type="dxa"/>
            <w:tcBorders>
              <w:top w:val="single" w:color="auto" w:sz="6" w:space="0"/>
              <w:bottom w:val="single" w:color="auto" w:sz="6" w:space="0"/>
            </w:tcBorders>
            <w:noWrap w:val="0"/>
            <w:vAlign w:val="center"/>
          </w:tcPr>
          <w:p w14:paraId="29F0A05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计划管理</w:t>
            </w:r>
          </w:p>
        </w:tc>
        <w:tc>
          <w:tcPr>
            <w:tcW w:w="1297" w:type="dxa"/>
            <w:noWrap w:val="0"/>
            <w:vAlign w:val="center"/>
          </w:tcPr>
          <w:p w14:paraId="2A60F196">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2"/>
                <w:sz w:val="21"/>
                <w:szCs w:val="21"/>
                <w:highlight w:val="none"/>
                <w:lang w:val="en-US" w:eastAsia="zh-CN" w:bidi="ar-SA"/>
              </w:rPr>
              <w:t>/</w:t>
            </w:r>
          </w:p>
        </w:tc>
        <w:tc>
          <w:tcPr>
            <w:tcW w:w="1236" w:type="dxa"/>
            <w:noWrap w:val="0"/>
            <w:vAlign w:val="center"/>
          </w:tcPr>
          <w:p w14:paraId="5537A3BC">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2"/>
                <w:sz w:val="21"/>
                <w:szCs w:val="21"/>
                <w:highlight w:val="none"/>
                <w:lang w:val="en-US" w:eastAsia="zh-CN" w:bidi="ar-SA"/>
              </w:rPr>
              <w:t>/</w:t>
            </w:r>
          </w:p>
        </w:tc>
        <w:tc>
          <w:tcPr>
            <w:tcW w:w="1306" w:type="dxa"/>
            <w:noWrap w:val="0"/>
            <w:vAlign w:val="center"/>
          </w:tcPr>
          <w:p w14:paraId="3964580B">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2"/>
                <w:sz w:val="21"/>
                <w:szCs w:val="21"/>
                <w:highlight w:val="none"/>
                <w:lang w:val="en-US" w:eastAsia="zh-CN" w:bidi="ar-SA"/>
              </w:rPr>
              <w:t>/</w:t>
            </w:r>
          </w:p>
        </w:tc>
        <w:tc>
          <w:tcPr>
            <w:tcW w:w="4429" w:type="dxa"/>
            <w:noWrap w:val="0"/>
            <w:vAlign w:val="center"/>
          </w:tcPr>
          <w:p w14:paraId="716952D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64E83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1948" w:type="dxa"/>
            <w:tcBorders>
              <w:top w:val="single" w:color="auto" w:sz="6" w:space="0"/>
              <w:bottom w:val="single" w:color="auto" w:sz="6" w:space="0"/>
            </w:tcBorders>
            <w:noWrap w:val="0"/>
            <w:vAlign w:val="center"/>
          </w:tcPr>
          <w:p w14:paraId="423A9DCC">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安全管理</w:t>
            </w:r>
          </w:p>
        </w:tc>
        <w:tc>
          <w:tcPr>
            <w:tcW w:w="1297" w:type="dxa"/>
            <w:noWrap w:val="0"/>
            <w:vAlign w:val="center"/>
          </w:tcPr>
          <w:p w14:paraId="603F381C">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耿庆伟</w:t>
            </w:r>
          </w:p>
        </w:tc>
        <w:tc>
          <w:tcPr>
            <w:tcW w:w="1236" w:type="dxa"/>
            <w:noWrap w:val="0"/>
            <w:vAlign w:val="center"/>
          </w:tcPr>
          <w:p w14:paraId="4050545D">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安全</w:t>
            </w:r>
            <w:r>
              <w:rPr>
                <w:rFonts w:hint="eastAsia" w:ascii="宋体" w:hAnsi="宋体" w:eastAsia="宋体" w:cs="宋体"/>
                <w:color w:val="auto"/>
                <w:spacing w:val="0"/>
                <w:w w:val="100"/>
                <w:kern w:val="0"/>
                <w:sz w:val="21"/>
                <w:szCs w:val="21"/>
                <w:highlight w:val="none"/>
                <w:lang w:val="en-US" w:eastAsia="zh-CN" w:bidi="ar-SA"/>
              </w:rPr>
              <w:t>员</w:t>
            </w:r>
          </w:p>
        </w:tc>
        <w:tc>
          <w:tcPr>
            <w:tcW w:w="1306" w:type="dxa"/>
            <w:noWrap w:val="0"/>
            <w:vAlign w:val="center"/>
          </w:tcPr>
          <w:p w14:paraId="786FE291">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助理工程师</w:t>
            </w:r>
          </w:p>
        </w:tc>
        <w:tc>
          <w:tcPr>
            <w:tcW w:w="4429" w:type="dxa"/>
            <w:noWrap w:val="0"/>
            <w:vAlign w:val="center"/>
          </w:tcPr>
          <w:p w14:paraId="59A315FF">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40FCE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1948" w:type="dxa"/>
            <w:vMerge w:val="restart"/>
            <w:tcBorders>
              <w:top w:val="single" w:color="auto" w:sz="6" w:space="0"/>
            </w:tcBorders>
            <w:noWrap w:val="0"/>
            <w:vAlign w:val="center"/>
          </w:tcPr>
          <w:p w14:paraId="2F42158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其他人员</w:t>
            </w:r>
          </w:p>
        </w:tc>
        <w:tc>
          <w:tcPr>
            <w:tcW w:w="1297" w:type="dxa"/>
            <w:noWrap w:val="0"/>
            <w:vAlign w:val="center"/>
          </w:tcPr>
          <w:p w14:paraId="778F3DA3">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杨会娜</w:t>
            </w:r>
          </w:p>
        </w:tc>
        <w:tc>
          <w:tcPr>
            <w:tcW w:w="1236" w:type="dxa"/>
            <w:noWrap w:val="0"/>
            <w:vAlign w:val="center"/>
          </w:tcPr>
          <w:p w14:paraId="7B256601">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资料员</w:t>
            </w:r>
          </w:p>
        </w:tc>
        <w:tc>
          <w:tcPr>
            <w:tcW w:w="1306" w:type="dxa"/>
            <w:noWrap w:val="0"/>
            <w:vAlign w:val="center"/>
          </w:tcPr>
          <w:p w14:paraId="1D3B1D1D">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cs="宋体"/>
                <w:color w:val="auto"/>
                <w:spacing w:val="0"/>
                <w:w w:val="100"/>
                <w:kern w:val="0"/>
                <w:sz w:val="21"/>
                <w:szCs w:val="21"/>
                <w:highlight w:val="none"/>
                <w:lang w:val="en-US" w:eastAsia="zh-CN" w:bidi="ar-SA"/>
              </w:rPr>
              <w:t>工程师</w:t>
            </w:r>
          </w:p>
        </w:tc>
        <w:tc>
          <w:tcPr>
            <w:tcW w:w="4429" w:type="dxa"/>
            <w:noWrap w:val="0"/>
            <w:vAlign w:val="center"/>
          </w:tcPr>
          <w:p w14:paraId="61C36B7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06AA4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1948" w:type="dxa"/>
            <w:vMerge w:val="continue"/>
            <w:noWrap w:val="0"/>
            <w:vAlign w:val="center"/>
          </w:tcPr>
          <w:p w14:paraId="1A79B99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97" w:type="dxa"/>
            <w:tcBorders>
              <w:bottom w:val="nil"/>
            </w:tcBorders>
            <w:noWrap w:val="0"/>
            <w:vAlign w:val="center"/>
          </w:tcPr>
          <w:p w14:paraId="500F1B3A">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王兆杏</w:t>
            </w:r>
          </w:p>
        </w:tc>
        <w:tc>
          <w:tcPr>
            <w:tcW w:w="1236" w:type="dxa"/>
            <w:tcBorders>
              <w:bottom w:val="nil"/>
            </w:tcBorders>
            <w:noWrap w:val="0"/>
            <w:vAlign w:val="center"/>
          </w:tcPr>
          <w:p w14:paraId="0D203715">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施工员</w:t>
            </w:r>
          </w:p>
        </w:tc>
        <w:tc>
          <w:tcPr>
            <w:tcW w:w="1306" w:type="dxa"/>
            <w:tcBorders>
              <w:bottom w:val="nil"/>
            </w:tcBorders>
            <w:noWrap w:val="0"/>
            <w:vAlign w:val="center"/>
          </w:tcPr>
          <w:p w14:paraId="4AE34AC6">
            <w:pPr>
              <w:keepNext/>
              <w:pageBreakBefore w:val="0"/>
              <w:wordWrap/>
              <w:overflowPunct/>
              <w:topLinePunct w:val="0"/>
              <w:autoSpaceDE/>
              <w:autoSpaceDN/>
              <w:bidi w:val="0"/>
              <w:spacing w:line="360" w:lineRule="auto"/>
              <w:ind w:left="63" w:leftChars="0" w:right="63" w:rightChars="0"/>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eastAsia="zh-CN" w:bidi="ar-SA"/>
              </w:rPr>
              <w:t>工程师</w:t>
            </w:r>
          </w:p>
        </w:tc>
        <w:tc>
          <w:tcPr>
            <w:tcW w:w="4429" w:type="dxa"/>
            <w:tcBorders>
              <w:bottom w:val="nil"/>
            </w:tcBorders>
            <w:noWrap w:val="0"/>
            <w:vAlign w:val="center"/>
          </w:tcPr>
          <w:p w14:paraId="0F257676">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39C17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1948" w:type="dxa"/>
            <w:vMerge w:val="continue"/>
            <w:noWrap w:val="0"/>
            <w:vAlign w:val="center"/>
          </w:tcPr>
          <w:p w14:paraId="36596DDA">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686A306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36" w:type="dxa"/>
            <w:noWrap w:val="0"/>
            <w:vAlign w:val="center"/>
          </w:tcPr>
          <w:p w14:paraId="27ACA07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306" w:type="dxa"/>
            <w:noWrap w:val="0"/>
            <w:vAlign w:val="center"/>
          </w:tcPr>
          <w:p w14:paraId="688CF62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1D280402">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2A584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1948" w:type="dxa"/>
            <w:vMerge w:val="continue"/>
            <w:noWrap w:val="0"/>
            <w:vAlign w:val="center"/>
          </w:tcPr>
          <w:p w14:paraId="7A24095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1F48F3F4">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236" w:type="dxa"/>
            <w:noWrap w:val="0"/>
            <w:vAlign w:val="center"/>
          </w:tcPr>
          <w:p w14:paraId="3D37C4A3">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1306" w:type="dxa"/>
            <w:noWrap w:val="0"/>
            <w:vAlign w:val="center"/>
          </w:tcPr>
          <w:p w14:paraId="5ED1CBBD">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6922392B">
            <w:pPr>
              <w:pageBreakBefore w:val="0"/>
              <w:wordWrap/>
              <w:overflowPunct/>
              <w:topLinePunct w:val="0"/>
              <w:autoSpaceDE/>
              <w:autoSpaceDN/>
              <w:bidi w:val="0"/>
              <w:spacing w:line="360" w:lineRule="auto"/>
              <w:jc w:val="center"/>
              <w:outlineLvl w:val="9"/>
              <w:rPr>
                <w:rFonts w:ascii="宋体" w:hAnsi="宋体" w:eastAsia="宋体" w:cs="宋体"/>
                <w:color w:val="auto"/>
                <w:spacing w:val="0"/>
                <w:w w:val="100"/>
                <w:kern w:val="2"/>
                <w:sz w:val="21"/>
                <w:szCs w:val="21"/>
                <w:highlight w:val="none"/>
                <w:lang w:val="en-US" w:bidi="ar-SA"/>
              </w:rPr>
            </w:pPr>
          </w:p>
        </w:tc>
      </w:tr>
      <w:tr w14:paraId="4102E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1948" w:type="dxa"/>
            <w:vMerge w:val="continue"/>
            <w:tcBorders>
              <w:bottom w:val="single" w:color="auto" w:sz="12" w:space="0"/>
            </w:tcBorders>
            <w:noWrap w:val="0"/>
            <w:vAlign w:val="center"/>
          </w:tcPr>
          <w:p w14:paraId="48E6B1F3">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p>
        </w:tc>
        <w:tc>
          <w:tcPr>
            <w:tcW w:w="1297" w:type="dxa"/>
            <w:tcBorders>
              <w:bottom w:val="single" w:color="auto" w:sz="12" w:space="0"/>
            </w:tcBorders>
            <w:noWrap w:val="0"/>
            <w:vAlign w:val="center"/>
          </w:tcPr>
          <w:p w14:paraId="12DE788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p>
        </w:tc>
        <w:tc>
          <w:tcPr>
            <w:tcW w:w="1236" w:type="dxa"/>
            <w:tcBorders>
              <w:bottom w:val="single" w:color="auto" w:sz="12" w:space="0"/>
            </w:tcBorders>
            <w:noWrap w:val="0"/>
            <w:vAlign w:val="center"/>
          </w:tcPr>
          <w:p w14:paraId="6E9BAA6A">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p>
        </w:tc>
        <w:tc>
          <w:tcPr>
            <w:tcW w:w="1306" w:type="dxa"/>
            <w:tcBorders>
              <w:bottom w:val="single" w:color="auto" w:sz="12" w:space="0"/>
            </w:tcBorders>
            <w:noWrap w:val="0"/>
            <w:vAlign w:val="center"/>
          </w:tcPr>
          <w:p w14:paraId="3DAB77B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p>
        </w:tc>
        <w:tc>
          <w:tcPr>
            <w:tcW w:w="4429" w:type="dxa"/>
            <w:tcBorders>
              <w:bottom w:val="single" w:color="auto" w:sz="12" w:space="0"/>
            </w:tcBorders>
            <w:noWrap w:val="0"/>
            <w:vAlign w:val="center"/>
          </w:tcPr>
          <w:p w14:paraId="518B051E">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p>
        </w:tc>
      </w:tr>
    </w:tbl>
    <w:p w14:paraId="1D421935">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p>
    <w:p w14:paraId="4763CD61">
      <w:pPr>
        <w:pageBreakBefore w:val="0"/>
        <w:wordWrap/>
        <w:overflowPunct/>
        <w:topLinePunct w:val="0"/>
        <w:autoSpaceDE/>
        <w:autoSpaceDN/>
        <w:bidi w:val="0"/>
        <w:spacing w:line="360" w:lineRule="auto"/>
        <w:jc w:val="both"/>
        <w:outlineLvl w:val="9"/>
        <w:rPr>
          <w:rFonts w:ascii="宋体" w:hAnsi="宋体" w:eastAsia="宋体" w:cs="宋体"/>
          <w:color w:val="auto"/>
          <w:spacing w:val="0"/>
          <w:w w:val="100"/>
          <w:kern w:val="2"/>
          <w:sz w:val="21"/>
          <w:szCs w:val="21"/>
          <w:highlight w:val="none"/>
          <w:lang w:val="en-US" w:bidi="ar-SA"/>
        </w:rPr>
      </w:pPr>
      <w:bookmarkStart w:id="614" w:name="_Toc18203"/>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w:t>
      </w:r>
      <w:bookmarkStart w:id="615" w:name="_Toc296346730"/>
      <w:bookmarkStart w:id="616" w:name="_Toc296891057"/>
      <w:bookmarkStart w:id="617" w:name="_Toc296944568"/>
      <w:bookmarkStart w:id="618" w:name="_Toc296891269"/>
      <w:bookmarkStart w:id="619" w:name="_Toc296503229"/>
      <w:bookmarkStart w:id="620" w:name="_Toc296347228"/>
      <w:r>
        <w:rPr>
          <w:rFonts w:hint="eastAsia" w:ascii="宋体" w:hAnsi="宋体" w:eastAsia="宋体" w:cs="宋体"/>
          <w:color w:val="auto"/>
          <w:spacing w:val="0"/>
          <w:w w:val="100"/>
          <w:kern w:val="2"/>
          <w:sz w:val="21"/>
          <w:szCs w:val="21"/>
          <w:highlight w:val="none"/>
          <w:lang w:val="en-US" w:bidi="ar-SA"/>
        </w:rPr>
        <w:t>件7：</w:t>
      </w:r>
      <w:bookmarkEnd w:id="614"/>
    </w:p>
    <w:bookmarkEnd w:id="615"/>
    <w:bookmarkEnd w:id="616"/>
    <w:bookmarkEnd w:id="617"/>
    <w:bookmarkEnd w:id="618"/>
    <w:bookmarkEnd w:id="619"/>
    <w:bookmarkEnd w:id="620"/>
    <w:p w14:paraId="37814F25">
      <w:pPr>
        <w:pageBreakBefore w:val="0"/>
        <w:wordWrap/>
        <w:overflowPunct/>
        <w:topLinePunct w:val="0"/>
        <w:autoSpaceDE/>
        <w:autoSpaceDN/>
        <w:bidi w:val="0"/>
        <w:spacing w:beforeLines="50" w:afterLines="50" w:line="360" w:lineRule="auto"/>
        <w:jc w:val="center"/>
        <w:outlineLvl w:val="9"/>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分包人主要施工管理人员表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228E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AE7A5C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名    称</w:t>
            </w:r>
          </w:p>
        </w:tc>
        <w:tc>
          <w:tcPr>
            <w:tcW w:w="1418" w:type="dxa"/>
            <w:tcBorders>
              <w:top w:val="single" w:color="auto" w:sz="12" w:space="0"/>
              <w:bottom w:val="double" w:color="auto" w:sz="6" w:space="0"/>
            </w:tcBorders>
            <w:noWrap w:val="0"/>
            <w:vAlign w:val="center"/>
          </w:tcPr>
          <w:p w14:paraId="28BED3D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姓名</w:t>
            </w:r>
          </w:p>
        </w:tc>
        <w:tc>
          <w:tcPr>
            <w:tcW w:w="1134" w:type="dxa"/>
            <w:tcBorders>
              <w:top w:val="single" w:color="auto" w:sz="12" w:space="0"/>
              <w:bottom w:val="double" w:color="auto" w:sz="6" w:space="0"/>
            </w:tcBorders>
            <w:noWrap w:val="0"/>
            <w:vAlign w:val="center"/>
          </w:tcPr>
          <w:p w14:paraId="16E2227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职务</w:t>
            </w:r>
          </w:p>
        </w:tc>
        <w:tc>
          <w:tcPr>
            <w:tcW w:w="1134" w:type="dxa"/>
            <w:tcBorders>
              <w:top w:val="single" w:color="auto" w:sz="12" w:space="0"/>
              <w:bottom w:val="double" w:color="auto" w:sz="6" w:space="0"/>
            </w:tcBorders>
            <w:noWrap w:val="0"/>
            <w:vAlign w:val="center"/>
          </w:tcPr>
          <w:p w14:paraId="56A7F2E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职称</w:t>
            </w:r>
          </w:p>
        </w:tc>
        <w:tc>
          <w:tcPr>
            <w:tcW w:w="4252" w:type="dxa"/>
            <w:tcBorders>
              <w:top w:val="single" w:color="auto" w:sz="12" w:space="0"/>
              <w:bottom w:val="double" w:color="auto" w:sz="6" w:space="0"/>
            </w:tcBorders>
            <w:noWrap w:val="0"/>
            <w:vAlign w:val="center"/>
          </w:tcPr>
          <w:p w14:paraId="6033A72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主要资历、经验及承担过的项目</w:t>
            </w:r>
          </w:p>
        </w:tc>
      </w:tr>
      <w:tr w14:paraId="0B8D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C219EE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一、总部人员</w:t>
            </w:r>
          </w:p>
        </w:tc>
      </w:tr>
      <w:tr w14:paraId="1F82E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591E7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项目主管</w:t>
            </w:r>
          </w:p>
        </w:tc>
        <w:tc>
          <w:tcPr>
            <w:tcW w:w="1418" w:type="dxa"/>
            <w:tcBorders>
              <w:top w:val="nil"/>
            </w:tcBorders>
            <w:noWrap w:val="0"/>
            <w:vAlign w:val="center"/>
          </w:tcPr>
          <w:p w14:paraId="72EFEF7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tcBorders>
              <w:top w:val="nil"/>
            </w:tcBorders>
            <w:noWrap w:val="0"/>
            <w:vAlign w:val="center"/>
          </w:tcPr>
          <w:p w14:paraId="69BDEFA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tcBorders>
              <w:top w:val="nil"/>
            </w:tcBorders>
            <w:noWrap w:val="0"/>
            <w:vAlign w:val="center"/>
          </w:tcPr>
          <w:p w14:paraId="2A50BA1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tcBorders>
              <w:top w:val="nil"/>
            </w:tcBorders>
            <w:noWrap w:val="0"/>
            <w:vAlign w:val="center"/>
          </w:tcPr>
          <w:p w14:paraId="3E6733B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7B5C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6D4D96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A4D53C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DD2C00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889440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7536540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530D8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C1E211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其他人员</w:t>
            </w:r>
          </w:p>
        </w:tc>
        <w:tc>
          <w:tcPr>
            <w:tcW w:w="1418" w:type="dxa"/>
            <w:noWrap w:val="0"/>
            <w:vAlign w:val="center"/>
          </w:tcPr>
          <w:p w14:paraId="13EBF97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1A5E0E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FF754F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23903CF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2B016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6F118F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487079A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00C12C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3CB51C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7037745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0B2C8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C574DA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二、现场人员</w:t>
            </w:r>
          </w:p>
        </w:tc>
      </w:tr>
      <w:tr w14:paraId="5602D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C53C0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项目经理</w:t>
            </w:r>
          </w:p>
        </w:tc>
        <w:tc>
          <w:tcPr>
            <w:tcW w:w="1418" w:type="dxa"/>
            <w:noWrap w:val="0"/>
            <w:vAlign w:val="center"/>
          </w:tcPr>
          <w:p w14:paraId="45A226C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C6BDAD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64FB90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15A633B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13C62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F1556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项目副经理</w:t>
            </w:r>
          </w:p>
        </w:tc>
        <w:tc>
          <w:tcPr>
            <w:tcW w:w="1418" w:type="dxa"/>
            <w:noWrap w:val="0"/>
            <w:vAlign w:val="center"/>
          </w:tcPr>
          <w:p w14:paraId="2C60731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758925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4632F21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78AE38D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5578F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B53C7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技术负责人</w:t>
            </w:r>
          </w:p>
        </w:tc>
        <w:tc>
          <w:tcPr>
            <w:tcW w:w="1418" w:type="dxa"/>
            <w:noWrap w:val="0"/>
            <w:vAlign w:val="center"/>
          </w:tcPr>
          <w:p w14:paraId="7D450DA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6B8D1B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CE1B33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4E6200B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1C3FB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B7283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造价管理</w:t>
            </w:r>
          </w:p>
        </w:tc>
        <w:tc>
          <w:tcPr>
            <w:tcW w:w="1418" w:type="dxa"/>
            <w:noWrap w:val="0"/>
            <w:vAlign w:val="center"/>
          </w:tcPr>
          <w:p w14:paraId="45AF1B6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C1F666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177FE5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72771F7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4614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6BBE08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质量管理</w:t>
            </w:r>
          </w:p>
        </w:tc>
        <w:tc>
          <w:tcPr>
            <w:tcW w:w="1418" w:type="dxa"/>
            <w:noWrap w:val="0"/>
            <w:vAlign w:val="center"/>
          </w:tcPr>
          <w:p w14:paraId="2510E64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5C7A74E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CFA5F0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6E95261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C0D2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BB1BA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材料管理</w:t>
            </w:r>
          </w:p>
        </w:tc>
        <w:tc>
          <w:tcPr>
            <w:tcW w:w="1418" w:type="dxa"/>
            <w:noWrap w:val="0"/>
            <w:vAlign w:val="center"/>
          </w:tcPr>
          <w:p w14:paraId="0F21F46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523A43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881462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5D76B5F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4A0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3ECA87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计划管理</w:t>
            </w:r>
          </w:p>
        </w:tc>
        <w:tc>
          <w:tcPr>
            <w:tcW w:w="1418" w:type="dxa"/>
            <w:noWrap w:val="0"/>
            <w:vAlign w:val="center"/>
          </w:tcPr>
          <w:p w14:paraId="1056406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D41176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2504EF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2EDA36F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4DFF9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C55FE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安全管理</w:t>
            </w:r>
          </w:p>
        </w:tc>
        <w:tc>
          <w:tcPr>
            <w:tcW w:w="1418" w:type="dxa"/>
            <w:noWrap w:val="0"/>
            <w:vAlign w:val="center"/>
          </w:tcPr>
          <w:p w14:paraId="6F2D6FB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6B3549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57C9BA9E">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01675FF4">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0340D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809D46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其他人员</w:t>
            </w:r>
          </w:p>
        </w:tc>
        <w:tc>
          <w:tcPr>
            <w:tcW w:w="1418" w:type="dxa"/>
            <w:noWrap w:val="0"/>
            <w:vAlign w:val="center"/>
          </w:tcPr>
          <w:p w14:paraId="2B04433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5C4BF3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E8C5BA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7C582DC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36888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7AEC4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tcBorders>
              <w:bottom w:val="nil"/>
            </w:tcBorders>
            <w:noWrap w:val="0"/>
            <w:vAlign w:val="center"/>
          </w:tcPr>
          <w:p w14:paraId="533B2E0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tcBorders>
              <w:bottom w:val="nil"/>
            </w:tcBorders>
            <w:noWrap w:val="0"/>
            <w:vAlign w:val="center"/>
          </w:tcPr>
          <w:p w14:paraId="0B2D881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tcBorders>
              <w:bottom w:val="nil"/>
            </w:tcBorders>
            <w:noWrap w:val="0"/>
            <w:vAlign w:val="center"/>
          </w:tcPr>
          <w:p w14:paraId="51737402">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tcBorders>
              <w:bottom w:val="nil"/>
            </w:tcBorders>
            <w:noWrap w:val="0"/>
            <w:vAlign w:val="center"/>
          </w:tcPr>
          <w:p w14:paraId="40E3824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78A23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A23C1C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1F269D6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3DC5DB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313B31D">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692E697F">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584DF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DFE643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18625600">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C5B6A81">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2AB4E09">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3E165D4C">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5F556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9847D8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8FD3057">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6F28448">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5C3C0F6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63B28C5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r w14:paraId="7BB91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A5C0F6B">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418" w:type="dxa"/>
            <w:tcBorders>
              <w:bottom w:val="single" w:color="auto" w:sz="12" w:space="0"/>
            </w:tcBorders>
            <w:noWrap w:val="0"/>
            <w:vAlign w:val="center"/>
          </w:tcPr>
          <w:p w14:paraId="1F33F4B6">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tcBorders>
              <w:bottom w:val="single" w:color="auto" w:sz="12" w:space="0"/>
            </w:tcBorders>
            <w:noWrap w:val="0"/>
            <w:vAlign w:val="center"/>
          </w:tcPr>
          <w:p w14:paraId="49DC5035">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1134" w:type="dxa"/>
            <w:tcBorders>
              <w:bottom w:val="single" w:color="auto" w:sz="12" w:space="0"/>
            </w:tcBorders>
            <w:noWrap w:val="0"/>
            <w:vAlign w:val="center"/>
          </w:tcPr>
          <w:p w14:paraId="4576C8B3">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c>
          <w:tcPr>
            <w:tcW w:w="4252" w:type="dxa"/>
            <w:tcBorders>
              <w:bottom w:val="single" w:color="auto" w:sz="12" w:space="0"/>
            </w:tcBorders>
            <w:noWrap w:val="0"/>
            <w:vAlign w:val="center"/>
          </w:tcPr>
          <w:p w14:paraId="6B23508A">
            <w:pPr>
              <w:keepNext/>
              <w:pageBreakBefore w:val="0"/>
              <w:wordWrap/>
              <w:overflowPunct/>
              <w:topLinePunct w:val="0"/>
              <w:autoSpaceDE/>
              <w:autoSpaceDN/>
              <w:bidi w:val="0"/>
              <w:spacing w:line="360" w:lineRule="auto"/>
              <w:ind w:left="63" w:right="63"/>
              <w:jc w:val="left"/>
              <w:outlineLvl w:val="9"/>
              <w:rPr>
                <w:rFonts w:ascii="宋体" w:hAnsi="宋体" w:eastAsia="宋体" w:cs="宋体"/>
                <w:color w:val="auto"/>
                <w:spacing w:val="0"/>
                <w:w w:val="100"/>
                <w:kern w:val="0"/>
                <w:sz w:val="21"/>
                <w:szCs w:val="21"/>
                <w:highlight w:val="none"/>
                <w:lang w:val="en-US" w:bidi="ar-SA"/>
              </w:rPr>
            </w:pPr>
          </w:p>
        </w:tc>
      </w:tr>
    </w:tbl>
    <w:p w14:paraId="44EBAE59">
      <w:pPr>
        <w:pageBreakBefore w:val="0"/>
        <w:wordWrap/>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 </w:t>
      </w:r>
    </w:p>
    <w:p w14:paraId="177F353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C2EB">
    <w:pPr>
      <w:pStyle w:val="8"/>
      <w:keepNext w:val="0"/>
      <w:keepLines w:val="0"/>
      <w:pageBreakBefore w:val="0"/>
      <w:widowControl w:val="0"/>
      <w:pBdr>
        <w:top w:val="none" w:color="auto" w:sz="0" w:space="1"/>
        <w:left w:val="none" w:color="auto" w:sz="0" w:space="0"/>
        <w:bottom w:val="none" w:color="auto" w:sz="0" w:space="0"/>
        <w:right w:val="none" w:color="auto" w:sz="0" w:space="0"/>
        <w:between w:val="none" w:color="auto" w:sz="0" w:space="0"/>
      </w:pBdr>
      <w:kinsoku/>
      <w:wordWrap w:val="0"/>
      <w:overflowPunct/>
      <w:topLinePunct/>
      <w:bidi w:val="0"/>
      <w:adjustRightInd/>
      <w:snapToGrid w:val="0"/>
      <w:ind w:right="0"/>
      <w:textAlignment w:val="auto"/>
      <w:rPr>
        <w:rStyle w:val="14"/>
        <w:rFonts w:hint="eastAsia" w:ascii="宋体" w:hAnsi="宋体"/>
        <w:sz w:val="24"/>
        <w:szCs w:val="24"/>
      </w:rPr>
    </w:pPr>
    <w:r>
      <w:rPr>
        <w:rFonts w:hint="eastAsia" w:ascii="宋体" w:hAnsi="宋体"/>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6354">
    <w:pPr>
      <w:wordWrap/>
      <w:topLinePunct w:val="0"/>
      <w:autoSpaceDE/>
      <w:autoSpaceDN/>
      <w:jc w:val="center"/>
      <w:rPr>
        <w:rFonts w:ascii="Times New Roman" w:hAnsi="Times New Roman" w:eastAsia="宋体" w:cs="Times New Roman"/>
        <w:kern w:val="2"/>
        <w:sz w:val="21"/>
        <w:szCs w:val="24"/>
        <w:lang w:val="en-US" w:bidi="ar-SA"/>
      </w:rPr>
    </w:pPr>
    <w:r>
      <w:rPr>
        <w:rFonts w:ascii="Times New Roman" w:hAnsi="Times New Roman" w:eastAsia="宋体" w:cs="Times New Roman"/>
        <w:kern w:val="2"/>
        <w:sz w:val="21"/>
        <w:szCs w:val="24"/>
        <w:lang w:val="en-US"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FF13085">
                          <w:pPr>
                            <w:wordWrap/>
                            <w:topLinePunct w:val="0"/>
                            <w:autoSpaceDE/>
                            <w:autoSpaceDN/>
                            <w:jc w:val="both"/>
                            <w:rPr>
                              <w:rFonts w:ascii="Times New Roman" w:hAnsi="Times New Roman" w:eastAsia="宋体" w:cs="Times New Roman"/>
                              <w:kern w:val="2"/>
                              <w:sz w:val="21"/>
                              <w:szCs w:val="24"/>
                              <w:lang w:val="en-US" w:bidi="ar-SA"/>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N1aRIswBAACZAwAADgAAAAAAAAABACAAAAAfAQAAZHJzL2Uy&#10;b0RvYy54bWxQSwUGAAAAAAYABgBZAQAAXQUAAAAA&#10;">
              <v:fill on="f" focussize="0,0"/>
              <v:stroke on="f"/>
              <v:imagedata o:title=""/>
              <o:lock v:ext="edit" aspectratio="f"/>
              <v:textbox inset="0mm,0mm,0mm,0mm" style="mso-fit-shape-to-text:t;">
                <w:txbxContent>
                  <w:p w14:paraId="6FF13085">
                    <w:pPr>
                      <w:wordWrap/>
                      <w:topLinePunct w:val="0"/>
                      <w:autoSpaceDE/>
                      <w:autoSpaceDN/>
                      <w:jc w:val="both"/>
                      <w:rPr>
                        <w:rFonts w:ascii="Times New Roman" w:hAnsi="Times New Roman" w:eastAsia="宋体" w:cs="Times New Roman"/>
                        <w:kern w:val="2"/>
                        <w:sz w:val="21"/>
                        <w:szCs w:val="24"/>
                        <w:lang w:val="en-US"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8E9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3C9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5"/>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7A8892"/>
    <w:multiLevelType w:val="singleLevel"/>
    <w:tmpl w:val="147A889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F438B"/>
    <w:rsid w:val="13FD2CD8"/>
    <w:rsid w:val="1DDD2265"/>
    <w:rsid w:val="1FAF642F"/>
    <w:rsid w:val="20C77B4A"/>
    <w:rsid w:val="24C94C97"/>
    <w:rsid w:val="28764A13"/>
    <w:rsid w:val="30785FCF"/>
    <w:rsid w:val="34DA16F2"/>
    <w:rsid w:val="37313B18"/>
    <w:rsid w:val="3858299A"/>
    <w:rsid w:val="3A8121EE"/>
    <w:rsid w:val="3FB84DD6"/>
    <w:rsid w:val="48902B10"/>
    <w:rsid w:val="50153B7F"/>
    <w:rsid w:val="55BC63EF"/>
    <w:rsid w:val="5B871E1D"/>
    <w:rsid w:val="64C03C61"/>
    <w:rsid w:val="69040B74"/>
    <w:rsid w:val="6EAE7221"/>
    <w:rsid w:val="71066EA0"/>
    <w:rsid w:val="7491561A"/>
    <w:rsid w:val="7990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ageBreakBefore w:val="0"/>
      <w:widowControl w:val="0"/>
      <w:wordWrap/>
      <w:overflowPunct/>
      <w:topLinePunct w:val="0"/>
      <w:autoSpaceDE/>
      <w:autoSpaceDN/>
      <w:bidi w:val="0"/>
      <w:spacing w:line="360" w:lineRule="auto"/>
      <w:jc w:val="both"/>
      <w:outlineLvl w:val="9"/>
    </w:pPr>
    <w:rPr>
      <w:rFonts w:ascii="宋体" w:hAnsi="宋体" w:eastAsia="宋体" w:cs="宋体"/>
      <w:color w:val="auto"/>
      <w:spacing w:val="0"/>
      <w:w w:val="100"/>
      <w:kern w:val="2"/>
      <w:sz w:val="21"/>
      <w:szCs w:val="24"/>
      <w:highlight w:val="none"/>
      <w:lang w:val="en-US" w:eastAsia="zh-CN" w:bidi="ar-SA"/>
    </w:rPr>
  </w:style>
  <w:style w:type="paragraph" w:styleId="2">
    <w:name w:val="heading 2"/>
    <w:basedOn w:val="1"/>
    <w:next w:val="1"/>
    <w:semiHidden/>
    <w:unhideWhenUsed/>
    <w:qFormat/>
    <w:uiPriority w:val="0"/>
    <w:pPr>
      <w:spacing w:line="360" w:lineRule="auto"/>
      <w:jc w:val="center"/>
      <w:outlineLvl w:val="1"/>
    </w:pPr>
    <w:rPr>
      <w:rFonts w:ascii="宋体" w:hAnsi="宋体" w:eastAsia="宋体" w:cs="宋体"/>
      <w:b/>
      <w:sz w:val="24"/>
      <w:szCs w:val="22"/>
    </w:rPr>
  </w:style>
  <w:style w:type="paragraph" w:styleId="3">
    <w:name w:val="heading 3"/>
    <w:basedOn w:val="1"/>
    <w:next w:val="1"/>
    <w:unhideWhenUsed/>
    <w:qFormat/>
    <w:uiPriority w:val="0"/>
    <w:pPr>
      <w:keepNext/>
      <w:keepLines/>
      <w:wordWrap/>
      <w:topLinePunct w:val="0"/>
      <w:adjustRightInd w:val="0"/>
      <w:snapToGrid w:val="0"/>
      <w:spacing w:before="157" w:beforeLines="50" w:line="360" w:lineRule="auto"/>
      <w:outlineLvl w:val="2"/>
    </w:pPr>
    <w:rPr>
      <w:b/>
      <w:bCs/>
      <w:color w:val="auto"/>
      <w:highlight w:val="none"/>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宋体" w:hAnsi="宋体" w:eastAsia="宋体" w:cs="宋体"/>
      <w:sz w:val="30"/>
      <w:szCs w:val="30"/>
      <w:lang w:val="en-US" w:eastAsia="en-US" w:bidi="ar-SA"/>
    </w:rPr>
  </w:style>
  <w:style w:type="paragraph" w:customStyle="1" w:styleId="5">
    <w:name w:val="Body Text 21"/>
    <w:qFormat/>
    <w:uiPriority w:val="0"/>
    <w:pPr>
      <w:widowControl/>
      <w:numPr>
        <w:ilvl w:val="0"/>
        <w:numId w:val="1"/>
      </w:numPr>
      <w:spacing w:beforeLines="50" w:line="336" w:lineRule="auto"/>
      <w:ind w:left="0" w:firstLine="0"/>
      <w:jc w:val="both"/>
    </w:pPr>
    <w:rPr>
      <w:rFonts w:ascii="Times New Roman" w:hAnsi="Times New Roman" w:eastAsia="仿宋_GB2312" w:cs="仿宋"/>
      <w:kern w:val="0"/>
      <w:sz w:val="28"/>
      <w:szCs w:val="20"/>
      <w:lang w:val="en-US" w:eastAsia="en-US" w:bidi="ar-SA"/>
    </w:rPr>
  </w:style>
  <w:style w:type="paragraph" w:styleId="6">
    <w:name w:val="Body Text Indent"/>
    <w:basedOn w:val="1"/>
    <w:next w:val="7"/>
    <w:qFormat/>
    <w:uiPriority w:val="0"/>
    <w:pPr>
      <w:ind w:left="420" w:leftChars="200"/>
    </w:pPr>
    <w:rPr>
      <w:szCs w:val="20"/>
    </w:rPr>
  </w:style>
  <w:style w:type="paragraph" w:styleId="7">
    <w:name w:val="envelope return"/>
    <w:basedOn w:val="1"/>
    <w:qFormat/>
    <w:uiPriority w:val="0"/>
    <w:rPr>
      <w:rFonts w:ascii="Arial" w:hAnsi="Arial"/>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next w:val="11"/>
    <w:qFormat/>
    <w:uiPriority w:val="0"/>
    <w:pPr>
      <w:spacing w:after="120" w:line="360" w:lineRule="auto"/>
      <w:ind w:firstLine="420" w:firstLineChars="100"/>
    </w:pPr>
    <w:rPr>
      <w:rFonts w:ascii="Arial" w:hAnsi="Arial"/>
    </w:rPr>
  </w:style>
  <w:style w:type="paragraph" w:styleId="11">
    <w:name w:val="Body Text First Indent 2"/>
    <w:basedOn w:val="6"/>
    <w:next w:val="1"/>
    <w:qFormat/>
    <w:uiPriority w:val="0"/>
    <w:pPr>
      <w:ind w:firstLine="420"/>
    </w:pPr>
  </w:style>
  <w:style w:type="character" w:styleId="14">
    <w:name w:val="page number"/>
    <w:basedOn w:val="13"/>
    <w:qFormat/>
    <w:uiPriority w:val="0"/>
  </w:style>
  <w:style w:type="paragraph" w:customStyle="1" w:styleId="15">
    <w:name w:val="纯文本1"/>
    <w:basedOn w:val="1"/>
    <w:qFormat/>
    <w:uiPriority w:val="0"/>
    <w:pPr>
      <w:adjustRightInd w:val="0"/>
      <w:textAlignment w:val="baseline"/>
    </w:pPr>
    <w:rPr>
      <w:rFonts w:hAnsi="Courier New"/>
      <w:sz w:val="20"/>
      <w:szCs w:val="20"/>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16247</Words>
  <Characters>17504</Characters>
  <Lines>0</Lines>
  <Paragraphs>0</Paragraphs>
  <TotalTime>4</TotalTime>
  <ScaleCrop>false</ScaleCrop>
  <LinksUpToDate>false</LinksUpToDate>
  <CharactersWithSpaces>17915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2026-06-15T07:34:00Z</dcterms:created>
  <dc:creator>Administrator</dc:creator>
  <cp:lastModifiedBy>李静</cp:lastModifiedBy>
  <cp:lastPrinted>2026-06-15T09:16:00Z</cp:lastPrinted>
  <dcterms:modified xsi:type="dcterms:W3CDTF">2026-06-25T09:19:14Z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eyJoZGlkIjoiYzA2NzkwYTA3OWQ4Y2QzZDFhNjc2YTNiZTU1OGZhNWUiLCJ1c2VySWQiOiIyODA4NTg2MjMifQ==</vt:lpwstr>
  </property>
  <property fmtid="{D5CDD505-2E9C-101B-9397-08002B2CF9AE}" pid="4" name="ICV">
    <vt:lpwstr>A37C3AB48E7144939B434CD201E10555_12</vt:lpwstr>
  </property>
</Properties>
</file>