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8276CF">
      <w:pPr>
        <w:pStyle w:val="2"/>
        <w:numPr>
          <w:ilvl w:val="0"/>
          <w:numId w:val="0"/>
        </w:numPr>
        <w:jc w:val="center"/>
        <w:rPr>
          <w:rFonts w:hint="eastAsia" w:ascii="宋体" w:hAnsi="宋体" w:eastAsia="宋体" w:cs="宋体"/>
          <w:b/>
          <w:color w:val="000000" w:themeColor="text1"/>
          <w:kern w:val="2"/>
          <w:sz w:val="36"/>
          <w:szCs w:val="36"/>
          <w:lang w:val="en-US" w:eastAsia="zh-CN" w:bidi="ar-SA"/>
          <w14:textFill>
            <w14:solidFill>
              <w14:schemeClr w14:val="tx1"/>
            </w14:solidFill>
          </w14:textFill>
        </w:rPr>
      </w:pPr>
      <w:r>
        <w:rPr>
          <w:rFonts w:hint="eastAsia" w:ascii="宋体" w:hAnsi="宋体" w:eastAsia="宋体" w:cs="宋体"/>
          <w:b/>
          <w:color w:val="000000" w:themeColor="text1"/>
          <w:kern w:val="2"/>
          <w:sz w:val="36"/>
          <w:szCs w:val="36"/>
          <w:lang w:val="en-US" w:eastAsia="zh-CN" w:bidi="ar-SA"/>
          <w14:textFill>
            <w14:solidFill>
              <w14:schemeClr w14:val="tx1"/>
            </w14:solidFill>
          </w14:textFill>
        </w:rPr>
        <w:t>采购需求及技术要求</w:t>
      </w:r>
    </w:p>
    <w:p w14:paraId="60F5C245">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jc w:val="left"/>
        <w:textAlignment w:val="baseline"/>
        <w:rPr>
          <w:rFonts w:hint="eastAsia" w:ascii="宋体" w:hAnsi="宋体" w:eastAsia="宋体" w:cs="宋体"/>
          <w:snapToGrid w:val="0"/>
          <w:color w:val="000000"/>
          <w:kern w:val="0"/>
          <w:sz w:val="21"/>
          <w:szCs w:val="21"/>
          <w:lang w:eastAsia="en-US"/>
        </w:rPr>
      </w:pPr>
      <w:r>
        <w:rPr>
          <w:rFonts w:hint="eastAsia" w:ascii="宋体" w:hAnsi="宋体" w:eastAsia="宋体" w:cs="宋体"/>
          <w:b/>
          <w:bCs/>
          <w:snapToGrid w:val="0"/>
          <w:color w:val="000000"/>
          <w:spacing w:val="7"/>
          <w:kern w:val="0"/>
          <w:sz w:val="21"/>
          <w:szCs w:val="21"/>
          <w:lang w:eastAsia="en-US"/>
        </w:rPr>
        <w:t>一、</w:t>
      </w:r>
      <w:r>
        <w:rPr>
          <w:rFonts w:hint="eastAsia" w:ascii="宋体" w:hAnsi="宋体" w:eastAsia="宋体" w:cs="宋体"/>
          <w:b/>
          <w:bCs/>
          <w:snapToGrid w:val="0"/>
          <w:color w:val="000000"/>
          <w:spacing w:val="6"/>
          <w:kern w:val="0"/>
          <w:sz w:val="21"/>
          <w:szCs w:val="21"/>
          <w:lang w:eastAsia="en-US"/>
        </w:rPr>
        <w:t>技术</w:t>
      </w:r>
      <w:r>
        <w:rPr>
          <w:rFonts w:hint="eastAsia" w:ascii="宋体" w:hAnsi="宋体" w:cs="宋体"/>
          <w:b/>
          <w:bCs/>
          <w:snapToGrid w:val="0"/>
          <w:color w:val="000000"/>
          <w:spacing w:val="6"/>
          <w:kern w:val="0"/>
          <w:sz w:val="21"/>
          <w:szCs w:val="21"/>
          <w:lang w:val="en-US" w:eastAsia="zh-CN"/>
        </w:rPr>
        <w:t>参数</w:t>
      </w:r>
      <w:r>
        <w:rPr>
          <w:rFonts w:hint="eastAsia" w:ascii="宋体" w:hAnsi="宋体" w:eastAsia="宋体" w:cs="宋体"/>
          <w:b/>
          <w:bCs/>
          <w:snapToGrid w:val="0"/>
          <w:color w:val="000000"/>
          <w:spacing w:val="6"/>
          <w:kern w:val="0"/>
          <w:sz w:val="21"/>
          <w:szCs w:val="21"/>
          <w:lang w:eastAsia="en-US"/>
        </w:rPr>
        <w:t>要求：</w:t>
      </w:r>
    </w:p>
    <w:p w14:paraId="349334B2">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（一）主要功能要求</w:t>
      </w:r>
    </w:p>
    <w:p w14:paraId="21364180">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本项目配备核心交换机2套</w:t>
      </w:r>
    </w:p>
    <w:p w14:paraId="4A212201">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★1.国产化芯片交换机；正交CLOS架构，支持≥2个主控槽位，≥6个独立交换网板，≥8个业务槽位；（提供第三方检测报告或原厂/厂商参数截图或公开发布的产品彩页）</w:t>
      </w:r>
    </w:p>
    <w:p w14:paraId="30D63A11">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2.交换容量≥1800Tbps，包转发率</w:t>
      </w:r>
      <w:bookmarkStart w:id="0" w:name="_GoBack"/>
      <w:bookmarkEnd w:id="0"/>
      <w:r>
        <w:rPr>
          <w:rFonts w:hint="eastAsia" w:ascii="宋体" w:hAnsi="宋体" w:eastAsia="宋体" w:cs="宋体"/>
          <w:color w:val="auto"/>
          <w:szCs w:val="21"/>
          <w:highlight w:val="none"/>
          <w:lang w:val="en-US" w:eastAsia="zh-CN"/>
        </w:rPr>
        <w:t>≥460000Mpps；</w:t>
      </w:r>
    </w:p>
    <w:p w14:paraId="5B6CE8AF">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3.支持主控、网板、风扇框、电源、电源总开关等关键器件冗余设计；</w:t>
      </w:r>
    </w:p>
    <w:p w14:paraId="67078286">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4.支持故障检测、双向链路切换，双向链路恢复无丢包；（提供第三方检测报告或原厂/厂商参数截图或公开发布的产品彩页）</w:t>
      </w:r>
    </w:p>
    <w:p w14:paraId="36CB0B39">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5.支持4K VLAN数量，支持PrivateVlan/MUX VLAN</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支持SuperVlan，支持QinQ，支持VLAN Mapping；</w:t>
      </w:r>
    </w:p>
    <w:p w14:paraId="3C4C0C59">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6.支持IPv4/IPv6静态路由，支持路由协议加密，包括RIP V1/V2、OSFPv2、ISISv4、BGP、RIPng、OSPFv3、ISISv6、BGP4+，支持ICMPv6转发；</w:t>
      </w:r>
    </w:p>
    <w:p w14:paraId="148508E9">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7.支持Telemetry可视化功能，支持sFlow流量统计分析功能；</w:t>
      </w:r>
    </w:p>
    <w:p w14:paraId="5C126B89">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8.支持流量无损功能；（提供第三方检测报告或原厂/厂商参数截图或公开发布的产品彩页）</w:t>
      </w:r>
    </w:p>
    <w:p w14:paraId="3D319100">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9.配置2个主控，配置4个交换网板，配置≥16个100G以太网光接口，≥48个千兆以太网电接口，≥48个万兆以太网光接口；配置堆叠线缆；各接口满配光模块（根据实际需求调整单模、多模配比）；满配风扇、电源；</w:t>
      </w:r>
    </w:p>
    <w:p w14:paraId="105D1407">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（二）汇聚交换设备要求</w:t>
      </w:r>
    </w:p>
    <w:p w14:paraId="5E4005F1">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本项目共配置汇聚交换设备，配合业务核心交换网络用</w:t>
      </w:r>
    </w:p>
    <w:p w14:paraId="60A4DBAB">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★1.本项目共配置汇聚交换设备6套，国产化芯片交换机；</w:t>
      </w:r>
    </w:p>
    <w:p w14:paraId="723CD03C">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2.单台设备交换容量≥4.8Tbps，包转发率≥2000Mpps；</w:t>
      </w:r>
    </w:p>
    <w:p w14:paraId="6ACF7738">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3.单台设备提供≥48个1G/10G SFP端口，≥8个40G/100G QSFP28端口；</w:t>
      </w:r>
    </w:p>
    <w:p w14:paraId="0360E226">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4.支持M-LAG跨设备链路聚合技术；支持VxLAN；</w:t>
      </w:r>
    </w:p>
    <w:p w14:paraId="1BE56AAF">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5.支持全端口MACsec；</w:t>
      </w:r>
    </w:p>
    <w:p w14:paraId="1EA6E80B">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6.单台设备配置≥2个电源模块，配置足量风扇模块，配置≥48个万兆多模光模块，配置≥7个100G多模光模块，配置40G堆叠线；</w:t>
      </w:r>
    </w:p>
    <w:p w14:paraId="5285D495">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（三）服务要求</w:t>
      </w:r>
    </w:p>
    <w:p w14:paraId="046D8F8E">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1.医院现有交换机板卡扩容，配置≥16个100G以太网光接口，满配光模块；配置堆叠光缆；</w:t>
      </w:r>
    </w:p>
    <w:p w14:paraId="4C056CBF">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2.提供本次项目实施中所有光纤跳线、网线、电源线等线材；完成硬件设备的上架、系统配置调试、网络割接等工作。</w:t>
      </w:r>
    </w:p>
    <w:p w14:paraId="78B2006B">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注：1、上表中★条款不允许负偏离，不作为评分内容。技术偏离表中的投标响应内容应当如实填写所投实际产品具体配置参数。2、供应商应当提供技术证明文件，证明文件可以是产品彩页或技术白皮书或产品说明书或检测报告或技术参数证明或软件相关功能截图和相关说明描述等作为参数支撑材料（技术要求中有特定要求的按其要求执行）。</w:t>
      </w:r>
    </w:p>
    <w:p w14:paraId="75228A51">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jc w:val="left"/>
        <w:textAlignment w:val="baseline"/>
        <w:rPr>
          <w:rFonts w:hint="eastAsia" w:ascii="宋体" w:hAnsi="宋体" w:cs="宋体"/>
          <w:b/>
          <w:bCs/>
          <w:snapToGrid w:val="0"/>
          <w:color w:val="000000"/>
          <w:spacing w:val="6"/>
          <w:kern w:val="0"/>
          <w:sz w:val="21"/>
          <w:szCs w:val="21"/>
          <w:lang w:val="en-US" w:eastAsia="zh-CN"/>
        </w:rPr>
      </w:pPr>
      <w:r>
        <w:rPr>
          <w:rFonts w:hint="eastAsia" w:ascii="宋体" w:hAnsi="宋体" w:cs="宋体"/>
          <w:b/>
          <w:bCs/>
          <w:snapToGrid w:val="0"/>
          <w:color w:val="000000"/>
          <w:spacing w:val="6"/>
          <w:kern w:val="0"/>
          <w:sz w:val="21"/>
          <w:szCs w:val="21"/>
          <w:lang w:val="en-US" w:eastAsia="zh-CN"/>
        </w:rPr>
        <w:t>二、商务要求（以下条款不允许负偏离）</w:t>
      </w:r>
    </w:p>
    <w:p w14:paraId="6314E1FE">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1、自合同签订之日起90个日历天内送达并安装调试完毕。</w:t>
      </w:r>
    </w:p>
    <w:p w14:paraId="59DBEFED">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2、验收合格之日起原厂质保5年（提供原厂售后服务承诺函）。</w:t>
      </w:r>
    </w:p>
    <w:p w14:paraId="20963667">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3、保证货物及时运到东风路院区及五龙口院区指定位置，保证产品的质量稳定，包装完好，解答用户在应用中遇到的实际问题。</w:t>
      </w:r>
    </w:p>
    <w:p w14:paraId="6B70F5A3">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4、质保期内</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lang w:val="en-US" w:eastAsia="zh-CN"/>
        </w:rPr>
        <w:t>供应商负责保养和维修本次所供的所有软硬件，对出现故障、损坏的软硬件提供无偿更换和维修服务，包括维修所需的零配件、人工费、交通费等所有维修费用和产品使用培训和调试费用。</w:t>
      </w:r>
    </w:p>
    <w:p w14:paraId="0928BF13">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5、采购人反映的软硬件系统故障，供应商承诺在接到采购人报修起，1小时到达现场，24小时解决问题；若不能解决，负责免费提供备用软硬件，以保证系统正常运行。</w:t>
      </w:r>
    </w:p>
    <w:p w14:paraId="664B71E0">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6、供应商在产品安装部署时根据招标文件要求和货物及服务技术状况提供机房内设备安装调试、远端运行管理调试所有必要材料，以满足现场实施需要为准。</w:t>
      </w:r>
    </w:p>
    <w:p w14:paraId="285977B6">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7、供应商需承诺提供原厂工程师上门安装、调试服务。</w:t>
      </w:r>
    </w:p>
    <w:p w14:paraId="387F76A9">
      <w:pPr>
        <w:keepNext w:val="0"/>
        <w:keepLines w:val="0"/>
        <w:pageBreakBefore w:val="0"/>
        <w:widowControl/>
        <w:kinsoku w:val="0"/>
        <w:wordWrap/>
        <w:overflowPunct/>
        <w:topLinePunct w:val="0"/>
        <w:autoSpaceDE w:val="0"/>
        <w:autoSpaceDN w:val="0"/>
        <w:bidi w:val="0"/>
        <w:adjustRightInd w:val="0"/>
        <w:snapToGrid w:val="0"/>
        <w:spacing w:line="520" w:lineRule="exact"/>
        <w:ind w:left="0" w:right="0" w:firstLine="420" w:firstLineChars="200"/>
        <w:jc w:val="left"/>
        <w:textAlignment w:val="baseline"/>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8、供应商需承诺合同签订前向采购人提供由制造商出具的加盖制造商公章的技术参数真实性确认函。</w:t>
      </w: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chineseCountingThousand"/>
      <w:pStyle w:val="2"/>
      <w:lvlText w:val="%1."/>
      <w:legacy w:legacy="1" w:legacySpace="113" w:legacyIndent="425"/>
      <w:lvlJc w:val="left"/>
      <w:pPr>
        <w:ind w:left="425" w:hanging="425"/>
      </w:pPr>
      <w:rPr>
        <w:rFonts w:cs="Times New Roman"/>
      </w:rPr>
    </w:lvl>
    <w:lvl w:ilvl="1" w:tentative="0">
      <w:start w:val="1"/>
      <w:numFmt w:val="decimal"/>
      <w:lvlText w:val="%2."/>
      <w:legacy w:legacy="1" w:legacySpace="0" w:legacyIndent="425"/>
      <w:lvlJc w:val="left"/>
      <w:pPr>
        <w:ind w:left="851" w:hanging="425"/>
      </w:pPr>
      <w:rPr>
        <w:rFonts w:cs="Times New Roman"/>
      </w:rPr>
    </w:lvl>
    <w:lvl w:ilvl="2" w:tentative="0">
      <w:start w:val="1"/>
      <w:numFmt w:val="none"/>
      <w:suff w:val="nothing"/>
      <w:lvlText w:val=""/>
      <w:lvlJc w:val="left"/>
      <w:pPr>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70E0B"/>
    <w:rsid w:val="27270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3"/>
    <w:qFormat/>
    <w:uiPriority w:val="99"/>
    <w:pPr>
      <w:keepNext/>
      <w:keepLines/>
      <w:numPr>
        <w:ilvl w:val="0"/>
        <w:numId w:val="1"/>
      </w:numPr>
      <w:adjustRightInd w:val="0"/>
      <w:spacing w:before="160" w:after="160" w:line="160" w:lineRule="atLeast"/>
      <w:textAlignment w:val="baseline"/>
      <w:outlineLvl w:val="0"/>
    </w:pPr>
    <w:rPr>
      <w:rFonts w:ascii="黑体" w:eastAsia="黑体"/>
      <w:kern w:val="44"/>
      <w:sz w:val="32"/>
      <w:szCs w:val="20"/>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3">
    <w:name w:val="文档正文"/>
    <w:basedOn w:val="1"/>
    <w:autoRedefine/>
    <w:qFormat/>
    <w:uiPriority w:val="99"/>
    <w:pPr>
      <w:adjustRightInd w:val="0"/>
      <w:spacing w:line="480" w:lineRule="atLeast"/>
      <w:ind w:firstLine="567"/>
      <w:textAlignment w:val="baseline"/>
    </w:pPr>
    <w:rPr>
      <w:rFonts w:ascii="方正仿宋_GB2312" w:eastAsia="方正仿宋_GB2312"/>
      <w:kern w:val="0"/>
      <w:sz w:val="28"/>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2026-07-02T01:48:00Z</dcterms:created>
  <dc:creator>张亚龙</dc:creator>
  <cp:lastModifiedBy>张亚龙</cp:lastModifiedBy>
  <dcterms:modified xsi:type="dcterms:W3CDTF">2026-07-02T01:48:44Z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73FF3004FAF84B7A8D6122A2AB1BE939_11</vt:lpwstr>
  </property>
  <property fmtid="{D5CDD505-2E9C-101B-9397-08002B2CF9AE}" pid="4" name="KSOTemplateDocerSaveRecord">
    <vt:lpwstr>eyJoZGlkIjoiODM0YzQzMGFjMjUzMGYwODMwZjhmZTEzMTA0N2U0NTciLCJ1c2VySWQiOiIxOTIxOTYxNDEifQ==</vt:lpwstr>
  </property>
</Properties>
</file>