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28692">
      <w:pPr>
        <w:pStyle w:val="2"/>
        <w:numPr>
          <w:numId w:val="0"/>
        </w:numPr>
        <w:jc w:val="both"/>
        <w:rPr>
          <w:rFonts w:hint="eastAsia" w:ascii="宋体" w:hAnsi="宋体"/>
          <w:color w:val="auto"/>
          <w:szCs w:val="32"/>
          <w:highlight w:val="none"/>
        </w:rPr>
      </w:pPr>
      <w:bookmarkStart w:id="0" w:name="_Toc26733"/>
      <w:r>
        <w:rPr>
          <w:rFonts w:hint="eastAsia" w:ascii="宋体" w:hAnsi="宋体"/>
          <w:color w:val="auto"/>
          <w:szCs w:val="32"/>
          <w:highlight w:val="none"/>
        </w:rPr>
        <w:t>采购需求</w:t>
      </w:r>
      <w:bookmarkEnd w:id="0"/>
    </w:p>
    <w:p w14:paraId="5D7016BA">
      <w:pPr>
        <w:spacing w:line="360" w:lineRule="auto"/>
        <w:ind w:firstLine="482" w:firstLineChars="200"/>
        <w:rPr>
          <w:rFonts w:hint="eastAsia"/>
          <w:b/>
          <w:bCs/>
          <w:color w:val="auto"/>
          <w:sz w:val="24"/>
          <w:highlight w:val="none"/>
        </w:rPr>
      </w:pPr>
      <w:r>
        <w:rPr>
          <w:rFonts w:hint="eastAsia"/>
          <w:b/>
          <w:bCs/>
          <w:color w:val="auto"/>
          <w:sz w:val="24"/>
          <w:highlight w:val="none"/>
        </w:rPr>
        <w:t>一、采购清单</w:t>
      </w:r>
    </w:p>
    <w:tbl>
      <w:tblPr>
        <w:tblStyle w:val="3"/>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4460"/>
        <w:gridCol w:w="787"/>
        <w:gridCol w:w="808"/>
        <w:gridCol w:w="2179"/>
      </w:tblGrid>
      <w:tr w14:paraId="5130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vMerge w:val="restart"/>
            <w:noWrap w:val="0"/>
            <w:vAlign w:val="center"/>
          </w:tcPr>
          <w:p w14:paraId="72591926">
            <w:pPr>
              <w:spacing w:line="360" w:lineRule="auto"/>
              <w:jc w:val="center"/>
              <w:rPr>
                <w:rFonts w:hint="eastAsia"/>
                <w:color w:val="auto"/>
                <w:kern w:val="0"/>
                <w:sz w:val="21"/>
                <w:szCs w:val="21"/>
                <w:highlight w:val="none"/>
              </w:rPr>
            </w:pPr>
            <w:r>
              <w:rPr>
                <w:rFonts w:hint="eastAsia"/>
                <w:color w:val="auto"/>
                <w:kern w:val="0"/>
                <w:sz w:val="21"/>
                <w:szCs w:val="21"/>
                <w:highlight w:val="none"/>
              </w:rPr>
              <w:t>序号</w:t>
            </w:r>
          </w:p>
        </w:tc>
        <w:tc>
          <w:tcPr>
            <w:tcW w:w="4460" w:type="dxa"/>
            <w:vMerge w:val="restart"/>
            <w:noWrap w:val="0"/>
            <w:vAlign w:val="center"/>
          </w:tcPr>
          <w:p w14:paraId="6C119751">
            <w:pPr>
              <w:spacing w:line="360" w:lineRule="auto"/>
              <w:jc w:val="center"/>
              <w:rPr>
                <w:rFonts w:hint="eastAsia"/>
                <w:color w:val="auto"/>
                <w:kern w:val="0"/>
                <w:sz w:val="21"/>
                <w:szCs w:val="21"/>
                <w:highlight w:val="none"/>
              </w:rPr>
            </w:pPr>
            <w:r>
              <w:rPr>
                <w:rFonts w:hint="eastAsia"/>
                <w:color w:val="auto"/>
                <w:kern w:val="0"/>
                <w:sz w:val="21"/>
                <w:szCs w:val="21"/>
                <w:highlight w:val="none"/>
              </w:rPr>
              <w:t>采购标的</w:t>
            </w:r>
          </w:p>
        </w:tc>
        <w:tc>
          <w:tcPr>
            <w:tcW w:w="787" w:type="dxa"/>
            <w:vMerge w:val="restart"/>
            <w:noWrap w:val="0"/>
            <w:vAlign w:val="center"/>
          </w:tcPr>
          <w:p w14:paraId="38E24EC6">
            <w:pPr>
              <w:spacing w:line="360" w:lineRule="auto"/>
              <w:jc w:val="center"/>
              <w:rPr>
                <w:rFonts w:hint="eastAsia"/>
                <w:color w:val="auto"/>
                <w:kern w:val="0"/>
                <w:sz w:val="21"/>
                <w:szCs w:val="21"/>
                <w:highlight w:val="none"/>
              </w:rPr>
            </w:pPr>
            <w:r>
              <w:rPr>
                <w:rFonts w:hint="eastAsia"/>
                <w:color w:val="auto"/>
                <w:kern w:val="0"/>
                <w:sz w:val="21"/>
                <w:szCs w:val="21"/>
                <w:highlight w:val="none"/>
              </w:rPr>
              <w:t>单位</w:t>
            </w:r>
          </w:p>
        </w:tc>
        <w:tc>
          <w:tcPr>
            <w:tcW w:w="808" w:type="dxa"/>
            <w:vMerge w:val="restart"/>
            <w:noWrap w:val="0"/>
            <w:vAlign w:val="center"/>
          </w:tcPr>
          <w:p w14:paraId="3FC09C10">
            <w:pPr>
              <w:spacing w:line="360" w:lineRule="auto"/>
              <w:jc w:val="center"/>
              <w:rPr>
                <w:rFonts w:hint="eastAsia"/>
                <w:color w:val="auto"/>
                <w:kern w:val="0"/>
                <w:sz w:val="21"/>
                <w:szCs w:val="21"/>
                <w:highlight w:val="none"/>
              </w:rPr>
            </w:pPr>
            <w:r>
              <w:rPr>
                <w:rFonts w:hint="eastAsia"/>
                <w:color w:val="auto"/>
                <w:kern w:val="0"/>
                <w:sz w:val="21"/>
                <w:szCs w:val="21"/>
                <w:highlight w:val="none"/>
              </w:rPr>
              <w:t>数量</w:t>
            </w:r>
          </w:p>
        </w:tc>
        <w:tc>
          <w:tcPr>
            <w:tcW w:w="2179" w:type="dxa"/>
            <w:vMerge w:val="restart"/>
            <w:noWrap w:val="0"/>
            <w:vAlign w:val="center"/>
          </w:tcPr>
          <w:p w14:paraId="77429F84">
            <w:pPr>
              <w:spacing w:line="360" w:lineRule="auto"/>
              <w:ind w:left="105" w:leftChars="50"/>
              <w:jc w:val="center"/>
              <w:rPr>
                <w:rFonts w:hint="eastAsia"/>
                <w:color w:val="auto"/>
                <w:kern w:val="0"/>
                <w:sz w:val="21"/>
                <w:szCs w:val="21"/>
                <w:highlight w:val="none"/>
              </w:rPr>
            </w:pPr>
            <w:r>
              <w:rPr>
                <w:rFonts w:hint="eastAsia"/>
                <w:color w:val="auto"/>
                <w:kern w:val="0"/>
                <w:sz w:val="21"/>
                <w:szCs w:val="21"/>
                <w:highlight w:val="none"/>
              </w:rPr>
              <w:t>是否接受进口产品</w:t>
            </w:r>
          </w:p>
        </w:tc>
      </w:tr>
      <w:tr w14:paraId="2FBC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vMerge w:val="continue"/>
            <w:noWrap w:val="0"/>
            <w:vAlign w:val="center"/>
          </w:tcPr>
          <w:p w14:paraId="7E2843B7">
            <w:pPr>
              <w:spacing w:line="360" w:lineRule="auto"/>
              <w:jc w:val="center"/>
              <w:rPr>
                <w:rFonts w:hint="eastAsia"/>
                <w:color w:val="auto"/>
                <w:kern w:val="0"/>
                <w:sz w:val="21"/>
                <w:szCs w:val="21"/>
                <w:highlight w:val="none"/>
              </w:rPr>
            </w:pPr>
          </w:p>
        </w:tc>
        <w:tc>
          <w:tcPr>
            <w:tcW w:w="4460" w:type="dxa"/>
            <w:vMerge w:val="continue"/>
            <w:noWrap w:val="0"/>
            <w:vAlign w:val="center"/>
          </w:tcPr>
          <w:p w14:paraId="62BB5305">
            <w:pPr>
              <w:spacing w:line="360" w:lineRule="auto"/>
              <w:jc w:val="center"/>
              <w:rPr>
                <w:rFonts w:hint="eastAsia"/>
                <w:color w:val="auto"/>
                <w:kern w:val="0"/>
                <w:sz w:val="21"/>
                <w:szCs w:val="21"/>
                <w:highlight w:val="none"/>
              </w:rPr>
            </w:pPr>
          </w:p>
        </w:tc>
        <w:tc>
          <w:tcPr>
            <w:tcW w:w="787" w:type="dxa"/>
            <w:vMerge w:val="continue"/>
            <w:noWrap w:val="0"/>
            <w:vAlign w:val="center"/>
          </w:tcPr>
          <w:p w14:paraId="5756E1F8">
            <w:pPr>
              <w:spacing w:line="360" w:lineRule="auto"/>
              <w:jc w:val="center"/>
              <w:rPr>
                <w:rFonts w:hint="eastAsia"/>
                <w:color w:val="auto"/>
                <w:kern w:val="0"/>
                <w:sz w:val="21"/>
                <w:szCs w:val="21"/>
                <w:highlight w:val="none"/>
              </w:rPr>
            </w:pPr>
          </w:p>
        </w:tc>
        <w:tc>
          <w:tcPr>
            <w:tcW w:w="808" w:type="dxa"/>
            <w:vMerge w:val="continue"/>
            <w:noWrap w:val="0"/>
            <w:vAlign w:val="center"/>
          </w:tcPr>
          <w:p w14:paraId="092A7B8D">
            <w:pPr>
              <w:spacing w:line="360" w:lineRule="auto"/>
              <w:jc w:val="center"/>
              <w:rPr>
                <w:rFonts w:hint="eastAsia"/>
                <w:color w:val="auto"/>
                <w:kern w:val="0"/>
                <w:sz w:val="21"/>
                <w:szCs w:val="21"/>
                <w:highlight w:val="none"/>
              </w:rPr>
            </w:pPr>
          </w:p>
        </w:tc>
        <w:tc>
          <w:tcPr>
            <w:tcW w:w="2179" w:type="dxa"/>
            <w:vMerge w:val="continue"/>
            <w:noWrap w:val="0"/>
            <w:vAlign w:val="center"/>
          </w:tcPr>
          <w:p w14:paraId="2D848AB3">
            <w:pPr>
              <w:spacing w:line="360" w:lineRule="auto"/>
              <w:jc w:val="center"/>
              <w:rPr>
                <w:rFonts w:hint="eastAsia"/>
                <w:color w:val="auto"/>
                <w:kern w:val="0"/>
                <w:sz w:val="21"/>
                <w:szCs w:val="21"/>
                <w:highlight w:val="none"/>
              </w:rPr>
            </w:pPr>
          </w:p>
        </w:tc>
      </w:tr>
      <w:tr w14:paraId="1F97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64" w:type="dxa"/>
            <w:noWrap w:val="0"/>
            <w:vAlign w:val="center"/>
          </w:tcPr>
          <w:p w14:paraId="002C0497">
            <w:pPr>
              <w:numPr>
                <w:ilvl w:val="0"/>
                <w:numId w:val="1"/>
              </w:numPr>
              <w:spacing w:line="360" w:lineRule="auto"/>
              <w:jc w:val="center"/>
              <w:rPr>
                <w:rFonts w:hint="eastAsia"/>
                <w:color w:val="auto"/>
                <w:kern w:val="0"/>
                <w:sz w:val="21"/>
                <w:szCs w:val="21"/>
                <w:highlight w:val="none"/>
              </w:rPr>
            </w:pPr>
          </w:p>
        </w:tc>
        <w:tc>
          <w:tcPr>
            <w:tcW w:w="4460" w:type="dxa"/>
            <w:noWrap w:val="0"/>
            <w:vAlign w:val="center"/>
          </w:tcPr>
          <w:p w14:paraId="2A16F9D8">
            <w:pPr>
              <w:spacing w:line="360" w:lineRule="auto"/>
              <w:jc w:val="center"/>
              <w:rPr>
                <w:rFonts w:hint="eastAsia"/>
                <w:color w:val="auto"/>
                <w:kern w:val="0"/>
                <w:sz w:val="21"/>
                <w:szCs w:val="21"/>
                <w:highlight w:val="none"/>
              </w:rPr>
            </w:pPr>
            <w:r>
              <w:rPr>
                <w:rFonts w:hint="eastAsia"/>
                <w:color w:val="auto"/>
                <w:kern w:val="0"/>
                <w:sz w:val="21"/>
                <w:szCs w:val="21"/>
                <w:highlight w:val="none"/>
              </w:rPr>
              <w:t>超融合算力集群</w:t>
            </w:r>
          </w:p>
        </w:tc>
        <w:tc>
          <w:tcPr>
            <w:tcW w:w="787" w:type="dxa"/>
            <w:noWrap w:val="0"/>
            <w:vAlign w:val="center"/>
          </w:tcPr>
          <w:p w14:paraId="2565F585">
            <w:pPr>
              <w:spacing w:line="360" w:lineRule="auto"/>
              <w:jc w:val="center"/>
              <w:rPr>
                <w:rFonts w:hint="eastAsia"/>
                <w:color w:val="auto"/>
                <w:kern w:val="0"/>
                <w:sz w:val="21"/>
                <w:szCs w:val="21"/>
                <w:highlight w:val="none"/>
              </w:rPr>
            </w:pPr>
            <w:r>
              <w:rPr>
                <w:rFonts w:hint="eastAsia"/>
                <w:color w:val="auto"/>
                <w:kern w:val="0"/>
                <w:sz w:val="21"/>
                <w:szCs w:val="21"/>
                <w:highlight w:val="none"/>
              </w:rPr>
              <w:t>套</w:t>
            </w:r>
          </w:p>
        </w:tc>
        <w:tc>
          <w:tcPr>
            <w:tcW w:w="808" w:type="dxa"/>
            <w:noWrap w:val="0"/>
            <w:vAlign w:val="center"/>
          </w:tcPr>
          <w:p w14:paraId="6A1B2C56">
            <w:pPr>
              <w:spacing w:line="360" w:lineRule="auto"/>
              <w:jc w:val="center"/>
              <w:rPr>
                <w:rFonts w:hint="eastAsia"/>
                <w:color w:val="auto"/>
                <w:kern w:val="0"/>
                <w:sz w:val="21"/>
                <w:szCs w:val="21"/>
                <w:highlight w:val="none"/>
              </w:rPr>
            </w:pPr>
            <w:r>
              <w:rPr>
                <w:rFonts w:hint="eastAsia"/>
                <w:color w:val="auto"/>
                <w:kern w:val="0"/>
                <w:sz w:val="21"/>
                <w:szCs w:val="21"/>
                <w:highlight w:val="none"/>
              </w:rPr>
              <w:t>1</w:t>
            </w:r>
          </w:p>
        </w:tc>
        <w:tc>
          <w:tcPr>
            <w:tcW w:w="2179" w:type="dxa"/>
            <w:noWrap w:val="0"/>
            <w:vAlign w:val="center"/>
          </w:tcPr>
          <w:p w14:paraId="61FA98AD">
            <w:pPr>
              <w:spacing w:line="360" w:lineRule="auto"/>
              <w:jc w:val="center"/>
              <w:rPr>
                <w:rFonts w:hint="eastAsia"/>
                <w:color w:val="auto"/>
                <w:kern w:val="0"/>
                <w:sz w:val="21"/>
                <w:szCs w:val="21"/>
                <w:highlight w:val="none"/>
              </w:rPr>
            </w:pPr>
            <w:r>
              <w:rPr>
                <w:rFonts w:hint="eastAsia"/>
                <w:color w:val="auto"/>
                <w:kern w:val="0"/>
                <w:sz w:val="21"/>
                <w:szCs w:val="21"/>
                <w:highlight w:val="none"/>
              </w:rPr>
              <w:t>否</w:t>
            </w:r>
          </w:p>
        </w:tc>
      </w:tr>
    </w:tbl>
    <w:p w14:paraId="5800CD1A">
      <w:pPr>
        <w:spacing w:line="560" w:lineRule="exact"/>
        <w:ind w:firstLine="482" w:firstLineChars="2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二、技术要求</w:t>
      </w:r>
    </w:p>
    <w:tbl>
      <w:tblPr>
        <w:tblStyle w:val="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6510"/>
      </w:tblGrid>
      <w:tr w14:paraId="1108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0B7B7B77">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980" w:type="dxa"/>
            <w:noWrap w:val="0"/>
            <w:vAlign w:val="center"/>
          </w:tcPr>
          <w:p w14:paraId="186ACCEC">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标的</w:t>
            </w:r>
          </w:p>
        </w:tc>
        <w:tc>
          <w:tcPr>
            <w:tcW w:w="6510" w:type="dxa"/>
            <w:noWrap w:val="0"/>
            <w:vAlign w:val="center"/>
          </w:tcPr>
          <w:p w14:paraId="3CE5E5A3">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技术要求/服务要求及标准</w:t>
            </w:r>
          </w:p>
        </w:tc>
      </w:tr>
      <w:tr w14:paraId="3DAA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4C78B9A4">
            <w:pPr>
              <w:numPr>
                <w:ilvl w:val="0"/>
                <w:numId w:val="2"/>
              </w:numPr>
              <w:spacing w:line="360" w:lineRule="auto"/>
              <w:jc w:val="center"/>
              <w:rPr>
                <w:rFonts w:hint="eastAsia" w:ascii="宋体" w:hAnsi="宋体" w:eastAsia="宋体" w:cs="宋体"/>
                <w:color w:val="auto"/>
                <w:kern w:val="0"/>
                <w:sz w:val="21"/>
                <w:szCs w:val="21"/>
                <w:highlight w:val="none"/>
              </w:rPr>
            </w:pPr>
          </w:p>
        </w:tc>
        <w:tc>
          <w:tcPr>
            <w:tcW w:w="1980" w:type="dxa"/>
            <w:noWrap w:val="0"/>
            <w:vAlign w:val="center"/>
          </w:tcPr>
          <w:p w14:paraId="1D5E1514">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超融合算力集群</w:t>
            </w:r>
          </w:p>
        </w:tc>
        <w:tc>
          <w:tcPr>
            <w:tcW w:w="6510" w:type="dxa"/>
            <w:noWrap w:val="0"/>
            <w:vAlign w:val="top"/>
          </w:tcPr>
          <w:p w14:paraId="336D1C1C">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(一)超融合算力节点</w:t>
            </w:r>
          </w:p>
          <w:p w14:paraId="14898BB3">
            <w:pPr>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超融合</w:t>
            </w:r>
            <w:r>
              <w:rPr>
                <w:rFonts w:hint="eastAsia" w:ascii="宋体" w:hAnsi="宋体" w:eastAsia="宋体" w:cs="宋体"/>
                <w:color w:val="auto"/>
                <w:kern w:val="0"/>
                <w:sz w:val="21"/>
                <w:szCs w:val="21"/>
                <w:highlight w:val="none"/>
                <w:lang w:val="en-US" w:eastAsia="zh-CN"/>
              </w:rPr>
              <w:t>节点数量</w:t>
            </w:r>
            <w:r>
              <w:rPr>
                <w:rFonts w:hint="eastAsia" w:ascii="宋体" w:hAnsi="宋体" w:eastAsia="宋体" w:cs="宋体"/>
                <w:color w:val="auto"/>
                <w:kern w:val="0"/>
                <w:sz w:val="21"/>
                <w:szCs w:val="21"/>
                <w:highlight w:val="none"/>
              </w:rPr>
              <w:t>≥5节点</w:t>
            </w:r>
            <w:r>
              <w:rPr>
                <w:rFonts w:hint="eastAsia" w:ascii="宋体" w:hAnsi="宋体" w:eastAsia="宋体" w:cs="宋体"/>
                <w:color w:val="auto"/>
                <w:kern w:val="0"/>
                <w:sz w:val="21"/>
                <w:szCs w:val="21"/>
                <w:highlight w:val="none"/>
                <w:lang w:eastAsia="zh-CN"/>
              </w:rPr>
              <w:t>。</w:t>
            </w:r>
          </w:p>
          <w:p w14:paraId="783F0E48">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.单台配置：≥2U计算节点；</w:t>
            </w:r>
            <w:r>
              <w:rPr>
                <w:rFonts w:hint="eastAsia" w:ascii="宋体" w:hAnsi="宋体" w:eastAsia="宋体" w:cs="宋体"/>
                <w:color w:val="auto"/>
                <w:kern w:val="0"/>
                <w:sz w:val="21"/>
                <w:szCs w:val="21"/>
                <w:highlight w:val="none"/>
                <w:lang w:val="en-US" w:eastAsia="zh-CN"/>
              </w:rPr>
              <w:t>国产设备</w:t>
            </w:r>
          </w:p>
          <w:p w14:paraId="2225DEC3">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.单台配置：计算处理器≥2颗x86 处理器，主频≥2.1GHz，核数≥32核；</w:t>
            </w:r>
          </w:p>
          <w:p w14:paraId="002AF13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.单台配置：内存≥512GB DDR5 5600MHz内存；</w:t>
            </w:r>
          </w:p>
          <w:p w14:paraId="2B2B5369">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.单台配置：系统盘≥2*480GB M.2 SSD，支持RAID 0和1；</w:t>
            </w:r>
          </w:p>
          <w:p w14:paraId="0658045F">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.单台配置：数据盘</w:t>
            </w:r>
            <w:r>
              <w:rPr>
                <w:rFonts w:hint="eastAsia" w:ascii="宋体" w:hAnsi="宋体" w:eastAsia="宋体" w:cs="宋体"/>
                <w:color w:val="auto"/>
                <w:kern w:val="0"/>
                <w:sz w:val="21"/>
                <w:szCs w:val="21"/>
                <w:highlight w:val="none"/>
                <w:lang w:val="en-US" w:eastAsia="zh-CN"/>
              </w:rPr>
              <w:t>企业级NVMe SSD，数量≥7块，单盘容量≥6.4TB</w:t>
            </w:r>
          </w:p>
          <w:p w14:paraId="2F46632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.单台配置：RAID卡≥1块独立RAID卡；</w:t>
            </w:r>
          </w:p>
          <w:p w14:paraId="39748F9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.单台配置：网口≥4*1GE电口，≥3块双口10/25GE光口（满配25GE光模块）；</w:t>
            </w:r>
          </w:p>
          <w:p w14:paraId="12D1B26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.单台配置：电源≥2个热插拔交流电源模块；</w:t>
            </w:r>
          </w:p>
          <w:p w14:paraId="1BDF2B1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(二)超融合管理</w:t>
            </w:r>
          </w:p>
          <w:p w14:paraId="1E1CD3E8">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1.超融合平台软件提供所有超融合节点功能的永久授权，包括但不限于计算虚拟化，分布式存储、虚拟网络组件和统一管理平台等。</w:t>
            </w:r>
          </w:p>
          <w:p w14:paraId="693443E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★2.内置虚拟化平台支持高可用（HA）功能，虚拟机高可用（HA）功能</w:t>
            </w:r>
            <w:r>
              <w:rPr>
                <w:rFonts w:hint="eastAsia" w:ascii="宋体" w:hAnsi="宋体" w:eastAsia="宋体" w:cs="宋体"/>
                <w:color w:val="auto"/>
                <w:kern w:val="0"/>
                <w:sz w:val="21"/>
                <w:szCs w:val="21"/>
                <w:highlight w:val="none"/>
                <w:lang w:val="en-US" w:eastAsia="zh-CN"/>
              </w:rPr>
              <w:t>具备</w:t>
            </w:r>
            <w:r>
              <w:rPr>
                <w:rFonts w:hint="eastAsia" w:ascii="宋体" w:hAnsi="宋体" w:eastAsia="宋体" w:cs="宋体"/>
                <w:color w:val="auto"/>
                <w:kern w:val="0"/>
                <w:sz w:val="21"/>
                <w:szCs w:val="21"/>
                <w:highlight w:val="none"/>
              </w:rPr>
              <w:t>优先级设置。（</w:t>
            </w:r>
            <w:r>
              <w:rPr>
                <w:rFonts w:hint="eastAsia" w:ascii="宋体" w:hAnsi="宋体" w:eastAsia="宋体" w:cs="宋体"/>
                <w:color w:val="auto"/>
                <w:kern w:val="0"/>
                <w:sz w:val="21"/>
                <w:szCs w:val="21"/>
                <w:highlight w:val="none"/>
                <w:lang w:val="en-US" w:eastAsia="zh-CN"/>
              </w:rPr>
              <w:t>提供第三方检测报告或原厂/厂商功能截图或公开发布的产品彩页</w:t>
            </w:r>
            <w:r>
              <w:rPr>
                <w:rFonts w:hint="eastAsia" w:ascii="宋体" w:hAnsi="宋体" w:eastAsia="宋体" w:cs="宋体"/>
                <w:color w:val="auto"/>
                <w:kern w:val="0"/>
                <w:sz w:val="21"/>
                <w:szCs w:val="21"/>
                <w:highlight w:val="none"/>
              </w:rPr>
              <w:t>）</w:t>
            </w:r>
          </w:p>
          <w:p w14:paraId="52D1EED6">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具备</w:t>
            </w:r>
            <w:r>
              <w:rPr>
                <w:rFonts w:hint="eastAsia" w:ascii="宋体" w:hAnsi="宋体" w:eastAsia="宋体" w:cs="宋体"/>
                <w:color w:val="auto"/>
                <w:kern w:val="0"/>
                <w:sz w:val="21"/>
                <w:szCs w:val="21"/>
                <w:highlight w:val="none"/>
              </w:rPr>
              <w:t>通过图形化界面批量创建虚拟机并完成初始化配置；</w:t>
            </w:r>
          </w:p>
          <w:p w14:paraId="64C0BA36">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具备</w:t>
            </w:r>
            <w:r>
              <w:rPr>
                <w:rFonts w:hint="eastAsia" w:ascii="宋体" w:hAnsi="宋体" w:eastAsia="宋体" w:cs="宋体"/>
                <w:color w:val="auto"/>
                <w:kern w:val="0"/>
                <w:sz w:val="21"/>
                <w:szCs w:val="21"/>
                <w:highlight w:val="none"/>
              </w:rPr>
              <w:t>跨物理主机的虚拟机 USB 设备映射，虚拟机支持挂载本集群内任意主机上的 USB 设备，已挂载 USB 设备的虚拟机支持在线迁移；</w:t>
            </w:r>
          </w:p>
          <w:p w14:paraId="1D13EE11">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5.分布式存储软件具备自主产权；（提供软件著作权登记证书</w:t>
            </w:r>
            <w:r>
              <w:rPr>
                <w:rFonts w:hint="eastAsia" w:ascii="宋体" w:hAnsi="宋体" w:eastAsia="宋体" w:cs="宋体"/>
                <w:color w:val="auto"/>
                <w:kern w:val="0"/>
                <w:sz w:val="21"/>
                <w:szCs w:val="21"/>
                <w:highlight w:val="none"/>
                <w:lang w:val="en-US" w:eastAsia="zh-CN"/>
              </w:rPr>
              <w:t>或</w:t>
            </w:r>
            <w:r>
              <w:rPr>
                <w:rFonts w:hint="eastAsia" w:ascii="宋体" w:hAnsi="宋体" w:eastAsia="宋体" w:cs="宋体"/>
                <w:color w:val="auto"/>
                <w:kern w:val="0"/>
                <w:sz w:val="21"/>
                <w:szCs w:val="21"/>
                <w:highlight w:val="none"/>
              </w:rPr>
              <w:t>第三方机构出具的</w:t>
            </w:r>
            <w:r>
              <w:rPr>
                <w:rFonts w:hint="eastAsia" w:ascii="宋体" w:hAnsi="宋体" w:eastAsia="宋体" w:cs="宋体"/>
                <w:color w:val="auto"/>
                <w:kern w:val="0"/>
                <w:sz w:val="21"/>
                <w:szCs w:val="21"/>
                <w:highlight w:val="none"/>
                <w:lang w:val="en-US" w:eastAsia="zh-CN"/>
              </w:rPr>
              <w:t>检</w:t>
            </w:r>
            <w:r>
              <w:rPr>
                <w:rFonts w:hint="eastAsia" w:ascii="宋体" w:hAnsi="宋体" w:eastAsia="宋体" w:cs="宋体"/>
                <w:color w:val="auto"/>
                <w:kern w:val="0"/>
                <w:sz w:val="21"/>
                <w:szCs w:val="21"/>
                <w:highlight w:val="none"/>
              </w:rPr>
              <w:t>测报告）</w:t>
            </w:r>
          </w:p>
          <w:p w14:paraId="4EEFCC04">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6.单一集群中，至少支持副本和 EC 两种数据冗余机制，提升空间利用率和灵活性。（</w:t>
            </w:r>
            <w:r>
              <w:rPr>
                <w:rFonts w:hint="eastAsia" w:ascii="宋体" w:hAnsi="宋体" w:eastAsia="宋体" w:cs="宋体"/>
                <w:color w:val="auto"/>
                <w:kern w:val="0"/>
                <w:sz w:val="21"/>
                <w:szCs w:val="21"/>
                <w:highlight w:val="none"/>
                <w:lang w:val="en-US" w:eastAsia="zh-CN"/>
              </w:rPr>
              <w:t>提供第三方检测报告或原厂/厂商功能截图或公开发布的产品彩页</w:t>
            </w:r>
            <w:r>
              <w:rPr>
                <w:rFonts w:hint="eastAsia" w:ascii="宋体" w:hAnsi="宋体" w:eastAsia="宋体" w:cs="宋体"/>
                <w:color w:val="auto"/>
                <w:kern w:val="0"/>
                <w:sz w:val="21"/>
                <w:szCs w:val="21"/>
                <w:highlight w:val="none"/>
              </w:rPr>
              <w:t>）</w:t>
            </w:r>
          </w:p>
          <w:p w14:paraId="2B65A44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7.为保障后期扩充HDD磁盘后的性能，支持在固态硬盘（SSD） + 机械硬盘（HDD） 组建的混合存储集群下，为关键虚拟机启用常驻缓存功能。（</w:t>
            </w:r>
            <w:r>
              <w:rPr>
                <w:rFonts w:hint="eastAsia" w:ascii="宋体" w:hAnsi="宋体" w:eastAsia="宋体" w:cs="宋体"/>
                <w:color w:val="auto"/>
                <w:kern w:val="0"/>
                <w:sz w:val="21"/>
                <w:szCs w:val="21"/>
                <w:highlight w:val="none"/>
                <w:lang w:val="en-US" w:eastAsia="zh-CN"/>
              </w:rPr>
              <w:t>提供第三方检测报告或原厂/厂商功能截图或公开发布的产品彩页</w:t>
            </w:r>
            <w:r>
              <w:rPr>
                <w:rFonts w:hint="eastAsia" w:ascii="宋体" w:hAnsi="宋体" w:eastAsia="宋体" w:cs="宋体"/>
                <w:color w:val="auto"/>
                <w:kern w:val="0"/>
                <w:sz w:val="21"/>
                <w:szCs w:val="21"/>
                <w:highlight w:val="none"/>
              </w:rPr>
              <w:t>）</w:t>
            </w:r>
          </w:p>
          <w:p w14:paraId="77639E3C">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★8.配置块存储和文件存储（NAS）功能，并且两者可以实现进行统一管理，至少支持NFSv3或NFSv4协议；（</w:t>
            </w:r>
            <w:r>
              <w:rPr>
                <w:rFonts w:hint="eastAsia" w:ascii="宋体" w:hAnsi="宋体" w:eastAsia="宋体" w:cs="宋体"/>
                <w:color w:val="auto"/>
                <w:kern w:val="0"/>
                <w:sz w:val="21"/>
                <w:szCs w:val="21"/>
                <w:highlight w:val="none"/>
                <w:lang w:val="en-US" w:eastAsia="zh-CN"/>
              </w:rPr>
              <w:t>提供第三方检测报告或原厂/厂商功能截图或公开发布的产品彩页</w:t>
            </w:r>
            <w:r>
              <w:rPr>
                <w:rFonts w:hint="eastAsia" w:ascii="宋体" w:hAnsi="宋体" w:eastAsia="宋体" w:cs="宋体"/>
                <w:color w:val="auto"/>
                <w:kern w:val="0"/>
                <w:sz w:val="21"/>
                <w:szCs w:val="21"/>
                <w:highlight w:val="none"/>
              </w:rPr>
              <w:t>）</w:t>
            </w:r>
          </w:p>
          <w:p w14:paraId="20F017C2">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★9.配置≥10颗CPU或5个节点的分布式虚拟防火墙授权；</w:t>
            </w:r>
          </w:p>
          <w:p w14:paraId="2F76321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10.分布式虚拟防火墙支持自定义 L3/L4 安全策略；虚拟机在不同主机、不同集群之间迁移时，已配置的安全策略可以自动跟随虚拟机；支持将可疑虚拟机设置为隔离状态，支持对隔离中的虚拟机设置有条件的访问策略；</w:t>
            </w:r>
          </w:p>
          <w:p w14:paraId="1B4C3DD4">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★11.超融合平台</w:t>
            </w:r>
            <w:r>
              <w:rPr>
                <w:rFonts w:hint="eastAsia" w:ascii="宋体" w:hAnsi="宋体" w:eastAsia="宋体" w:cs="宋体"/>
                <w:color w:val="auto"/>
                <w:kern w:val="0"/>
                <w:sz w:val="21"/>
                <w:szCs w:val="21"/>
                <w:highlight w:val="none"/>
                <w:lang w:val="en-US" w:eastAsia="zh-CN"/>
              </w:rPr>
              <w:t>具备</w:t>
            </w:r>
            <w:r>
              <w:rPr>
                <w:rFonts w:hint="eastAsia" w:ascii="宋体" w:hAnsi="宋体" w:eastAsia="宋体" w:cs="宋体"/>
                <w:color w:val="auto"/>
                <w:kern w:val="0"/>
                <w:sz w:val="21"/>
                <w:szCs w:val="21"/>
                <w:highlight w:val="none"/>
              </w:rPr>
              <w:t>虚拟机无代理备份与复制功能，配置≥100个虚拟机的备份与复制授权。支持虚拟机备份最小执行间隔（RPO）小于等于 15分钟。（</w:t>
            </w:r>
            <w:r>
              <w:rPr>
                <w:rFonts w:hint="eastAsia" w:ascii="宋体" w:hAnsi="宋体" w:eastAsia="宋体" w:cs="宋体"/>
                <w:color w:val="auto"/>
                <w:kern w:val="0"/>
                <w:sz w:val="21"/>
                <w:szCs w:val="21"/>
                <w:highlight w:val="none"/>
                <w:lang w:val="en-US" w:eastAsia="zh-CN"/>
              </w:rPr>
              <w:t>提供第三方检测报告或原厂/厂商功能截图或公开发布的产品彩页</w:t>
            </w:r>
            <w:r>
              <w:rPr>
                <w:rFonts w:hint="eastAsia" w:ascii="宋体" w:hAnsi="宋体" w:eastAsia="宋体" w:cs="宋体"/>
                <w:color w:val="auto"/>
                <w:kern w:val="0"/>
                <w:sz w:val="21"/>
                <w:szCs w:val="21"/>
                <w:highlight w:val="none"/>
              </w:rPr>
              <w:t>）</w:t>
            </w:r>
          </w:p>
          <w:p w14:paraId="28BB1FEC">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12.为充分利旧现有集中式存储资源，平台可实现主流厂商外部集中式存储的接入及使用。</w:t>
            </w:r>
          </w:p>
          <w:p w14:paraId="0E8C735E">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13.支持对超融合平台的硬件状态及资源使用情况进行监控；提供实时性能监控和历史性能数据分析功能；可以识别内存、CPU资源过剩或资源紧张的虚拟机并提供资源优化方案；支持集群自动化巡检。</w:t>
            </w:r>
          </w:p>
          <w:p w14:paraId="72022158">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14.支持超融合计算节点之间、虚拟机之间、节点与虚拟机之间的流量分析和展示；支持展示每个数据流的源/目的 IP 地址、协议、端口号、往返延时等信息，同时可以自动关联到虚拟机名、物理主机名、网卡等信息；支持自动生成虚拟机网络拓扑图，呈现虚拟机网络及端口状态；</w:t>
            </w:r>
          </w:p>
          <w:p w14:paraId="38A81B3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(三)超融合容灾</w:t>
            </w:r>
          </w:p>
          <w:p w14:paraId="0357BAC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1.对物理机、虚拟机、云主机提供统一的备份及灾备保护，包括但不限于主机的操作系统、应用系统、数据库、文件等；</w:t>
            </w:r>
          </w:p>
          <w:p w14:paraId="4EB4C61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2.支持整机CDP不间断保护；无需对接数据库接口即可实现对数据库主机进行整机CDP持续数据保护。</w:t>
            </w:r>
          </w:p>
          <w:p w14:paraId="496F267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支持将业务主机进行整机的实时同步容灾至容灾物理机/虚拟机，目标机器无需部署操作系统；应用系统、数据库容灾切换时可选择任意CDP历史点进行切换且目标机器无需部署操作系统、应用系统以及数据库；（</w:t>
            </w:r>
            <w:r>
              <w:rPr>
                <w:rFonts w:hint="eastAsia" w:ascii="宋体" w:hAnsi="宋体" w:eastAsia="宋体" w:cs="宋体"/>
                <w:color w:val="auto"/>
                <w:kern w:val="0"/>
                <w:sz w:val="21"/>
                <w:szCs w:val="21"/>
                <w:highlight w:val="none"/>
                <w:lang w:val="en-US" w:eastAsia="zh-CN"/>
              </w:rPr>
              <w:t>提供第三方检测报告或原厂/厂商功能截图或公开发布的产品彩页</w:t>
            </w:r>
            <w:r>
              <w:rPr>
                <w:rFonts w:hint="eastAsia" w:ascii="宋体" w:hAnsi="宋体" w:eastAsia="宋体" w:cs="宋体"/>
                <w:color w:val="auto"/>
                <w:kern w:val="0"/>
                <w:sz w:val="21"/>
                <w:szCs w:val="21"/>
                <w:highlight w:val="none"/>
              </w:rPr>
              <w:t>）</w:t>
            </w:r>
          </w:p>
          <w:p w14:paraId="27F3D3C3">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4.为确保业务恢复时间，备份副本在30分钟内将应用系统灾备点重建至目标主机上；</w:t>
            </w:r>
          </w:p>
          <w:p w14:paraId="2099179B">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5.具备对灾备数据直接验证功能，无需准备第三方挂载环境和恢复数据，即可即时验证备份数据的完整性、一致性和可用性；</w:t>
            </w:r>
          </w:p>
          <w:p w14:paraId="35320EE4">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6.支持可视化容灾演练，可选择快照点进行容灾演练切换，演练不影响业务正常使用，演练过程全流程可视，演练结束后能够同步增量数据。</w:t>
            </w:r>
          </w:p>
          <w:p w14:paraId="0E2D0739">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7.支持 Oracle RAC进行CDP灾备保护，支持任意CDP历史点的多种恢复方式，包含但不限于整机恢复、实例恢复、单表恢复等，恢复任务配置提供配置界面。</w:t>
            </w:r>
          </w:p>
          <w:p w14:paraId="4BFAD55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8.支持定时远程复制和实时远程复制，支持主机、备机间隔离，支持备机在网络中保持隔离状态（即无法通过端口、IP地址连接访问备机，仅由备机主动单向的从主机获取数据）；</w:t>
            </w:r>
          </w:p>
          <w:p w14:paraId="561FAC3C">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★9.支持对主流操作系统主机防勒索保护功能。支持备份与防勒索联动。（</w:t>
            </w:r>
            <w:r>
              <w:rPr>
                <w:rFonts w:hint="eastAsia" w:ascii="宋体" w:hAnsi="宋体" w:eastAsia="宋体" w:cs="宋体"/>
                <w:color w:val="auto"/>
                <w:kern w:val="0"/>
                <w:sz w:val="21"/>
                <w:szCs w:val="21"/>
                <w:highlight w:val="none"/>
                <w:lang w:val="en-US" w:eastAsia="zh-CN"/>
              </w:rPr>
              <w:t>提供第三方检测报告或原厂/厂商功能截图或公开发布的产品彩页</w:t>
            </w:r>
            <w:r>
              <w:rPr>
                <w:rFonts w:hint="eastAsia" w:ascii="宋体" w:hAnsi="宋体" w:eastAsia="宋体" w:cs="宋体"/>
                <w:color w:val="auto"/>
                <w:kern w:val="0"/>
                <w:sz w:val="21"/>
                <w:szCs w:val="21"/>
                <w:highlight w:val="none"/>
              </w:rPr>
              <w:t>）</w:t>
            </w:r>
          </w:p>
          <w:p w14:paraId="41DB7ABE">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软件授权：提供灾备容量授权≥30T，主机同步容灾功能授权≥40对；提供CDP功能授权不限制主机数量；提供自动化验证功能授权；提供不限功能和数量的备份数据归档功能授权、文件备份功能授权、数据库备份功能授权、虚拟化免代理备份功能授权；</w:t>
            </w:r>
          </w:p>
          <w:p w14:paraId="0ED4AC22">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(四)超融合互联模块</w:t>
            </w:r>
          </w:p>
          <w:p w14:paraId="7F38D35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配置≥4台超融合网络交换设备。</w:t>
            </w:r>
          </w:p>
          <w:p w14:paraId="741DEA7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.国产化芯片交换机，单台配置</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最小交换容量≥8Tbps，最小包转发率≥2400Mpps；</w:t>
            </w:r>
          </w:p>
          <w:p w14:paraId="6F667253">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单台配置</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25G光口≥48个，100G光口≥8个，支持接口带宽扩展特性；25G光模块满配，100G光模块≥4个，配置100G堆叠线;</w:t>
            </w:r>
          </w:p>
          <w:p w14:paraId="19C16C99">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.支持Vxlan、EVPN VxLAN；支持RIP、OSPF、ISIS、BGP等路由协议，支持IPv4、IPv6；支持跨机箱链路捆绑；</w:t>
            </w:r>
          </w:p>
          <w:p w14:paraId="075DDCC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.支持VxLAN广播泛洪抑制；支持ARP、DHCP、ICMP、DHCPv6、ND等攻击自动防御；支持端口流量镜像；</w:t>
            </w:r>
          </w:p>
          <w:p w14:paraId="3B8C779C">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.单台配置</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交流电源≥2个，风扇模块满配。</w:t>
            </w:r>
          </w:p>
          <w:p w14:paraId="01364DC1">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(五)超融合集群基础环境</w:t>
            </w:r>
          </w:p>
          <w:p w14:paraId="39F278FE">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★1.提供一套≥8台封闭式微模块机柜系统，包含≥1套机架式相应的配电单元（含充足PDU）；≥2台机架式UPS，其容量不小于40KVA，UPS满足《不间断电源节能认证技术规范》；</w:t>
            </w:r>
          </w:p>
          <w:p w14:paraId="01A183B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2.提供≥64节蓄电池（12v100Ah，包含电池架、连接线、开关箱等所需配件）；</w:t>
            </w:r>
          </w:p>
          <w:p w14:paraId="69513FA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3.提供≥2台列间精密空调，</w:t>
            </w:r>
            <w:r>
              <w:rPr>
                <w:rFonts w:hint="eastAsia" w:ascii="宋体" w:hAnsi="宋体" w:eastAsia="宋体" w:cs="宋体"/>
                <w:color w:val="auto"/>
                <w:kern w:val="0"/>
                <w:sz w:val="21"/>
                <w:szCs w:val="21"/>
                <w:highlight w:val="none"/>
                <w:lang w:val="en-US" w:eastAsia="zh-CN"/>
              </w:rPr>
              <w:t>制冷量</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35KW</w:t>
            </w:r>
            <w:r>
              <w:rPr>
                <w:rFonts w:hint="eastAsia" w:ascii="宋体" w:hAnsi="宋体" w:eastAsia="宋体" w:cs="宋体"/>
                <w:color w:val="auto"/>
                <w:kern w:val="0"/>
                <w:sz w:val="21"/>
                <w:szCs w:val="21"/>
                <w:highlight w:val="none"/>
              </w:rPr>
              <w:t>为整个模块化机柜提供制冷，支持后续的机组扩容；</w:t>
            </w:r>
          </w:p>
          <w:p w14:paraId="0D43A043">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4.配置机架式机房消防系统；配置机房环境监控系统及传感器；配置环境监控软件；</w:t>
            </w:r>
          </w:p>
          <w:p w14:paraId="492A89B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5.包含所需电缆、支架、铜管等辅材。</w:t>
            </w:r>
          </w:p>
          <w:p w14:paraId="5DB88148">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(六)项目整合</w:t>
            </w:r>
          </w:p>
          <w:p w14:paraId="7682AFAC">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w:t>
            </w:r>
            <w:r>
              <w:rPr>
                <w:rFonts w:hint="eastAsia" w:ascii="宋体" w:hAnsi="宋体" w:eastAsia="宋体" w:cs="宋体"/>
                <w:color w:val="auto"/>
                <w:kern w:val="0"/>
                <w:sz w:val="21"/>
                <w:szCs w:val="21"/>
                <w:highlight w:val="none"/>
                <w:lang w:val="en-US" w:eastAsia="zh-CN"/>
              </w:rPr>
              <w:t>项</w:t>
            </w:r>
            <w:r>
              <w:rPr>
                <w:rFonts w:hint="eastAsia" w:ascii="宋体" w:hAnsi="宋体" w:eastAsia="宋体" w:cs="宋体"/>
                <w:color w:val="auto"/>
                <w:kern w:val="0"/>
                <w:sz w:val="21"/>
                <w:szCs w:val="21"/>
                <w:highlight w:val="none"/>
              </w:rPr>
              <w:t>目实施中所需所有光纤跳线、网线、电线、堆叠线、PDU等线材及辅料；</w:t>
            </w:r>
          </w:p>
          <w:p w14:paraId="189C75E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.完成硬件设备的上架、系统配置调试、网络割接、数据迁移、业务迁移、数据备份、数据连续保护等工作。</w:t>
            </w:r>
          </w:p>
        </w:tc>
      </w:tr>
    </w:tbl>
    <w:p w14:paraId="248505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上表中</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sz w:val="21"/>
          <w:szCs w:val="21"/>
          <w:highlight w:val="none"/>
          <w:lang w:val="en-US" w:eastAsia="zh-CN"/>
        </w:rPr>
        <w:t>条款</w:t>
      </w:r>
      <w:r>
        <w:rPr>
          <w:rFonts w:hint="eastAsia" w:ascii="宋体" w:hAnsi="宋体" w:eastAsia="宋体" w:cs="宋体"/>
          <w:color w:val="auto"/>
          <w:sz w:val="21"/>
          <w:szCs w:val="21"/>
          <w:highlight w:val="none"/>
        </w:rPr>
        <w:t>不允许负偏离，不作为评分内容</w:t>
      </w:r>
      <w:r>
        <w:rPr>
          <w:rFonts w:hint="eastAsia" w:ascii="宋体" w:hAnsi="宋体" w:eastAsia="宋体" w:cs="宋体"/>
          <w:color w:val="auto"/>
          <w:sz w:val="21"/>
          <w:szCs w:val="21"/>
          <w:highlight w:val="none"/>
          <w:lang w:eastAsia="zh-CN"/>
        </w:rPr>
        <w:t>。技术偏离表中的投标响应内容应当如实填写</w:t>
      </w:r>
      <w:r>
        <w:rPr>
          <w:rFonts w:hint="eastAsia" w:ascii="宋体" w:hAnsi="宋体" w:eastAsia="宋体" w:cs="宋体"/>
          <w:color w:val="auto"/>
          <w:sz w:val="21"/>
          <w:szCs w:val="21"/>
          <w:highlight w:val="none"/>
          <w:lang w:val="en-US" w:eastAsia="zh-CN"/>
        </w:rPr>
        <w:t>所投</w:t>
      </w:r>
      <w:r>
        <w:rPr>
          <w:rFonts w:hint="eastAsia" w:ascii="宋体" w:hAnsi="宋体" w:eastAsia="宋体" w:cs="宋体"/>
          <w:color w:val="auto"/>
          <w:sz w:val="21"/>
          <w:szCs w:val="21"/>
          <w:highlight w:val="none"/>
          <w:lang w:eastAsia="zh-CN"/>
        </w:rPr>
        <w:t>实际产品</w:t>
      </w:r>
      <w:r>
        <w:rPr>
          <w:rFonts w:hint="eastAsia" w:ascii="宋体" w:hAnsi="宋体" w:eastAsia="宋体" w:cs="宋体"/>
          <w:color w:val="auto"/>
          <w:sz w:val="21"/>
          <w:szCs w:val="21"/>
          <w:highlight w:val="none"/>
          <w:lang w:val="en-US" w:eastAsia="zh-CN"/>
        </w:rPr>
        <w:t>具体</w:t>
      </w:r>
      <w:r>
        <w:rPr>
          <w:rFonts w:hint="eastAsia" w:ascii="宋体" w:hAnsi="宋体" w:eastAsia="宋体" w:cs="宋体"/>
          <w:color w:val="auto"/>
          <w:sz w:val="21"/>
          <w:szCs w:val="21"/>
          <w:highlight w:val="none"/>
          <w:lang w:eastAsia="zh-CN"/>
        </w:rPr>
        <w:t>配置参数。</w:t>
      </w:r>
      <w:r>
        <w:rPr>
          <w:rFonts w:hint="eastAsia" w:ascii="宋体" w:hAnsi="宋体" w:eastAsia="宋体" w:cs="宋体"/>
          <w:color w:val="auto"/>
          <w:sz w:val="21"/>
          <w:szCs w:val="21"/>
          <w:highlight w:val="none"/>
          <w:lang w:val="en-US" w:eastAsia="zh-CN"/>
        </w:rPr>
        <w:t>2、供应商应当提供技术证明文件，证明文件可以是产品彩页或技术白皮书或产品说明书或检测报告或技术参数证明或软件相关功能截图和相关说明描述等作为参数支撑材料（技术要求中有特定要求的按其要求执行）。</w:t>
      </w:r>
    </w:p>
    <w:p w14:paraId="23B83FA0">
      <w:pPr>
        <w:spacing w:line="500" w:lineRule="exact"/>
        <w:ind w:firstLine="480" w:firstLineChars="200"/>
        <w:rPr>
          <w:rFonts w:ascii="黑体" w:hAnsi="黑体" w:eastAsia="黑体" w:cs="Times New Roman"/>
          <w:color w:val="auto"/>
          <w:sz w:val="24"/>
          <w:szCs w:val="22"/>
          <w:highlight w:val="none"/>
        </w:rPr>
      </w:pPr>
      <w:r>
        <w:rPr>
          <w:rFonts w:hint="eastAsia" w:ascii="黑体" w:hAnsi="黑体" w:eastAsia="黑体" w:cs="Times New Roman"/>
          <w:color w:val="auto"/>
          <w:sz w:val="24"/>
          <w:szCs w:val="22"/>
          <w:highlight w:val="none"/>
        </w:rPr>
        <w:t>三、商务要求</w:t>
      </w:r>
      <w:r>
        <w:rPr>
          <w:rFonts w:hint="eastAsia" w:ascii="黑体" w:hAnsi="黑体" w:eastAsia="黑体" w:cs="Times New Roman"/>
          <w:color w:val="auto"/>
          <w:sz w:val="24"/>
          <w:szCs w:val="22"/>
          <w:highlight w:val="none"/>
          <w:lang w:eastAsia="zh-CN"/>
        </w:rPr>
        <w:t>（</w:t>
      </w:r>
      <w:r>
        <w:rPr>
          <w:rFonts w:hint="eastAsia" w:ascii="黑体" w:hAnsi="黑体" w:eastAsia="黑体" w:cs="Times New Roman"/>
          <w:color w:val="auto"/>
          <w:sz w:val="24"/>
          <w:szCs w:val="22"/>
          <w:highlight w:val="none"/>
          <w:lang w:val="en-US" w:eastAsia="zh-CN"/>
        </w:rPr>
        <w:t>以下条款不允许负偏离</w:t>
      </w:r>
      <w:r>
        <w:rPr>
          <w:rFonts w:hint="eastAsia" w:ascii="黑体" w:hAnsi="黑体" w:eastAsia="黑体" w:cs="Times New Roman"/>
          <w:color w:val="auto"/>
          <w:sz w:val="24"/>
          <w:szCs w:val="22"/>
          <w:highlight w:val="none"/>
          <w:lang w:eastAsia="zh-CN"/>
        </w:rPr>
        <w:t>）</w:t>
      </w:r>
    </w:p>
    <w:p w14:paraId="4ACA1FDF">
      <w:pPr>
        <w:spacing w:line="560" w:lineRule="exact"/>
        <w:ind w:firstLine="420" w:firstLineChars="200"/>
        <w:jc w:val="left"/>
        <w:rPr>
          <w:rFonts w:hint="eastAsia" w:ascii="宋体" w:hAnsi="宋体" w:eastAsia="宋体" w:cs="宋体"/>
          <w:iCs/>
          <w:color w:val="auto"/>
          <w:sz w:val="21"/>
          <w:szCs w:val="21"/>
          <w:highlight w:val="none"/>
          <w:u w:val="none"/>
          <w:lang w:eastAsia="zh-CN"/>
        </w:rPr>
      </w:pPr>
      <w:r>
        <w:rPr>
          <w:rFonts w:hint="eastAsia" w:ascii="宋体" w:hAnsi="宋体" w:eastAsia="宋体" w:cs="宋体"/>
          <w:iCs/>
          <w:color w:val="auto"/>
          <w:sz w:val="21"/>
          <w:szCs w:val="21"/>
          <w:highlight w:val="none"/>
          <w:u w:val="none"/>
          <w:lang w:val="en-US" w:eastAsia="zh-CN"/>
        </w:rPr>
        <w:t>1</w:t>
      </w:r>
      <w:r>
        <w:rPr>
          <w:rFonts w:hint="eastAsia" w:ascii="宋体" w:hAnsi="宋体" w:eastAsia="宋体" w:cs="宋体"/>
          <w:iCs/>
          <w:color w:val="auto"/>
          <w:sz w:val="21"/>
          <w:szCs w:val="21"/>
          <w:highlight w:val="none"/>
          <w:u w:val="none"/>
        </w:rPr>
        <w:t>.自合同签订之日起90个日历天内送达并安装调试完毕</w:t>
      </w:r>
      <w:r>
        <w:rPr>
          <w:rFonts w:hint="eastAsia" w:ascii="宋体" w:hAnsi="宋体" w:eastAsia="宋体" w:cs="宋体"/>
          <w:iCs/>
          <w:color w:val="auto"/>
          <w:sz w:val="21"/>
          <w:szCs w:val="21"/>
          <w:highlight w:val="none"/>
          <w:u w:val="none"/>
          <w:lang w:eastAsia="zh-CN"/>
        </w:rPr>
        <w:t>。</w:t>
      </w:r>
    </w:p>
    <w:p w14:paraId="4446ABB9">
      <w:pPr>
        <w:spacing w:line="560" w:lineRule="exact"/>
        <w:ind w:firstLine="420" w:firstLineChars="200"/>
        <w:jc w:val="left"/>
        <w:rPr>
          <w:rFonts w:hint="eastAsia" w:ascii="宋体" w:hAnsi="宋体" w:eastAsia="宋体" w:cs="宋体"/>
          <w:iCs/>
          <w:color w:val="auto"/>
          <w:sz w:val="21"/>
          <w:szCs w:val="21"/>
          <w:highlight w:val="none"/>
          <w:u w:val="none"/>
        </w:rPr>
      </w:pPr>
      <w:r>
        <w:rPr>
          <w:rFonts w:hint="eastAsia" w:eastAsia="宋体" w:cs="宋体"/>
          <w:iCs/>
          <w:color w:val="auto"/>
          <w:sz w:val="21"/>
          <w:szCs w:val="21"/>
          <w:highlight w:val="none"/>
          <w:u w:val="none"/>
          <w:lang w:val="en-US" w:eastAsia="zh-CN"/>
        </w:rPr>
        <w:t>2</w:t>
      </w:r>
      <w:r>
        <w:rPr>
          <w:rFonts w:hint="eastAsia" w:ascii="宋体" w:hAnsi="宋体" w:eastAsia="宋体" w:cs="宋体"/>
          <w:iCs/>
          <w:color w:val="auto"/>
          <w:sz w:val="21"/>
          <w:szCs w:val="21"/>
          <w:highlight w:val="none"/>
          <w:u w:val="none"/>
        </w:rPr>
        <w:t>.验收合格之日起原厂质保3年</w:t>
      </w:r>
      <w:r>
        <w:rPr>
          <w:rFonts w:hint="eastAsia" w:ascii="宋体" w:hAnsi="宋体" w:eastAsia="宋体" w:cs="宋体"/>
          <w:iCs/>
          <w:color w:val="auto"/>
          <w:sz w:val="21"/>
          <w:szCs w:val="21"/>
          <w:highlight w:val="none"/>
          <w:u w:val="none"/>
          <w:lang w:val="en-US" w:eastAsia="zh-CN"/>
        </w:rPr>
        <w:t>（提供原厂售后服务承诺函）</w:t>
      </w:r>
      <w:r>
        <w:rPr>
          <w:rFonts w:hint="eastAsia" w:ascii="宋体" w:hAnsi="宋体" w:eastAsia="宋体" w:cs="宋体"/>
          <w:iCs/>
          <w:color w:val="auto"/>
          <w:sz w:val="21"/>
          <w:szCs w:val="21"/>
          <w:highlight w:val="none"/>
          <w:u w:val="none"/>
        </w:rPr>
        <w:t>。</w:t>
      </w:r>
    </w:p>
    <w:p w14:paraId="256E7A28">
      <w:pPr>
        <w:spacing w:line="360" w:lineRule="auto"/>
        <w:ind w:firstLine="420" w:firstLineChars="200"/>
        <w:jc w:val="left"/>
        <w:rPr>
          <w:rFonts w:hint="eastAsia" w:ascii="宋体" w:hAnsi="宋体" w:eastAsia="宋体" w:cs="宋体"/>
          <w:iCs/>
          <w:color w:val="auto"/>
          <w:sz w:val="21"/>
          <w:szCs w:val="21"/>
          <w:highlight w:val="none"/>
          <w:u w:val="none"/>
        </w:rPr>
      </w:pPr>
      <w:r>
        <w:rPr>
          <w:rFonts w:hint="eastAsia" w:eastAsia="宋体" w:cs="宋体"/>
          <w:iCs/>
          <w:color w:val="auto"/>
          <w:sz w:val="21"/>
          <w:szCs w:val="21"/>
          <w:highlight w:val="none"/>
          <w:u w:val="none"/>
          <w:lang w:val="en-US" w:eastAsia="zh-CN"/>
        </w:rPr>
        <w:t>3</w:t>
      </w:r>
      <w:r>
        <w:rPr>
          <w:rFonts w:hint="eastAsia" w:ascii="宋体" w:hAnsi="宋体" w:eastAsia="宋体" w:cs="宋体"/>
          <w:iCs/>
          <w:color w:val="auto"/>
          <w:sz w:val="21"/>
          <w:szCs w:val="21"/>
          <w:highlight w:val="none"/>
          <w:u w:val="none"/>
        </w:rPr>
        <w:t>.交货地点：河南省中医院东风路院区及五龙口院区指定位置，保证产品的质量稳定，包装完好，解答用户在应用中遇到的实际问题。</w:t>
      </w:r>
    </w:p>
    <w:p w14:paraId="408C7524">
      <w:pPr>
        <w:spacing w:line="360" w:lineRule="auto"/>
        <w:ind w:firstLine="420" w:firstLineChars="200"/>
        <w:rPr>
          <w:rFonts w:hint="eastAsia" w:ascii="宋体" w:hAnsi="宋体" w:eastAsia="宋体" w:cs="宋体"/>
          <w:iCs/>
          <w:color w:val="auto"/>
          <w:sz w:val="21"/>
          <w:szCs w:val="21"/>
          <w:highlight w:val="none"/>
          <w:u w:val="none"/>
          <w:lang w:val="en-US" w:eastAsia="zh-CN"/>
        </w:rPr>
      </w:pPr>
      <w:r>
        <w:rPr>
          <w:rFonts w:hint="eastAsia" w:eastAsia="宋体" w:cs="宋体"/>
          <w:iCs/>
          <w:color w:val="auto"/>
          <w:sz w:val="21"/>
          <w:szCs w:val="21"/>
          <w:highlight w:val="none"/>
          <w:u w:val="none"/>
          <w:lang w:val="en-US" w:eastAsia="zh-CN"/>
        </w:rPr>
        <w:t>4</w:t>
      </w:r>
      <w:r>
        <w:rPr>
          <w:rFonts w:hint="eastAsia" w:ascii="宋体" w:hAnsi="宋体" w:eastAsia="宋体" w:cs="宋体"/>
          <w:iCs/>
          <w:color w:val="auto"/>
          <w:sz w:val="21"/>
          <w:szCs w:val="21"/>
          <w:highlight w:val="none"/>
          <w:u w:val="none"/>
        </w:rPr>
        <w:t>.</w:t>
      </w:r>
      <w:r>
        <w:rPr>
          <w:rFonts w:hint="eastAsia" w:ascii="宋体" w:hAnsi="宋体" w:eastAsia="宋体" w:cs="宋体"/>
          <w:iCs/>
          <w:color w:val="auto"/>
          <w:sz w:val="21"/>
          <w:szCs w:val="21"/>
          <w:highlight w:val="none"/>
          <w:u w:val="none"/>
          <w:lang w:val="en-US" w:eastAsia="zh-CN"/>
        </w:rPr>
        <w:t>质保期内,供应商负责保养和维修本次所供的所有软硬件，对出现故障、损坏的软硬件提供无偿更换和维修服务，包括维修所需的零配件、人工费、交通费等所有维修费用和产品使用培训和调试费用。</w:t>
      </w:r>
    </w:p>
    <w:p w14:paraId="7021EF24">
      <w:pPr>
        <w:spacing w:line="360" w:lineRule="auto"/>
        <w:ind w:firstLine="420" w:firstLineChars="200"/>
        <w:rPr>
          <w:rFonts w:hint="eastAsia" w:ascii="宋体" w:hAnsi="宋体" w:eastAsia="宋体" w:cs="宋体"/>
          <w:iCs/>
          <w:color w:val="auto"/>
          <w:sz w:val="21"/>
          <w:szCs w:val="21"/>
          <w:highlight w:val="none"/>
          <w:u w:val="none"/>
          <w:lang w:val="en-US" w:eastAsia="zh-CN"/>
        </w:rPr>
      </w:pPr>
      <w:r>
        <w:rPr>
          <w:rFonts w:hint="eastAsia" w:eastAsia="宋体" w:cs="宋体"/>
          <w:iCs/>
          <w:color w:val="auto"/>
          <w:sz w:val="21"/>
          <w:szCs w:val="21"/>
          <w:highlight w:val="none"/>
          <w:u w:val="none"/>
          <w:lang w:val="en-US" w:eastAsia="zh-CN"/>
        </w:rPr>
        <w:t>5</w:t>
      </w:r>
      <w:r>
        <w:rPr>
          <w:rFonts w:hint="eastAsia" w:ascii="宋体" w:hAnsi="宋体" w:eastAsia="宋体" w:cs="宋体"/>
          <w:iCs/>
          <w:color w:val="auto"/>
          <w:sz w:val="21"/>
          <w:szCs w:val="21"/>
          <w:highlight w:val="none"/>
          <w:u w:val="none"/>
          <w:lang w:val="en-US" w:eastAsia="zh-CN"/>
        </w:rPr>
        <w:t>.采购人反映的软硬件系统故障，供应商承诺在接到采购人报修起，1小时到达现场，24小时解决问题；若不能解决，负责免费提供备用软硬件，以保证系统正常运行。</w:t>
      </w:r>
    </w:p>
    <w:p w14:paraId="362E51EE">
      <w:pPr>
        <w:spacing w:line="360" w:lineRule="auto"/>
        <w:ind w:firstLine="420" w:firstLineChars="200"/>
        <w:rPr>
          <w:rFonts w:hint="eastAsia" w:ascii="宋体" w:hAnsi="宋体" w:eastAsia="宋体" w:cs="宋体"/>
          <w:iCs/>
          <w:color w:val="auto"/>
          <w:sz w:val="21"/>
          <w:szCs w:val="21"/>
          <w:highlight w:val="none"/>
          <w:u w:val="none"/>
          <w:lang w:val="en-US" w:eastAsia="zh-CN"/>
        </w:rPr>
      </w:pPr>
      <w:r>
        <w:rPr>
          <w:rFonts w:hint="eastAsia" w:eastAsia="宋体" w:cs="宋体"/>
          <w:iCs/>
          <w:color w:val="auto"/>
          <w:sz w:val="21"/>
          <w:szCs w:val="21"/>
          <w:highlight w:val="none"/>
          <w:u w:val="none"/>
          <w:lang w:val="en-US" w:eastAsia="zh-CN"/>
        </w:rPr>
        <w:t>6</w:t>
      </w:r>
      <w:r>
        <w:rPr>
          <w:rFonts w:hint="eastAsia" w:ascii="宋体" w:hAnsi="宋体" w:eastAsia="宋体" w:cs="宋体"/>
          <w:iCs/>
          <w:color w:val="auto"/>
          <w:sz w:val="21"/>
          <w:szCs w:val="21"/>
          <w:highlight w:val="none"/>
          <w:u w:val="none"/>
          <w:lang w:val="en-US" w:eastAsia="zh-CN"/>
        </w:rPr>
        <w:t>.供应商在产品安装部署时根据招标文件要求和货物及服务技术状况提供机房内设备安装调试、远端运行管理调试所有必要材料，以满足现场实施需要为准。</w:t>
      </w:r>
    </w:p>
    <w:p w14:paraId="3D6B9316">
      <w:pPr>
        <w:spacing w:line="360" w:lineRule="auto"/>
        <w:ind w:firstLine="420" w:firstLineChars="200"/>
        <w:rPr>
          <w:rFonts w:hint="eastAsia" w:eastAsia="宋体" w:cs="宋体"/>
          <w:iCs/>
          <w:color w:val="auto"/>
          <w:sz w:val="21"/>
          <w:szCs w:val="21"/>
          <w:highlight w:val="none"/>
          <w:u w:val="none"/>
          <w:lang w:val="en-US" w:eastAsia="zh-CN"/>
        </w:rPr>
      </w:pPr>
      <w:r>
        <w:rPr>
          <w:rFonts w:hint="eastAsia" w:eastAsia="宋体" w:cs="宋体"/>
          <w:iCs/>
          <w:color w:val="auto"/>
          <w:sz w:val="21"/>
          <w:szCs w:val="21"/>
          <w:highlight w:val="none"/>
          <w:u w:val="none"/>
          <w:lang w:val="en-US" w:eastAsia="zh-CN"/>
        </w:rPr>
        <w:t>7.供应商需承诺提供原厂工程师上门安装、调试服务。</w:t>
      </w:r>
    </w:p>
    <w:p w14:paraId="006DB12F">
      <w:pPr>
        <w:spacing w:line="360" w:lineRule="auto"/>
        <w:ind w:firstLine="420" w:firstLineChars="200"/>
        <w:rPr>
          <w:rFonts w:hint="eastAsia" w:eastAsia="宋体" w:cs="宋体"/>
          <w:iCs/>
          <w:color w:val="auto"/>
          <w:sz w:val="21"/>
          <w:szCs w:val="21"/>
          <w:highlight w:val="none"/>
          <w:u w:val="none"/>
          <w:lang w:val="en-US" w:eastAsia="zh-CN"/>
        </w:rPr>
      </w:pPr>
      <w:r>
        <w:rPr>
          <w:rFonts w:hint="eastAsia" w:eastAsia="宋体" w:cs="宋体"/>
          <w:iCs/>
          <w:color w:val="auto"/>
          <w:sz w:val="21"/>
          <w:szCs w:val="21"/>
          <w:highlight w:val="none"/>
          <w:u w:val="none"/>
          <w:lang w:val="en-US" w:eastAsia="zh-CN"/>
        </w:rPr>
        <w:t>8.供应商需承诺合同签订前向采购人提供由制造商出具的加盖制造商公章的技术参数真实性确认函。</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853271"/>
    <w:multiLevelType w:val="multilevel"/>
    <w:tmpl w:val="4D853271"/>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8831163"/>
    <w:multiLevelType w:val="multilevel"/>
    <w:tmpl w:val="78831163"/>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D575B"/>
    <w:rsid w:val="066D575B"/>
    <w:rsid w:val="16E82A20"/>
    <w:rsid w:val="245C47B5"/>
    <w:rsid w:val="6EB36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cs="Times New Roman"/>
      <w:b/>
      <w:kern w:val="44"/>
      <w:sz w:val="32"/>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网格型3"/>
    <w:qFormat/>
    <w:uiPriority w:val="59"/>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2026-07-02T03:03:00Z</dcterms:created>
  <dc:creator>123</dc:creator>
  <cp:lastModifiedBy>123</cp:lastModifiedBy>
  <dcterms:modified xsi:type="dcterms:W3CDTF">2026-07-02T03:06:16Z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C7B669C88F94494E84BB386AF75F328E_11</vt:lpwstr>
  </property>
  <property fmtid="{D5CDD505-2E9C-101B-9397-08002B2CF9AE}" pid="4" name="KSOTemplateDocerSaveRecord">
    <vt:lpwstr>eyJoZGlkIjoiZDc5OTE4ZGE1MTY0MmJhNTFlOTZiYjEwYTMzNGNiNDYiLCJ1c2VySWQiOiI1NTQ4ODg2MTEifQ==</vt:lpwstr>
  </property>
</Properties>
</file>