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67FB8">
      <w:pPr>
        <w:widowControl/>
        <w:tabs>
          <w:tab w:val="left" w:pos="3261"/>
        </w:tabs>
        <w:jc w:val="center"/>
        <w:outlineLvl w:val="0"/>
        <w:rPr>
          <w:rFonts w:ascii="宋体" w:hAnsi="宋体" w:eastAsia="宋体" w:cs="Times New Roman"/>
          <w:b/>
          <w:bCs/>
          <w:snapToGrid w:val="0"/>
          <w:color w:val="auto"/>
          <w:kern w:val="0"/>
          <w:sz w:val="44"/>
          <w:szCs w:val="20"/>
          <w:highlight w:val="none"/>
          <w:lang w:val="en-US" w:eastAsia="zh-CN" w:bidi="en-US"/>
        </w:rPr>
      </w:pPr>
      <w:r>
        <w:rPr>
          <w:rFonts w:hint="eastAsia" w:ascii="宋体" w:hAnsi="宋体" w:eastAsia="宋体" w:cs="Times New Roman"/>
          <w:b/>
          <w:bCs/>
          <w:snapToGrid w:val="0"/>
          <w:color w:val="auto"/>
          <w:kern w:val="0"/>
          <w:sz w:val="44"/>
          <w:szCs w:val="20"/>
          <w:highlight w:val="none"/>
          <w:lang w:val="en-US" w:eastAsia="zh-CN" w:bidi="en-US"/>
        </w:rPr>
        <w:t>第三章</w:t>
      </w:r>
      <w:bookmarkStart w:id="0" w:name="_Hlk112052116"/>
      <w:r>
        <w:rPr>
          <w:rFonts w:hint="eastAsia" w:ascii="宋体" w:hAnsi="宋体" w:eastAsia="宋体" w:cs="Times New Roman"/>
          <w:b/>
          <w:bCs/>
          <w:snapToGrid w:val="0"/>
          <w:color w:val="auto"/>
          <w:kern w:val="0"/>
          <w:sz w:val="44"/>
          <w:szCs w:val="20"/>
          <w:highlight w:val="none"/>
          <w:lang w:val="en-US" w:eastAsia="zh-CN" w:bidi="en-US"/>
        </w:rPr>
        <w:t xml:space="preserve">  采购需求</w:t>
      </w:r>
      <w:bookmarkStart w:id="12" w:name="_GoBack"/>
      <w:bookmarkEnd w:id="12"/>
    </w:p>
    <w:p w14:paraId="7B361D3F">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宋体" w:hAnsi="宋体" w:eastAsia="宋体" w:cs="Times New Roman"/>
          <w:b/>
          <w:bCs/>
          <w:snapToGrid w:val="0"/>
          <w:color w:val="auto"/>
          <w:kern w:val="0"/>
          <w:sz w:val="30"/>
          <w:szCs w:val="20"/>
          <w:highlight w:val="none"/>
          <w:lang w:val="zh-CN" w:eastAsia="zh-CN" w:bidi="ar-SA"/>
        </w:rPr>
      </w:pPr>
      <w:bookmarkStart w:id="1" w:name="_Toc76478809"/>
      <w:bookmarkStart w:id="2" w:name="_Toc76478886"/>
      <w:bookmarkStart w:id="3" w:name="_Toc81385999"/>
      <w:bookmarkStart w:id="4" w:name="_Toc81386231"/>
      <w:bookmarkStart w:id="5" w:name="_Toc76478964"/>
      <w:r>
        <w:rPr>
          <w:rFonts w:hint="eastAsia" w:ascii="宋体" w:hAnsi="宋体" w:eastAsia="宋体" w:cs="Times New Roman"/>
          <w:b/>
          <w:bCs/>
          <w:snapToGrid w:val="0"/>
          <w:color w:val="auto"/>
          <w:kern w:val="0"/>
          <w:sz w:val="30"/>
          <w:szCs w:val="20"/>
          <w:highlight w:val="none"/>
          <w:lang w:val="zh-CN" w:eastAsia="zh-CN" w:bidi="ar-SA"/>
        </w:rPr>
        <w:t>一、项目概况</w:t>
      </w:r>
      <w:bookmarkEnd w:id="1"/>
      <w:bookmarkEnd w:id="2"/>
      <w:bookmarkEnd w:id="3"/>
      <w:bookmarkEnd w:id="4"/>
      <w:bookmarkEnd w:id="5"/>
    </w:p>
    <w:p w14:paraId="148952B3">
      <w:pPr>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spacing w:val="14"/>
          <w:kern w:val="0"/>
          <w:sz w:val="21"/>
          <w:szCs w:val="21"/>
          <w:highlight w:val="none"/>
          <w:lang w:val="en-US" w:eastAsia="zh-CN" w:bidi="ar-SA"/>
        </w:rPr>
      </w:pPr>
      <w:bookmarkStart w:id="6" w:name="_Toc81386232"/>
      <w:bookmarkStart w:id="7" w:name="_Toc76478810"/>
      <w:bookmarkStart w:id="8" w:name="_Toc81386000"/>
      <w:bookmarkStart w:id="9" w:name="_Toc76478965"/>
      <w:bookmarkStart w:id="10" w:name="_Toc76478887"/>
      <w:bookmarkStart w:id="11" w:name="_Toc238530903"/>
      <w:r>
        <w:rPr>
          <w:rFonts w:hint="eastAsia" w:ascii="宋体" w:hAnsi="宋体" w:eastAsia="宋体" w:cs="Times New Roman"/>
          <w:snapToGrid w:val="0"/>
          <w:color w:val="auto"/>
          <w:spacing w:val="14"/>
          <w:kern w:val="0"/>
          <w:sz w:val="21"/>
          <w:szCs w:val="21"/>
          <w:highlight w:val="none"/>
          <w:lang w:val="en-US" w:eastAsia="zh-CN" w:bidi="ar-SA"/>
        </w:rPr>
        <w:t>本次招标项目为</w:t>
      </w:r>
      <w:r>
        <w:rPr>
          <w:rFonts w:hint="eastAsia" w:ascii="宋体" w:hAnsi="宋体" w:eastAsia="宋体" w:cs="Times New Roman"/>
          <w:snapToGrid w:val="0"/>
          <w:color w:val="auto"/>
          <w:spacing w:val="14"/>
          <w:kern w:val="0"/>
          <w:sz w:val="21"/>
          <w:szCs w:val="21"/>
          <w:highlight w:val="none"/>
          <w:u w:val="single"/>
          <w:lang w:val="en-US" w:eastAsia="zh-CN" w:bidi="ar-SA"/>
        </w:rPr>
        <w:t>河南经贸职业学院刺绣产业学院教学资源与服务采购项目包1</w:t>
      </w:r>
      <w:r>
        <w:rPr>
          <w:rFonts w:hint="eastAsia" w:ascii="宋体" w:hAnsi="宋体" w:eastAsia="宋体" w:cs="Times New Roman"/>
          <w:snapToGrid w:val="0"/>
          <w:color w:val="auto"/>
          <w:spacing w:val="14"/>
          <w:kern w:val="0"/>
          <w:sz w:val="21"/>
          <w:szCs w:val="21"/>
          <w:highlight w:val="none"/>
          <w:lang w:val="en-US" w:eastAsia="zh-CN" w:bidi="ar-SA"/>
        </w:rPr>
        <w:t>，共</w:t>
      </w:r>
      <w:r>
        <w:rPr>
          <w:rFonts w:hint="eastAsia" w:ascii="宋体" w:hAnsi="宋体" w:eastAsia="宋体" w:cs="Times New Roman"/>
          <w:snapToGrid w:val="0"/>
          <w:color w:val="auto"/>
          <w:spacing w:val="14"/>
          <w:kern w:val="0"/>
          <w:sz w:val="21"/>
          <w:szCs w:val="21"/>
          <w:highlight w:val="none"/>
          <w:u w:val="single"/>
          <w:lang w:val="en-US" w:eastAsia="zh-CN" w:bidi="ar-SA"/>
        </w:rPr>
        <w:t xml:space="preserve"> 2</w:t>
      </w:r>
      <w:r>
        <w:rPr>
          <w:rFonts w:ascii="宋体" w:hAnsi="宋体" w:eastAsia="宋体" w:cs="Times New Roman"/>
          <w:snapToGrid w:val="0"/>
          <w:color w:val="auto"/>
          <w:spacing w:val="14"/>
          <w:kern w:val="0"/>
          <w:sz w:val="21"/>
          <w:szCs w:val="21"/>
          <w:highlight w:val="none"/>
          <w:u w:val="single"/>
          <w:lang w:val="en-US" w:eastAsia="zh-CN" w:bidi="ar-SA"/>
        </w:rPr>
        <w:t xml:space="preserve"> </w:t>
      </w:r>
      <w:r>
        <w:rPr>
          <w:rFonts w:hint="eastAsia" w:ascii="宋体" w:hAnsi="宋体" w:eastAsia="宋体" w:cs="Times New Roman"/>
          <w:snapToGrid w:val="0"/>
          <w:color w:val="auto"/>
          <w:spacing w:val="14"/>
          <w:kern w:val="0"/>
          <w:sz w:val="21"/>
          <w:szCs w:val="21"/>
          <w:highlight w:val="none"/>
          <w:lang w:val="en-US" w:eastAsia="zh-CN" w:bidi="ar-SA"/>
        </w:rPr>
        <w:t>个包。</w:t>
      </w:r>
    </w:p>
    <w:p w14:paraId="4703154E">
      <w:pPr>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本次采购标的对应的中小企业划分标准所属行业为：</w:t>
      </w:r>
      <w:r>
        <w:rPr>
          <w:rFonts w:hint="eastAsia" w:ascii="宋体" w:hAnsi="宋体" w:eastAsia="宋体" w:cs="Times New Roman"/>
          <w:b/>
          <w:bCs/>
          <w:snapToGrid w:val="0"/>
          <w:color w:val="auto"/>
          <w:spacing w:val="14"/>
          <w:kern w:val="0"/>
          <w:sz w:val="21"/>
          <w:szCs w:val="21"/>
          <w:highlight w:val="none"/>
          <w:u w:val="single"/>
          <w:lang w:val="en-US" w:eastAsia="zh-CN" w:bidi="ar-SA"/>
        </w:rPr>
        <w:t>租赁和商务服务业</w:t>
      </w:r>
      <w:r>
        <w:rPr>
          <w:rFonts w:hint="eastAsia" w:ascii="宋体" w:hAnsi="宋体" w:eastAsia="宋体" w:cs="Times New Roman"/>
          <w:snapToGrid w:val="0"/>
          <w:color w:val="auto"/>
          <w:spacing w:val="14"/>
          <w:kern w:val="0"/>
          <w:sz w:val="21"/>
          <w:szCs w:val="21"/>
          <w:highlight w:val="none"/>
          <w:lang w:val="en-US" w:eastAsia="zh-CN" w:bidi="ar-SA"/>
        </w:rPr>
        <w:t>。</w:t>
      </w:r>
    </w:p>
    <w:p w14:paraId="43F2D16E">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Times New Roman" w:hAnsi="Times New Roman" w:eastAsia="仿宋" w:cs="Times New Roman"/>
          <w:b/>
          <w:bCs/>
          <w:color w:val="auto"/>
          <w:kern w:val="0"/>
          <w:sz w:val="30"/>
          <w:szCs w:val="20"/>
          <w:highlight w:val="none"/>
          <w:lang w:val="en-US" w:eastAsia="zh-CN" w:bidi="ar-SA"/>
        </w:rPr>
      </w:pPr>
      <w:r>
        <w:rPr>
          <w:rFonts w:hint="eastAsia" w:ascii="宋体" w:hAnsi="宋体" w:eastAsia="宋体" w:cs="Times New Roman"/>
          <w:b/>
          <w:bCs/>
          <w:snapToGrid w:val="0"/>
          <w:color w:val="auto"/>
          <w:kern w:val="0"/>
          <w:sz w:val="30"/>
          <w:szCs w:val="20"/>
          <w:highlight w:val="none"/>
          <w:lang w:val="zh-CN" w:eastAsia="zh-CN" w:bidi="ar-SA"/>
        </w:rPr>
        <w:t>二、招标清单及</w:t>
      </w:r>
      <w:bookmarkEnd w:id="6"/>
      <w:bookmarkEnd w:id="7"/>
      <w:bookmarkEnd w:id="8"/>
      <w:bookmarkEnd w:id="9"/>
      <w:bookmarkEnd w:id="10"/>
      <w:r>
        <w:rPr>
          <w:rFonts w:hint="eastAsia" w:ascii="宋体" w:hAnsi="宋体" w:eastAsia="宋体" w:cs="Times New Roman"/>
          <w:b/>
          <w:bCs/>
          <w:snapToGrid w:val="0"/>
          <w:color w:val="auto"/>
          <w:kern w:val="0"/>
          <w:sz w:val="30"/>
          <w:szCs w:val="20"/>
          <w:highlight w:val="none"/>
          <w:lang w:val="zh-CN" w:eastAsia="zh-CN" w:bidi="ar-SA"/>
        </w:rPr>
        <w:t>技术参数/服务要求</w:t>
      </w:r>
    </w:p>
    <w:bookmarkEnd w:id="11"/>
    <w:tbl>
      <w:tblPr>
        <w:tblStyle w:val="8"/>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65"/>
        <w:gridCol w:w="6814"/>
        <w:gridCol w:w="750"/>
        <w:gridCol w:w="795"/>
      </w:tblGrid>
      <w:tr w14:paraId="429E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2BCC2C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序号</w:t>
            </w:r>
          </w:p>
        </w:tc>
        <w:tc>
          <w:tcPr>
            <w:tcW w:w="1065" w:type="dxa"/>
            <w:noWrap w:val="0"/>
            <w:vAlign w:val="center"/>
          </w:tcPr>
          <w:p w14:paraId="5ED38F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名称</w:t>
            </w:r>
          </w:p>
        </w:tc>
        <w:tc>
          <w:tcPr>
            <w:tcW w:w="6814" w:type="dxa"/>
            <w:noWrap w:val="0"/>
            <w:vAlign w:val="center"/>
          </w:tcPr>
          <w:p w14:paraId="18D8AF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技术参数</w:t>
            </w:r>
          </w:p>
        </w:tc>
        <w:tc>
          <w:tcPr>
            <w:tcW w:w="750" w:type="dxa"/>
            <w:noWrap w:val="0"/>
            <w:vAlign w:val="center"/>
          </w:tcPr>
          <w:p w14:paraId="678BF9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数量</w:t>
            </w:r>
          </w:p>
        </w:tc>
        <w:tc>
          <w:tcPr>
            <w:tcW w:w="795" w:type="dxa"/>
            <w:noWrap w:val="0"/>
            <w:vAlign w:val="center"/>
          </w:tcPr>
          <w:p w14:paraId="4D989E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rPr>
              <w:t>单位</w:t>
            </w:r>
          </w:p>
        </w:tc>
      </w:tr>
      <w:tr w14:paraId="43D5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687595A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1065" w:type="dxa"/>
            <w:noWrap w:val="0"/>
            <w:vAlign w:val="center"/>
          </w:tcPr>
          <w:p w14:paraId="60954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刺绣专业岗位教学与实践运营</w:t>
            </w:r>
          </w:p>
        </w:tc>
        <w:tc>
          <w:tcPr>
            <w:tcW w:w="6814" w:type="dxa"/>
            <w:noWrap w:val="0"/>
            <w:vAlign w:val="center"/>
          </w:tcPr>
          <w:p w14:paraId="14CEAB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一、承担刺绣专业的教学实训、岗位实践等任务</w:t>
            </w:r>
          </w:p>
          <w:p w14:paraId="69D73AA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★1.配备3名及以上企业在岗专职刺绣技术授课教师，需提供企业在职证明，且师资须具备3年以上刺绣行业从业经验或为高校刺绣相关专业毕业；</w:t>
            </w:r>
          </w:p>
          <w:p w14:paraId="1E91FD7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师资专业需覆盖汴绣经典纹样设计、针法技艺、成品制作等核心教学模块，承担2个在校年级所有刺绣专业班级的教学任务，课程涵盖《刺绣技法基础》《创意绣稿设计》《简易绣品制作》《中端绣品制作》《高端绣品制作》《刺绣产品设计开发》《电商运营实务》《仓储综合实训》等人才培养方案中相关的专业核心课程；</w:t>
            </w:r>
          </w:p>
          <w:p w14:paraId="173F8C3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3.总授课任务不少于1100课时，其中实操教学占比不低于70%。</w:t>
            </w:r>
          </w:p>
          <w:p w14:paraId="04424D8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4.制定每门课程的个性化教学方案，为相应课程（实训课程）配套完整教案、实训指导书及考核标准；</w:t>
            </w:r>
          </w:p>
          <w:p w14:paraId="5C3549B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5.企业配备专业人员指导学生成立虚拟公司，对刺绣专业学生进行创作、生产、销售、财务等全流程运营，提供真实、专业的销售渠道、运营平台、财务流水等。</w:t>
            </w:r>
          </w:p>
        </w:tc>
        <w:tc>
          <w:tcPr>
            <w:tcW w:w="750" w:type="dxa"/>
            <w:noWrap w:val="0"/>
            <w:vAlign w:val="center"/>
          </w:tcPr>
          <w:p w14:paraId="3F3162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795" w:type="dxa"/>
            <w:noWrap w:val="0"/>
            <w:vAlign w:val="center"/>
          </w:tcPr>
          <w:p w14:paraId="3E23AF5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批</w:t>
            </w:r>
          </w:p>
        </w:tc>
      </w:tr>
      <w:tr w14:paraId="48CA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216F6EC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w:t>
            </w:r>
          </w:p>
        </w:tc>
        <w:tc>
          <w:tcPr>
            <w:tcW w:w="1065" w:type="dxa"/>
            <w:vMerge w:val="restart"/>
            <w:noWrap w:val="0"/>
            <w:vAlign w:val="center"/>
          </w:tcPr>
          <w:p w14:paraId="1B46E6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6"/>
                <w:sz w:val="21"/>
                <w:szCs w:val="21"/>
                <w:highlight w:val="none"/>
              </w:rPr>
              <w:t>刺绣专业</w:t>
            </w:r>
            <w:r>
              <w:rPr>
                <w:rFonts w:hint="eastAsia" w:ascii="宋体" w:hAnsi="宋体" w:eastAsia="宋体" w:cs="宋体"/>
                <w:color w:val="auto"/>
                <w:spacing w:val="5"/>
                <w:sz w:val="21"/>
                <w:szCs w:val="21"/>
                <w:highlight w:val="none"/>
              </w:rPr>
              <w:t>培训、竞赛指导、场馆服务</w:t>
            </w:r>
          </w:p>
        </w:tc>
        <w:tc>
          <w:tcPr>
            <w:tcW w:w="6814" w:type="dxa"/>
            <w:noWrap w:val="0"/>
            <w:vAlign w:val="center"/>
          </w:tcPr>
          <w:p w14:paraId="753E963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一、校内教师专业培训</w:t>
            </w:r>
          </w:p>
          <w:p w14:paraId="4A16E99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1.开展刺绣专业培训，培训时长不少于40学时（集中培训不少于5天），每期参训教师不少于30人；</w:t>
            </w:r>
          </w:p>
          <w:p w14:paraId="5A58096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2.接受5名以上教师赴刺绣类企业开展岗位实践，熟悉、掌握刺绣专业的业务流程；</w:t>
            </w:r>
          </w:p>
          <w:p w14:paraId="69EF49E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3.培训主题：涵盖刺绣产业发展现状与趋势、现代刺绣技术创新、非遗活化教学方法、行业资源整合等核心内容；</w:t>
            </w:r>
          </w:p>
          <w:p w14:paraId="6090FE8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4.培训师资：邀请行业知名专家、市级以上非遗传承人、企业技术总监等担任讲师；</w:t>
            </w:r>
          </w:p>
          <w:p w14:paraId="50230F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5.配套服务：提供培训教材、实训材料、结业证书。</w:t>
            </w:r>
          </w:p>
          <w:p w14:paraId="69C2664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6.组织师生赴省内外刺绣企业集中学习，组织现场观摩学习（不少于2次）。并承担期间产生的食宿费、交通费、培训费等。</w:t>
            </w:r>
          </w:p>
        </w:tc>
        <w:tc>
          <w:tcPr>
            <w:tcW w:w="750" w:type="dxa"/>
            <w:noWrap w:val="0"/>
            <w:vAlign w:val="center"/>
          </w:tcPr>
          <w:p w14:paraId="616FBB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795" w:type="dxa"/>
            <w:noWrap w:val="0"/>
            <w:vAlign w:val="center"/>
          </w:tcPr>
          <w:p w14:paraId="4C60CEB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批</w:t>
            </w:r>
          </w:p>
        </w:tc>
      </w:tr>
      <w:tr w14:paraId="7472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2A1E042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w:t>
            </w:r>
          </w:p>
        </w:tc>
        <w:tc>
          <w:tcPr>
            <w:tcW w:w="1065" w:type="dxa"/>
            <w:vMerge w:val="continue"/>
            <w:noWrap w:val="0"/>
            <w:vAlign w:val="center"/>
          </w:tcPr>
          <w:p w14:paraId="743FB6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val="en-US" w:eastAsia="zh-CN" w:bidi="ar-SA"/>
              </w:rPr>
            </w:pPr>
          </w:p>
        </w:tc>
        <w:tc>
          <w:tcPr>
            <w:tcW w:w="6814" w:type="dxa"/>
            <w:noWrap w:val="0"/>
            <w:vAlign w:val="center"/>
          </w:tcPr>
          <w:p w14:paraId="2F1644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一、技能大赛辅导服务</w:t>
            </w:r>
          </w:p>
          <w:p w14:paraId="0029E08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1.指导校内师生参与各类刺绣相关技能竞赛（含职业院校技能大赛、非遗技艺大赛等）项目不少于10个；</w:t>
            </w:r>
          </w:p>
          <w:p w14:paraId="406CA7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2.组建辅导团队：配备不少于2名具有3年以上大赛辅导经验的行业专家，提供辅导方案及进度计划；</w:t>
            </w:r>
          </w:p>
          <w:p w14:paraId="464085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3.成果要求：确保辅导项目获得学校认可的省级及以上A类、B类技能竞赛成果不少于5项。</w:t>
            </w:r>
          </w:p>
        </w:tc>
        <w:tc>
          <w:tcPr>
            <w:tcW w:w="750" w:type="dxa"/>
            <w:noWrap w:val="0"/>
            <w:vAlign w:val="center"/>
          </w:tcPr>
          <w:p w14:paraId="22D79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795" w:type="dxa"/>
            <w:noWrap w:val="0"/>
            <w:vAlign w:val="center"/>
          </w:tcPr>
          <w:p w14:paraId="1BB3F0A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批</w:t>
            </w:r>
          </w:p>
        </w:tc>
      </w:tr>
      <w:tr w14:paraId="19B8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42F1082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w:t>
            </w:r>
          </w:p>
        </w:tc>
        <w:tc>
          <w:tcPr>
            <w:tcW w:w="1065" w:type="dxa"/>
            <w:vMerge w:val="continue"/>
            <w:noWrap w:val="0"/>
            <w:vAlign w:val="center"/>
          </w:tcPr>
          <w:p w14:paraId="02E021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val="en-US" w:eastAsia="zh-CN" w:bidi="ar-SA"/>
              </w:rPr>
            </w:pPr>
          </w:p>
        </w:tc>
        <w:tc>
          <w:tcPr>
            <w:tcW w:w="6814" w:type="dxa"/>
            <w:noWrap w:val="0"/>
            <w:vAlign w:val="center"/>
          </w:tcPr>
          <w:p w14:paraId="1E1E2C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一、刺绣博物馆专业服务</w:t>
            </w:r>
          </w:p>
          <w:p w14:paraId="3209E3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1.展品维护：提供目前刺绣博物馆刺绣展品（不低于600件）的专业养护服务，不少于4次，包含除尘、防潮、修复指导等，需提供专业养护方案；</w:t>
            </w:r>
          </w:p>
          <w:p w14:paraId="41656F1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2.参观讲解：提供不少于30场次专业讲解服务，每次讲解时长不少于45分钟，讲解人员需刺绣博物馆专业服务经专业培训并熟悉展品背景、工艺特点；</w:t>
            </w:r>
          </w:p>
          <w:p w14:paraId="665823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3.服务规模：累计服务人数不少于1500人次（含校内师生及社会公众）。</w:t>
            </w:r>
          </w:p>
        </w:tc>
        <w:tc>
          <w:tcPr>
            <w:tcW w:w="750" w:type="dxa"/>
            <w:noWrap w:val="0"/>
            <w:vAlign w:val="center"/>
          </w:tcPr>
          <w:p w14:paraId="69293A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795" w:type="dxa"/>
            <w:noWrap w:val="0"/>
            <w:vAlign w:val="center"/>
          </w:tcPr>
          <w:p w14:paraId="01B8BEB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批</w:t>
            </w:r>
          </w:p>
        </w:tc>
      </w:tr>
    </w:tbl>
    <w:p w14:paraId="431B4D8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hAnsi="宋体" w:eastAsia="宋体" w:cs="Times New Roman"/>
          <w:b w:val="0"/>
          <w:bCs w:val="0"/>
          <w:snapToGrid w:val="0"/>
          <w:color w:val="auto"/>
          <w:spacing w:val="14"/>
          <w:kern w:val="0"/>
          <w:sz w:val="21"/>
          <w:szCs w:val="21"/>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w:t>
      </w:r>
      <w:r>
        <w:rPr>
          <w:rFonts w:hint="eastAsia" w:ascii="宋体" w:hAnsi="宋体" w:eastAsia="宋体" w:cs="Times New Roman"/>
          <w:b/>
          <w:bCs/>
          <w:snapToGrid w:val="0"/>
          <w:color w:val="auto"/>
          <w:spacing w:val="14"/>
          <w:kern w:val="0"/>
          <w:sz w:val="21"/>
          <w:szCs w:val="21"/>
          <w:highlight w:val="none"/>
          <w:lang w:val="en-US" w:eastAsia="zh-CN" w:bidi="ar-SA"/>
        </w:rPr>
        <w:t>注：</w:t>
      </w:r>
    </w:p>
    <w:p w14:paraId="6B363CD3">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hAnsi="宋体" w:eastAsia="宋体" w:cs="Times New Roman"/>
          <w:b w:val="0"/>
          <w:bCs w:val="0"/>
          <w:snapToGrid w:val="0"/>
          <w:color w:val="auto"/>
          <w:spacing w:val="14"/>
          <w:kern w:val="0"/>
          <w:sz w:val="21"/>
          <w:szCs w:val="21"/>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1、投标人</w:t>
      </w:r>
      <w:r>
        <w:rPr>
          <w:rFonts w:ascii="宋体" w:hAnsi="宋体" w:eastAsia="宋体" w:cs="Times New Roman"/>
          <w:b w:val="0"/>
          <w:bCs w:val="0"/>
          <w:snapToGrid w:val="0"/>
          <w:color w:val="auto"/>
          <w:spacing w:val="14"/>
          <w:kern w:val="0"/>
          <w:sz w:val="21"/>
          <w:szCs w:val="21"/>
          <w:highlight w:val="none"/>
          <w:lang w:val="en-US" w:eastAsia="zh-CN" w:bidi="ar-SA"/>
        </w:rPr>
        <w:t>须在投标文件中如实响应上述要求，对材料真实性负责</w:t>
      </w:r>
      <w:r>
        <w:rPr>
          <w:rFonts w:hint="eastAsia" w:ascii="宋体" w:hAnsi="宋体" w:eastAsia="宋体" w:cs="Times New Roman"/>
          <w:b w:val="0"/>
          <w:bCs w:val="0"/>
          <w:snapToGrid w:val="0"/>
          <w:color w:val="auto"/>
          <w:spacing w:val="14"/>
          <w:kern w:val="0"/>
          <w:sz w:val="21"/>
          <w:szCs w:val="21"/>
          <w:highlight w:val="none"/>
          <w:lang w:val="en-US" w:eastAsia="zh-CN" w:bidi="ar-SA"/>
        </w:rPr>
        <w:t>，</w:t>
      </w:r>
      <w:r>
        <w:rPr>
          <w:rFonts w:ascii="宋体" w:hAnsi="宋体" w:eastAsia="宋体" w:cs="Times New Roman"/>
          <w:b w:val="0"/>
          <w:bCs w:val="0"/>
          <w:snapToGrid w:val="0"/>
          <w:color w:val="auto"/>
          <w:spacing w:val="14"/>
          <w:kern w:val="0"/>
          <w:sz w:val="21"/>
          <w:szCs w:val="21"/>
          <w:highlight w:val="none"/>
          <w:lang w:val="en-US" w:eastAsia="zh-CN" w:bidi="ar-SA"/>
        </w:rPr>
        <w:t>如果存在编制虚假材料情况，采购人将有权</w:t>
      </w:r>
      <w:r>
        <w:rPr>
          <w:rFonts w:hint="eastAsia" w:ascii="宋体" w:hAnsi="宋体" w:eastAsia="宋体" w:cs="Times New Roman"/>
          <w:b w:val="0"/>
          <w:bCs w:val="0"/>
          <w:snapToGrid w:val="0"/>
          <w:color w:val="auto"/>
          <w:spacing w:val="14"/>
          <w:kern w:val="0"/>
          <w:sz w:val="21"/>
          <w:szCs w:val="21"/>
          <w:highlight w:val="none"/>
          <w:lang w:val="en-US" w:eastAsia="zh-CN" w:bidi="ar-SA"/>
        </w:rPr>
        <w:t>按</w:t>
      </w:r>
      <w:r>
        <w:rPr>
          <w:rFonts w:ascii="宋体" w:hAnsi="宋体" w:eastAsia="宋体" w:cs="Times New Roman"/>
          <w:b w:val="0"/>
          <w:bCs w:val="0"/>
          <w:snapToGrid w:val="0"/>
          <w:color w:val="auto"/>
          <w:spacing w:val="14"/>
          <w:kern w:val="0"/>
          <w:sz w:val="21"/>
          <w:szCs w:val="21"/>
          <w:highlight w:val="none"/>
          <w:lang w:val="en-US" w:eastAsia="zh-CN" w:bidi="ar-SA"/>
        </w:rPr>
        <w:t>照政府采购相关规定上报上级管理部门</w:t>
      </w:r>
      <w:r>
        <w:rPr>
          <w:rFonts w:hint="eastAsia" w:ascii="宋体" w:hAnsi="宋体" w:eastAsia="宋体" w:cs="Times New Roman"/>
          <w:b w:val="0"/>
          <w:bCs w:val="0"/>
          <w:snapToGrid w:val="0"/>
          <w:color w:val="auto"/>
          <w:spacing w:val="14"/>
          <w:kern w:val="0"/>
          <w:sz w:val="21"/>
          <w:szCs w:val="21"/>
          <w:highlight w:val="none"/>
          <w:lang w:val="en-US" w:eastAsia="zh-CN" w:bidi="ar-SA"/>
        </w:rPr>
        <w:t>。</w:t>
      </w:r>
    </w:p>
    <w:p w14:paraId="5674738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2、投标人应如实描述所报产品的技术参数和性能，不得完全复制粘贴上表技术参数和性能描述。因完全复制粘贴上表技术参数和性能描述而产生的不利于投标人的评审风险由投标人自行承担。</w:t>
      </w:r>
      <w:bookmarkEnd w:id="0"/>
    </w:p>
    <w:p w14:paraId="2C8E6C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664A0"/>
    <w:rsid w:val="7996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keepNext/>
      <w:keepLines/>
      <w:outlineLvl w:val="2"/>
    </w:pPr>
    <w:rPr>
      <w:rFonts w:ascii="Times New Roman" w:hAnsi="Times New Roman" w:eastAsia="仿宋" w:cs="Times New Roman"/>
      <w:b/>
      <w:bCs/>
      <w:kern w:val="0"/>
      <w:sz w:val="30"/>
      <w:szCs w:val="20"/>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200" w:firstLineChars="200"/>
    </w:pPr>
    <w:rPr>
      <w:rFonts w:ascii="楷体_GB2312" w:eastAsia="仿宋_GB2312"/>
      <w:sz w:val="30"/>
      <w:szCs w:val="3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正文"/>
    <w:basedOn w:val="1"/>
    <w:next w:val="1"/>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2026-07-14T02:27:00Z</dcterms:created>
  <dc:creator>FF</dc:creator>
  <cp:lastModifiedBy>FF</cp:lastModifiedBy>
  <dcterms:modified xsi:type="dcterms:W3CDTF">2026-07-14T02:28:11Z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F9051110944F40A0A6A6698E5B588FDA_11</vt:lpwstr>
  </property>
  <property fmtid="{D5CDD505-2E9C-101B-9397-08002B2CF9AE}" pid="4" name="KSOTemplateDocerSaveRecord">
    <vt:lpwstr>eyJoZGlkIjoiMWZiYzQ2ZDY4NWM4M2FjYTIyZGE3OTEwZTUzYzgxN2IiLCJ1c2VySWQiOiI0Mzg1MzY0MTcifQ==</vt:lpwstr>
  </property>
</Properties>
</file>