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5DA08">
      <w:pPr>
        <w:spacing w:line="360" w:lineRule="auto"/>
        <w:jc w:val="center"/>
        <w:rPr>
          <w:rFonts w:ascii="宋体" w:hAnsi="宋体" w:cs="宋体"/>
          <w:b/>
          <w:color w:val="auto"/>
          <w:sz w:val="40"/>
          <w:szCs w:val="40"/>
          <w:highlight w:val="none"/>
        </w:rPr>
      </w:pPr>
    </w:p>
    <w:p w14:paraId="308A3B73">
      <w:pPr>
        <w:spacing w:line="360" w:lineRule="auto"/>
        <w:jc w:val="center"/>
        <w:rPr>
          <w:rFonts w:ascii="宋体" w:hAnsi="宋体" w:cs="宋体"/>
          <w:b/>
          <w:color w:val="auto"/>
          <w:sz w:val="40"/>
          <w:szCs w:val="40"/>
          <w:highlight w:val="none"/>
        </w:rPr>
      </w:pPr>
      <w:r>
        <w:rPr>
          <w:rFonts w:hint="eastAsia" w:ascii="宋体" w:hAnsi="宋体" w:cs="宋体"/>
          <w:b/>
          <w:color w:val="auto"/>
          <w:sz w:val="40"/>
          <w:szCs w:val="40"/>
          <w:highlight w:val="none"/>
        </w:rPr>
        <w:t>河南省科学院光资源与环境科学研究所</w:t>
      </w:r>
    </w:p>
    <w:p w14:paraId="42177CC0">
      <w:pPr>
        <w:spacing w:line="360" w:lineRule="auto"/>
        <w:jc w:val="center"/>
        <w:rPr>
          <w:rFonts w:ascii="宋体" w:hAnsi="宋体" w:cs="宋体"/>
          <w:b/>
          <w:color w:val="auto"/>
          <w:sz w:val="40"/>
          <w:szCs w:val="40"/>
          <w:highlight w:val="none"/>
        </w:rPr>
      </w:pPr>
      <w:r>
        <w:rPr>
          <w:rFonts w:hint="eastAsia" w:ascii="宋体" w:hAnsi="宋体" w:cs="宋体"/>
          <w:b/>
          <w:color w:val="auto"/>
          <w:sz w:val="40"/>
          <w:szCs w:val="40"/>
          <w:highlight w:val="none"/>
        </w:rPr>
        <w:t>红外检测实验平台（二期）项目</w:t>
      </w:r>
    </w:p>
    <w:p w14:paraId="1A19A0A7">
      <w:pPr>
        <w:widowControl/>
        <w:adjustRightInd w:val="0"/>
        <w:snapToGrid w:val="0"/>
        <w:spacing w:after="200"/>
        <w:jc w:val="center"/>
        <w:rPr>
          <w:rFonts w:ascii="宋体" w:hAnsi="宋体"/>
          <w:b/>
          <w:color w:val="auto"/>
          <w:sz w:val="100"/>
          <w:szCs w:val="100"/>
          <w:highlight w:val="none"/>
        </w:rPr>
      </w:pPr>
      <w:r>
        <w:rPr>
          <w:rFonts w:hint="eastAsia" w:ascii="宋体" w:hAnsi="宋体"/>
          <w:b/>
          <w:color w:val="auto"/>
          <w:sz w:val="100"/>
          <w:szCs w:val="100"/>
          <w:highlight w:val="none"/>
        </w:rPr>
        <w:t>招 标</w:t>
      </w:r>
      <w:r>
        <w:rPr>
          <w:rFonts w:ascii="宋体" w:hAnsi="宋体"/>
          <w:b/>
          <w:color w:val="auto"/>
          <w:sz w:val="100"/>
          <w:szCs w:val="100"/>
          <w:highlight w:val="none"/>
        </w:rPr>
        <w:t xml:space="preserve"> </w:t>
      </w:r>
      <w:r>
        <w:rPr>
          <w:rFonts w:hint="eastAsia" w:ascii="宋体" w:hAnsi="宋体"/>
          <w:b/>
          <w:color w:val="auto"/>
          <w:sz w:val="100"/>
          <w:szCs w:val="100"/>
          <w:highlight w:val="none"/>
        </w:rPr>
        <w:t>文</w:t>
      </w:r>
      <w:r>
        <w:rPr>
          <w:rFonts w:ascii="宋体" w:hAnsi="宋体"/>
          <w:b/>
          <w:color w:val="auto"/>
          <w:sz w:val="100"/>
          <w:szCs w:val="100"/>
          <w:highlight w:val="none"/>
        </w:rPr>
        <w:t xml:space="preserve"> </w:t>
      </w:r>
      <w:r>
        <w:rPr>
          <w:rFonts w:hint="eastAsia" w:ascii="宋体" w:hAnsi="宋体"/>
          <w:b/>
          <w:color w:val="auto"/>
          <w:sz w:val="100"/>
          <w:szCs w:val="100"/>
          <w:highlight w:val="none"/>
        </w:rPr>
        <w:t>件</w:t>
      </w:r>
    </w:p>
    <w:p w14:paraId="6434E468">
      <w:pPr>
        <w:spacing w:line="500" w:lineRule="exact"/>
        <w:jc w:val="center"/>
        <w:rPr>
          <w:rFonts w:ascii="宋体"/>
          <w:b/>
          <w:bCs/>
          <w:color w:val="auto"/>
          <w:sz w:val="28"/>
          <w:szCs w:val="28"/>
          <w:highlight w:val="none"/>
        </w:rPr>
      </w:pPr>
    </w:p>
    <w:p w14:paraId="5C2B5D65">
      <w:pPr>
        <w:spacing w:line="500" w:lineRule="exact"/>
        <w:jc w:val="center"/>
        <w:rPr>
          <w:rFonts w:ascii="宋体"/>
          <w:b/>
          <w:bCs/>
          <w:color w:val="auto"/>
          <w:sz w:val="28"/>
          <w:szCs w:val="28"/>
          <w:highlight w:val="none"/>
        </w:rPr>
      </w:pPr>
      <w:r>
        <w:rPr>
          <w:rFonts w:hint="eastAsia" w:ascii="宋体"/>
          <w:b/>
          <w:bCs/>
          <w:color w:val="auto"/>
          <w:sz w:val="28"/>
          <w:szCs w:val="28"/>
          <w:highlight w:val="none"/>
        </w:rPr>
        <w:t>项目</w:t>
      </w:r>
      <w:r>
        <w:rPr>
          <w:rFonts w:ascii="宋体"/>
          <w:b/>
          <w:bCs/>
          <w:color w:val="auto"/>
          <w:sz w:val="28"/>
          <w:szCs w:val="28"/>
          <w:highlight w:val="none"/>
        </w:rPr>
        <w:t>编号：</w:t>
      </w:r>
      <w:r>
        <w:rPr>
          <w:rFonts w:hint="eastAsia" w:ascii="宋体"/>
          <w:b/>
          <w:bCs/>
          <w:color w:val="auto"/>
          <w:sz w:val="28"/>
          <w:szCs w:val="28"/>
          <w:highlight w:val="none"/>
        </w:rPr>
        <w:t>豫财招标采购-2026-744</w:t>
      </w:r>
    </w:p>
    <w:p w14:paraId="06AACFF3">
      <w:pPr>
        <w:pStyle w:val="94"/>
        <w:rPr>
          <w:color w:val="auto"/>
          <w:highlight w:val="none"/>
        </w:rPr>
      </w:pPr>
    </w:p>
    <w:p w14:paraId="61F8521A">
      <w:pPr>
        <w:widowControl/>
        <w:adjustRightInd w:val="0"/>
        <w:snapToGrid w:val="0"/>
        <w:spacing w:after="200" w:line="360" w:lineRule="auto"/>
        <w:jc w:val="center"/>
        <w:rPr>
          <w:rFonts w:ascii="宋体" w:hAnsi="宋体" w:cs="宋体"/>
          <w:b/>
          <w:bCs/>
          <w:color w:val="auto"/>
          <w:kern w:val="0"/>
          <w:sz w:val="10"/>
          <w:szCs w:val="10"/>
          <w:highlight w:val="none"/>
        </w:rPr>
      </w:pPr>
    </w:p>
    <w:p w14:paraId="0E728B76">
      <w:pPr>
        <w:widowControl/>
        <w:tabs>
          <w:tab w:val="left" w:pos="7076"/>
        </w:tabs>
        <w:adjustRightInd w:val="0"/>
        <w:snapToGrid w:val="0"/>
        <w:spacing w:after="200" w:line="360" w:lineRule="auto"/>
        <w:jc w:val="center"/>
        <w:rPr>
          <w:rFonts w:ascii="宋体" w:hAnsi="宋体" w:cs="宋体"/>
          <w:b/>
          <w:bCs/>
          <w:color w:val="auto"/>
          <w:kern w:val="0"/>
          <w:sz w:val="30"/>
          <w:szCs w:val="30"/>
          <w:highlight w:val="none"/>
        </w:rPr>
      </w:pPr>
      <w:r>
        <w:rPr>
          <w:rStyle w:val="129"/>
          <w:rFonts w:hint="eastAsia" w:asciiTheme="minorEastAsia" w:hAnsiTheme="minorEastAsia" w:eastAsiaTheme="minorEastAsia" w:cstheme="minorEastAsia"/>
          <w:color w:val="auto"/>
          <w:highlight w:val="none"/>
        </w:rPr>
        <w:drawing>
          <wp:inline distT="0" distB="0" distL="114300" distR="114300">
            <wp:extent cx="2171700" cy="2733675"/>
            <wp:effectExtent l="0" t="0" r="0" b="9525"/>
            <wp:docPr id="7" name="图片 7" descr="微信图片_2021102109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11021094822"/>
                    <pic:cNvPicPr>
                      <a:picLocks noChangeAspect="1"/>
                    </pic:cNvPicPr>
                  </pic:nvPicPr>
                  <pic:blipFill>
                    <a:blip r:embed="rId12" cstate="print"/>
                    <a:stretch>
                      <a:fillRect/>
                    </a:stretch>
                  </pic:blipFill>
                  <pic:spPr>
                    <a:xfrm>
                      <a:off x="0" y="0"/>
                      <a:ext cx="2171700" cy="2733675"/>
                    </a:xfrm>
                    <a:prstGeom prst="rect">
                      <a:avLst/>
                    </a:prstGeom>
                  </pic:spPr>
                </pic:pic>
              </a:graphicData>
            </a:graphic>
          </wp:inline>
        </w:drawing>
      </w:r>
    </w:p>
    <w:p w14:paraId="5B5CE371">
      <w:pPr>
        <w:pStyle w:val="36"/>
        <w:ind w:firstLine="211"/>
        <w:rPr>
          <w:color w:val="auto"/>
          <w:highlight w:val="none"/>
        </w:rPr>
      </w:pPr>
    </w:p>
    <w:p w14:paraId="158E3B06">
      <w:pPr>
        <w:widowControl/>
        <w:adjustRightInd w:val="0"/>
        <w:snapToGrid w:val="0"/>
        <w:spacing w:line="360" w:lineRule="auto"/>
        <w:ind w:firstLine="1063" w:firstLineChars="353"/>
        <w:rPr>
          <w:rFonts w:ascii="宋体" w:hAnsi="宋体" w:cs="宋体"/>
          <w:b/>
          <w:bCs/>
          <w:color w:val="auto"/>
          <w:kern w:val="0"/>
          <w:sz w:val="30"/>
          <w:szCs w:val="30"/>
          <w:highlight w:val="none"/>
        </w:rPr>
      </w:pPr>
    </w:p>
    <w:p w14:paraId="0C7B07E9">
      <w:pPr>
        <w:widowControl/>
        <w:adjustRightInd w:val="0"/>
        <w:snapToGrid w:val="0"/>
        <w:spacing w:line="360" w:lineRule="auto"/>
        <w:ind w:firstLine="1063" w:firstLineChars="353"/>
        <w:rPr>
          <w:rFonts w:ascii="宋体" w:hAnsi="宋体" w:cs="宋体"/>
          <w:b/>
          <w:bCs/>
          <w:color w:val="auto"/>
          <w:kern w:val="0"/>
          <w:sz w:val="30"/>
          <w:szCs w:val="30"/>
          <w:highlight w:val="none"/>
        </w:rPr>
      </w:pPr>
    </w:p>
    <w:p w14:paraId="66EB27FF">
      <w:pPr>
        <w:widowControl/>
        <w:adjustRightInd w:val="0"/>
        <w:snapToGrid w:val="0"/>
        <w:spacing w:line="360" w:lineRule="auto"/>
        <w:ind w:firstLine="1063" w:firstLineChars="353"/>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采   购   人：河南省科学院光资源与环境科学研究所</w:t>
      </w:r>
    </w:p>
    <w:p w14:paraId="666A3DDF">
      <w:pPr>
        <w:widowControl/>
        <w:adjustRightInd w:val="0"/>
        <w:snapToGrid w:val="0"/>
        <w:spacing w:line="360" w:lineRule="auto"/>
        <w:ind w:firstLine="1063" w:firstLineChars="353"/>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招标代理机构：中建山河建设管理集团有限公司</w:t>
      </w:r>
    </w:p>
    <w:p w14:paraId="14D484DB">
      <w:pPr>
        <w:widowControl/>
        <w:adjustRightInd w:val="0"/>
        <w:snapToGrid w:val="0"/>
        <w:spacing w:line="360" w:lineRule="auto"/>
        <w:ind w:firstLine="1063" w:firstLineChars="353"/>
        <w:rPr>
          <w:rFonts w:ascii="宋体" w:hAnsi="宋体" w:cs="宋体"/>
          <w:b/>
          <w:color w:val="auto"/>
          <w:sz w:val="44"/>
          <w:szCs w:val="44"/>
          <w:highlight w:val="none"/>
        </w:rPr>
      </w:pPr>
      <w:r>
        <w:rPr>
          <w:rFonts w:hint="eastAsia" w:ascii="宋体" w:hAnsi="宋体" w:cs="宋体"/>
          <w:b/>
          <w:bCs/>
          <w:color w:val="auto"/>
          <w:kern w:val="0"/>
          <w:sz w:val="30"/>
          <w:szCs w:val="30"/>
          <w:highlight w:val="none"/>
        </w:rPr>
        <w:t>日        期：二〇二六年六月</w:t>
      </w:r>
    </w:p>
    <w:p w14:paraId="37F98E2A">
      <w:pPr>
        <w:spacing w:line="400" w:lineRule="exact"/>
        <w:jc w:val="center"/>
        <w:rPr>
          <w:color w:val="auto"/>
          <w:highlight w:val="none"/>
        </w:rPr>
      </w:pPr>
      <w:r>
        <w:rPr>
          <w:rFonts w:hint="eastAsia" w:ascii="宋体" w:hAnsi="宋体" w:cs="宋体"/>
          <w:b/>
          <w:color w:val="auto"/>
          <w:sz w:val="44"/>
          <w:szCs w:val="44"/>
          <w:highlight w:val="none"/>
        </w:rPr>
        <w:br w:type="page"/>
      </w:r>
      <w:r>
        <w:rPr>
          <w:rFonts w:ascii="宋体" w:hAnsi="宋体" w:cs="宋体"/>
          <w:color w:val="auto"/>
          <w:sz w:val="24"/>
          <w:highlight w:val="none"/>
        </w:rPr>
        <w:fldChar w:fldCharType="begin"/>
      </w:r>
      <w:r>
        <w:rPr>
          <w:rFonts w:ascii="宋体" w:hAnsi="宋体" w:cs="宋体"/>
          <w:color w:val="auto"/>
          <w:sz w:val="24"/>
          <w:highlight w:val="none"/>
        </w:rPr>
        <w:instrText xml:space="preserve"> TOC \o "1-2" \h \z \u </w:instrText>
      </w:r>
      <w:r>
        <w:rPr>
          <w:rFonts w:ascii="宋体" w:hAnsi="宋体" w:cs="宋体"/>
          <w:color w:val="auto"/>
          <w:sz w:val="24"/>
          <w:highlight w:val="none"/>
        </w:rPr>
        <w:fldChar w:fldCharType="separate"/>
      </w:r>
    </w:p>
    <w:p w14:paraId="7BCFBB78">
      <w:pPr>
        <w:spacing w:line="400" w:lineRule="exact"/>
        <w:jc w:val="center"/>
        <w:rPr>
          <w:color w:val="auto"/>
          <w:highlight w:val="none"/>
        </w:rPr>
      </w:pPr>
      <w:r>
        <w:rPr>
          <w:rFonts w:ascii="宋体" w:hAnsi="宋体" w:cs="宋体"/>
          <w:color w:val="auto"/>
          <w:sz w:val="24"/>
          <w:highlight w:val="none"/>
        </w:rPr>
        <w:fldChar w:fldCharType="end"/>
      </w:r>
      <w:bookmarkStart w:id="0" w:name="_Toc256363510"/>
    </w:p>
    <w:sdt>
      <w:sdtPr>
        <w:rPr>
          <w:rFonts w:ascii="宋体" w:hAnsi="宋体"/>
          <w:color w:val="auto"/>
          <w:highlight w:val="none"/>
        </w:rPr>
        <w:id w:val="147482421"/>
        <w15:color w:val="DBDBDB"/>
        <w:docPartObj>
          <w:docPartGallery w:val="Table of Contents"/>
          <w:docPartUnique/>
        </w:docPartObj>
      </w:sdtPr>
      <w:sdtEndPr>
        <w:rPr>
          <w:rFonts w:ascii="宋体" w:hAnsi="宋体"/>
          <w:color w:val="auto"/>
          <w:highlight w:val="none"/>
        </w:rPr>
      </w:sdtEndPr>
      <w:sdtContent>
        <w:p w14:paraId="6B57DF1B">
          <w:pPr>
            <w:spacing w:line="400" w:lineRule="exact"/>
            <w:jc w:val="center"/>
            <w:rPr>
              <w:color w:val="auto"/>
              <w:highlight w:val="none"/>
            </w:rPr>
          </w:pPr>
          <w:r>
            <w:rPr>
              <w:rFonts w:ascii="宋体" w:hAnsi="宋体"/>
              <w:b/>
              <w:bCs/>
              <w:color w:val="auto"/>
              <w:sz w:val="32"/>
              <w:szCs w:val="32"/>
              <w:highlight w:val="none"/>
            </w:rPr>
            <w:t>目</w:t>
          </w:r>
          <w:r>
            <w:rPr>
              <w:rFonts w:hint="eastAsia" w:ascii="宋体" w:hAnsi="宋体"/>
              <w:b/>
              <w:bCs/>
              <w:color w:val="auto"/>
              <w:sz w:val="32"/>
              <w:szCs w:val="32"/>
              <w:highlight w:val="none"/>
            </w:rPr>
            <w:t xml:space="preserve">   </w:t>
          </w:r>
          <w:r>
            <w:rPr>
              <w:rFonts w:ascii="宋体" w:hAnsi="宋体"/>
              <w:b/>
              <w:bCs/>
              <w:color w:val="auto"/>
              <w:sz w:val="32"/>
              <w:szCs w:val="32"/>
              <w:highlight w:val="none"/>
            </w:rPr>
            <w:t>录</w:t>
          </w:r>
        </w:p>
        <w:p w14:paraId="2516FA08">
          <w:pPr>
            <w:pStyle w:val="25"/>
            <w:tabs>
              <w:tab w:val="right" w:leader="dot" w:pos="8805"/>
            </w:tabs>
            <w:spacing w:line="312" w:lineRule="auto"/>
            <w:rPr>
              <w:rFonts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TOC \o "1-2" \h \u </w:instrText>
          </w:r>
          <w:r>
            <w:rPr>
              <w:rFonts w:hint="eastAsia" w:ascii="宋体" w:hAnsi="宋体" w:cs="宋体"/>
              <w:color w:val="auto"/>
              <w:highlight w:val="none"/>
            </w:rPr>
            <w:fldChar w:fldCharType="separate"/>
          </w:r>
          <w:r>
            <w:rPr>
              <w:color w:val="auto"/>
              <w:highlight w:val="none"/>
            </w:rPr>
            <w:fldChar w:fldCharType="begin"/>
          </w:r>
          <w:r>
            <w:rPr>
              <w:color w:val="auto"/>
              <w:highlight w:val="none"/>
            </w:rPr>
            <w:instrText xml:space="preserve"> HYPERLINK \l "_Toc1835" </w:instrText>
          </w:r>
          <w:r>
            <w:rPr>
              <w:color w:val="auto"/>
              <w:highlight w:val="none"/>
            </w:rPr>
            <w:fldChar w:fldCharType="separate"/>
          </w:r>
          <w:r>
            <w:rPr>
              <w:rFonts w:hint="eastAsia" w:ascii="宋体" w:hAnsi="宋体" w:cs="宋体"/>
              <w:color w:val="auto"/>
              <w:highlight w:val="none"/>
            </w:rPr>
            <w:t>第一章  招标公告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_Toc1835 \h </w:instrText>
          </w:r>
          <w:r>
            <w:rPr>
              <w:rFonts w:hint="eastAsia" w:ascii="宋体" w:hAnsi="宋体" w:cs="宋体"/>
              <w:color w:val="auto"/>
              <w:highlight w:val="none"/>
            </w:rPr>
            <w:fldChar w:fldCharType="separate"/>
          </w:r>
          <w:r>
            <w:rPr>
              <w:rFonts w:hint="eastAsia" w:ascii="宋体" w:hAnsi="宋体" w:cs="宋体"/>
              <w:color w:val="auto"/>
              <w:highlight w:val="none"/>
            </w:rPr>
            <w:t>5</w:t>
          </w:r>
          <w:r>
            <w:rPr>
              <w:rFonts w:hint="eastAsia" w:ascii="宋体" w:hAnsi="宋体" w:cs="宋体"/>
              <w:color w:val="auto"/>
              <w:highlight w:val="none"/>
            </w:rPr>
            <w:fldChar w:fldCharType="end"/>
          </w:r>
          <w:r>
            <w:rPr>
              <w:rFonts w:ascii="宋体" w:hAnsi="宋体" w:cs="宋体"/>
              <w:color w:val="auto"/>
              <w:highlight w:val="none"/>
            </w:rPr>
            <w:fldChar w:fldCharType="end"/>
          </w:r>
        </w:p>
        <w:p w14:paraId="7D82DC0B">
          <w:pPr>
            <w:pStyle w:val="25"/>
            <w:tabs>
              <w:tab w:val="right" w:leader="dot" w:pos="8805"/>
            </w:tabs>
            <w:spacing w:line="312"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"_Toc2019" </w:instrText>
          </w:r>
          <w:r>
            <w:rPr>
              <w:color w:val="auto"/>
              <w:highlight w:val="none"/>
            </w:rPr>
            <w:fldChar w:fldCharType="separate"/>
          </w:r>
          <w:r>
            <w:rPr>
              <w:rFonts w:hint="eastAsia" w:ascii="宋体" w:hAnsi="宋体" w:cs="宋体"/>
              <w:bCs/>
              <w:color w:val="auto"/>
              <w:kern w:val="44"/>
              <w:highlight w:val="none"/>
            </w:rPr>
            <w:t>第二章  投标人须知</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_Toc2019 \h </w:instrText>
          </w:r>
          <w:r>
            <w:rPr>
              <w:rFonts w:hint="eastAsia" w:ascii="宋体" w:hAnsi="宋体" w:cs="宋体"/>
              <w:color w:val="auto"/>
              <w:highlight w:val="none"/>
            </w:rPr>
            <w:fldChar w:fldCharType="separate"/>
          </w:r>
          <w:r>
            <w:rPr>
              <w:rFonts w:hint="eastAsia" w:ascii="宋体" w:hAnsi="宋体" w:cs="宋体"/>
              <w:color w:val="auto"/>
              <w:highlight w:val="none"/>
            </w:rPr>
            <w:t>8</w:t>
          </w:r>
          <w:r>
            <w:rPr>
              <w:rFonts w:hint="eastAsia" w:ascii="宋体" w:hAnsi="宋体" w:cs="宋体"/>
              <w:color w:val="auto"/>
              <w:highlight w:val="none"/>
            </w:rPr>
            <w:fldChar w:fldCharType="end"/>
          </w:r>
          <w:r>
            <w:rPr>
              <w:rFonts w:ascii="宋体" w:hAnsi="宋体" w:cs="宋体"/>
              <w:color w:val="auto"/>
              <w:highlight w:val="none"/>
            </w:rPr>
            <w:fldChar w:fldCharType="end"/>
          </w:r>
        </w:p>
        <w:p w14:paraId="20409BB7">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"_Toc10596" </w:instrText>
          </w:r>
          <w:r>
            <w:rPr>
              <w:color w:val="auto"/>
              <w:highlight w:val="none"/>
            </w:rPr>
            <w:fldChar w:fldCharType="separate"/>
          </w:r>
          <w:r>
            <w:rPr>
              <w:rFonts w:hint="eastAsia" w:ascii="宋体" w:hAnsi="宋体" w:cs="宋体"/>
              <w:color w:val="auto"/>
              <w:sz w:val="24"/>
              <w:highlight w:val="none"/>
            </w:rPr>
            <w:t>1.总则</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_Toc10596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19</w:t>
          </w:r>
          <w:r>
            <w:rPr>
              <w:rFonts w:hint="eastAsia" w:ascii="宋体" w:hAnsi="宋体" w:cs="宋体"/>
              <w:color w:val="auto"/>
              <w:sz w:val="24"/>
              <w:highlight w:val="none"/>
            </w:rPr>
            <w:fldChar w:fldCharType="end"/>
          </w:r>
          <w:r>
            <w:rPr>
              <w:rFonts w:ascii="宋体" w:hAnsi="宋体" w:cs="宋体"/>
              <w:color w:val="auto"/>
              <w:sz w:val="24"/>
              <w:highlight w:val="none"/>
            </w:rPr>
            <w:fldChar w:fldCharType="end"/>
          </w:r>
        </w:p>
        <w:p w14:paraId="69A28FEC">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"_Toc16127" </w:instrText>
          </w:r>
          <w:r>
            <w:rPr>
              <w:color w:val="auto"/>
              <w:highlight w:val="none"/>
            </w:rPr>
            <w:fldChar w:fldCharType="separate"/>
          </w:r>
          <w:r>
            <w:rPr>
              <w:rFonts w:hint="eastAsia" w:ascii="宋体" w:hAnsi="宋体" w:cs="宋体"/>
              <w:color w:val="auto"/>
              <w:sz w:val="24"/>
              <w:highlight w:val="none"/>
            </w:rPr>
            <w:t>2.招标文件</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_Toc16127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20</w:t>
          </w:r>
          <w:r>
            <w:rPr>
              <w:rFonts w:hint="eastAsia" w:ascii="宋体" w:hAnsi="宋体" w:cs="宋体"/>
              <w:color w:val="auto"/>
              <w:sz w:val="24"/>
              <w:highlight w:val="none"/>
            </w:rPr>
            <w:fldChar w:fldCharType="end"/>
          </w:r>
          <w:r>
            <w:rPr>
              <w:rFonts w:ascii="宋体" w:hAnsi="宋体" w:cs="宋体"/>
              <w:color w:val="auto"/>
              <w:sz w:val="24"/>
              <w:highlight w:val="none"/>
            </w:rPr>
            <w:fldChar w:fldCharType="end"/>
          </w:r>
        </w:p>
        <w:p w14:paraId="1C7845C6">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"_Toc11237" </w:instrText>
          </w:r>
          <w:r>
            <w:rPr>
              <w:color w:val="auto"/>
              <w:highlight w:val="none"/>
            </w:rPr>
            <w:fldChar w:fldCharType="separate"/>
          </w:r>
          <w:r>
            <w:rPr>
              <w:rFonts w:hint="eastAsia" w:ascii="宋体" w:hAnsi="宋体" w:cs="宋体"/>
              <w:color w:val="auto"/>
              <w:sz w:val="24"/>
              <w:highlight w:val="none"/>
            </w:rPr>
            <w:t>3.投标文件</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_Toc11237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22</w:t>
          </w:r>
          <w:r>
            <w:rPr>
              <w:rFonts w:hint="eastAsia" w:ascii="宋体" w:hAnsi="宋体" w:cs="宋体"/>
              <w:color w:val="auto"/>
              <w:sz w:val="24"/>
              <w:highlight w:val="none"/>
            </w:rPr>
            <w:fldChar w:fldCharType="end"/>
          </w:r>
          <w:r>
            <w:rPr>
              <w:rFonts w:ascii="宋体" w:hAnsi="宋体" w:cs="宋体"/>
              <w:color w:val="auto"/>
              <w:sz w:val="24"/>
              <w:highlight w:val="none"/>
            </w:rPr>
            <w:fldChar w:fldCharType="end"/>
          </w:r>
        </w:p>
        <w:p w14:paraId="4D198C21">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"_Toc16773" </w:instrText>
          </w:r>
          <w:r>
            <w:rPr>
              <w:color w:val="auto"/>
              <w:highlight w:val="none"/>
            </w:rPr>
            <w:fldChar w:fldCharType="separate"/>
          </w:r>
          <w:r>
            <w:rPr>
              <w:rFonts w:hint="eastAsia" w:ascii="宋体" w:hAnsi="宋体" w:cs="宋体"/>
              <w:color w:val="auto"/>
              <w:sz w:val="24"/>
              <w:highlight w:val="none"/>
            </w:rPr>
            <w:t>4.投标</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_Toc16773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ascii="宋体" w:hAnsi="宋体" w:cs="宋体"/>
              <w:color w:val="auto"/>
              <w:sz w:val="24"/>
              <w:highlight w:val="none"/>
            </w:rPr>
            <w:fldChar w:fldCharType="end"/>
          </w:r>
        </w:p>
        <w:p w14:paraId="6821A79A">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"_Toc7016" </w:instrText>
          </w:r>
          <w:r>
            <w:rPr>
              <w:color w:val="auto"/>
              <w:highlight w:val="none"/>
            </w:rPr>
            <w:fldChar w:fldCharType="separate"/>
          </w:r>
          <w:r>
            <w:rPr>
              <w:rFonts w:hint="eastAsia" w:ascii="宋体" w:hAnsi="宋体" w:cs="宋体"/>
              <w:color w:val="auto"/>
              <w:sz w:val="24"/>
              <w:highlight w:val="none"/>
            </w:rPr>
            <w:t>5.开标</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_Toc7016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ascii="宋体" w:hAnsi="宋体" w:cs="宋体"/>
              <w:color w:val="auto"/>
              <w:sz w:val="24"/>
              <w:highlight w:val="none"/>
            </w:rPr>
            <w:fldChar w:fldCharType="end"/>
          </w:r>
        </w:p>
        <w:p w14:paraId="6E27A213">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"_Toc27274" </w:instrText>
          </w:r>
          <w:r>
            <w:rPr>
              <w:color w:val="auto"/>
              <w:highlight w:val="none"/>
            </w:rPr>
            <w:fldChar w:fldCharType="separate"/>
          </w:r>
          <w:r>
            <w:rPr>
              <w:rFonts w:hint="eastAsia" w:ascii="宋体" w:hAnsi="宋体" w:cs="宋体"/>
              <w:bCs/>
              <w:color w:val="auto"/>
              <w:sz w:val="24"/>
              <w:highlight w:val="none"/>
            </w:rPr>
            <w:t>6.资格审查及评标</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_Toc27274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25</w:t>
          </w:r>
          <w:r>
            <w:rPr>
              <w:rFonts w:hint="eastAsia" w:ascii="宋体" w:hAnsi="宋体" w:cs="宋体"/>
              <w:color w:val="auto"/>
              <w:sz w:val="24"/>
              <w:highlight w:val="none"/>
            </w:rPr>
            <w:fldChar w:fldCharType="end"/>
          </w:r>
          <w:r>
            <w:rPr>
              <w:rFonts w:ascii="宋体" w:hAnsi="宋体" w:cs="宋体"/>
              <w:color w:val="auto"/>
              <w:sz w:val="24"/>
              <w:highlight w:val="none"/>
            </w:rPr>
            <w:fldChar w:fldCharType="end"/>
          </w:r>
        </w:p>
        <w:p w14:paraId="018198A9">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"_Toc23160" </w:instrText>
          </w:r>
          <w:r>
            <w:rPr>
              <w:color w:val="auto"/>
              <w:highlight w:val="none"/>
            </w:rPr>
            <w:fldChar w:fldCharType="separate"/>
          </w:r>
          <w:r>
            <w:rPr>
              <w:rFonts w:hint="eastAsia" w:ascii="宋体" w:hAnsi="宋体" w:cs="宋体"/>
              <w:color w:val="auto"/>
              <w:sz w:val="24"/>
              <w:highlight w:val="none"/>
            </w:rPr>
            <w:t>7.合同授予</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_Toc23160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26</w:t>
          </w:r>
          <w:r>
            <w:rPr>
              <w:rFonts w:hint="eastAsia" w:ascii="宋体" w:hAnsi="宋体" w:cs="宋体"/>
              <w:color w:val="auto"/>
              <w:sz w:val="24"/>
              <w:highlight w:val="none"/>
            </w:rPr>
            <w:fldChar w:fldCharType="end"/>
          </w:r>
          <w:r>
            <w:rPr>
              <w:rFonts w:ascii="宋体" w:hAnsi="宋体" w:cs="宋体"/>
              <w:color w:val="auto"/>
              <w:sz w:val="24"/>
              <w:highlight w:val="none"/>
            </w:rPr>
            <w:fldChar w:fldCharType="end"/>
          </w:r>
        </w:p>
        <w:p w14:paraId="63CA3248">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"_Toc22431" </w:instrText>
          </w:r>
          <w:r>
            <w:rPr>
              <w:color w:val="auto"/>
              <w:highlight w:val="none"/>
            </w:rPr>
            <w:fldChar w:fldCharType="separate"/>
          </w:r>
          <w:r>
            <w:rPr>
              <w:rFonts w:hint="eastAsia" w:ascii="宋体" w:hAnsi="宋体" w:cs="宋体"/>
              <w:color w:val="auto"/>
              <w:sz w:val="24"/>
              <w:highlight w:val="none"/>
            </w:rPr>
            <w:t>8.废标和重新招标</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_Toc22431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27</w:t>
          </w:r>
          <w:r>
            <w:rPr>
              <w:rFonts w:hint="eastAsia" w:ascii="宋体" w:hAnsi="宋体" w:cs="宋体"/>
              <w:color w:val="auto"/>
              <w:sz w:val="24"/>
              <w:highlight w:val="none"/>
            </w:rPr>
            <w:fldChar w:fldCharType="end"/>
          </w:r>
          <w:r>
            <w:rPr>
              <w:rFonts w:ascii="宋体" w:hAnsi="宋体" w:cs="宋体"/>
              <w:color w:val="auto"/>
              <w:sz w:val="24"/>
              <w:highlight w:val="none"/>
            </w:rPr>
            <w:fldChar w:fldCharType="end"/>
          </w:r>
        </w:p>
        <w:p w14:paraId="5EF7D869">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"_Toc2691" </w:instrText>
          </w:r>
          <w:r>
            <w:rPr>
              <w:color w:val="auto"/>
              <w:highlight w:val="none"/>
            </w:rPr>
            <w:fldChar w:fldCharType="separate"/>
          </w:r>
          <w:r>
            <w:rPr>
              <w:rFonts w:hint="eastAsia" w:ascii="宋体" w:hAnsi="宋体" w:cs="宋体"/>
              <w:color w:val="auto"/>
              <w:sz w:val="24"/>
              <w:highlight w:val="none"/>
            </w:rPr>
            <w:t>9.纪律和监督</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_Toc2691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5361ACB">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"_Toc32573" </w:instrText>
          </w:r>
          <w:r>
            <w:rPr>
              <w:color w:val="auto"/>
              <w:highlight w:val="none"/>
            </w:rPr>
            <w:fldChar w:fldCharType="separate"/>
          </w:r>
          <w:r>
            <w:rPr>
              <w:rFonts w:hint="eastAsia" w:ascii="宋体" w:hAnsi="宋体" w:cs="宋体"/>
              <w:color w:val="auto"/>
              <w:sz w:val="24"/>
              <w:highlight w:val="none"/>
            </w:rPr>
            <w:t>10.需要补充的其他内容</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_Toc32573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29</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7AED81A">
          <w:pPr>
            <w:pStyle w:val="25"/>
            <w:tabs>
              <w:tab w:val="right" w:leader="dot" w:pos="8805"/>
            </w:tabs>
            <w:spacing w:line="312"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"_Toc5003" </w:instrText>
          </w:r>
          <w:r>
            <w:rPr>
              <w:color w:val="auto"/>
              <w:highlight w:val="none"/>
            </w:rPr>
            <w:fldChar w:fldCharType="separate"/>
          </w:r>
          <w:r>
            <w:rPr>
              <w:rFonts w:hint="eastAsia" w:ascii="宋体" w:hAnsi="宋体" w:cs="宋体"/>
              <w:color w:val="auto"/>
              <w:highlight w:val="none"/>
            </w:rPr>
            <w:t>第三章  评分办法及标准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_Toc5003 \h </w:instrText>
          </w:r>
          <w:r>
            <w:rPr>
              <w:rFonts w:hint="eastAsia" w:ascii="宋体" w:hAnsi="宋体" w:cs="宋体"/>
              <w:color w:val="auto"/>
              <w:highlight w:val="none"/>
            </w:rPr>
            <w:fldChar w:fldCharType="separate"/>
          </w:r>
          <w:r>
            <w:rPr>
              <w:rFonts w:hint="eastAsia" w:ascii="宋体" w:hAnsi="宋体" w:cs="宋体"/>
              <w:color w:val="auto"/>
              <w:highlight w:val="none"/>
            </w:rPr>
            <w:t>35</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9A54F0A">
          <w:pPr>
            <w:pStyle w:val="25"/>
            <w:tabs>
              <w:tab w:val="right" w:leader="dot" w:pos="8805"/>
            </w:tabs>
            <w:spacing w:line="312"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"_Toc28446" </w:instrText>
          </w:r>
          <w:r>
            <w:rPr>
              <w:color w:val="auto"/>
              <w:highlight w:val="none"/>
            </w:rPr>
            <w:fldChar w:fldCharType="separate"/>
          </w:r>
          <w:r>
            <w:rPr>
              <w:rFonts w:hint="eastAsia" w:ascii="宋体" w:hAnsi="宋体" w:cs="宋体"/>
              <w:color w:val="auto"/>
              <w:kern w:val="44"/>
              <w:highlight w:val="none"/>
            </w:rPr>
            <w:t>第四章  合同格式及合同条款</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_Toc28446 \h </w:instrText>
          </w:r>
          <w:r>
            <w:rPr>
              <w:rFonts w:hint="eastAsia" w:ascii="宋体" w:hAnsi="宋体" w:cs="宋体"/>
              <w:color w:val="auto"/>
              <w:highlight w:val="none"/>
            </w:rPr>
            <w:fldChar w:fldCharType="separate"/>
          </w:r>
          <w:r>
            <w:rPr>
              <w:rFonts w:hint="eastAsia" w:ascii="宋体" w:hAnsi="宋体" w:cs="宋体"/>
              <w:color w:val="auto"/>
              <w:highlight w:val="none"/>
            </w:rPr>
            <w:t>46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5D5F433">
          <w:pPr>
            <w:pStyle w:val="25"/>
            <w:tabs>
              <w:tab w:val="right" w:leader="dot" w:pos="8805"/>
            </w:tabs>
            <w:spacing w:line="312"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"_Toc795" </w:instrText>
          </w:r>
          <w:r>
            <w:rPr>
              <w:color w:val="auto"/>
              <w:highlight w:val="none"/>
            </w:rPr>
            <w:fldChar w:fldCharType="separate"/>
          </w:r>
          <w:r>
            <w:rPr>
              <w:rFonts w:hint="eastAsia" w:ascii="宋体" w:hAnsi="宋体" w:cs="宋体"/>
              <w:color w:val="auto"/>
              <w:kern w:val="44"/>
              <w:highlight w:val="none"/>
            </w:rPr>
            <w:t>第五章  采购需求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_Toc795 \h </w:instrText>
          </w:r>
          <w:r>
            <w:rPr>
              <w:rFonts w:hint="eastAsia" w:ascii="宋体" w:hAnsi="宋体" w:cs="宋体"/>
              <w:color w:val="auto"/>
              <w:highlight w:val="none"/>
            </w:rPr>
            <w:fldChar w:fldCharType="separate"/>
          </w:r>
          <w:r>
            <w:rPr>
              <w:rFonts w:hint="eastAsia" w:ascii="宋体" w:hAnsi="宋体" w:cs="宋体"/>
              <w:color w:val="auto"/>
              <w:highlight w:val="none"/>
            </w:rPr>
            <w:t>59</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4C05F988">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"_Toc17012" </w:instrText>
          </w:r>
          <w:r>
            <w:rPr>
              <w:color w:val="auto"/>
              <w:highlight w:val="none"/>
            </w:rPr>
            <w:fldChar w:fldCharType="separate"/>
          </w:r>
          <w:r>
            <w:rPr>
              <w:rFonts w:hint="eastAsia" w:ascii="宋体" w:hAnsi="宋体" w:cs="宋体"/>
              <w:color w:val="auto"/>
              <w:sz w:val="24"/>
              <w:highlight w:val="none"/>
            </w:rPr>
            <w:t>（一）设备采购清单</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_Toc17012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59</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1C42A84E">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"_Toc1064" </w:instrText>
          </w:r>
          <w:r>
            <w:rPr>
              <w:color w:val="auto"/>
              <w:highlight w:val="none"/>
            </w:rPr>
            <w:fldChar w:fldCharType="separate"/>
          </w:r>
          <w:r>
            <w:rPr>
              <w:rFonts w:hint="eastAsia" w:ascii="宋体" w:hAnsi="宋体" w:cs="宋体"/>
              <w:color w:val="auto"/>
              <w:sz w:val="24"/>
              <w:highlight w:val="none"/>
            </w:rPr>
            <w:t>（二）</w:t>
          </w:r>
          <w:r>
            <w:rPr>
              <w:rFonts w:hint="eastAsia" w:ascii="宋体" w:hAnsi="宋体" w:cs="宋体"/>
              <w:bCs/>
              <w:color w:val="auto"/>
              <w:sz w:val="24"/>
              <w:highlight w:val="none"/>
            </w:rPr>
            <w:t>纳米红外高光谱检测系统技术参数</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_Toc1064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60</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43F8044">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"_Toc10945" </w:instrText>
          </w:r>
          <w:r>
            <w:rPr>
              <w:color w:val="auto"/>
              <w:highlight w:val="none"/>
            </w:rPr>
            <w:fldChar w:fldCharType="separate"/>
          </w:r>
          <w:r>
            <w:rPr>
              <w:rFonts w:hint="eastAsia" w:ascii="宋体" w:hAnsi="宋体" w:cs="宋体"/>
              <w:color w:val="auto"/>
              <w:sz w:val="24"/>
              <w:highlight w:val="none"/>
            </w:rPr>
            <w:t>（三）商务服务要求</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_Toc10945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532898ED">
          <w:pPr>
            <w:pStyle w:val="25"/>
            <w:tabs>
              <w:tab w:val="right" w:leader="dot" w:pos="8805"/>
            </w:tabs>
            <w:spacing w:line="312" w:lineRule="auto"/>
            <w:rPr>
              <w:rFonts w:ascii="宋体" w:hAnsi="宋体" w:cs="宋体"/>
              <w:color w:val="auto"/>
              <w:highlight w:val="none"/>
            </w:rPr>
          </w:pPr>
          <w:r>
            <w:rPr>
              <w:color w:val="auto"/>
              <w:highlight w:val="none"/>
            </w:rPr>
            <w:fldChar w:fldCharType="begin"/>
          </w:r>
          <w:r>
            <w:rPr>
              <w:color w:val="auto"/>
              <w:highlight w:val="none"/>
            </w:rPr>
            <w:instrText xml:space="preserve"> HYPERLINK \l "_Toc29445" </w:instrText>
          </w:r>
          <w:r>
            <w:rPr>
              <w:color w:val="auto"/>
              <w:highlight w:val="none"/>
            </w:rPr>
            <w:fldChar w:fldCharType="separate"/>
          </w:r>
          <w:r>
            <w:rPr>
              <w:rFonts w:hint="eastAsia" w:ascii="宋体" w:hAnsi="宋体" w:cs="宋体"/>
              <w:color w:val="auto"/>
              <w:kern w:val="44"/>
              <w:highlight w:val="none"/>
            </w:rPr>
            <w:t>第六章  投标文件格式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_Toc29445 \h </w:instrText>
          </w:r>
          <w:r>
            <w:rPr>
              <w:rFonts w:hint="eastAsia" w:ascii="宋体" w:hAnsi="宋体" w:cs="宋体"/>
              <w:color w:val="auto"/>
              <w:highlight w:val="none"/>
            </w:rPr>
            <w:fldChar w:fldCharType="separate"/>
          </w:r>
          <w:r>
            <w:rPr>
              <w:rFonts w:hint="eastAsia" w:ascii="宋体" w:hAnsi="宋体" w:cs="宋体"/>
              <w:color w:val="auto"/>
              <w:highlight w:val="none"/>
            </w:rPr>
            <w:t>67</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77FAF56">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"_Toc10367" </w:instrText>
          </w:r>
          <w:r>
            <w:rPr>
              <w:color w:val="auto"/>
              <w:highlight w:val="none"/>
            </w:rPr>
            <w:fldChar w:fldCharType="separate"/>
          </w:r>
          <w:r>
            <w:rPr>
              <w:rFonts w:hint="eastAsia" w:ascii="宋体" w:hAnsi="宋体" w:cs="宋体"/>
              <w:color w:val="auto"/>
              <w:sz w:val="24"/>
              <w:highlight w:val="none"/>
            </w:rPr>
            <w:t>一、投标函及开标一览表</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_Toc10367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69</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58765E04">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"_Toc21998" </w:instrText>
          </w:r>
          <w:r>
            <w:rPr>
              <w:color w:val="auto"/>
              <w:highlight w:val="none"/>
            </w:rPr>
            <w:fldChar w:fldCharType="separate"/>
          </w:r>
          <w:r>
            <w:rPr>
              <w:rFonts w:hint="eastAsia" w:ascii="宋体" w:hAnsi="宋体" w:cs="宋体"/>
              <w:color w:val="auto"/>
              <w:sz w:val="24"/>
              <w:highlight w:val="none"/>
            </w:rPr>
            <w:t>二、法定代表人身份证明及法定代表人授权委托书</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_Toc21998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71</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5001AF3F">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"_Toc14843" </w:instrText>
          </w:r>
          <w:r>
            <w:rPr>
              <w:color w:val="auto"/>
              <w:highlight w:val="none"/>
            </w:rPr>
            <w:fldChar w:fldCharType="separate"/>
          </w:r>
          <w:r>
            <w:rPr>
              <w:rFonts w:hint="eastAsia" w:ascii="宋体" w:hAnsi="宋体" w:cs="宋体"/>
              <w:color w:val="auto"/>
              <w:sz w:val="24"/>
              <w:highlight w:val="none"/>
            </w:rPr>
            <w:t>三、投标货物分项报价明细表</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_Toc14843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73</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BACDE06">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"_Toc1782" </w:instrText>
          </w:r>
          <w:r>
            <w:rPr>
              <w:color w:val="auto"/>
              <w:highlight w:val="none"/>
            </w:rPr>
            <w:fldChar w:fldCharType="separate"/>
          </w:r>
          <w:r>
            <w:rPr>
              <w:rFonts w:hint="eastAsia" w:ascii="宋体" w:hAnsi="宋体" w:cs="宋体"/>
              <w:color w:val="auto"/>
              <w:sz w:val="24"/>
              <w:highlight w:val="none"/>
            </w:rPr>
            <w:t>四、随机配件、附件、耗材明细表</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_Toc1782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74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1CE79B9">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"_Toc14862" </w:instrText>
          </w:r>
          <w:r>
            <w:rPr>
              <w:color w:val="auto"/>
              <w:highlight w:val="none"/>
            </w:rPr>
            <w:fldChar w:fldCharType="separate"/>
          </w:r>
          <w:r>
            <w:rPr>
              <w:rFonts w:hint="eastAsia" w:ascii="宋体" w:hAnsi="宋体" w:cs="宋体"/>
              <w:color w:val="auto"/>
              <w:sz w:val="24"/>
              <w:highlight w:val="none"/>
            </w:rPr>
            <w:t>五、响应偏离表</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_Toc14862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75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9209DA0">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"_Toc605" </w:instrText>
          </w:r>
          <w:r>
            <w:rPr>
              <w:color w:val="auto"/>
              <w:highlight w:val="none"/>
            </w:rPr>
            <w:fldChar w:fldCharType="separate"/>
          </w:r>
          <w:r>
            <w:rPr>
              <w:rFonts w:hint="eastAsia" w:ascii="宋体" w:hAnsi="宋体" w:cs="宋体"/>
              <w:color w:val="auto"/>
              <w:sz w:val="24"/>
              <w:highlight w:val="none"/>
            </w:rPr>
            <w:t>六、资格审查资料</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_Toc605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77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34BE0CA">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"_Toc13722" </w:instrText>
          </w:r>
          <w:r>
            <w:rPr>
              <w:color w:val="auto"/>
              <w:highlight w:val="none"/>
            </w:rPr>
            <w:fldChar w:fldCharType="separate"/>
          </w:r>
          <w:r>
            <w:rPr>
              <w:rFonts w:hint="eastAsia" w:ascii="宋体" w:hAnsi="宋体" w:cs="宋体"/>
              <w:color w:val="auto"/>
              <w:sz w:val="24"/>
              <w:highlight w:val="none"/>
            </w:rPr>
            <w:t>七、业绩</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_Toc13722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81</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10FB5ACF">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"_Toc9368" </w:instrText>
          </w:r>
          <w:r>
            <w:rPr>
              <w:color w:val="auto"/>
              <w:highlight w:val="none"/>
            </w:rPr>
            <w:fldChar w:fldCharType="separate"/>
          </w:r>
          <w:r>
            <w:rPr>
              <w:rFonts w:hint="eastAsia" w:ascii="宋体" w:hAnsi="宋体" w:cs="宋体"/>
              <w:color w:val="auto"/>
              <w:sz w:val="24"/>
              <w:highlight w:val="none"/>
            </w:rPr>
            <w:t>八、商务部分其他资料</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_Toc9368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82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15D77E3D">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"_Toc30196" </w:instrText>
          </w:r>
          <w:r>
            <w:rPr>
              <w:color w:val="auto"/>
              <w:highlight w:val="none"/>
            </w:rPr>
            <w:fldChar w:fldCharType="separate"/>
          </w:r>
          <w:r>
            <w:rPr>
              <w:rFonts w:hint="eastAsia" w:ascii="宋体" w:hAnsi="宋体" w:cs="宋体"/>
              <w:color w:val="auto"/>
              <w:sz w:val="24"/>
              <w:highlight w:val="none"/>
            </w:rPr>
            <w:t>九、技术部分其他资料</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_Toc30196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83</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71295C6">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"_Toc15757" </w:instrText>
          </w:r>
          <w:r>
            <w:rPr>
              <w:color w:val="auto"/>
              <w:highlight w:val="none"/>
            </w:rPr>
            <w:fldChar w:fldCharType="separate"/>
          </w:r>
          <w:r>
            <w:rPr>
              <w:rFonts w:hint="eastAsia" w:ascii="宋体" w:hAnsi="宋体" w:cs="宋体"/>
              <w:color w:val="auto"/>
              <w:sz w:val="24"/>
              <w:highlight w:val="none"/>
            </w:rPr>
            <w:t>十、反商业贿赂承诺书</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_Toc15757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84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F087577">
          <w:pPr>
            <w:pStyle w:val="29"/>
            <w:tabs>
              <w:tab w:val="right" w:leader="dot" w:pos="8805"/>
            </w:tabs>
            <w:spacing w:line="312" w:lineRule="auto"/>
            <w:ind w:left="420"/>
            <w:rPr>
              <w:rFonts w:ascii="宋体" w:hAnsi="宋体" w:cs="宋体"/>
              <w:color w:val="auto"/>
              <w:sz w:val="24"/>
              <w:highlight w:val="none"/>
            </w:rPr>
          </w:pPr>
          <w:r>
            <w:rPr>
              <w:color w:val="auto"/>
              <w:highlight w:val="none"/>
            </w:rPr>
            <w:fldChar w:fldCharType="begin"/>
          </w:r>
          <w:r>
            <w:rPr>
              <w:color w:val="auto"/>
              <w:highlight w:val="none"/>
            </w:rPr>
            <w:instrText xml:space="preserve"> HYPERLINK \l "_Toc12198" </w:instrText>
          </w:r>
          <w:r>
            <w:rPr>
              <w:color w:val="auto"/>
              <w:highlight w:val="none"/>
            </w:rPr>
            <w:fldChar w:fldCharType="separate"/>
          </w:r>
          <w:r>
            <w:rPr>
              <w:rFonts w:hint="eastAsia" w:ascii="宋体" w:hAnsi="宋体" w:cs="宋体"/>
              <w:color w:val="auto"/>
              <w:sz w:val="24"/>
              <w:highlight w:val="none"/>
            </w:rPr>
            <w:t>十一、中小微企业、残疾人福利企业、监狱企业</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_Toc12198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85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328F3A56">
          <w:pPr>
            <w:pStyle w:val="29"/>
            <w:tabs>
              <w:tab w:val="right" w:leader="dot" w:pos="8805"/>
            </w:tabs>
            <w:spacing w:line="312" w:lineRule="auto"/>
            <w:ind w:left="420"/>
            <w:rPr>
              <w:color w:val="auto"/>
              <w:highlight w:val="none"/>
            </w:rPr>
          </w:pPr>
          <w:r>
            <w:rPr>
              <w:color w:val="auto"/>
              <w:highlight w:val="none"/>
            </w:rPr>
            <w:fldChar w:fldCharType="begin"/>
          </w:r>
          <w:r>
            <w:rPr>
              <w:color w:val="auto"/>
              <w:highlight w:val="none"/>
            </w:rPr>
            <w:instrText xml:space="preserve"> HYPERLINK \l "_Toc19164" </w:instrText>
          </w:r>
          <w:r>
            <w:rPr>
              <w:color w:val="auto"/>
              <w:highlight w:val="none"/>
            </w:rPr>
            <w:fldChar w:fldCharType="separate"/>
          </w:r>
          <w:r>
            <w:rPr>
              <w:rFonts w:hint="eastAsia" w:ascii="宋体" w:hAnsi="宋体" w:cs="宋体"/>
              <w:bCs/>
              <w:color w:val="auto"/>
              <w:sz w:val="24"/>
              <w:highlight w:val="none"/>
            </w:rPr>
            <w:t>十二、投标人认为需要提供的其他资料</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_Toc19164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88</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3BBDC27E">
          <w:pPr>
            <w:spacing w:line="312" w:lineRule="auto"/>
            <w:rPr>
              <w:color w:val="auto"/>
              <w:highlight w:val="none"/>
            </w:rPr>
          </w:pPr>
          <w:r>
            <w:rPr>
              <w:rFonts w:hint="eastAsia" w:ascii="宋体" w:hAnsi="宋体" w:cs="宋体"/>
              <w:color w:val="auto"/>
              <w:highlight w:val="none"/>
            </w:rPr>
            <w:fldChar w:fldCharType="end"/>
          </w:r>
        </w:p>
      </w:sdtContent>
    </w:sdt>
    <w:p w14:paraId="79DB4006">
      <w:pPr>
        <w:jc w:val="center"/>
        <w:rPr>
          <w:rFonts w:cs="仿宋" w:asciiTheme="minorEastAsia" w:hAnsiTheme="minorEastAsia" w:eastAsiaTheme="minorEastAsia"/>
          <w:b/>
          <w:color w:val="auto"/>
          <w:sz w:val="36"/>
          <w:szCs w:val="36"/>
          <w:highlight w:val="none"/>
        </w:rPr>
        <w:sectPr>
          <w:headerReference r:id="rId4" w:type="first"/>
          <w:footerReference r:id="rId6" w:type="first"/>
          <w:headerReference r:id="rId3" w:type="default"/>
          <w:footerReference r:id="rId5" w:type="default"/>
          <w:pgSz w:w="11922" w:h="16838"/>
          <w:pgMar w:top="1417" w:right="1417" w:bottom="1417" w:left="1417" w:header="624" w:footer="624" w:gutter="283"/>
          <w:pgNumType w:start="1"/>
          <w:cols w:space="0" w:num="1"/>
          <w:titlePg/>
          <w:docGrid w:linePitch="306" w:charSpace="0"/>
        </w:sectPr>
      </w:pPr>
      <w:bookmarkStart w:id="1" w:name="_Toc17395"/>
      <w:bookmarkStart w:id="2" w:name="_Toc14532"/>
      <w:bookmarkStart w:id="3" w:name="_Toc174"/>
    </w:p>
    <w:p w14:paraId="6B3427BA">
      <w:pPr>
        <w:jc w:val="center"/>
        <w:rPr>
          <w:rFonts w:cs="仿宋" w:asciiTheme="minorEastAsia" w:hAnsiTheme="minorEastAsia" w:eastAsiaTheme="minorEastAsia"/>
          <w:b/>
          <w:color w:val="auto"/>
          <w:sz w:val="36"/>
          <w:szCs w:val="36"/>
          <w:highlight w:val="none"/>
        </w:rPr>
      </w:pPr>
      <w:r>
        <w:rPr>
          <w:rFonts w:hint="eastAsia" w:cs="仿宋" w:asciiTheme="minorEastAsia" w:hAnsiTheme="minorEastAsia" w:eastAsiaTheme="minorEastAsia"/>
          <w:b/>
          <w:color w:val="auto"/>
          <w:sz w:val="36"/>
          <w:szCs w:val="36"/>
          <w:highlight w:val="none"/>
        </w:rPr>
        <w:t>特别提示</w:t>
      </w:r>
      <w:bookmarkEnd w:id="1"/>
      <w:bookmarkEnd w:id="2"/>
      <w:bookmarkEnd w:id="3"/>
    </w:p>
    <w:p w14:paraId="4AE50D05">
      <w:pPr>
        <w:pStyle w:val="18"/>
        <w:spacing w:line="360" w:lineRule="exact"/>
        <w:rPr>
          <w:rFonts w:hAnsi="宋体" w:cs="宋体"/>
          <w:b/>
          <w:bCs/>
          <w:color w:val="auto"/>
          <w:sz w:val="24"/>
          <w:szCs w:val="24"/>
          <w:highlight w:val="none"/>
        </w:rPr>
      </w:pPr>
    </w:p>
    <w:p w14:paraId="50315BC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1、供应商或投标人注册</w:t>
      </w:r>
    </w:p>
    <w:p w14:paraId="109B78E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供应商或投标人首先通过“河南省公共资源交易中心（</w:t>
      </w:r>
      <w:r>
        <w:rPr>
          <w:color w:val="auto"/>
          <w:highlight w:val="none"/>
        </w:rPr>
        <w:fldChar w:fldCharType="begin"/>
      </w:r>
      <w:r>
        <w:rPr>
          <w:color w:val="auto"/>
          <w:highlight w:val="none"/>
        </w:rPr>
        <w:instrText xml:space="preserve"> HYPERLINK "http://www.hnggzy.com）" </w:instrText>
      </w:r>
      <w:r>
        <w:rPr>
          <w:color w:val="auto"/>
          <w:highlight w:val="none"/>
        </w:rPr>
        <w:fldChar w:fldCharType="separate"/>
      </w:r>
      <w:r>
        <w:rPr>
          <w:rFonts w:hint="eastAsia" w:ascii="宋体" w:hAnsi="宋体" w:cs="宋体"/>
          <w:color w:val="auto"/>
          <w:szCs w:val="21"/>
          <w:highlight w:val="none"/>
        </w:rPr>
        <w:t>http://hnsggzyjy.henan.gov.cn/）”网站进行</w:t>
      </w:r>
      <w:r>
        <w:rPr>
          <w:rFonts w:hint="eastAsia" w:ascii="宋体" w:hAnsi="宋体" w:cs="宋体"/>
          <w:color w:val="auto"/>
          <w:szCs w:val="21"/>
          <w:highlight w:val="none"/>
        </w:rPr>
        <w:fldChar w:fldCharType="end"/>
      </w:r>
      <w:r>
        <w:rPr>
          <w:rFonts w:hint="eastAsia" w:ascii="宋体" w:hAnsi="宋体" w:cs="宋体"/>
          <w:color w:val="auto"/>
          <w:szCs w:val="21"/>
          <w:highlight w:val="none"/>
        </w:rPr>
        <w:t>注册，然后按网站公共服务（办事指南及下载专区）公共资源项目CA办理流程准备齐注册资料，最后到CA公司办理 CA密钥，完成注册。</w:t>
      </w:r>
    </w:p>
    <w:p w14:paraId="377AF171">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2、招标文件获取、投标文件制作</w:t>
      </w:r>
    </w:p>
    <w:p w14:paraId="028D519F">
      <w:pPr>
        <w:snapToGrid w:val="0"/>
        <w:spacing w:line="360" w:lineRule="auto"/>
        <w:ind w:firstLine="432" w:firstLineChars="206"/>
        <w:rPr>
          <w:rFonts w:ascii="宋体" w:hAnsi="宋体" w:cs="宋体"/>
          <w:bCs/>
          <w:color w:val="auto"/>
          <w:szCs w:val="21"/>
          <w:highlight w:val="none"/>
        </w:rPr>
      </w:pPr>
      <w:r>
        <w:rPr>
          <w:rFonts w:hint="eastAsia" w:ascii="宋体" w:hAnsi="宋体" w:cs="宋体"/>
          <w:bCs/>
          <w:color w:val="auto"/>
          <w:szCs w:val="21"/>
          <w:highlight w:val="none"/>
        </w:rPr>
        <w:t>2.1、投标人通过河南省公共资源交易中心网站（www.hnggzy.net）-公共服务-办事指南-新交易平台使用手册-河南省公共资源“智慧交易”平台投标/响应文件制作操作手册。</w:t>
      </w:r>
    </w:p>
    <w:p w14:paraId="028104E0">
      <w:pPr>
        <w:snapToGrid w:val="0"/>
        <w:spacing w:line="360" w:lineRule="auto"/>
        <w:ind w:firstLine="432" w:firstLineChars="206"/>
        <w:rPr>
          <w:rFonts w:ascii="宋体" w:hAnsi="宋体" w:cs="宋体"/>
          <w:bCs/>
          <w:color w:val="auto"/>
          <w:szCs w:val="21"/>
          <w:highlight w:val="none"/>
        </w:rPr>
      </w:pPr>
      <w:r>
        <w:rPr>
          <w:rFonts w:hint="eastAsia" w:ascii="宋体" w:hAnsi="宋体" w:cs="宋体"/>
          <w:bCs/>
          <w:color w:val="auto"/>
          <w:szCs w:val="21"/>
          <w:highlight w:val="none"/>
        </w:rPr>
        <w:t>2.2、投标人凭 CA 密钥登陆河南省公共资源交易中心并按网上提示自行下载每个项目所含格式(.hnzf)的招标文件。</w:t>
      </w:r>
    </w:p>
    <w:p w14:paraId="2AA4BD20">
      <w:pPr>
        <w:snapToGrid w:val="0"/>
        <w:spacing w:line="360" w:lineRule="auto"/>
        <w:ind w:firstLine="432" w:firstLineChars="206"/>
        <w:rPr>
          <w:rFonts w:ascii="宋体" w:hAnsi="宋体" w:cs="宋体"/>
          <w:bCs/>
          <w:color w:val="auto"/>
          <w:szCs w:val="21"/>
          <w:highlight w:val="none"/>
        </w:rPr>
      </w:pPr>
      <w:r>
        <w:rPr>
          <w:rFonts w:hint="eastAsia" w:ascii="宋体" w:hAnsi="宋体" w:cs="宋体"/>
          <w:bCs/>
          <w:color w:val="auto"/>
          <w:szCs w:val="21"/>
          <w:highlight w:val="none"/>
        </w:rPr>
        <w:t>2.3、投标人须在投标文件递交截止时间前制作并提交：加密的电子投标文件（*.hntf 格式）,应在投标文件截止时间前通过“河南省公共资源交易中心（www.hnggzy.net）”电子交易平台内上传；</w:t>
      </w:r>
    </w:p>
    <w:p w14:paraId="0CF8447F">
      <w:pPr>
        <w:snapToGrid w:val="0"/>
        <w:spacing w:line="360" w:lineRule="auto"/>
        <w:ind w:firstLine="432" w:firstLineChars="206"/>
        <w:rPr>
          <w:rFonts w:ascii="宋体" w:hAnsi="宋体" w:cs="宋体"/>
          <w:bCs/>
          <w:color w:val="auto"/>
          <w:szCs w:val="21"/>
          <w:highlight w:val="none"/>
        </w:rPr>
      </w:pPr>
      <w:r>
        <w:rPr>
          <w:rFonts w:hint="eastAsia" w:ascii="宋体" w:hAnsi="宋体" w:cs="宋体"/>
          <w:bCs/>
          <w:color w:val="auto"/>
          <w:szCs w:val="21"/>
          <w:highlight w:val="none"/>
        </w:rPr>
        <w:t>2.4、加密的电子投标文件为“河南省公共资源交易中心（www.hnggzy.net）”网站提供的“投标文件制作工具”软件制作生成的加密版投标文件。</w:t>
      </w:r>
    </w:p>
    <w:p w14:paraId="2B688019">
      <w:pPr>
        <w:snapToGrid w:val="0"/>
        <w:spacing w:line="360" w:lineRule="auto"/>
        <w:ind w:firstLine="432" w:firstLineChars="206"/>
        <w:rPr>
          <w:rFonts w:ascii="宋体" w:hAnsi="宋体" w:cs="宋体"/>
          <w:bCs/>
          <w:color w:val="auto"/>
          <w:szCs w:val="21"/>
          <w:highlight w:val="none"/>
        </w:rPr>
      </w:pPr>
      <w:r>
        <w:rPr>
          <w:rFonts w:hint="eastAsia" w:ascii="宋体" w:hAnsi="宋体" w:cs="宋体"/>
          <w:bCs/>
          <w:color w:val="auto"/>
          <w:szCs w:val="21"/>
          <w:highlight w:val="none"/>
        </w:rPr>
        <w:t>2.5、投标人编辑电子投标文件时，根据招标文件要求用法人 CA 密钥和企业 CA 密钥进行签章制作；最后一步生成电子投标文件（*.hntf 格式和*.nhntf 格式）时，只能用本单位的企业 CA 密钥。（注：本次采购项目采用远程不见面开标方式，请各投标人在招标文件确定的投标截止时间前，登录远程开标大厅，在线准时参加开标活动并在规定时间内进行投标文件解密，在规定时间内投标文件未解密的投标人，视为放弃投标。具体操作可登陆河南省公共资源交易中心“首页---公共服务---办事指南---新交易平台使用手册（培训资料）”。</w:t>
      </w:r>
    </w:p>
    <w:p w14:paraId="63070F41">
      <w:pPr>
        <w:snapToGrid w:val="0"/>
        <w:spacing w:line="360" w:lineRule="auto"/>
        <w:ind w:firstLine="434" w:firstLineChars="206"/>
        <w:rPr>
          <w:rFonts w:ascii="宋体" w:hAnsi="宋体" w:cs="宋体"/>
          <w:b/>
          <w:color w:val="auto"/>
          <w:szCs w:val="21"/>
          <w:highlight w:val="none"/>
        </w:rPr>
      </w:pPr>
      <w:r>
        <w:rPr>
          <w:rFonts w:hint="eastAsia" w:ascii="宋体" w:hAnsi="宋体" w:cs="宋体"/>
          <w:b/>
          <w:color w:val="auto"/>
          <w:szCs w:val="21"/>
          <w:highlight w:val="none"/>
        </w:rPr>
        <w:t>3、评标前的澄清与变更</w:t>
      </w:r>
    </w:p>
    <w:p w14:paraId="20E11817">
      <w:pPr>
        <w:snapToGrid w:val="0"/>
        <w:spacing w:line="360" w:lineRule="auto"/>
        <w:ind w:firstLine="432" w:firstLineChars="206"/>
        <w:rPr>
          <w:rFonts w:ascii="宋体" w:hAnsi="宋体" w:cs="宋体"/>
          <w:b/>
          <w:color w:val="auto"/>
          <w:szCs w:val="21"/>
          <w:highlight w:val="none"/>
        </w:rPr>
      </w:pPr>
      <w:r>
        <w:rPr>
          <w:rFonts w:hint="eastAsia" w:ascii="宋体" w:hAnsi="宋体" w:cs="宋体"/>
          <w:color w:val="auto"/>
          <w:szCs w:val="21"/>
          <w:highlight w:val="none"/>
        </w:rPr>
        <w:t>招标人、招标代理机构对已发出的招标文件进行的澄清、更正或更改，澄清、更正或更改的内容将作为招标文件的组成部分。招标代理机构将通过网站“变更公告”和系统内部“答疑文件”告知供应商或投标人，对于各项目中已经成功报名并下载招标文件的项目供应商或投标人，系统可能通过第三方短信群发方式提醒供应商或投标人进行查询。各供应商或投标人须重新下载最新的招标文件和答疑文件，以此编制投标文件。供应商或投标人注册时所留手机联系方式要保持畅通，因联系方式变更而未及时更新系统内联系方式的，将会造成收不到短信。此短信仅系友情提示，并不具有任何约束性和必要性，招标代理机构不承担供应商或投标人未收到短信而引起的一切后果和法律责任。</w:t>
      </w:r>
    </w:p>
    <w:p w14:paraId="7665FE46">
      <w:pPr>
        <w:snapToGrid w:val="0"/>
        <w:spacing w:line="360" w:lineRule="auto"/>
        <w:ind w:firstLine="434" w:firstLineChars="206"/>
        <w:rPr>
          <w:rFonts w:ascii="宋体" w:hAnsi="宋体" w:cs="宋体"/>
          <w:b/>
          <w:color w:val="auto"/>
          <w:szCs w:val="21"/>
          <w:highlight w:val="none"/>
        </w:rPr>
      </w:pPr>
      <w:r>
        <w:rPr>
          <w:rFonts w:hint="eastAsia" w:ascii="宋体" w:hAnsi="宋体" w:cs="宋体"/>
          <w:b/>
          <w:color w:val="auto"/>
          <w:szCs w:val="21"/>
          <w:highlight w:val="none"/>
        </w:rPr>
        <w:t>4、评标过程的澄清</w:t>
      </w:r>
    </w:p>
    <w:p w14:paraId="41D8AE0E">
      <w:pPr>
        <w:snapToGrid w:val="0"/>
        <w:spacing w:line="360" w:lineRule="auto"/>
        <w:ind w:firstLine="432" w:firstLineChars="206"/>
        <w:rPr>
          <w:rFonts w:ascii="宋体" w:hAnsi="宋体" w:cs="宋体"/>
          <w:color w:val="auto"/>
          <w:szCs w:val="21"/>
          <w:highlight w:val="none"/>
        </w:rPr>
      </w:pPr>
      <w:r>
        <w:rPr>
          <w:rFonts w:hint="eastAsia" w:ascii="宋体" w:hAnsi="宋体" w:cs="宋体"/>
          <w:color w:val="auto"/>
          <w:szCs w:val="21"/>
          <w:highlight w:val="none"/>
        </w:rPr>
        <w:t>评标委员会在评审的过程中已发出的的澄清作为评审过程的组成部分。供应商或投标人应当在评标结束前时刻关注系统内部发出的“答疑”，系统也可能通过第三方短信群发方式提醒供应商或投标人。供应商或投标人须在规定的时间内进行回复。供应商或投标人注册时所留手机联系方式要保持畅通，因联系方式变更而未及时更新系统内联系方式的，将会造成收不到短信。此短信仅系友情提示，并不具有任何约束性和必要性，招标代理机构和招标人不承担供应商或投标人未收到短信而引起的一切后果和法律责任。</w:t>
      </w:r>
    </w:p>
    <w:p w14:paraId="309A14D8">
      <w:pPr>
        <w:snapToGrid w:val="0"/>
        <w:spacing w:line="360" w:lineRule="auto"/>
        <w:ind w:firstLine="432" w:firstLineChars="206"/>
        <w:rPr>
          <w:rFonts w:ascii="宋体" w:hAnsi="宋体" w:cs="宋体"/>
          <w:color w:val="auto"/>
          <w:szCs w:val="21"/>
          <w:highlight w:val="none"/>
        </w:rPr>
      </w:pPr>
      <w:bookmarkStart w:id="4" w:name="_Toc16058"/>
      <w:r>
        <w:rPr>
          <w:rFonts w:hint="eastAsia" w:ascii="宋体" w:hAnsi="宋体" w:cs="宋体"/>
          <w:color w:val="auto"/>
          <w:szCs w:val="21"/>
          <w:highlight w:val="none"/>
        </w:rPr>
        <w:t xml:space="preserve">5、因河南省公共资源交易中心平台在开标前具有保密性，投标人在投标文件递交截止时间前须自行查看项目进展、变更通知、澄清及回复，因投标人未及时查看而造成的后果自负。 </w:t>
      </w:r>
    </w:p>
    <w:p w14:paraId="221E806E">
      <w:pPr>
        <w:snapToGrid w:val="0"/>
        <w:spacing w:line="360" w:lineRule="auto"/>
        <w:ind w:firstLine="432" w:firstLineChars="206"/>
        <w:rPr>
          <w:rFonts w:ascii="宋体" w:hAnsi="宋体" w:cs="宋体"/>
          <w:color w:val="auto"/>
          <w:szCs w:val="21"/>
          <w:highlight w:val="none"/>
        </w:rPr>
      </w:pPr>
      <w:r>
        <w:rPr>
          <w:rFonts w:hint="eastAsia" w:ascii="宋体" w:hAnsi="宋体" w:cs="宋体"/>
          <w:color w:val="auto"/>
          <w:szCs w:val="21"/>
          <w:highlight w:val="none"/>
        </w:rPr>
        <w:t>6、根据河南省发展和改革委员会关于对《关于认定投标人投标文件制作机器码一致视为串通投标行为的请示》相关问题的批复》(豫发改公管〔2019〕198号)文件精神，如出现“投标/响应文件制作机器码一致”的情形，投标文件制作机器码一致的投标文件均作无效标处理。</w:t>
      </w:r>
    </w:p>
    <w:p w14:paraId="0731CD43">
      <w:pPr>
        <w:snapToGrid w:val="0"/>
        <w:spacing w:line="360" w:lineRule="auto"/>
        <w:ind w:firstLine="432" w:firstLineChars="206"/>
        <w:rPr>
          <w:rFonts w:ascii="宋体" w:hAnsi="宋体" w:cs="宋体"/>
          <w:color w:val="auto"/>
          <w:szCs w:val="21"/>
          <w:highlight w:val="none"/>
        </w:rPr>
      </w:pPr>
      <w:r>
        <w:rPr>
          <w:rFonts w:hint="eastAsia" w:ascii="宋体" w:hAnsi="宋体" w:cs="宋体"/>
          <w:color w:val="auto"/>
          <w:szCs w:val="21"/>
          <w:highlight w:val="none"/>
        </w:rPr>
        <w:t>7、投标保证金：本项目不收取投标保证金，若交易中心系统内开标一览表确需填写，保证金金额可以填写“0”。</w:t>
      </w:r>
    </w:p>
    <w:p w14:paraId="1C9C39E4">
      <w:pPr>
        <w:snapToGrid w:val="0"/>
        <w:spacing w:line="360" w:lineRule="auto"/>
        <w:ind w:firstLine="432" w:firstLineChars="206"/>
        <w:rPr>
          <w:rFonts w:ascii="宋体" w:hAnsi="宋体" w:cs="宋体"/>
          <w:b/>
          <w:color w:val="auto"/>
          <w:szCs w:val="21"/>
          <w:highlight w:val="none"/>
        </w:rPr>
      </w:pPr>
      <w:r>
        <w:rPr>
          <w:rFonts w:hint="eastAsia" w:ascii="宋体" w:hAnsi="宋体" w:cs="宋体"/>
          <w:color w:val="auto"/>
          <w:szCs w:val="21"/>
          <w:highlight w:val="none"/>
        </w:rPr>
        <w:t>8、未到现场解密的供应商或投标人，请持编制投标文件的CA钥匙进行在线远程解密，逾期解密或超时解密将被拒绝。</w:t>
      </w:r>
      <w:r>
        <w:rPr>
          <w:rFonts w:hint="eastAsia" w:ascii="宋体" w:hAnsi="宋体" w:cs="宋体"/>
          <w:b/>
          <w:color w:val="auto"/>
          <w:szCs w:val="21"/>
          <w:highlight w:val="none"/>
        </w:rPr>
        <w:br w:type="page"/>
      </w:r>
    </w:p>
    <w:p w14:paraId="30659C4C">
      <w:pPr>
        <w:snapToGrid w:val="0"/>
        <w:spacing w:line="360" w:lineRule="auto"/>
        <w:jc w:val="center"/>
        <w:outlineLvl w:val="0"/>
        <w:rPr>
          <w:rFonts w:ascii="宋体" w:hAnsi="宋体" w:cs="宋体"/>
          <w:b/>
          <w:color w:val="auto"/>
          <w:sz w:val="36"/>
          <w:szCs w:val="36"/>
          <w:highlight w:val="none"/>
        </w:rPr>
      </w:pPr>
      <w:bookmarkStart w:id="5" w:name="_Toc28753"/>
      <w:bookmarkStart w:id="6" w:name="_Toc1835"/>
      <w:bookmarkStart w:id="7" w:name="_Toc30011"/>
      <w:bookmarkStart w:id="8" w:name="_Toc15594"/>
      <w:bookmarkStart w:id="9" w:name="_Toc673069844"/>
      <w:r>
        <w:rPr>
          <w:rFonts w:hint="eastAsia" w:ascii="宋体" w:hAnsi="宋体" w:cs="宋体"/>
          <w:b/>
          <w:color w:val="auto"/>
          <w:sz w:val="36"/>
          <w:szCs w:val="36"/>
          <w:highlight w:val="none"/>
        </w:rPr>
        <w:t>第一章</w:t>
      </w:r>
      <w:bookmarkEnd w:id="0"/>
      <w:r>
        <w:rPr>
          <w:rFonts w:hint="eastAsia" w:ascii="宋体" w:hAnsi="宋体" w:cs="宋体"/>
          <w:b/>
          <w:color w:val="auto"/>
          <w:sz w:val="36"/>
          <w:szCs w:val="36"/>
          <w:highlight w:val="none"/>
        </w:rPr>
        <w:t xml:space="preserve">  招标公告</w:t>
      </w:r>
      <w:bookmarkEnd w:id="4"/>
      <w:bookmarkEnd w:id="5"/>
      <w:bookmarkEnd w:id="6"/>
      <w:bookmarkEnd w:id="7"/>
      <w:bookmarkEnd w:id="8"/>
      <w:bookmarkEnd w:id="9"/>
    </w:p>
    <w:p w14:paraId="4529D97D">
      <w:pPr>
        <w:spacing w:line="500" w:lineRule="exact"/>
        <w:ind w:left="119" w:right="20"/>
        <w:jc w:val="center"/>
        <w:rPr>
          <w:rFonts w:ascii="宋体" w:hAnsi="宋体" w:cs="宋体"/>
          <w:b/>
          <w:color w:val="auto"/>
          <w:kern w:val="0"/>
          <w:sz w:val="24"/>
          <w:highlight w:val="none"/>
        </w:rPr>
      </w:pPr>
      <w:bookmarkStart w:id="10" w:name="_Toc13119"/>
      <w:r>
        <w:rPr>
          <w:rFonts w:ascii="宋体" w:hAnsi="宋体" w:cs="宋体"/>
          <w:b/>
          <w:color w:val="auto"/>
          <w:kern w:val="0"/>
          <w:sz w:val="28"/>
          <w:szCs w:val="28"/>
          <w:highlight w:val="none"/>
        </w:rPr>
        <w:t>河南省科学院光资源与环境科学研究所红外检测实验平台（二期）项目-公开招标公告</w:t>
      </w:r>
    </w:p>
    <w:p w14:paraId="71896DFE">
      <w:pPr>
        <w:adjustRightInd w:val="0"/>
        <w:snapToGri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项目概况</w:t>
      </w:r>
    </w:p>
    <w:p w14:paraId="404DA475">
      <w:pPr>
        <w:adjustRightInd w:val="0"/>
        <w:snapToGri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河南省科学院光资源与环境科学研究所红外检测实验平台（二期）项目的潜在投标人应在河南省公共资源交易中心（http://hnsggzyjy.henan.gov.cn/）获取招标文件，并于</w:t>
      </w:r>
      <w:r>
        <w:rPr>
          <w:rFonts w:hint="eastAsia" w:ascii="宋体" w:hAnsi="宋体" w:cs="宋体"/>
          <w:color w:val="auto"/>
          <w:szCs w:val="21"/>
          <w:highlight w:val="none"/>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日09时00分（北京时间）前递交投标文件。</w:t>
      </w:r>
    </w:p>
    <w:p w14:paraId="7DAAE7A7">
      <w:pPr>
        <w:pStyle w:val="36"/>
        <w:ind w:firstLine="211"/>
        <w:rPr>
          <w:color w:val="auto"/>
          <w:highlight w:val="none"/>
        </w:rPr>
      </w:pPr>
      <w:r>
        <w:rPr>
          <w:rFonts w:hint="eastAsia"/>
          <w:color w:val="auto"/>
          <w:highlight w:val="none"/>
        </w:rPr>
        <w:t>一、项目基本情况</w:t>
      </w:r>
      <w:bookmarkStart w:id="413" w:name="_GoBack"/>
      <w:bookmarkEnd w:id="413"/>
    </w:p>
    <w:p w14:paraId="2085F8FE">
      <w:pPr>
        <w:tabs>
          <w:tab w:val="left" w:pos="4410"/>
        </w:tabs>
        <w:adjustRightInd w:val="0"/>
        <w:snapToGrid w:val="0"/>
        <w:spacing w:line="44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1.项目编号：</w:t>
      </w:r>
      <w:r>
        <w:rPr>
          <w:rFonts w:hint="eastAsia" w:ascii="宋体" w:hAnsi="宋体" w:cs="宋体"/>
          <w:color w:val="auto"/>
          <w:kern w:val="0"/>
          <w:szCs w:val="21"/>
          <w:highlight w:val="none"/>
        </w:rPr>
        <w:t>豫财招标采购-2026-744</w:t>
      </w:r>
    </w:p>
    <w:p w14:paraId="4EADDD8C">
      <w:pPr>
        <w:tabs>
          <w:tab w:val="left" w:pos="2940"/>
        </w:tabs>
        <w:autoSpaceDE w:val="0"/>
        <w:autoSpaceDN w:val="0"/>
        <w:adjustRightInd w:val="0"/>
        <w:snapToGrid w:val="0"/>
        <w:spacing w:line="440" w:lineRule="exact"/>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2.项目名称：河南省科学院光资源与环境科学研究所红外检测实验平台（二期）项目</w:t>
      </w:r>
    </w:p>
    <w:p w14:paraId="7F192351">
      <w:pPr>
        <w:adjustRightInd w:val="0"/>
        <w:snapToGrid w:val="0"/>
        <w:spacing w:line="44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3.采购方式：公开招标</w:t>
      </w:r>
    </w:p>
    <w:p w14:paraId="026CC401">
      <w:pPr>
        <w:adjustRightInd w:val="0"/>
        <w:snapToGrid w:val="0"/>
        <w:spacing w:line="44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4.预算金额：5250000.00元</w:t>
      </w:r>
    </w:p>
    <w:p w14:paraId="21A80B4B">
      <w:pPr>
        <w:adjustRightInd w:val="0"/>
        <w:snapToGrid w:val="0"/>
        <w:spacing w:line="440" w:lineRule="exact"/>
        <w:ind w:firstLine="630" w:firstLineChars="300"/>
        <w:rPr>
          <w:rFonts w:ascii="宋体" w:hAnsi="宋体" w:cs="宋体"/>
          <w:color w:val="auto"/>
          <w:kern w:val="0"/>
          <w:szCs w:val="21"/>
          <w:highlight w:val="none"/>
        </w:rPr>
      </w:pPr>
      <w:r>
        <w:rPr>
          <w:rFonts w:ascii="宋体" w:hAnsi="宋体" w:cs="宋体"/>
          <w:color w:val="auto"/>
          <w:kern w:val="0"/>
          <w:szCs w:val="21"/>
          <w:highlight w:val="none"/>
        </w:rPr>
        <w:t>最高限价：5250000.00元</w:t>
      </w:r>
    </w:p>
    <w:tbl>
      <w:tblPr>
        <w:tblStyle w:val="38"/>
        <w:tblW w:w="830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0"/>
        <w:gridCol w:w="1964"/>
        <w:gridCol w:w="2224"/>
        <w:gridCol w:w="1625"/>
        <w:gridCol w:w="1812"/>
      </w:tblGrid>
      <w:tr w14:paraId="1F4E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tblCellSpacing w:w="0" w:type="dxa"/>
          <w:jc w:val="center"/>
        </w:trPr>
        <w:tc>
          <w:tcPr>
            <w:tcW w:w="680" w:type="dxa"/>
            <w:tcBorders>
              <w:tl2br w:val="nil"/>
              <w:tr2bl w:val="nil"/>
            </w:tcBorders>
            <w:tcMar>
              <w:top w:w="120" w:type="dxa"/>
            </w:tcMar>
            <w:vAlign w:val="center"/>
          </w:tcPr>
          <w:p w14:paraId="46C6072D">
            <w:pPr>
              <w:adjustRightInd w:val="0"/>
              <w:snapToGrid w:val="0"/>
              <w:jc w:val="center"/>
              <w:rPr>
                <w:rFonts w:ascii="宋体" w:hAnsi="宋体" w:cs="宋体"/>
                <w:color w:val="auto"/>
                <w:szCs w:val="21"/>
                <w:highlight w:val="none"/>
              </w:rPr>
            </w:pPr>
            <w:r>
              <w:rPr>
                <w:rFonts w:hint="eastAsia" w:ascii="宋体" w:hAnsi="宋体" w:cs="宋体"/>
                <w:color w:val="auto"/>
                <w:kern w:val="0"/>
                <w:szCs w:val="21"/>
                <w:highlight w:val="none"/>
              </w:rPr>
              <w:t>序号</w:t>
            </w:r>
          </w:p>
        </w:tc>
        <w:tc>
          <w:tcPr>
            <w:tcW w:w="1964" w:type="dxa"/>
            <w:tcBorders>
              <w:tl2br w:val="nil"/>
              <w:tr2bl w:val="nil"/>
            </w:tcBorders>
            <w:tcMar>
              <w:top w:w="120" w:type="dxa"/>
            </w:tcMar>
            <w:vAlign w:val="center"/>
          </w:tcPr>
          <w:p w14:paraId="360E2C67">
            <w:pPr>
              <w:adjustRightInd w:val="0"/>
              <w:snapToGrid w:val="0"/>
              <w:jc w:val="center"/>
              <w:rPr>
                <w:rFonts w:ascii="宋体" w:hAnsi="宋体" w:cs="宋体"/>
                <w:color w:val="auto"/>
                <w:szCs w:val="21"/>
                <w:highlight w:val="none"/>
              </w:rPr>
            </w:pPr>
            <w:r>
              <w:rPr>
                <w:rFonts w:hint="eastAsia" w:ascii="宋体" w:hAnsi="宋体" w:cs="宋体"/>
                <w:color w:val="auto"/>
                <w:kern w:val="0"/>
                <w:szCs w:val="21"/>
                <w:highlight w:val="none"/>
              </w:rPr>
              <w:t>包号</w:t>
            </w:r>
          </w:p>
        </w:tc>
        <w:tc>
          <w:tcPr>
            <w:tcW w:w="2224" w:type="dxa"/>
            <w:tcBorders>
              <w:tl2br w:val="nil"/>
              <w:tr2bl w:val="nil"/>
            </w:tcBorders>
            <w:tcMar>
              <w:top w:w="120" w:type="dxa"/>
            </w:tcMar>
            <w:vAlign w:val="center"/>
          </w:tcPr>
          <w:p w14:paraId="58CA4A33">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包名称</w:t>
            </w:r>
          </w:p>
        </w:tc>
        <w:tc>
          <w:tcPr>
            <w:tcW w:w="1625" w:type="dxa"/>
            <w:tcBorders>
              <w:tl2br w:val="nil"/>
              <w:tr2bl w:val="nil"/>
            </w:tcBorders>
            <w:tcMar>
              <w:top w:w="120" w:type="dxa"/>
            </w:tcMar>
            <w:vAlign w:val="center"/>
          </w:tcPr>
          <w:p w14:paraId="638D7E1C">
            <w:pPr>
              <w:adjustRightInd w:val="0"/>
              <w:snapToGrid w:val="0"/>
              <w:jc w:val="center"/>
              <w:rPr>
                <w:rFonts w:ascii="宋体" w:hAnsi="宋体" w:cs="宋体"/>
                <w:color w:val="auto"/>
                <w:szCs w:val="21"/>
                <w:highlight w:val="none"/>
              </w:rPr>
            </w:pPr>
            <w:r>
              <w:rPr>
                <w:rFonts w:hint="eastAsia" w:ascii="宋体" w:hAnsi="宋体" w:cs="宋体"/>
                <w:color w:val="auto"/>
                <w:kern w:val="0"/>
                <w:szCs w:val="21"/>
                <w:highlight w:val="none"/>
              </w:rPr>
              <w:t>包预算（元）</w:t>
            </w:r>
          </w:p>
        </w:tc>
        <w:tc>
          <w:tcPr>
            <w:tcW w:w="1812" w:type="dxa"/>
            <w:tcBorders>
              <w:tl2br w:val="nil"/>
              <w:tr2bl w:val="nil"/>
            </w:tcBorders>
            <w:tcMar>
              <w:top w:w="120" w:type="dxa"/>
            </w:tcMar>
            <w:vAlign w:val="center"/>
          </w:tcPr>
          <w:p w14:paraId="462BF47A">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包最高限价（元）</w:t>
            </w:r>
          </w:p>
        </w:tc>
      </w:tr>
      <w:tr w14:paraId="7E07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tblCellSpacing w:w="0" w:type="dxa"/>
          <w:jc w:val="center"/>
        </w:trPr>
        <w:tc>
          <w:tcPr>
            <w:tcW w:w="680" w:type="dxa"/>
            <w:tcBorders>
              <w:tl2br w:val="nil"/>
              <w:tr2bl w:val="nil"/>
            </w:tcBorders>
            <w:tcMar>
              <w:top w:w="120" w:type="dxa"/>
            </w:tcMar>
            <w:vAlign w:val="center"/>
          </w:tcPr>
          <w:p w14:paraId="2E0BEDF0">
            <w:pPr>
              <w:adjustRightInd w:val="0"/>
              <w:snapToGrid w:val="0"/>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964" w:type="dxa"/>
            <w:tcBorders>
              <w:tl2br w:val="nil"/>
              <w:tr2bl w:val="nil"/>
            </w:tcBorders>
            <w:tcMar>
              <w:top w:w="120" w:type="dxa"/>
            </w:tcMar>
            <w:vAlign w:val="center"/>
          </w:tcPr>
          <w:p w14:paraId="1AB3CAEF">
            <w:pPr>
              <w:adjustRightInd w:val="0"/>
              <w:snapToGrid w:val="0"/>
              <w:jc w:val="center"/>
              <w:textAlignment w:val="center"/>
              <w:rPr>
                <w:rFonts w:ascii="宋体" w:hAnsi="宋体" w:cs="宋体"/>
                <w:color w:val="auto"/>
                <w:szCs w:val="21"/>
                <w:highlight w:val="none"/>
              </w:rPr>
            </w:pPr>
            <w:r>
              <w:rPr>
                <w:rFonts w:hint="eastAsia" w:ascii="宋体" w:hAnsi="宋体" w:cs="宋体"/>
                <w:color w:val="auto"/>
                <w:szCs w:val="21"/>
                <w:highlight w:val="none"/>
              </w:rPr>
              <w:t>豫政采(2)20261011-1</w:t>
            </w:r>
          </w:p>
        </w:tc>
        <w:tc>
          <w:tcPr>
            <w:tcW w:w="2224" w:type="dxa"/>
            <w:tcBorders>
              <w:tl2br w:val="nil"/>
              <w:tr2bl w:val="nil"/>
            </w:tcBorders>
            <w:tcMar>
              <w:top w:w="120" w:type="dxa"/>
            </w:tcMar>
            <w:vAlign w:val="center"/>
          </w:tcPr>
          <w:p w14:paraId="7E7CF5E2">
            <w:pPr>
              <w:adjustRightInd w:val="0"/>
              <w:snapToGrid w:val="0"/>
              <w:jc w:val="center"/>
              <w:textAlignment w:val="center"/>
              <w:rPr>
                <w:rFonts w:ascii="宋体" w:hAnsi="宋体" w:cs="宋体"/>
                <w:color w:val="auto"/>
                <w:kern w:val="0"/>
                <w:szCs w:val="21"/>
                <w:highlight w:val="none"/>
              </w:rPr>
            </w:pPr>
            <w:r>
              <w:rPr>
                <w:rFonts w:ascii="宋体" w:hAnsi="宋体" w:cs="宋体"/>
                <w:color w:val="auto"/>
                <w:kern w:val="0"/>
                <w:szCs w:val="21"/>
                <w:highlight w:val="none"/>
              </w:rPr>
              <w:t>河南省科学院光资源与环境科学研究所红外检测实验平台（二期）项目</w:t>
            </w:r>
          </w:p>
        </w:tc>
        <w:tc>
          <w:tcPr>
            <w:tcW w:w="1625" w:type="dxa"/>
            <w:tcBorders>
              <w:tl2br w:val="nil"/>
              <w:tr2bl w:val="nil"/>
            </w:tcBorders>
            <w:tcMar>
              <w:top w:w="120" w:type="dxa"/>
            </w:tcMar>
            <w:vAlign w:val="center"/>
          </w:tcPr>
          <w:p w14:paraId="1AF1CEBF">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5250000.00</w:t>
            </w:r>
          </w:p>
        </w:tc>
        <w:tc>
          <w:tcPr>
            <w:tcW w:w="1812" w:type="dxa"/>
            <w:tcBorders>
              <w:tl2br w:val="nil"/>
              <w:tr2bl w:val="nil"/>
            </w:tcBorders>
            <w:tcMar>
              <w:top w:w="120" w:type="dxa"/>
            </w:tcMar>
            <w:vAlign w:val="center"/>
          </w:tcPr>
          <w:p w14:paraId="499541BD">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5250000.00</w:t>
            </w:r>
          </w:p>
        </w:tc>
      </w:tr>
    </w:tbl>
    <w:p w14:paraId="0C511F19">
      <w:pPr>
        <w:pStyle w:val="12"/>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5.采购需求（包括但不限于标的的名称、数量、简要技术需求或服务要求等）</w:t>
      </w:r>
    </w:p>
    <w:p w14:paraId="1F22B350">
      <w:pPr>
        <w:adjustRightInd w:val="0"/>
        <w:snapToGrid w:val="0"/>
        <w:spacing w:line="44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5.1 采购内容：</w:t>
      </w:r>
    </w:p>
    <w:p w14:paraId="1145C481">
      <w:pPr>
        <w:adjustRightInd w:val="0"/>
        <w:snapToGrid w:val="0"/>
        <w:spacing w:line="44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一套纳米红外高光谱检测系统，包含但不限于软硬件及附属设备的供货、运输、保险、装卸、安装、检测、调试、试运行、验收交付、培训、技术支持、软件升级、售后保修及相关伴随服务；</w:t>
      </w:r>
    </w:p>
    <w:p w14:paraId="3C90446F">
      <w:pPr>
        <w:adjustRightInd w:val="0"/>
        <w:snapToGrid w:val="0"/>
        <w:spacing w:line="44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5.2 交货期：自签订合同之日起6个月内完成供货、安装、验收合格、交付使用；</w:t>
      </w:r>
    </w:p>
    <w:p w14:paraId="059E1950">
      <w:pPr>
        <w:adjustRightInd w:val="0"/>
        <w:snapToGrid w:val="0"/>
        <w:spacing w:line="44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5.3交货地点：河南省郑州市管城回族区</w:t>
      </w:r>
      <w:r>
        <w:rPr>
          <w:rFonts w:hint="eastAsia" w:ascii="宋体" w:hAnsi="宋体" w:cs="宋体"/>
          <w:color w:val="auto"/>
          <w:szCs w:val="21"/>
          <w:highlight w:val="none"/>
        </w:rPr>
        <w:t>汉月街26号</w:t>
      </w:r>
      <w:r>
        <w:rPr>
          <w:rFonts w:ascii="宋体" w:hAnsi="宋体" w:cs="宋体"/>
          <w:color w:val="auto"/>
          <w:szCs w:val="21"/>
          <w:highlight w:val="none"/>
        </w:rPr>
        <w:t>中原量子谷；</w:t>
      </w:r>
    </w:p>
    <w:p w14:paraId="1D3DD460">
      <w:pPr>
        <w:adjustRightInd w:val="0"/>
        <w:snapToGrid w:val="0"/>
        <w:spacing w:line="44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5.4质量要求：符合国家、行业现行验收规范和标准，满足招标人的相关要求；</w:t>
      </w:r>
    </w:p>
    <w:p w14:paraId="68093732">
      <w:pPr>
        <w:adjustRightInd w:val="0"/>
        <w:snapToGrid w:val="0"/>
        <w:spacing w:line="44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5.5质保期：验收合格后原厂质保一年（自验收合格之日起计算）；</w:t>
      </w:r>
    </w:p>
    <w:p w14:paraId="44976E94">
      <w:pPr>
        <w:adjustRightInd w:val="0"/>
        <w:snapToGrid w:val="0"/>
        <w:spacing w:line="44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5.6资金来源：财政资金；</w:t>
      </w:r>
    </w:p>
    <w:p w14:paraId="0079EF73">
      <w:pPr>
        <w:adjustRightInd w:val="0"/>
        <w:snapToGrid w:val="0"/>
        <w:spacing w:line="44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5.7包段划分：本招标项目共划分一个标包。</w:t>
      </w:r>
    </w:p>
    <w:p w14:paraId="60E3AD6C">
      <w:pPr>
        <w:autoSpaceDE w:val="0"/>
        <w:autoSpaceDN w:val="0"/>
        <w:adjustRightInd w:val="0"/>
        <w:snapToGrid w:val="0"/>
        <w:spacing w:line="440" w:lineRule="exact"/>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6.合同履行期限：</w:t>
      </w:r>
      <w:r>
        <w:rPr>
          <w:rFonts w:hint="eastAsia" w:ascii="宋体" w:hAnsi="宋体" w:cs="宋体"/>
          <w:color w:val="auto"/>
          <w:kern w:val="0"/>
          <w:szCs w:val="21"/>
          <w:highlight w:val="none"/>
          <w:lang w:eastAsia="zh-CN"/>
        </w:rPr>
        <w:t>以合同约定为准</w:t>
      </w:r>
      <w:r>
        <w:rPr>
          <w:rFonts w:ascii="宋体" w:hAnsi="宋体" w:cs="宋体"/>
          <w:color w:val="auto"/>
          <w:kern w:val="0"/>
          <w:szCs w:val="21"/>
          <w:highlight w:val="none"/>
        </w:rPr>
        <w:t>。</w:t>
      </w:r>
    </w:p>
    <w:p w14:paraId="1980ED3E">
      <w:pPr>
        <w:adjustRightInd w:val="0"/>
        <w:snapToGrid w:val="0"/>
        <w:spacing w:line="44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7.本项目是否接受联合体投标：否。</w:t>
      </w:r>
    </w:p>
    <w:p w14:paraId="021A1CC6">
      <w:pPr>
        <w:adjustRightInd w:val="0"/>
        <w:snapToGrid w:val="0"/>
        <w:spacing w:line="440" w:lineRule="exact"/>
        <w:ind w:firstLine="420" w:firstLineChars="200"/>
        <w:jc w:val="left"/>
        <w:rPr>
          <w:rFonts w:ascii="宋体" w:hAnsi="宋体" w:cs="宋体"/>
          <w:color w:val="auto"/>
          <w:kern w:val="0"/>
          <w:szCs w:val="21"/>
          <w:highlight w:val="none"/>
        </w:rPr>
      </w:pPr>
      <w:r>
        <w:rPr>
          <w:rFonts w:ascii="宋体" w:hAnsi="宋体" w:cs="宋体"/>
          <w:color w:val="auto"/>
          <w:szCs w:val="21"/>
          <w:highlight w:val="none"/>
        </w:rPr>
        <w:t>8.是否接受进口产品：是。</w:t>
      </w:r>
    </w:p>
    <w:p w14:paraId="3ECE82B7">
      <w:pPr>
        <w:tabs>
          <w:tab w:val="center" w:pos="4153"/>
        </w:tabs>
        <w:adjustRightInd w:val="0"/>
        <w:snapToGrid w:val="0"/>
        <w:spacing w:line="440" w:lineRule="exact"/>
        <w:ind w:firstLine="420" w:firstLineChars="200"/>
        <w:jc w:val="left"/>
        <w:rPr>
          <w:rFonts w:ascii="宋体" w:hAnsi="宋体"/>
          <w:color w:val="auto"/>
          <w:sz w:val="24"/>
          <w:highlight w:val="none"/>
        </w:rPr>
      </w:pPr>
      <w:r>
        <w:rPr>
          <w:rFonts w:ascii="宋体" w:hAnsi="宋体" w:cs="宋体"/>
          <w:color w:val="auto"/>
          <w:szCs w:val="21"/>
          <w:highlight w:val="none"/>
        </w:rPr>
        <w:t>9.是否专门面向中小企业：否。</w:t>
      </w:r>
    </w:p>
    <w:p w14:paraId="13797576">
      <w:pPr>
        <w:autoSpaceDE w:val="0"/>
        <w:autoSpaceDN w:val="0"/>
        <w:adjustRightInd w:val="0"/>
        <w:snapToGrid w:val="0"/>
        <w:spacing w:line="440" w:lineRule="exact"/>
        <w:ind w:firstLine="422" w:firstLineChars="200"/>
        <w:jc w:val="left"/>
        <w:rPr>
          <w:rFonts w:ascii="宋体" w:hAnsi="宋体" w:cs="宋体"/>
          <w:b/>
          <w:bCs/>
          <w:color w:val="auto"/>
          <w:kern w:val="0"/>
          <w:szCs w:val="21"/>
          <w:highlight w:val="none"/>
        </w:rPr>
      </w:pPr>
      <w:r>
        <w:rPr>
          <w:rFonts w:ascii="宋体" w:hAnsi="宋体" w:cs="宋体"/>
          <w:b/>
          <w:bCs/>
          <w:color w:val="auto"/>
          <w:kern w:val="0"/>
          <w:szCs w:val="21"/>
          <w:highlight w:val="none"/>
        </w:rPr>
        <w:t>二、申请人资格要求：</w:t>
      </w:r>
    </w:p>
    <w:p w14:paraId="359BE538">
      <w:pPr>
        <w:adjustRightInd w:val="0"/>
        <w:snapToGrid w:val="0"/>
        <w:spacing w:line="44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1.满足《中华人民共和国政府采购法》第二十二条规定；</w:t>
      </w:r>
    </w:p>
    <w:p w14:paraId="38B55569">
      <w:pPr>
        <w:adjustRightInd w:val="0"/>
        <w:snapToGrid w:val="0"/>
        <w:spacing w:line="44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2.落实政府采购政策满足的资格要求：无；</w:t>
      </w:r>
    </w:p>
    <w:p w14:paraId="1F9A5C3D">
      <w:pPr>
        <w:adjustRightInd w:val="0"/>
        <w:snapToGrid w:val="0"/>
        <w:spacing w:line="44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3.本项目的特定资格要求：</w:t>
      </w:r>
    </w:p>
    <w:p w14:paraId="7FD14162">
      <w:pPr>
        <w:adjustRightInd w:val="0"/>
        <w:snapToGrid w:val="0"/>
        <w:spacing w:line="44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3.1提供的货物为进口产品的，须提供制造商或总代理商的授权书；</w:t>
      </w:r>
    </w:p>
    <w:p w14:paraId="19C659C5">
      <w:pPr>
        <w:adjustRightInd w:val="0"/>
        <w:snapToGrid w:val="0"/>
        <w:spacing w:line="44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3.2根据《关于在政府采购活动中查询及使用信用记录有关问题的通知》 (财库 [2016]125号) 和豫财购[2016]15号的规定，对列入失信被执行人、重大税收违法失信主体、政府采购严重违法失信行为记录名单</w:t>
      </w:r>
      <w:r>
        <w:rPr>
          <w:rFonts w:hint="eastAsia" w:ascii="宋体" w:hAnsi="宋体" w:cs="宋体"/>
          <w:color w:val="auto"/>
          <w:kern w:val="0"/>
          <w:szCs w:val="21"/>
          <w:highlight w:val="none"/>
        </w:rPr>
        <w:t>、经营异常名录、严重违法失信名单（黑名单）</w:t>
      </w:r>
      <w:r>
        <w:rPr>
          <w:rFonts w:ascii="宋体" w:hAnsi="宋体" w:cs="宋体"/>
          <w:color w:val="auto"/>
          <w:kern w:val="0"/>
          <w:szCs w:val="21"/>
          <w:highlight w:val="none"/>
        </w:rPr>
        <w:t>的企业，拒绝参与本项目招标采购活动</w:t>
      </w:r>
      <w:r>
        <w:rPr>
          <w:rFonts w:hint="eastAsia" w:ascii="宋体" w:hAnsi="宋体" w:cs="宋体"/>
          <w:color w:val="auto"/>
          <w:kern w:val="0"/>
          <w:szCs w:val="21"/>
          <w:highlight w:val="none"/>
        </w:rPr>
        <w:t>。</w:t>
      </w:r>
      <w:r>
        <w:rPr>
          <w:rFonts w:ascii="宋体" w:hAnsi="宋体" w:cs="宋体"/>
          <w:color w:val="auto"/>
          <w:kern w:val="0"/>
          <w:szCs w:val="21"/>
          <w:highlight w:val="none"/>
        </w:rPr>
        <w:t>查询渠道：信用中国网站（www.creditchina.gov.cn）查询：列入失信被执行人、重大税收违法失信主体</w:t>
      </w:r>
      <w:r>
        <w:rPr>
          <w:rFonts w:hint="eastAsia" w:ascii="宋体" w:hAnsi="宋体" w:cs="宋体"/>
          <w:color w:val="auto"/>
          <w:kern w:val="0"/>
          <w:szCs w:val="21"/>
          <w:highlight w:val="none"/>
        </w:rPr>
        <w:t>；</w:t>
      </w:r>
      <w:r>
        <w:rPr>
          <w:rFonts w:ascii="宋体" w:hAnsi="宋体" w:cs="宋体"/>
          <w:color w:val="auto"/>
          <w:kern w:val="0"/>
          <w:szCs w:val="21"/>
          <w:highlight w:val="none"/>
        </w:rPr>
        <w:t>中国政府采购网（www.ccgp.gov.cn）</w:t>
      </w:r>
      <w:r>
        <w:rPr>
          <w:rFonts w:hint="eastAsia" w:ascii="宋体" w:hAnsi="宋体" w:cs="宋体"/>
          <w:color w:val="auto"/>
          <w:kern w:val="0"/>
          <w:szCs w:val="21"/>
          <w:highlight w:val="none"/>
        </w:rPr>
        <w:t>查询</w:t>
      </w:r>
      <w:r>
        <w:rPr>
          <w:rFonts w:ascii="宋体" w:hAnsi="宋体" w:cs="宋体"/>
          <w:color w:val="auto"/>
          <w:kern w:val="0"/>
          <w:szCs w:val="21"/>
          <w:highlight w:val="none"/>
        </w:rPr>
        <w:t>：政府采购严重违法失信行为记录名单</w:t>
      </w:r>
      <w:r>
        <w:rPr>
          <w:rFonts w:hint="eastAsia" w:ascii="宋体" w:hAnsi="宋体" w:cs="宋体"/>
          <w:color w:val="auto"/>
          <w:kern w:val="0"/>
          <w:szCs w:val="21"/>
          <w:highlight w:val="none"/>
        </w:rPr>
        <w:t>；国家企业信用信息公示系统</w:t>
      </w:r>
      <w:r>
        <w:rPr>
          <w:rFonts w:ascii="宋体" w:hAnsi="宋体" w:cs="宋体"/>
          <w:color w:val="auto"/>
          <w:kern w:val="0"/>
          <w:szCs w:val="21"/>
          <w:highlight w:val="none"/>
        </w:rPr>
        <w:t>网站</w:t>
      </w:r>
      <w:r>
        <w:rPr>
          <w:rFonts w:hint="eastAsia" w:ascii="宋体" w:hAnsi="宋体" w:cs="宋体"/>
          <w:color w:val="auto"/>
          <w:kern w:val="0"/>
          <w:szCs w:val="21"/>
          <w:highlight w:val="none"/>
        </w:rPr>
        <w:t>（https://shiming.gsxt.gov.cn/socialuser-use-rllogin.html</w:t>
      </w:r>
      <w:r>
        <w:rPr>
          <w:rFonts w:ascii="宋体" w:hAnsi="宋体" w:cs="宋体"/>
          <w:color w:val="auto"/>
          <w:kern w:val="0"/>
          <w:szCs w:val="21"/>
          <w:highlight w:val="none"/>
        </w:rPr>
        <w:t>）</w:t>
      </w:r>
      <w:r>
        <w:rPr>
          <w:rFonts w:hint="eastAsia" w:ascii="宋体" w:hAnsi="宋体" w:cs="宋体"/>
          <w:color w:val="auto"/>
          <w:kern w:val="0"/>
          <w:szCs w:val="21"/>
          <w:highlight w:val="none"/>
        </w:rPr>
        <w:t>查询：列入经营异常名录、列入严重违法失信名单（黑名单）。</w:t>
      </w:r>
      <w:r>
        <w:rPr>
          <w:rFonts w:ascii="宋体" w:hAnsi="宋体" w:cs="宋体"/>
          <w:color w:val="auto"/>
          <w:kern w:val="0"/>
          <w:szCs w:val="21"/>
          <w:highlight w:val="none"/>
        </w:rPr>
        <w:t>注：招标代理机构在开标当天将对所有参与本项目投标的供应商的信用情况（失信被执行人、重大税收违法失信主体、政府采购严重违法失信行为记录名单</w:t>
      </w:r>
      <w:r>
        <w:rPr>
          <w:rFonts w:hint="eastAsia" w:ascii="宋体" w:hAnsi="宋体" w:cs="宋体"/>
          <w:color w:val="auto"/>
          <w:kern w:val="0"/>
          <w:szCs w:val="21"/>
          <w:highlight w:val="none"/>
        </w:rPr>
        <w:t>、经营异常名录、严重违法失信名单）</w:t>
      </w:r>
      <w:r>
        <w:rPr>
          <w:rFonts w:ascii="宋体" w:hAnsi="宋体" w:cs="宋体"/>
          <w:color w:val="auto"/>
          <w:kern w:val="0"/>
          <w:szCs w:val="21"/>
          <w:highlight w:val="none"/>
        </w:rPr>
        <w:t>进行查询、打印留存。若在开标当天查询到供应商有相关负面信息的，则该供应商递交的</w:t>
      </w:r>
      <w:r>
        <w:rPr>
          <w:rFonts w:hint="eastAsia" w:ascii="宋体" w:hAnsi="宋体" w:cs="宋体"/>
          <w:color w:val="auto"/>
          <w:kern w:val="0"/>
          <w:szCs w:val="21"/>
          <w:highlight w:val="none"/>
        </w:rPr>
        <w:t>投标文件</w:t>
      </w:r>
      <w:r>
        <w:rPr>
          <w:rFonts w:ascii="宋体" w:hAnsi="宋体" w:cs="宋体"/>
          <w:color w:val="auto"/>
          <w:kern w:val="0"/>
          <w:szCs w:val="21"/>
          <w:highlight w:val="none"/>
        </w:rPr>
        <w:t>按无效处理；</w:t>
      </w:r>
    </w:p>
    <w:p w14:paraId="696E9622">
      <w:pPr>
        <w:adjustRightInd w:val="0"/>
        <w:snapToGrid w:val="0"/>
        <w:spacing w:line="44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3.3单位负责人为同一人或者存在直接控股、管理关系的不同供应商，不得参加同一合同项下的政府采购活动。</w:t>
      </w:r>
    </w:p>
    <w:p w14:paraId="52827FB3">
      <w:pPr>
        <w:pStyle w:val="15"/>
        <w:rPr>
          <w:color w:val="auto"/>
          <w:highlight w:val="none"/>
        </w:rPr>
      </w:pPr>
      <w:r>
        <w:rPr>
          <w:rFonts w:hint="eastAsia"/>
          <w:color w:val="auto"/>
          <w:highlight w:val="none"/>
        </w:rPr>
        <w:t>三、获取招标文件</w:t>
      </w:r>
    </w:p>
    <w:p w14:paraId="7369DEB3">
      <w:pPr>
        <w:pStyle w:val="12"/>
        <w:tabs>
          <w:tab w:val="left" w:pos="312"/>
        </w:tabs>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1.时间：</w:t>
      </w:r>
      <w:r>
        <w:rPr>
          <w:rFonts w:hint="eastAsia" w:cs="宋体"/>
          <w:color w:val="auto"/>
          <w:sz w:val="21"/>
          <w:szCs w:val="21"/>
          <w:highlight w:val="none"/>
        </w:rPr>
        <w:t>2026年</w:t>
      </w:r>
      <w:r>
        <w:rPr>
          <w:rFonts w:hint="eastAsia" w:cs="宋体"/>
          <w:color w:val="auto"/>
          <w:sz w:val="21"/>
          <w:szCs w:val="21"/>
          <w:highlight w:val="none"/>
          <w:lang w:val="en-US" w:eastAsia="zh-CN"/>
        </w:rPr>
        <w:t>7</w:t>
      </w:r>
      <w:r>
        <w:rPr>
          <w:rFonts w:hint="eastAsia" w:cs="宋体"/>
          <w:color w:val="auto"/>
          <w:sz w:val="21"/>
          <w:szCs w:val="21"/>
          <w:highlight w:val="none"/>
        </w:rPr>
        <w:t>月</w:t>
      </w:r>
      <w:r>
        <w:rPr>
          <w:rFonts w:hint="eastAsia" w:cs="宋体"/>
          <w:color w:val="auto"/>
          <w:sz w:val="21"/>
          <w:szCs w:val="21"/>
          <w:highlight w:val="none"/>
          <w:lang w:val="en-US" w:eastAsia="zh-CN"/>
        </w:rPr>
        <w:t>1</w:t>
      </w:r>
      <w:r>
        <w:rPr>
          <w:rFonts w:hint="eastAsia" w:cs="宋体"/>
          <w:color w:val="auto"/>
          <w:sz w:val="21"/>
          <w:szCs w:val="21"/>
          <w:highlight w:val="none"/>
        </w:rPr>
        <w:t>日至2026年</w:t>
      </w:r>
      <w:r>
        <w:rPr>
          <w:rFonts w:hint="eastAsia" w:cs="宋体"/>
          <w:color w:val="auto"/>
          <w:sz w:val="21"/>
          <w:szCs w:val="21"/>
          <w:highlight w:val="none"/>
          <w:lang w:val="en-US" w:eastAsia="zh-CN"/>
        </w:rPr>
        <w:t>7</w:t>
      </w:r>
      <w:r>
        <w:rPr>
          <w:rFonts w:hint="eastAsia" w:cs="宋体"/>
          <w:color w:val="auto"/>
          <w:sz w:val="21"/>
          <w:szCs w:val="21"/>
          <w:highlight w:val="none"/>
        </w:rPr>
        <w:t>月</w:t>
      </w:r>
      <w:r>
        <w:rPr>
          <w:rFonts w:hint="eastAsia" w:cs="宋体"/>
          <w:color w:val="auto"/>
          <w:sz w:val="21"/>
          <w:szCs w:val="21"/>
          <w:highlight w:val="none"/>
          <w:lang w:val="en-US" w:eastAsia="zh-CN"/>
        </w:rPr>
        <w:t>7</w:t>
      </w:r>
      <w:r>
        <w:rPr>
          <w:rFonts w:hint="eastAsia" w:cs="宋体"/>
          <w:color w:val="auto"/>
          <w:sz w:val="21"/>
          <w:szCs w:val="21"/>
          <w:highlight w:val="none"/>
        </w:rPr>
        <w:t>日，每天上午00:00至12:00，下午12:00至23:59（北京时间，法定节假日除外</w:t>
      </w:r>
      <w:r>
        <w:rPr>
          <w:rFonts w:hint="eastAsia" w:cs="宋体"/>
          <w:color w:val="auto"/>
          <w:sz w:val="21"/>
          <w:szCs w:val="21"/>
          <w:highlight w:val="none"/>
        </w:rPr>
        <w:t>；</w:t>
      </w:r>
    </w:p>
    <w:p w14:paraId="3F916FB7">
      <w:pPr>
        <w:pStyle w:val="12"/>
        <w:tabs>
          <w:tab w:val="left" w:pos="312"/>
        </w:tabs>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2.地点：河南省公共资源交易中心（http://hnsggzyjy.henan.gov.cn/）；</w:t>
      </w:r>
    </w:p>
    <w:p w14:paraId="49778E88">
      <w:pPr>
        <w:pStyle w:val="12"/>
        <w:tabs>
          <w:tab w:val="left" w:pos="312"/>
        </w:tabs>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3.方式：凭CA密钥市场主体登录并在规定时间内按网上提示下载招标文件及资料；投标人需要完成信息登记及CA数字证书办理，才能通过省公共资源交易平台参与交易活动，具体办理事宜请查阅河南省公共资源交易中心网站“办事指南”专区的《河南省公共资源交易平台市场主体信息库登记指南（工程建设、政府采购）》；</w:t>
      </w:r>
    </w:p>
    <w:p w14:paraId="0AA3C316">
      <w:pPr>
        <w:pStyle w:val="12"/>
        <w:tabs>
          <w:tab w:val="left" w:pos="312"/>
        </w:tabs>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4.售价：0元。</w:t>
      </w:r>
    </w:p>
    <w:p w14:paraId="477FE800">
      <w:pPr>
        <w:pStyle w:val="12"/>
        <w:snapToGrid w:val="0"/>
        <w:spacing w:line="440" w:lineRule="exact"/>
        <w:ind w:firstLine="422" w:firstLineChars="200"/>
        <w:rPr>
          <w:rFonts w:cs="宋体"/>
          <w:b/>
          <w:bCs/>
          <w:color w:val="auto"/>
          <w:sz w:val="21"/>
          <w:szCs w:val="21"/>
          <w:highlight w:val="none"/>
        </w:rPr>
      </w:pPr>
      <w:r>
        <w:rPr>
          <w:rFonts w:hint="eastAsia" w:cs="宋体"/>
          <w:b/>
          <w:bCs/>
          <w:color w:val="auto"/>
          <w:sz w:val="21"/>
          <w:szCs w:val="21"/>
          <w:highlight w:val="none"/>
        </w:rPr>
        <w:t>四、投标截止时间及地点</w:t>
      </w:r>
    </w:p>
    <w:p w14:paraId="10F42D02">
      <w:pPr>
        <w:pStyle w:val="12"/>
        <w:tabs>
          <w:tab w:val="left" w:pos="312"/>
        </w:tabs>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1.时间：</w:t>
      </w:r>
      <w:r>
        <w:rPr>
          <w:rFonts w:hint="eastAsia" w:cs="宋体"/>
          <w:color w:val="auto"/>
          <w:sz w:val="21"/>
          <w:szCs w:val="21"/>
          <w:highlight w:val="none"/>
        </w:rPr>
        <w:t>2026年</w:t>
      </w:r>
      <w:r>
        <w:rPr>
          <w:rFonts w:hint="eastAsia" w:cs="宋体"/>
          <w:color w:val="auto"/>
          <w:sz w:val="21"/>
          <w:szCs w:val="21"/>
          <w:highlight w:val="none"/>
          <w:lang w:val="en-US" w:eastAsia="zh-CN"/>
        </w:rPr>
        <w:t>7</w:t>
      </w:r>
      <w:r>
        <w:rPr>
          <w:rFonts w:hint="eastAsia" w:cs="宋体"/>
          <w:color w:val="auto"/>
          <w:sz w:val="21"/>
          <w:szCs w:val="21"/>
          <w:highlight w:val="none"/>
        </w:rPr>
        <w:t>月</w:t>
      </w:r>
      <w:r>
        <w:rPr>
          <w:rFonts w:hint="eastAsia" w:cs="宋体"/>
          <w:color w:val="auto"/>
          <w:sz w:val="21"/>
          <w:szCs w:val="21"/>
          <w:highlight w:val="none"/>
          <w:lang w:val="en-US" w:eastAsia="zh-CN"/>
        </w:rPr>
        <w:t>21</w:t>
      </w:r>
      <w:r>
        <w:rPr>
          <w:rFonts w:hint="eastAsia" w:cs="宋体"/>
          <w:color w:val="auto"/>
          <w:sz w:val="21"/>
          <w:szCs w:val="21"/>
          <w:highlight w:val="none"/>
        </w:rPr>
        <w:t>日09时00分（北京时间）；</w:t>
      </w:r>
    </w:p>
    <w:p w14:paraId="026F5383">
      <w:pPr>
        <w:pStyle w:val="12"/>
        <w:tabs>
          <w:tab w:val="left" w:pos="312"/>
        </w:tabs>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2.地点：加密电子投标文件须在投标截止时间前上传至河南省公共资源交易中心交易系统指定位置，逾期上传的，招标人不予受理。</w:t>
      </w:r>
    </w:p>
    <w:p w14:paraId="03E37B65">
      <w:pPr>
        <w:pStyle w:val="12"/>
        <w:snapToGrid w:val="0"/>
        <w:spacing w:line="440" w:lineRule="exact"/>
        <w:ind w:firstLine="422" w:firstLineChars="200"/>
        <w:rPr>
          <w:rFonts w:cs="宋体"/>
          <w:b/>
          <w:bCs/>
          <w:color w:val="auto"/>
          <w:sz w:val="21"/>
          <w:szCs w:val="21"/>
          <w:highlight w:val="none"/>
        </w:rPr>
      </w:pPr>
      <w:r>
        <w:rPr>
          <w:rFonts w:hint="eastAsia" w:cs="宋体"/>
          <w:b/>
          <w:bCs/>
          <w:color w:val="auto"/>
          <w:sz w:val="21"/>
          <w:szCs w:val="21"/>
          <w:highlight w:val="none"/>
        </w:rPr>
        <w:t>五、开标时间及地点</w:t>
      </w:r>
    </w:p>
    <w:p w14:paraId="49018B03">
      <w:pPr>
        <w:pStyle w:val="12"/>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1.时间：</w:t>
      </w:r>
      <w:r>
        <w:rPr>
          <w:rFonts w:hint="eastAsia" w:cs="宋体"/>
          <w:color w:val="auto"/>
          <w:sz w:val="21"/>
          <w:szCs w:val="21"/>
          <w:highlight w:val="none"/>
        </w:rPr>
        <w:t>2026年</w:t>
      </w:r>
      <w:r>
        <w:rPr>
          <w:rFonts w:hint="eastAsia" w:cs="宋体"/>
          <w:color w:val="auto"/>
          <w:sz w:val="21"/>
          <w:szCs w:val="21"/>
          <w:highlight w:val="none"/>
          <w:lang w:val="en-US" w:eastAsia="zh-CN"/>
        </w:rPr>
        <w:t>7</w:t>
      </w:r>
      <w:r>
        <w:rPr>
          <w:rFonts w:hint="eastAsia" w:cs="宋体"/>
          <w:color w:val="auto"/>
          <w:sz w:val="21"/>
          <w:szCs w:val="21"/>
          <w:highlight w:val="none"/>
        </w:rPr>
        <w:t>月</w:t>
      </w:r>
      <w:r>
        <w:rPr>
          <w:rFonts w:hint="eastAsia" w:cs="宋体"/>
          <w:color w:val="auto"/>
          <w:sz w:val="21"/>
          <w:szCs w:val="21"/>
          <w:highlight w:val="none"/>
          <w:lang w:val="en-US" w:eastAsia="zh-CN"/>
        </w:rPr>
        <w:t>21</w:t>
      </w:r>
      <w:r>
        <w:rPr>
          <w:rFonts w:hint="eastAsia" w:cs="宋体"/>
          <w:color w:val="auto"/>
          <w:sz w:val="21"/>
          <w:szCs w:val="21"/>
          <w:highlight w:val="none"/>
        </w:rPr>
        <w:t>日09时00分（北京时间）</w:t>
      </w:r>
      <w:r>
        <w:rPr>
          <w:rFonts w:hint="eastAsia" w:cs="宋体"/>
          <w:color w:val="auto"/>
          <w:sz w:val="21"/>
          <w:szCs w:val="21"/>
          <w:highlight w:val="none"/>
        </w:rPr>
        <w:t>；</w:t>
      </w:r>
    </w:p>
    <w:p w14:paraId="5B3EE133">
      <w:pPr>
        <w:pStyle w:val="12"/>
        <w:snapToGrid w:val="0"/>
        <w:spacing w:line="440" w:lineRule="exact"/>
        <w:ind w:firstLine="420" w:firstLineChars="200"/>
        <w:rPr>
          <w:rFonts w:cs="宋体"/>
          <w:b/>
          <w:bCs/>
          <w:color w:val="auto"/>
          <w:sz w:val="21"/>
          <w:szCs w:val="21"/>
          <w:highlight w:val="none"/>
        </w:rPr>
      </w:pPr>
      <w:r>
        <w:rPr>
          <w:rFonts w:hint="eastAsia" w:cs="宋体"/>
          <w:color w:val="auto"/>
          <w:sz w:val="21"/>
          <w:szCs w:val="21"/>
          <w:highlight w:val="none"/>
        </w:rPr>
        <w:t>2.地点：</w:t>
      </w:r>
      <w:r>
        <w:rPr>
          <w:rFonts w:hint="eastAsia" w:cs="宋体"/>
          <w:color w:val="auto"/>
          <w:sz w:val="21"/>
          <w:szCs w:val="21"/>
          <w:highlight w:val="none"/>
        </w:rPr>
        <w:t>河南省公共资源交易中心远程开标室（</w:t>
      </w:r>
      <w:r>
        <w:rPr>
          <w:rFonts w:hint="eastAsia" w:cs="宋体"/>
          <w:color w:val="auto"/>
          <w:sz w:val="21"/>
          <w:szCs w:val="21"/>
          <w:highlight w:val="none"/>
          <w:lang w:val="en-US" w:eastAsia="zh-CN"/>
        </w:rPr>
        <w:t>六</w:t>
      </w:r>
      <w:r>
        <w:rPr>
          <w:rFonts w:hint="eastAsia" w:cs="宋体"/>
          <w:color w:val="auto"/>
          <w:sz w:val="21"/>
          <w:szCs w:val="21"/>
          <w:highlight w:val="none"/>
        </w:rPr>
        <w:t xml:space="preserve">）- </w:t>
      </w:r>
      <w:r>
        <w:rPr>
          <w:rFonts w:hint="eastAsia" w:cs="宋体"/>
          <w:color w:val="auto"/>
          <w:sz w:val="21"/>
          <w:szCs w:val="21"/>
          <w:highlight w:val="none"/>
          <w:lang w:val="en-US" w:eastAsia="zh-CN"/>
        </w:rPr>
        <w:t>2</w:t>
      </w:r>
      <w:r>
        <w:rPr>
          <w:rFonts w:hint="eastAsia" w:cs="宋体"/>
          <w:color w:val="auto"/>
          <w:sz w:val="21"/>
          <w:szCs w:val="21"/>
          <w:highlight w:val="none"/>
        </w:rPr>
        <w:t>（郑州市经二路12号（经二路与纬四路向南50米路西）</w:t>
      </w:r>
    </w:p>
    <w:p w14:paraId="16523A65">
      <w:pPr>
        <w:pStyle w:val="12"/>
        <w:snapToGrid w:val="0"/>
        <w:spacing w:line="440" w:lineRule="exact"/>
        <w:ind w:firstLine="422" w:firstLineChars="200"/>
        <w:rPr>
          <w:rFonts w:cs="宋体"/>
          <w:b/>
          <w:bCs/>
          <w:color w:val="auto"/>
          <w:sz w:val="21"/>
          <w:szCs w:val="21"/>
          <w:highlight w:val="none"/>
        </w:rPr>
      </w:pPr>
      <w:r>
        <w:rPr>
          <w:rFonts w:hint="eastAsia" w:cs="宋体"/>
          <w:b/>
          <w:bCs/>
          <w:color w:val="auto"/>
          <w:sz w:val="21"/>
          <w:szCs w:val="21"/>
          <w:highlight w:val="none"/>
        </w:rPr>
        <w:t>六、发布公告的媒介及招标公告期限</w:t>
      </w:r>
    </w:p>
    <w:p w14:paraId="6B96F880">
      <w:pPr>
        <w:pStyle w:val="12"/>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本次招标公告在《中国政府采购网》《河南省政府采购网》《河南省公共资源交易中心网》《中国招标投标公共服务平台》上发布，招标公告期限为五个工作日。</w:t>
      </w:r>
    </w:p>
    <w:p w14:paraId="19C82F1A">
      <w:pPr>
        <w:pStyle w:val="12"/>
        <w:snapToGrid w:val="0"/>
        <w:spacing w:line="440" w:lineRule="exact"/>
        <w:ind w:firstLine="422" w:firstLineChars="200"/>
        <w:rPr>
          <w:rFonts w:cs="宋体"/>
          <w:b/>
          <w:bCs/>
          <w:color w:val="auto"/>
          <w:sz w:val="21"/>
          <w:szCs w:val="21"/>
          <w:highlight w:val="none"/>
        </w:rPr>
      </w:pPr>
      <w:r>
        <w:rPr>
          <w:rFonts w:hint="eastAsia" w:cs="宋体"/>
          <w:b/>
          <w:bCs/>
          <w:color w:val="auto"/>
          <w:sz w:val="21"/>
          <w:szCs w:val="21"/>
          <w:highlight w:val="none"/>
        </w:rPr>
        <w:t>七、其他补充事宜</w:t>
      </w:r>
    </w:p>
    <w:p w14:paraId="2FC3C1CD">
      <w:pPr>
        <w:pStyle w:val="12"/>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本项目需要落实的主要政府采购政策：</w:t>
      </w:r>
    </w:p>
    <w:p w14:paraId="03EEA8A6">
      <w:pPr>
        <w:pStyle w:val="12"/>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1.政府采购促进中小企业发展管理办法 (财库〔2020〕46号）；</w:t>
      </w:r>
    </w:p>
    <w:p w14:paraId="75C88D3E">
      <w:pPr>
        <w:pStyle w:val="12"/>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2.《财政部、司法部关于政府采购支持监狱企业发展有关问题的通知》（财库[2014]68号）；</w:t>
      </w:r>
    </w:p>
    <w:p w14:paraId="29DF726B">
      <w:pPr>
        <w:pStyle w:val="12"/>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3.《三部门联合发布关于促进残疾人就业政府采购政策的通知》（财库[2017]141号）；</w:t>
      </w:r>
    </w:p>
    <w:p w14:paraId="7C35461D">
      <w:pPr>
        <w:pStyle w:val="12"/>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4.《国务院办公厅关于在政府采购中实施本国产品标准及相关政策的通知》（国办发〔2025〕34号）及《财政部关于贯彻落实〈国务院办公厅关于在政府采购中实施本国产品标准及相关政策的通知〉的意见》（财库〔2025〕30号）；</w:t>
      </w:r>
    </w:p>
    <w:p w14:paraId="22CFBF2C">
      <w:pPr>
        <w:pStyle w:val="12"/>
        <w:snapToGrid w:val="0"/>
        <w:spacing w:line="440" w:lineRule="exact"/>
        <w:ind w:firstLine="420" w:firstLineChars="200"/>
        <w:rPr>
          <w:rFonts w:cs="宋体"/>
          <w:color w:val="auto"/>
          <w:sz w:val="21"/>
          <w:szCs w:val="21"/>
          <w:highlight w:val="none"/>
        </w:rPr>
      </w:pPr>
      <w:r>
        <w:rPr>
          <w:rFonts w:hint="eastAsia" w:cs="宋体"/>
          <w:color w:val="auto"/>
          <w:sz w:val="21"/>
          <w:szCs w:val="21"/>
          <w:highlight w:val="none"/>
        </w:rPr>
        <w:t>5.《关于推动解决政府采购异常低价问题的通知》（财库〔2026〕2号）。</w:t>
      </w:r>
    </w:p>
    <w:p w14:paraId="16E5BF8C">
      <w:pPr>
        <w:pStyle w:val="12"/>
        <w:snapToGrid w:val="0"/>
        <w:spacing w:line="440" w:lineRule="exact"/>
        <w:ind w:firstLine="422" w:firstLineChars="200"/>
        <w:rPr>
          <w:rFonts w:cs="宋体"/>
          <w:b/>
          <w:bCs/>
          <w:color w:val="auto"/>
          <w:sz w:val="21"/>
          <w:szCs w:val="21"/>
          <w:highlight w:val="none"/>
        </w:rPr>
      </w:pPr>
      <w:r>
        <w:rPr>
          <w:rFonts w:hint="eastAsia" w:cs="宋体"/>
          <w:b/>
          <w:bCs/>
          <w:color w:val="auto"/>
          <w:sz w:val="21"/>
          <w:szCs w:val="21"/>
          <w:highlight w:val="none"/>
        </w:rPr>
        <w:t>八、凡对本次采购提出询问，请按照以下方式联系</w:t>
      </w:r>
    </w:p>
    <w:p w14:paraId="06F2190E">
      <w:pPr>
        <w:adjustRightInd w:val="0"/>
        <w:snapToGrid w:val="0"/>
        <w:spacing w:line="440" w:lineRule="exact"/>
        <w:ind w:firstLine="420" w:firstLineChars="200"/>
        <w:rPr>
          <w:rFonts w:cs="宋体"/>
          <w:color w:val="auto"/>
          <w:szCs w:val="21"/>
          <w:highlight w:val="none"/>
        </w:rPr>
      </w:pPr>
      <w:r>
        <w:rPr>
          <w:rFonts w:hint="eastAsia" w:cs="宋体"/>
          <w:color w:val="auto"/>
          <w:szCs w:val="21"/>
          <w:highlight w:val="none"/>
        </w:rPr>
        <w:t xml:space="preserve">1.招标人信息 </w:t>
      </w:r>
    </w:p>
    <w:p w14:paraId="10B7F499">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名    称：河南省科学院光资源与环境科学研究所</w:t>
      </w:r>
    </w:p>
    <w:p w14:paraId="7C2F4222">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    址：</w:t>
      </w:r>
      <w:r>
        <w:rPr>
          <w:rFonts w:hint="eastAsia" w:cs="宋体"/>
          <w:color w:val="auto"/>
          <w:szCs w:val="21"/>
          <w:highlight w:val="none"/>
        </w:rPr>
        <w:t>河南省郑州市管城回族区汉月街2</w:t>
      </w:r>
      <w:r>
        <w:rPr>
          <w:rFonts w:cs="宋体"/>
          <w:color w:val="auto"/>
          <w:szCs w:val="21"/>
          <w:highlight w:val="none"/>
        </w:rPr>
        <w:t>6</w:t>
      </w:r>
      <w:r>
        <w:rPr>
          <w:rFonts w:hint="eastAsia" w:cs="宋体"/>
          <w:color w:val="auto"/>
          <w:szCs w:val="21"/>
          <w:highlight w:val="none"/>
        </w:rPr>
        <w:t>号中原量子谷</w:t>
      </w:r>
    </w:p>
    <w:p w14:paraId="3C09072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 系 人：陈立</w:t>
      </w:r>
    </w:p>
    <w:p w14:paraId="4164B6F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联系方式：0371-63060866</w:t>
      </w:r>
    </w:p>
    <w:p w14:paraId="4FCCF4DB">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2.招标代理机构信息 </w:t>
      </w:r>
    </w:p>
    <w:p w14:paraId="04DA537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名称：中建山河建设管理集团有限公司</w:t>
      </w:r>
    </w:p>
    <w:p w14:paraId="46C006B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地址：郑州市郑东新区七里河南路与圃田西路交叉口明亮集团大楼三楼312室</w:t>
      </w:r>
    </w:p>
    <w:p w14:paraId="4FCF880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联系人：王肖楠、程萌、张乾</w:t>
      </w:r>
    </w:p>
    <w:p w14:paraId="67A3638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联系方式：0371-86556161、15839171848</w:t>
      </w:r>
    </w:p>
    <w:p w14:paraId="022E98E7">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3.项目联系方式 </w:t>
      </w:r>
    </w:p>
    <w:p w14:paraId="50AC7B62">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项目联系人：王肖楠、程萌、张乾</w:t>
      </w:r>
    </w:p>
    <w:p w14:paraId="0406318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联系方式：0371-86556161、15839171848</w:t>
      </w:r>
    </w:p>
    <w:p w14:paraId="7CA7BB9F">
      <w:pPr>
        <w:rPr>
          <w:rFonts w:cs="宋体"/>
          <w:color w:val="auto"/>
          <w:szCs w:val="21"/>
          <w:highlight w:val="none"/>
        </w:rPr>
      </w:pPr>
      <w:r>
        <w:rPr>
          <w:rFonts w:hint="eastAsia" w:cs="宋体"/>
          <w:color w:val="auto"/>
          <w:szCs w:val="21"/>
          <w:highlight w:val="none"/>
        </w:rPr>
        <w:br w:type="page"/>
      </w:r>
    </w:p>
    <w:p w14:paraId="49D5B4F4">
      <w:pPr>
        <w:pStyle w:val="12"/>
        <w:spacing w:line="500" w:lineRule="exact"/>
        <w:jc w:val="center"/>
        <w:outlineLvl w:val="0"/>
        <w:rPr>
          <w:rFonts w:cs="宋体"/>
          <w:b/>
          <w:color w:val="auto"/>
          <w:sz w:val="36"/>
          <w:szCs w:val="36"/>
          <w:highlight w:val="none"/>
        </w:rPr>
      </w:pPr>
      <w:bookmarkStart w:id="11" w:name="_Toc1488499359"/>
      <w:bookmarkStart w:id="12" w:name="_Toc27876"/>
      <w:bookmarkStart w:id="13" w:name="_Toc28136"/>
      <w:bookmarkStart w:id="14" w:name="_Toc2019"/>
      <w:bookmarkStart w:id="15" w:name="_Toc9361"/>
      <w:r>
        <w:rPr>
          <w:rFonts w:hint="eastAsia" w:cs="宋体"/>
          <w:b/>
          <w:bCs/>
          <w:color w:val="auto"/>
          <w:kern w:val="44"/>
          <w:sz w:val="32"/>
          <w:szCs w:val="20"/>
          <w:highlight w:val="none"/>
        </w:rPr>
        <w:t>第二章  投标人须知</w:t>
      </w:r>
      <w:bookmarkEnd w:id="10"/>
      <w:bookmarkEnd w:id="11"/>
      <w:bookmarkEnd w:id="12"/>
      <w:bookmarkEnd w:id="13"/>
      <w:bookmarkEnd w:id="14"/>
      <w:bookmarkEnd w:id="15"/>
    </w:p>
    <w:p w14:paraId="268BC797">
      <w:pPr>
        <w:pStyle w:val="3"/>
        <w:rPr>
          <w:color w:val="auto"/>
          <w:highlight w:val="none"/>
        </w:rPr>
      </w:pPr>
      <w:bookmarkStart w:id="16" w:name="_Toc25287"/>
      <w:bookmarkStart w:id="17" w:name="_Toc6645"/>
      <w:bookmarkStart w:id="18" w:name="_Toc20288"/>
      <w:bookmarkStart w:id="19" w:name="_Toc256363511"/>
      <w:bookmarkStart w:id="20" w:name="_Toc13047"/>
      <w:bookmarkStart w:id="21" w:name="_Toc21537"/>
      <w:bookmarkStart w:id="22" w:name="_Toc1171722810"/>
      <w:bookmarkStart w:id="23" w:name="_Toc24770"/>
      <w:r>
        <w:rPr>
          <w:rFonts w:hint="eastAsia"/>
          <w:color w:val="auto"/>
          <w:highlight w:val="none"/>
        </w:rPr>
        <w:t>投标人须知前附表</w:t>
      </w:r>
      <w:bookmarkEnd w:id="16"/>
      <w:bookmarkEnd w:id="17"/>
      <w:bookmarkEnd w:id="18"/>
      <w:bookmarkEnd w:id="19"/>
      <w:bookmarkEnd w:id="20"/>
      <w:bookmarkEnd w:id="21"/>
      <w:bookmarkEnd w:id="22"/>
      <w:bookmarkEnd w:id="23"/>
    </w:p>
    <w:tbl>
      <w:tblPr>
        <w:tblStyle w:val="38"/>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969"/>
        <w:gridCol w:w="6494"/>
      </w:tblGrid>
      <w:tr w14:paraId="0B9D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96" w:type="dxa"/>
            <w:vAlign w:val="center"/>
          </w:tcPr>
          <w:p w14:paraId="5B74A241">
            <w:pPr>
              <w:adjustRightInd w:val="0"/>
              <w:snapToGrid w:val="0"/>
              <w:spacing w:line="440" w:lineRule="exact"/>
              <w:ind w:left="105" w:leftChars="50"/>
              <w:jc w:val="center"/>
              <w:rPr>
                <w:rFonts w:ascii="宋体" w:hAnsi="宋体" w:cs="宋体"/>
                <w:b/>
                <w:bCs/>
                <w:color w:val="auto"/>
                <w:szCs w:val="21"/>
                <w:highlight w:val="none"/>
              </w:rPr>
            </w:pPr>
            <w:r>
              <w:rPr>
                <w:rFonts w:hint="eastAsia" w:ascii="宋体" w:hAnsi="宋体" w:cs="宋体"/>
                <w:b/>
                <w:bCs/>
                <w:color w:val="auto"/>
                <w:szCs w:val="21"/>
                <w:highlight w:val="none"/>
              </w:rPr>
              <w:t>条款号</w:t>
            </w:r>
          </w:p>
        </w:tc>
        <w:tc>
          <w:tcPr>
            <w:tcW w:w="1969" w:type="dxa"/>
            <w:vAlign w:val="center"/>
          </w:tcPr>
          <w:p w14:paraId="24816C82">
            <w:pPr>
              <w:adjustRightInd w:val="0"/>
              <w:snapToGrid w:val="0"/>
              <w:spacing w:line="440" w:lineRule="exact"/>
              <w:ind w:left="105" w:leftChars="50"/>
              <w:jc w:val="center"/>
              <w:rPr>
                <w:rFonts w:ascii="宋体" w:hAnsi="宋体" w:cs="宋体"/>
                <w:b/>
                <w:bCs/>
                <w:color w:val="auto"/>
                <w:szCs w:val="21"/>
                <w:highlight w:val="none"/>
              </w:rPr>
            </w:pPr>
            <w:r>
              <w:rPr>
                <w:rFonts w:hint="eastAsia" w:ascii="宋体" w:hAnsi="宋体" w:cs="宋体"/>
                <w:b/>
                <w:bCs/>
                <w:color w:val="auto"/>
                <w:szCs w:val="21"/>
                <w:highlight w:val="none"/>
              </w:rPr>
              <w:t>条款名称</w:t>
            </w:r>
          </w:p>
        </w:tc>
        <w:tc>
          <w:tcPr>
            <w:tcW w:w="6494" w:type="dxa"/>
            <w:vAlign w:val="center"/>
          </w:tcPr>
          <w:p w14:paraId="142C895A">
            <w:pPr>
              <w:adjustRightInd w:val="0"/>
              <w:snapToGrid w:val="0"/>
              <w:spacing w:line="440" w:lineRule="exact"/>
              <w:ind w:left="105" w:leftChars="50"/>
              <w:jc w:val="center"/>
              <w:rPr>
                <w:rFonts w:ascii="宋体" w:hAnsi="宋体" w:cs="宋体"/>
                <w:b/>
                <w:bCs/>
                <w:color w:val="auto"/>
                <w:szCs w:val="21"/>
                <w:highlight w:val="none"/>
              </w:rPr>
            </w:pPr>
            <w:r>
              <w:rPr>
                <w:rFonts w:hint="eastAsia" w:ascii="宋体" w:hAnsi="宋体" w:cs="宋体"/>
                <w:b/>
                <w:bCs/>
                <w:color w:val="auto"/>
                <w:szCs w:val="21"/>
                <w:highlight w:val="none"/>
              </w:rPr>
              <w:t>编列内容</w:t>
            </w:r>
          </w:p>
        </w:tc>
      </w:tr>
      <w:tr w14:paraId="6900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1096" w:type="dxa"/>
            <w:vAlign w:val="center"/>
          </w:tcPr>
          <w:p w14:paraId="4646657C">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1.1.2</w:t>
            </w:r>
          </w:p>
        </w:tc>
        <w:tc>
          <w:tcPr>
            <w:tcW w:w="1969" w:type="dxa"/>
            <w:vAlign w:val="center"/>
          </w:tcPr>
          <w:p w14:paraId="15B0140D">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招标人</w:t>
            </w:r>
          </w:p>
        </w:tc>
        <w:tc>
          <w:tcPr>
            <w:tcW w:w="6494" w:type="dxa"/>
            <w:vAlign w:val="center"/>
          </w:tcPr>
          <w:p w14:paraId="1EFDED93">
            <w:pPr>
              <w:pStyle w:val="67"/>
              <w:autoSpaceDE/>
              <w:autoSpaceDN/>
              <w:snapToGrid w:val="0"/>
              <w:spacing w:before="0" w:after="0" w:line="440" w:lineRule="exact"/>
              <w:ind w:left="945" w:leftChars="50" w:hanging="840" w:hangingChars="400"/>
              <w:jc w:val="both"/>
              <w:rPr>
                <w:rFonts w:hAnsi="宋体"/>
                <w:b w:val="0"/>
                <w:bCs w:val="0"/>
                <w:color w:val="auto"/>
                <w:sz w:val="21"/>
                <w:szCs w:val="21"/>
                <w:highlight w:val="none"/>
              </w:rPr>
            </w:pPr>
            <w:bookmarkStart w:id="24" w:name="_Toc17565"/>
            <w:bookmarkStart w:id="25" w:name="_Toc10492"/>
            <w:bookmarkStart w:id="26" w:name="_Toc31849"/>
            <w:r>
              <w:rPr>
                <w:rFonts w:hint="eastAsia" w:hAnsi="宋体"/>
                <w:b w:val="0"/>
                <w:bCs w:val="0"/>
                <w:color w:val="auto"/>
                <w:sz w:val="21"/>
                <w:szCs w:val="21"/>
                <w:highlight w:val="none"/>
              </w:rPr>
              <w:t>名    称：河南省科学院光资源与环境科学研究所</w:t>
            </w:r>
            <w:bookmarkEnd w:id="24"/>
            <w:bookmarkEnd w:id="25"/>
            <w:bookmarkEnd w:id="26"/>
          </w:p>
          <w:p w14:paraId="0E8FD262">
            <w:pPr>
              <w:pStyle w:val="67"/>
              <w:autoSpaceDE/>
              <w:autoSpaceDN/>
              <w:snapToGrid w:val="0"/>
              <w:spacing w:before="0" w:after="0" w:line="440" w:lineRule="exact"/>
              <w:ind w:left="945" w:leftChars="50" w:hanging="840" w:hangingChars="400"/>
              <w:jc w:val="both"/>
              <w:rPr>
                <w:rFonts w:hAnsi="宋体"/>
                <w:b w:val="0"/>
                <w:bCs w:val="0"/>
                <w:color w:val="auto"/>
                <w:sz w:val="21"/>
                <w:szCs w:val="21"/>
                <w:highlight w:val="none"/>
              </w:rPr>
            </w:pPr>
            <w:bookmarkStart w:id="27" w:name="_Toc27642"/>
            <w:bookmarkStart w:id="28" w:name="_Toc5583"/>
            <w:bookmarkStart w:id="29" w:name="_Toc20393"/>
            <w:r>
              <w:rPr>
                <w:rFonts w:hint="eastAsia" w:hAnsi="宋体"/>
                <w:b w:val="0"/>
                <w:bCs w:val="0"/>
                <w:color w:val="auto"/>
                <w:sz w:val="21"/>
                <w:szCs w:val="21"/>
                <w:highlight w:val="none"/>
              </w:rPr>
              <w:t>地    址：</w:t>
            </w:r>
            <w:r>
              <w:rPr>
                <w:rFonts w:hint="eastAsia"/>
                <w:b w:val="0"/>
                <w:bCs w:val="0"/>
                <w:color w:val="auto"/>
                <w:sz w:val="21"/>
                <w:szCs w:val="21"/>
                <w:highlight w:val="none"/>
              </w:rPr>
              <w:t>河南省郑州市管城回族区汉月街2</w:t>
            </w:r>
            <w:r>
              <w:rPr>
                <w:b w:val="0"/>
                <w:bCs w:val="0"/>
                <w:color w:val="auto"/>
                <w:sz w:val="21"/>
                <w:szCs w:val="21"/>
                <w:highlight w:val="none"/>
              </w:rPr>
              <w:t>6</w:t>
            </w:r>
            <w:r>
              <w:rPr>
                <w:rFonts w:hint="eastAsia"/>
                <w:b w:val="0"/>
                <w:bCs w:val="0"/>
                <w:color w:val="auto"/>
                <w:sz w:val="21"/>
                <w:szCs w:val="21"/>
                <w:highlight w:val="none"/>
              </w:rPr>
              <w:t>号中原量子谷</w:t>
            </w:r>
            <w:bookmarkEnd w:id="27"/>
            <w:bookmarkEnd w:id="28"/>
            <w:bookmarkEnd w:id="29"/>
          </w:p>
          <w:p w14:paraId="3E86B2FF">
            <w:pPr>
              <w:pStyle w:val="67"/>
              <w:autoSpaceDE/>
              <w:autoSpaceDN/>
              <w:snapToGrid w:val="0"/>
              <w:spacing w:before="0" w:after="0" w:line="440" w:lineRule="exact"/>
              <w:ind w:left="945" w:leftChars="50" w:hanging="840" w:hangingChars="400"/>
              <w:jc w:val="both"/>
              <w:rPr>
                <w:rFonts w:hAnsi="宋体"/>
                <w:b w:val="0"/>
                <w:bCs w:val="0"/>
                <w:color w:val="auto"/>
                <w:sz w:val="21"/>
                <w:szCs w:val="21"/>
                <w:highlight w:val="none"/>
              </w:rPr>
            </w:pPr>
            <w:bookmarkStart w:id="30" w:name="_Toc6864"/>
            <w:bookmarkStart w:id="31" w:name="_Toc21361"/>
            <w:bookmarkStart w:id="32" w:name="_Toc14987"/>
            <w:r>
              <w:rPr>
                <w:rFonts w:hint="eastAsia" w:hAnsi="宋体"/>
                <w:b w:val="0"/>
                <w:bCs w:val="0"/>
                <w:color w:val="auto"/>
                <w:sz w:val="21"/>
                <w:szCs w:val="21"/>
                <w:highlight w:val="none"/>
              </w:rPr>
              <w:t>联 系 人：陈立</w:t>
            </w:r>
            <w:bookmarkEnd w:id="30"/>
            <w:bookmarkEnd w:id="31"/>
            <w:bookmarkEnd w:id="32"/>
          </w:p>
          <w:p w14:paraId="508DBFB8">
            <w:pPr>
              <w:pStyle w:val="67"/>
              <w:autoSpaceDE/>
              <w:autoSpaceDN/>
              <w:snapToGrid w:val="0"/>
              <w:spacing w:before="0" w:after="0" w:line="440" w:lineRule="exact"/>
              <w:ind w:left="945" w:leftChars="50" w:hanging="840" w:hangingChars="400"/>
              <w:jc w:val="both"/>
              <w:rPr>
                <w:rFonts w:hAnsi="宋体"/>
                <w:b w:val="0"/>
                <w:bCs w:val="0"/>
                <w:color w:val="auto"/>
                <w:sz w:val="21"/>
                <w:szCs w:val="21"/>
                <w:highlight w:val="none"/>
              </w:rPr>
            </w:pPr>
            <w:bookmarkStart w:id="33" w:name="_Toc16743"/>
            <w:bookmarkStart w:id="34" w:name="_Toc12057"/>
            <w:bookmarkStart w:id="35" w:name="_Toc19982"/>
            <w:r>
              <w:rPr>
                <w:rFonts w:hint="eastAsia" w:hAnsi="宋体"/>
                <w:b w:val="0"/>
                <w:bCs w:val="0"/>
                <w:color w:val="auto"/>
                <w:sz w:val="21"/>
                <w:szCs w:val="21"/>
                <w:highlight w:val="none"/>
              </w:rPr>
              <w:t>联系方式：0371-63060866</w:t>
            </w:r>
            <w:bookmarkEnd w:id="33"/>
            <w:bookmarkEnd w:id="34"/>
            <w:bookmarkEnd w:id="35"/>
          </w:p>
        </w:tc>
      </w:tr>
      <w:tr w14:paraId="0786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jc w:val="center"/>
        </w:trPr>
        <w:tc>
          <w:tcPr>
            <w:tcW w:w="1096" w:type="dxa"/>
            <w:vAlign w:val="center"/>
          </w:tcPr>
          <w:p w14:paraId="620EFD02">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1.1.3</w:t>
            </w:r>
          </w:p>
        </w:tc>
        <w:tc>
          <w:tcPr>
            <w:tcW w:w="1969" w:type="dxa"/>
            <w:vAlign w:val="center"/>
          </w:tcPr>
          <w:p w14:paraId="740D1E2C">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招标代理机构</w:t>
            </w:r>
          </w:p>
        </w:tc>
        <w:tc>
          <w:tcPr>
            <w:tcW w:w="6494" w:type="dxa"/>
            <w:vAlign w:val="center"/>
          </w:tcPr>
          <w:p w14:paraId="364B8621">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名称：中建山河建设管理集团有限公司</w:t>
            </w:r>
          </w:p>
          <w:p w14:paraId="0A657B7B">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地址：郑州市郑东新区七里河南路与圃田西路交叉口明亮集团大楼三楼312室</w:t>
            </w:r>
          </w:p>
          <w:p w14:paraId="723EC8D7">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联系人：王肖楠、程萌、张乾</w:t>
            </w:r>
          </w:p>
          <w:p w14:paraId="6DABD1EB">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联系方式：0371-86556161、15839171848</w:t>
            </w:r>
          </w:p>
          <w:p w14:paraId="73A12146">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 xml:space="preserve">邮箱：zjsh86556161@163.com </w:t>
            </w:r>
          </w:p>
        </w:tc>
      </w:tr>
      <w:tr w14:paraId="07AA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096" w:type="dxa"/>
            <w:vAlign w:val="center"/>
          </w:tcPr>
          <w:p w14:paraId="4BF0780C">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1.1.4</w:t>
            </w:r>
          </w:p>
        </w:tc>
        <w:tc>
          <w:tcPr>
            <w:tcW w:w="1969" w:type="dxa"/>
            <w:vAlign w:val="center"/>
          </w:tcPr>
          <w:p w14:paraId="633A4B4F">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6494" w:type="dxa"/>
            <w:vAlign w:val="center"/>
          </w:tcPr>
          <w:p w14:paraId="4E680591">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河南省科学院光资源与环境科学研究所红外检测实验平台（二期）项目</w:t>
            </w:r>
          </w:p>
        </w:tc>
      </w:tr>
      <w:tr w14:paraId="46BA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96" w:type="dxa"/>
            <w:vAlign w:val="center"/>
          </w:tcPr>
          <w:p w14:paraId="301C1E15">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1.1.5</w:t>
            </w:r>
          </w:p>
        </w:tc>
        <w:tc>
          <w:tcPr>
            <w:tcW w:w="1969" w:type="dxa"/>
            <w:vAlign w:val="center"/>
          </w:tcPr>
          <w:p w14:paraId="41BAD4E9">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项目编号</w:t>
            </w:r>
          </w:p>
        </w:tc>
        <w:tc>
          <w:tcPr>
            <w:tcW w:w="6494" w:type="dxa"/>
            <w:vAlign w:val="center"/>
          </w:tcPr>
          <w:p w14:paraId="3786BAD9">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豫财招标采购-2026-744</w:t>
            </w:r>
          </w:p>
        </w:tc>
      </w:tr>
      <w:tr w14:paraId="07F3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96" w:type="dxa"/>
            <w:vAlign w:val="center"/>
          </w:tcPr>
          <w:p w14:paraId="0B203A23">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1.2.1</w:t>
            </w:r>
          </w:p>
        </w:tc>
        <w:tc>
          <w:tcPr>
            <w:tcW w:w="1969" w:type="dxa"/>
            <w:vAlign w:val="center"/>
          </w:tcPr>
          <w:p w14:paraId="6E63011E">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资金来源</w:t>
            </w:r>
          </w:p>
        </w:tc>
        <w:tc>
          <w:tcPr>
            <w:tcW w:w="6494" w:type="dxa"/>
            <w:vAlign w:val="center"/>
          </w:tcPr>
          <w:p w14:paraId="672EC2C6">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财政资金</w:t>
            </w:r>
          </w:p>
        </w:tc>
      </w:tr>
      <w:tr w14:paraId="70A9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96" w:type="dxa"/>
            <w:vAlign w:val="center"/>
          </w:tcPr>
          <w:p w14:paraId="128FA01E">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1.2.2</w:t>
            </w:r>
          </w:p>
        </w:tc>
        <w:tc>
          <w:tcPr>
            <w:tcW w:w="1969" w:type="dxa"/>
            <w:vAlign w:val="center"/>
          </w:tcPr>
          <w:p w14:paraId="2AFE5D77">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资金落实情况</w:t>
            </w:r>
          </w:p>
        </w:tc>
        <w:tc>
          <w:tcPr>
            <w:tcW w:w="6494" w:type="dxa"/>
            <w:vAlign w:val="center"/>
          </w:tcPr>
          <w:p w14:paraId="7B546B67">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已落实</w:t>
            </w:r>
          </w:p>
        </w:tc>
      </w:tr>
      <w:tr w14:paraId="3599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96" w:type="dxa"/>
            <w:vAlign w:val="center"/>
          </w:tcPr>
          <w:p w14:paraId="2ABE3590">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1.2.3</w:t>
            </w:r>
          </w:p>
        </w:tc>
        <w:tc>
          <w:tcPr>
            <w:tcW w:w="1969" w:type="dxa"/>
            <w:vAlign w:val="center"/>
          </w:tcPr>
          <w:p w14:paraId="5E1991A1">
            <w:pPr>
              <w:adjustRightInd w:val="0"/>
              <w:snapToGrid w:val="0"/>
              <w:spacing w:line="440" w:lineRule="exact"/>
              <w:ind w:left="105" w:leftChars="50"/>
              <w:jc w:val="center"/>
              <w:rPr>
                <w:rFonts w:ascii="宋体" w:hAnsi="宋体" w:cs="宋体"/>
                <w:b/>
                <w:bCs/>
                <w:color w:val="auto"/>
                <w:szCs w:val="21"/>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szCs w:val="21"/>
                <w:highlight w:val="none"/>
              </w:rPr>
              <w:t>最高投标限价</w:t>
            </w:r>
          </w:p>
        </w:tc>
        <w:tc>
          <w:tcPr>
            <w:tcW w:w="6494" w:type="dxa"/>
            <w:vAlign w:val="center"/>
          </w:tcPr>
          <w:p w14:paraId="15F4AFCC">
            <w:pPr>
              <w:adjustRightInd w:val="0"/>
              <w:snapToGrid w:val="0"/>
              <w:spacing w:line="440" w:lineRule="exact"/>
              <w:ind w:left="105" w:leftChars="50"/>
              <w:rPr>
                <w:rFonts w:ascii="宋体" w:hAnsi="宋体" w:cs="宋体"/>
                <w:b/>
                <w:bCs/>
                <w:color w:val="auto"/>
                <w:szCs w:val="21"/>
                <w:highlight w:val="none"/>
              </w:rPr>
            </w:pPr>
            <w:r>
              <w:rPr>
                <w:rFonts w:hint="eastAsia" w:ascii="宋体" w:hAnsi="宋体" w:cs="宋体"/>
                <w:b/>
                <w:bCs/>
                <w:color w:val="auto"/>
                <w:szCs w:val="21"/>
                <w:highlight w:val="none"/>
              </w:rPr>
              <w:t>大写：人民币伍佰贰拾伍万元整</w:t>
            </w:r>
          </w:p>
          <w:p w14:paraId="6708E492">
            <w:pPr>
              <w:adjustRightInd w:val="0"/>
              <w:snapToGrid w:val="0"/>
              <w:spacing w:line="440" w:lineRule="exact"/>
              <w:ind w:left="105" w:leftChars="50"/>
              <w:rPr>
                <w:rFonts w:ascii="宋体" w:hAnsi="宋体" w:cs="宋体"/>
                <w:b/>
                <w:bCs/>
                <w:color w:val="auto"/>
                <w:szCs w:val="21"/>
                <w:highlight w:val="none"/>
              </w:rPr>
            </w:pPr>
            <w:r>
              <w:rPr>
                <w:rFonts w:hint="eastAsia" w:ascii="宋体" w:hAnsi="宋体" w:cs="宋体"/>
                <w:b/>
                <w:bCs/>
                <w:color w:val="auto"/>
                <w:szCs w:val="21"/>
                <w:highlight w:val="none"/>
              </w:rPr>
              <w:t>小写：¥5250000.00元</w:t>
            </w:r>
          </w:p>
          <w:p w14:paraId="5B35AF78">
            <w:pPr>
              <w:adjustRightInd w:val="0"/>
              <w:snapToGrid w:val="0"/>
              <w:spacing w:line="440" w:lineRule="exact"/>
              <w:ind w:left="105" w:leftChars="50"/>
              <w:rPr>
                <w:rFonts w:ascii="宋体" w:hAnsi="宋体" w:cs="宋体"/>
                <w:b/>
                <w:bCs/>
                <w:color w:val="auto"/>
                <w:szCs w:val="21"/>
                <w:highlight w:val="none"/>
              </w:rPr>
            </w:pPr>
            <w:r>
              <w:rPr>
                <w:rFonts w:hint="eastAsia" w:ascii="宋体" w:hAnsi="宋体" w:cs="宋体"/>
                <w:b/>
                <w:bCs/>
                <w:color w:val="auto"/>
                <w:szCs w:val="21"/>
                <w:highlight w:val="none"/>
              </w:rPr>
              <w:t>报价超出最高限价的为无效投标。</w:t>
            </w:r>
          </w:p>
        </w:tc>
      </w:tr>
      <w:tr w14:paraId="6690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96" w:type="dxa"/>
            <w:vAlign w:val="center"/>
          </w:tcPr>
          <w:p w14:paraId="5DE2C6F9">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1.3.1</w:t>
            </w:r>
          </w:p>
        </w:tc>
        <w:tc>
          <w:tcPr>
            <w:tcW w:w="1969" w:type="dxa"/>
            <w:vAlign w:val="center"/>
          </w:tcPr>
          <w:p w14:paraId="5FF81632">
            <w:pPr>
              <w:adjustRightInd w:val="0"/>
              <w:snapToGrid w:val="0"/>
              <w:spacing w:line="440" w:lineRule="exact"/>
              <w:ind w:left="105" w:leftChars="50"/>
              <w:jc w:val="center"/>
              <w:rPr>
                <w:rFonts w:ascii="宋体" w:hAnsi="宋体" w:cs="宋体"/>
                <w:b/>
                <w:bCs/>
                <w:color w:val="auto"/>
                <w:szCs w:val="21"/>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szCs w:val="21"/>
                <w:highlight w:val="none"/>
              </w:rPr>
              <w:t>采购内容</w:t>
            </w:r>
          </w:p>
        </w:tc>
        <w:tc>
          <w:tcPr>
            <w:tcW w:w="6494" w:type="dxa"/>
            <w:vAlign w:val="center"/>
          </w:tcPr>
          <w:p w14:paraId="4B7870E7">
            <w:pPr>
              <w:pStyle w:val="15"/>
              <w:ind w:left="105" w:leftChars="50" w:firstLine="0" w:firstLineChars="0"/>
              <w:rPr>
                <w:color w:val="auto"/>
                <w:sz w:val="21"/>
                <w:szCs w:val="21"/>
                <w:highlight w:val="none"/>
              </w:rPr>
            </w:pPr>
            <w:r>
              <w:rPr>
                <w:rFonts w:hint="eastAsia"/>
                <w:color w:val="auto"/>
                <w:sz w:val="21"/>
                <w:szCs w:val="21"/>
                <w:highlight w:val="none"/>
              </w:rPr>
              <w:t>采购一套纳米红外高光谱检测系统，包含但不限于软硬件及附属设备的供货、运输、保险、装卸、安装、检测、调试、试运行、验收交付、培训、技术支持、软件升级、售后保修及相关伴随服务。</w:t>
            </w:r>
          </w:p>
        </w:tc>
      </w:tr>
      <w:tr w14:paraId="5802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96" w:type="dxa"/>
            <w:vAlign w:val="center"/>
          </w:tcPr>
          <w:p w14:paraId="434C4F68">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1.3.2</w:t>
            </w:r>
          </w:p>
        </w:tc>
        <w:tc>
          <w:tcPr>
            <w:tcW w:w="1969" w:type="dxa"/>
            <w:vAlign w:val="center"/>
          </w:tcPr>
          <w:p w14:paraId="618F2A69">
            <w:pPr>
              <w:adjustRightInd w:val="0"/>
              <w:snapToGrid w:val="0"/>
              <w:spacing w:line="440" w:lineRule="exact"/>
              <w:ind w:left="105" w:leftChars="50"/>
              <w:jc w:val="center"/>
              <w:rPr>
                <w:rFonts w:ascii="宋体" w:hAnsi="宋体" w:cs="宋体"/>
                <w:b/>
                <w:bCs/>
                <w:color w:val="auto"/>
                <w:szCs w:val="21"/>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szCs w:val="21"/>
                <w:highlight w:val="none"/>
              </w:rPr>
              <w:t>质保期</w:t>
            </w:r>
          </w:p>
        </w:tc>
        <w:tc>
          <w:tcPr>
            <w:tcW w:w="6494" w:type="dxa"/>
            <w:vAlign w:val="center"/>
          </w:tcPr>
          <w:p w14:paraId="4C5AF1FC">
            <w:pPr>
              <w:pStyle w:val="15"/>
              <w:ind w:left="105" w:leftChars="50" w:firstLine="0" w:firstLineChars="0"/>
              <w:rPr>
                <w:color w:val="auto"/>
                <w:sz w:val="21"/>
                <w:szCs w:val="21"/>
                <w:highlight w:val="none"/>
              </w:rPr>
            </w:pPr>
            <w:r>
              <w:rPr>
                <w:rFonts w:hint="eastAsia"/>
                <w:color w:val="auto"/>
                <w:sz w:val="21"/>
                <w:szCs w:val="21"/>
                <w:highlight w:val="none"/>
              </w:rPr>
              <w:t>验收合格后原厂质保一年（自验收合格之日起计算）</w:t>
            </w:r>
          </w:p>
        </w:tc>
      </w:tr>
      <w:tr w14:paraId="2FF7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6" w:type="dxa"/>
            <w:vAlign w:val="center"/>
          </w:tcPr>
          <w:p w14:paraId="6512B5C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1.3.3</w:t>
            </w:r>
          </w:p>
        </w:tc>
        <w:tc>
          <w:tcPr>
            <w:tcW w:w="1969" w:type="dxa"/>
            <w:vAlign w:val="center"/>
          </w:tcPr>
          <w:p w14:paraId="19D509E2">
            <w:pPr>
              <w:adjustRightInd w:val="0"/>
              <w:snapToGrid w:val="0"/>
              <w:spacing w:line="440" w:lineRule="exact"/>
              <w:ind w:left="105" w:leftChars="50"/>
              <w:jc w:val="center"/>
              <w:rPr>
                <w:rFonts w:ascii="宋体" w:hAnsi="宋体" w:cs="宋体"/>
                <w:b/>
                <w:bCs/>
                <w:color w:val="auto"/>
                <w:kern w:val="0"/>
                <w:szCs w:val="21"/>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kern w:val="0"/>
                <w:szCs w:val="21"/>
                <w:highlight w:val="none"/>
              </w:rPr>
              <w:t>交货期</w:t>
            </w:r>
          </w:p>
        </w:tc>
        <w:tc>
          <w:tcPr>
            <w:tcW w:w="6494" w:type="dxa"/>
            <w:vAlign w:val="center"/>
          </w:tcPr>
          <w:p w14:paraId="1CE8F47A">
            <w:pPr>
              <w:pStyle w:val="15"/>
              <w:ind w:left="105" w:leftChars="50" w:firstLine="0" w:firstLineChars="0"/>
              <w:rPr>
                <w:color w:val="auto"/>
                <w:sz w:val="21"/>
                <w:szCs w:val="21"/>
                <w:highlight w:val="none"/>
              </w:rPr>
            </w:pPr>
            <w:r>
              <w:rPr>
                <w:rFonts w:hint="eastAsia"/>
                <w:color w:val="auto"/>
                <w:sz w:val="21"/>
                <w:szCs w:val="21"/>
                <w:highlight w:val="none"/>
              </w:rPr>
              <w:t>自签订合同之日起6个月内完成供货、安装、验收合格、交付使用</w:t>
            </w:r>
          </w:p>
        </w:tc>
      </w:tr>
      <w:tr w14:paraId="6279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6" w:type="dxa"/>
            <w:vAlign w:val="center"/>
          </w:tcPr>
          <w:p w14:paraId="4B3B5574">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1.3.4</w:t>
            </w:r>
          </w:p>
        </w:tc>
        <w:tc>
          <w:tcPr>
            <w:tcW w:w="1969" w:type="dxa"/>
            <w:vAlign w:val="center"/>
          </w:tcPr>
          <w:p w14:paraId="3E4A0D65">
            <w:pPr>
              <w:adjustRightInd w:val="0"/>
              <w:snapToGrid w:val="0"/>
              <w:spacing w:line="440" w:lineRule="exact"/>
              <w:ind w:left="105" w:leftChars="50"/>
              <w:jc w:val="center"/>
              <w:rPr>
                <w:rFonts w:ascii="宋体" w:hAnsi="宋体" w:cs="宋体"/>
                <w:b/>
                <w:bCs/>
                <w:color w:val="auto"/>
                <w:kern w:val="0"/>
                <w:szCs w:val="21"/>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kern w:val="0"/>
                <w:szCs w:val="21"/>
                <w:highlight w:val="none"/>
              </w:rPr>
              <w:t>交货地点</w:t>
            </w:r>
          </w:p>
        </w:tc>
        <w:tc>
          <w:tcPr>
            <w:tcW w:w="6494" w:type="dxa"/>
            <w:vAlign w:val="center"/>
          </w:tcPr>
          <w:p w14:paraId="39F0B5C2">
            <w:pPr>
              <w:adjustRightInd w:val="0"/>
              <w:snapToGrid w:val="0"/>
              <w:spacing w:line="440" w:lineRule="exact"/>
              <w:ind w:left="105" w:leftChars="50"/>
              <w:rPr>
                <w:rFonts w:ascii="宋体" w:hAnsi="宋体" w:cs="宋体"/>
                <w:b/>
                <w:bCs/>
                <w:color w:val="auto"/>
                <w:kern w:val="0"/>
                <w:szCs w:val="21"/>
                <w:highlight w:val="none"/>
              </w:rPr>
            </w:pPr>
            <w:r>
              <w:rPr>
                <w:rFonts w:hint="eastAsia" w:cs="宋体"/>
                <w:b/>
                <w:bCs/>
                <w:color w:val="auto"/>
                <w:szCs w:val="21"/>
                <w:highlight w:val="none"/>
              </w:rPr>
              <w:t>河南省郑州市管城回族区汉月街2</w:t>
            </w:r>
            <w:r>
              <w:rPr>
                <w:rFonts w:cs="宋体"/>
                <w:b/>
                <w:bCs/>
                <w:color w:val="auto"/>
                <w:szCs w:val="21"/>
                <w:highlight w:val="none"/>
              </w:rPr>
              <w:t>6</w:t>
            </w:r>
            <w:r>
              <w:rPr>
                <w:rFonts w:hint="eastAsia" w:cs="宋体"/>
                <w:b/>
                <w:bCs/>
                <w:color w:val="auto"/>
                <w:szCs w:val="21"/>
                <w:highlight w:val="none"/>
              </w:rPr>
              <w:t>号中原量子谷</w:t>
            </w:r>
          </w:p>
        </w:tc>
      </w:tr>
      <w:tr w14:paraId="0A29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096" w:type="dxa"/>
            <w:vAlign w:val="center"/>
          </w:tcPr>
          <w:p w14:paraId="6D23BA53">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1.3.5</w:t>
            </w:r>
          </w:p>
        </w:tc>
        <w:tc>
          <w:tcPr>
            <w:tcW w:w="1969" w:type="dxa"/>
            <w:vAlign w:val="center"/>
          </w:tcPr>
          <w:p w14:paraId="0EAFF7DE">
            <w:pPr>
              <w:adjustRightInd w:val="0"/>
              <w:snapToGrid w:val="0"/>
              <w:spacing w:line="440" w:lineRule="exact"/>
              <w:ind w:left="105" w:leftChars="50"/>
              <w:jc w:val="center"/>
              <w:rPr>
                <w:rFonts w:ascii="宋体" w:hAnsi="宋体" w:cs="宋体"/>
                <w:b/>
                <w:bCs/>
                <w:color w:val="auto"/>
                <w:szCs w:val="21"/>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szCs w:val="21"/>
                <w:highlight w:val="none"/>
              </w:rPr>
              <w:t>质量要求</w:t>
            </w:r>
          </w:p>
        </w:tc>
        <w:tc>
          <w:tcPr>
            <w:tcW w:w="6494" w:type="dxa"/>
            <w:vAlign w:val="center"/>
          </w:tcPr>
          <w:p w14:paraId="0FC4C0EA">
            <w:pPr>
              <w:adjustRightInd w:val="0"/>
              <w:snapToGrid w:val="0"/>
              <w:spacing w:line="440" w:lineRule="exact"/>
              <w:ind w:left="105" w:leftChars="50"/>
              <w:rPr>
                <w:rFonts w:ascii="宋体" w:hAnsi="宋体" w:cs="宋体"/>
                <w:b/>
                <w:bCs/>
                <w:color w:val="auto"/>
                <w:szCs w:val="21"/>
                <w:highlight w:val="none"/>
              </w:rPr>
            </w:pPr>
            <w:r>
              <w:rPr>
                <w:rFonts w:hint="eastAsia" w:ascii="宋体" w:hAnsi="宋体" w:cs="宋体"/>
                <w:b/>
                <w:bCs/>
                <w:color w:val="auto"/>
                <w:szCs w:val="21"/>
                <w:highlight w:val="none"/>
              </w:rPr>
              <w:t>符合国家、行业现行验收规范和标准，满足招标人的相关要求</w:t>
            </w:r>
          </w:p>
        </w:tc>
      </w:tr>
      <w:tr w14:paraId="7242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96" w:type="dxa"/>
            <w:vAlign w:val="center"/>
          </w:tcPr>
          <w:p w14:paraId="76FFECE1">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1.4.1</w:t>
            </w:r>
          </w:p>
        </w:tc>
        <w:tc>
          <w:tcPr>
            <w:tcW w:w="1969" w:type="dxa"/>
            <w:vAlign w:val="center"/>
          </w:tcPr>
          <w:p w14:paraId="532F6089">
            <w:pPr>
              <w:adjustRightInd w:val="0"/>
              <w:snapToGrid w:val="0"/>
              <w:spacing w:line="440" w:lineRule="exact"/>
              <w:ind w:left="105" w:leftChars="50"/>
              <w:jc w:val="center"/>
              <w:rPr>
                <w:rFonts w:ascii="宋体" w:hAnsi="宋体" w:cs="宋体"/>
                <w:b/>
                <w:bCs/>
                <w:color w:val="auto"/>
                <w:szCs w:val="21"/>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szCs w:val="21"/>
                <w:highlight w:val="none"/>
              </w:rPr>
              <w:t>投标人资质条件、能力和信誉</w:t>
            </w:r>
          </w:p>
        </w:tc>
        <w:tc>
          <w:tcPr>
            <w:tcW w:w="6494" w:type="dxa"/>
            <w:vAlign w:val="center"/>
          </w:tcPr>
          <w:p w14:paraId="5B9737B7">
            <w:pPr>
              <w:adjustRightInd w:val="0"/>
              <w:snapToGrid w:val="0"/>
              <w:spacing w:line="440" w:lineRule="exact"/>
              <w:ind w:left="105" w:leftChars="50"/>
              <w:rPr>
                <w:rFonts w:ascii="宋体" w:hAnsi="宋体" w:cs="宋体"/>
                <w:b/>
                <w:bCs/>
                <w:color w:val="auto"/>
                <w:szCs w:val="21"/>
                <w:highlight w:val="none"/>
              </w:rPr>
            </w:pPr>
            <w:r>
              <w:rPr>
                <w:rFonts w:hint="eastAsia" w:ascii="宋体" w:hAnsi="宋体" w:cs="宋体"/>
                <w:b/>
                <w:bCs/>
                <w:color w:val="auto"/>
                <w:szCs w:val="21"/>
                <w:highlight w:val="none"/>
              </w:rPr>
              <w:t>1.满足《中华人民共和国政府采购法》第二十二条规定；</w:t>
            </w:r>
          </w:p>
          <w:p w14:paraId="5341606A">
            <w:pPr>
              <w:adjustRightInd w:val="0"/>
              <w:snapToGrid w:val="0"/>
              <w:spacing w:line="440" w:lineRule="exact"/>
              <w:ind w:left="105" w:leftChars="50"/>
              <w:rPr>
                <w:rFonts w:ascii="宋体" w:hAnsi="宋体" w:cs="宋体"/>
                <w:b/>
                <w:bCs/>
                <w:color w:val="auto"/>
                <w:szCs w:val="21"/>
                <w:highlight w:val="none"/>
              </w:rPr>
            </w:pPr>
            <w:r>
              <w:rPr>
                <w:rFonts w:hint="eastAsia" w:ascii="宋体" w:hAnsi="宋体" w:cs="宋体"/>
                <w:b/>
                <w:bCs/>
                <w:color w:val="auto"/>
                <w:szCs w:val="21"/>
                <w:highlight w:val="none"/>
              </w:rPr>
              <w:t>2.落实政府采购政策满足的资格要求：无；</w:t>
            </w:r>
          </w:p>
          <w:p w14:paraId="0E1CA2CB">
            <w:pPr>
              <w:adjustRightInd w:val="0"/>
              <w:snapToGrid w:val="0"/>
              <w:spacing w:line="440" w:lineRule="exact"/>
              <w:ind w:left="105" w:leftChars="50"/>
              <w:rPr>
                <w:rFonts w:ascii="宋体" w:hAnsi="宋体" w:cs="宋体"/>
                <w:b/>
                <w:bCs/>
                <w:color w:val="auto"/>
                <w:szCs w:val="21"/>
                <w:highlight w:val="none"/>
              </w:rPr>
            </w:pPr>
            <w:r>
              <w:rPr>
                <w:rFonts w:hint="eastAsia" w:ascii="宋体" w:hAnsi="宋体" w:cs="宋体"/>
                <w:b/>
                <w:bCs/>
                <w:color w:val="auto"/>
                <w:szCs w:val="21"/>
                <w:highlight w:val="none"/>
              </w:rPr>
              <w:t>3.本项目的特定资格要求：</w:t>
            </w:r>
          </w:p>
          <w:p w14:paraId="7B9E08E1">
            <w:pPr>
              <w:adjustRightInd w:val="0"/>
              <w:snapToGrid w:val="0"/>
              <w:spacing w:line="440" w:lineRule="exact"/>
              <w:ind w:left="105" w:leftChars="50"/>
              <w:rPr>
                <w:rFonts w:ascii="宋体" w:hAnsi="宋体" w:cs="宋体"/>
                <w:b/>
                <w:bCs/>
                <w:color w:val="auto"/>
                <w:szCs w:val="21"/>
                <w:highlight w:val="none"/>
              </w:rPr>
            </w:pPr>
            <w:r>
              <w:rPr>
                <w:rFonts w:hint="eastAsia" w:ascii="宋体" w:hAnsi="宋体" w:cs="宋体"/>
                <w:b/>
                <w:bCs/>
                <w:color w:val="auto"/>
                <w:szCs w:val="21"/>
                <w:highlight w:val="none"/>
              </w:rPr>
              <w:t>3.1提供的货物为进口产品的，须提供制造商或总代理商的授权书；</w:t>
            </w:r>
          </w:p>
          <w:p w14:paraId="78C79659">
            <w:pPr>
              <w:adjustRightInd w:val="0"/>
              <w:snapToGrid w:val="0"/>
              <w:spacing w:line="440" w:lineRule="exact"/>
              <w:ind w:left="105" w:leftChars="50"/>
              <w:rPr>
                <w:rFonts w:ascii="宋体" w:hAnsi="宋体" w:cs="宋体"/>
                <w:b/>
                <w:bCs/>
                <w:color w:val="auto"/>
                <w:szCs w:val="21"/>
                <w:highlight w:val="none"/>
              </w:rPr>
            </w:pPr>
            <w:r>
              <w:rPr>
                <w:rFonts w:hint="eastAsia" w:ascii="宋体" w:hAnsi="宋体" w:cs="宋体"/>
                <w:b/>
                <w:bCs/>
                <w:color w:val="auto"/>
                <w:szCs w:val="21"/>
                <w:highlight w:val="none"/>
              </w:rPr>
              <w:t>3.2根据《关于在政府采购活动中查询及使用信用记录有关问题的通知》 (财库 [2016]125号) 和豫财购[2016]15号的规定，对列入失信被执行人、重大税收违法失信主体、政府采购严重违法失信行为记录名单的企业，拒绝参与本项目招标采购活动（查询渠道：“信用中国”网站（www.creditchina.gov.cn）查询：列入失信被执行人、重大税收违法失信主体，中国政府采购网（www.ccgp.gov.cn）：政府采购严重违法失信行为记录名单）；注：招标代理机构在开标当天将对所有参与本项目投标的供应商及其法定代表人的信用情况（失信被执行人、重大税收违法失信主体、政府采购严重违法失信行为记录名单）进行查询、打印留存。若在开标当天查询到供应商有相关负面信息的，则该供应商递交的投标文件按无效处理；</w:t>
            </w:r>
          </w:p>
          <w:p w14:paraId="1BDFC2DB">
            <w:pPr>
              <w:adjustRightInd w:val="0"/>
              <w:snapToGrid w:val="0"/>
              <w:spacing w:line="440" w:lineRule="exact"/>
              <w:ind w:left="105" w:leftChars="50"/>
              <w:rPr>
                <w:rFonts w:ascii="宋体" w:hAnsi="宋体" w:cs="宋体"/>
                <w:b/>
                <w:bCs/>
                <w:color w:val="auto"/>
                <w:szCs w:val="21"/>
                <w:highlight w:val="none"/>
              </w:rPr>
            </w:pPr>
            <w:r>
              <w:rPr>
                <w:rFonts w:hint="eastAsia" w:ascii="宋体" w:hAnsi="宋体" w:cs="宋体"/>
                <w:b/>
                <w:bCs/>
                <w:color w:val="auto"/>
                <w:szCs w:val="21"/>
                <w:highlight w:val="none"/>
              </w:rPr>
              <w:t>3.3单位负责人为同一人或者存在直接控股、管理关系的不同供应商，不得参加同一合同项下的政府采购活动。</w:t>
            </w:r>
          </w:p>
        </w:tc>
      </w:tr>
      <w:tr w14:paraId="3068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96" w:type="dxa"/>
            <w:vAlign w:val="center"/>
          </w:tcPr>
          <w:p w14:paraId="0ECBD31E">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1.4.2</w:t>
            </w:r>
          </w:p>
        </w:tc>
        <w:tc>
          <w:tcPr>
            <w:tcW w:w="1969" w:type="dxa"/>
            <w:vAlign w:val="center"/>
          </w:tcPr>
          <w:p w14:paraId="3C6EE477">
            <w:pPr>
              <w:adjustRightInd w:val="0"/>
              <w:snapToGrid w:val="0"/>
              <w:spacing w:line="440" w:lineRule="exact"/>
              <w:ind w:left="105" w:leftChars="50"/>
              <w:jc w:val="center"/>
              <w:rPr>
                <w:rFonts w:ascii="宋体" w:hAnsi="宋体" w:cs="宋体"/>
                <w:b/>
                <w:bCs/>
                <w:color w:val="auto"/>
                <w:szCs w:val="21"/>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szCs w:val="21"/>
                <w:highlight w:val="none"/>
              </w:rPr>
              <w:t>是否接受联合体</w:t>
            </w:r>
          </w:p>
          <w:p w14:paraId="053F7669">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b/>
                <w:bCs/>
                <w:color w:val="auto"/>
                <w:szCs w:val="21"/>
                <w:highlight w:val="none"/>
              </w:rPr>
              <w:t>投标</w:t>
            </w:r>
          </w:p>
        </w:tc>
        <w:tc>
          <w:tcPr>
            <w:tcW w:w="6494" w:type="dxa"/>
            <w:vAlign w:val="center"/>
          </w:tcPr>
          <w:p w14:paraId="6EAE5110">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b/>
                <w:bCs/>
                <w:color w:val="auto"/>
                <w:szCs w:val="21"/>
                <w:highlight w:val="none"/>
              </w:rPr>
              <w:t>否</w:t>
            </w:r>
          </w:p>
        </w:tc>
      </w:tr>
      <w:tr w14:paraId="7B81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96" w:type="dxa"/>
            <w:vAlign w:val="center"/>
          </w:tcPr>
          <w:p w14:paraId="4145E8AF">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1.9.1</w:t>
            </w:r>
          </w:p>
        </w:tc>
        <w:tc>
          <w:tcPr>
            <w:tcW w:w="1969" w:type="dxa"/>
            <w:vAlign w:val="center"/>
          </w:tcPr>
          <w:p w14:paraId="31FC6109">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踏勘现场</w:t>
            </w:r>
          </w:p>
        </w:tc>
        <w:tc>
          <w:tcPr>
            <w:tcW w:w="6494" w:type="dxa"/>
            <w:vAlign w:val="center"/>
          </w:tcPr>
          <w:p w14:paraId="3A23597B">
            <w:pPr>
              <w:adjustRightInd w:val="0"/>
              <w:snapToGrid w:val="0"/>
              <w:spacing w:line="440" w:lineRule="exact"/>
              <w:ind w:left="105" w:leftChars="50"/>
              <w:rPr>
                <w:rFonts w:ascii="宋体" w:hAnsi="宋体" w:cs="宋体"/>
                <w:color w:val="auto"/>
                <w:kern w:val="0"/>
                <w:szCs w:val="21"/>
                <w:highlight w:val="none"/>
              </w:rPr>
            </w:pPr>
            <w:r>
              <w:rPr>
                <w:rFonts w:hint="eastAsia" w:ascii="宋体" w:hAnsi="宋体" w:cs="宋体"/>
                <w:color w:val="auto"/>
                <w:kern w:val="0"/>
                <w:szCs w:val="21"/>
                <w:highlight w:val="none"/>
              </w:rPr>
              <w:t>☑不组织</w:t>
            </w:r>
          </w:p>
          <w:p w14:paraId="792C9AE6">
            <w:pPr>
              <w:adjustRightInd w:val="0"/>
              <w:snapToGrid w:val="0"/>
              <w:spacing w:line="440" w:lineRule="exact"/>
              <w:ind w:left="105" w:leftChars="50"/>
              <w:rPr>
                <w:rFonts w:ascii="宋体" w:hAnsi="宋体" w:cs="宋体"/>
                <w:color w:val="auto"/>
                <w:kern w:val="0"/>
                <w:szCs w:val="21"/>
                <w:highlight w:val="none"/>
              </w:rPr>
            </w:pPr>
            <w:r>
              <w:rPr>
                <w:rFonts w:hint="eastAsia" w:ascii="宋体" w:hAnsi="宋体" w:cs="宋体"/>
                <w:color w:val="auto"/>
                <w:kern w:val="0"/>
                <w:szCs w:val="21"/>
                <w:highlight w:val="none"/>
              </w:rPr>
              <w:t xml:space="preserve">□组织，踏勘时间： / </w:t>
            </w:r>
          </w:p>
          <w:p w14:paraId="3F3F53E1">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kern w:val="0"/>
                <w:szCs w:val="21"/>
                <w:highlight w:val="none"/>
              </w:rPr>
              <w:t>踏勘集中地点： /</w:t>
            </w:r>
          </w:p>
        </w:tc>
      </w:tr>
      <w:tr w14:paraId="6F20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96" w:type="dxa"/>
            <w:vAlign w:val="center"/>
          </w:tcPr>
          <w:p w14:paraId="3922E7FE">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1.10.1</w:t>
            </w:r>
          </w:p>
        </w:tc>
        <w:tc>
          <w:tcPr>
            <w:tcW w:w="1969" w:type="dxa"/>
            <w:vAlign w:val="center"/>
          </w:tcPr>
          <w:p w14:paraId="0B2ACB3A">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投标预备会</w:t>
            </w:r>
          </w:p>
        </w:tc>
        <w:tc>
          <w:tcPr>
            <w:tcW w:w="6494" w:type="dxa"/>
            <w:vAlign w:val="center"/>
          </w:tcPr>
          <w:p w14:paraId="03C31C48">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不召开</w:t>
            </w:r>
          </w:p>
        </w:tc>
      </w:tr>
      <w:tr w14:paraId="6D87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96" w:type="dxa"/>
            <w:vAlign w:val="center"/>
          </w:tcPr>
          <w:p w14:paraId="540FB267">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1.11</w:t>
            </w:r>
          </w:p>
        </w:tc>
        <w:tc>
          <w:tcPr>
            <w:tcW w:w="1969" w:type="dxa"/>
            <w:vAlign w:val="center"/>
          </w:tcPr>
          <w:p w14:paraId="793BE9AA">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分包</w:t>
            </w:r>
          </w:p>
        </w:tc>
        <w:tc>
          <w:tcPr>
            <w:tcW w:w="6494" w:type="dxa"/>
            <w:vAlign w:val="center"/>
          </w:tcPr>
          <w:p w14:paraId="0A800D35">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不允许</w:t>
            </w:r>
          </w:p>
        </w:tc>
      </w:tr>
      <w:tr w14:paraId="110E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96" w:type="dxa"/>
            <w:vAlign w:val="center"/>
          </w:tcPr>
          <w:p w14:paraId="7BA831AC">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1.12</w:t>
            </w:r>
          </w:p>
        </w:tc>
        <w:tc>
          <w:tcPr>
            <w:tcW w:w="1969" w:type="dxa"/>
            <w:vAlign w:val="center"/>
          </w:tcPr>
          <w:p w14:paraId="7E869A47">
            <w:pPr>
              <w:adjustRightInd w:val="0"/>
              <w:snapToGrid w:val="0"/>
              <w:spacing w:line="440" w:lineRule="exact"/>
              <w:ind w:left="105" w:leftChars="50"/>
              <w:jc w:val="center"/>
              <w:rPr>
                <w:rFonts w:ascii="宋体" w:hAnsi="宋体" w:cs="宋体"/>
                <w:b/>
                <w:bCs/>
                <w:color w:val="auto"/>
                <w:szCs w:val="21"/>
                <w:highlight w:val="none"/>
              </w:rPr>
            </w:pPr>
            <w:r>
              <w:rPr>
                <w:rFonts w:hint="eastAsia" w:ascii="宋体" w:hAnsi="宋体" w:cs="宋体"/>
                <w:color w:val="auto"/>
                <w:szCs w:val="21"/>
                <w:highlight w:val="none"/>
              </w:rPr>
              <w:t>偏离</w:t>
            </w:r>
          </w:p>
        </w:tc>
        <w:tc>
          <w:tcPr>
            <w:tcW w:w="6494" w:type="dxa"/>
            <w:vAlign w:val="center"/>
          </w:tcPr>
          <w:p w14:paraId="0CD98D4F">
            <w:pPr>
              <w:adjustRightInd w:val="0"/>
              <w:snapToGrid w:val="0"/>
              <w:spacing w:line="440" w:lineRule="exact"/>
              <w:ind w:left="105" w:leftChars="50"/>
              <w:jc w:val="left"/>
              <w:rPr>
                <w:rFonts w:ascii="宋体" w:hAnsi="宋体" w:cs="宋体"/>
                <w:b/>
                <w:bCs/>
                <w:color w:val="auto"/>
                <w:szCs w:val="21"/>
                <w:highlight w:val="none"/>
              </w:rPr>
            </w:pPr>
            <w:r>
              <w:rPr>
                <w:rFonts w:hint="eastAsia" w:ascii="宋体" w:hAnsi="宋体"/>
                <w:b/>
                <w:bCs/>
                <w:color w:val="auto"/>
                <w:highlight w:val="none"/>
              </w:rPr>
              <w:t>招标文件中的实质性要求和第五章 采购需求中“（二）商务服务要求”不允许负偏离</w:t>
            </w:r>
          </w:p>
        </w:tc>
      </w:tr>
      <w:tr w14:paraId="49B2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96" w:type="dxa"/>
            <w:vAlign w:val="center"/>
          </w:tcPr>
          <w:p w14:paraId="7CC479A4">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2.1</w:t>
            </w:r>
          </w:p>
        </w:tc>
        <w:tc>
          <w:tcPr>
            <w:tcW w:w="1969" w:type="dxa"/>
            <w:vAlign w:val="center"/>
          </w:tcPr>
          <w:p w14:paraId="187B73F4">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构成招标文件的</w:t>
            </w:r>
          </w:p>
          <w:p w14:paraId="531C165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其他材料</w:t>
            </w:r>
          </w:p>
        </w:tc>
        <w:tc>
          <w:tcPr>
            <w:tcW w:w="6494" w:type="dxa"/>
            <w:vAlign w:val="center"/>
          </w:tcPr>
          <w:p w14:paraId="77927C2B">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在招标期间发出的澄清（如有）、修改、补充、补遗和其它有效正式函件等内容均是招标文件的组成部分。</w:t>
            </w:r>
          </w:p>
        </w:tc>
      </w:tr>
      <w:tr w14:paraId="317B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96" w:type="dxa"/>
            <w:vAlign w:val="center"/>
          </w:tcPr>
          <w:p w14:paraId="5ED9E1AD">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2.2.1</w:t>
            </w:r>
          </w:p>
        </w:tc>
        <w:tc>
          <w:tcPr>
            <w:tcW w:w="1969" w:type="dxa"/>
            <w:vAlign w:val="center"/>
          </w:tcPr>
          <w:p w14:paraId="67B38568">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投标人提出问题的截止时间</w:t>
            </w:r>
          </w:p>
        </w:tc>
        <w:tc>
          <w:tcPr>
            <w:tcW w:w="6494" w:type="dxa"/>
            <w:vAlign w:val="center"/>
          </w:tcPr>
          <w:p w14:paraId="6D11E5A2">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时间：获取招标文件或招标公告期限届满之日起七个工作日内；</w:t>
            </w:r>
          </w:p>
          <w:p w14:paraId="62A3658B">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形式：在河南省公共资源交易平台上提出，并及时电话告知代理机构（联系方式见招标公告）。</w:t>
            </w:r>
          </w:p>
        </w:tc>
      </w:tr>
      <w:tr w14:paraId="07B5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96" w:type="dxa"/>
            <w:vAlign w:val="center"/>
          </w:tcPr>
          <w:p w14:paraId="6A51FADF">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2.2.2</w:t>
            </w:r>
          </w:p>
        </w:tc>
        <w:tc>
          <w:tcPr>
            <w:tcW w:w="1969" w:type="dxa"/>
            <w:vAlign w:val="center"/>
          </w:tcPr>
          <w:p w14:paraId="661221CA">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投标人确认收到招标文件澄清的形式及时间</w:t>
            </w:r>
          </w:p>
        </w:tc>
        <w:tc>
          <w:tcPr>
            <w:tcW w:w="6494" w:type="dxa"/>
            <w:vAlign w:val="center"/>
          </w:tcPr>
          <w:p w14:paraId="60A727FC">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所有澄清均通过“河南省公共资源交易中心”电子交易平台及原招标公告发布媒介发布。一经发布即视为投标人已收到并确认，请各投标人及时关注，如有遗漏自行负责。</w:t>
            </w:r>
          </w:p>
        </w:tc>
      </w:tr>
      <w:tr w14:paraId="1F3F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096" w:type="dxa"/>
            <w:vAlign w:val="center"/>
          </w:tcPr>
          <w:p w14:paraId="6595BB76">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2.3.2</w:t>
            </w:r>
          </w:p>
        </w:tc>
        <w:tc>
          <w:tcPr>
            <w:tcW w:w="1969" w:type="dxa"/>
            <w:vAlign w:val="center"/>
          </w:tcPr>
          <w:p w14:paraId="3C45808C">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投标人确认收到招标文件修改的形式及时间</w:t>
            </w:r>
          </w:p>
        </w:tc>
        <w:tc>
          <w:tcPr>
            <w:tcW w:w="6494" w:type="dxa"/>
            <w:vAlign w:val="center"/>
          </w:tcPr>
          <w:p w14:paraId="51615D2A">
            <w:pPr>
              <w:adjustRightInd w:val="0"/>
              <w:snapToGrid w:val="0"/>
              <w:spacing w:line="440" w:lineRule="exact"/>
              <w:ind w:left="105" w:leftChars="50"/>
              <w:jc w:val="left"/>
              <w:rPr>
                <w:color w:val="auto"/>
                <w:highlight w:val="none"/>
              </w:rPr>
            </w:pPr>
            <w:r>
              <w:rPr>
                <w:rFonts w:hint="eastAsia" w:ascii="宋体" w:hAnsi="宋体" w:cs="宋体"/>
                <w:color w:val="auto"/>
                <w:szCs w:val="21"/>
                <w:highlight w:val="none"/>
              </w:rPr>
              <w:t>所有修改均通过“河南省公共资源交易中心”电子交易平台及原招标公告发布媒介发布。一经发布即视为投标人已收到并确认，请各投标人及时关注，如有遗漏自行负责。</w:t>
            </w:r>
          </w:p>
        </w:tc>
      </w:tr>
      <w:tr w14:paraId="287B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96" w:type="dxa"/>
            <w:vAlign w:val="center"/>
          </w:tcPr>
          <w:p w14:paraId="7469F20F">
            <w:pPr>
              <w:adjustRightInd w:val="0"/>
              <w:snapToGrid w:val="0"/>
              <w:spacing w:line="440" w:lineRule="exact"/>
              <w:ind w:left="105" w:leftChars="50"/>
              <w:jc w:val="center"/>
              <w:rPr>
                <w:rFonts w:ascii="宋体" w:hAnsi="宋体" w:cs="宋体"/>
                <w:b/>
                <w:bCs/>
                <w:color w:val="auto"/>
                <w:szCs w:val="21"/>
                <w:highlight w:val="none"/>
              </w:rPr>
            </w:pPr>
            <w:r>
              <w:rPr>
                <w:rFonts w:hint="eastAsia" w:ascii="宋体" w:hAnsi="宋体" w:cs="宋体"/>
                <w:b/>
                <w:bCs/>
                <w:color w:val="auto"/>
                <w:szCs w:val="21"/>
                <w:highlight w:val="none"/>
              </w:rPr>
              <w:t>3.3.1</w:t>
            </w:r>
          </w:p>
        </w:tc>
        <w:tc>
          <w:tcPr>
            <w:tcW w:w="1969" w:type="dxa"/>
            <w:vAlign w:val="center"/>
          </w:tcPr>
          <w:p w14:paraId="1F782203">
            <w:pPr>
              <w:adjustRightInd w:val="0"/>
              <w:snapToGrid w:val="0"/>
              <w:spacing w:line="440" w:lineRule="exact"/>
              <w:ind w:left="105" w:leftChars="50"/>
              <w:jc w:val="center"/>
              <w:rPr>
                <w:rFonts w:ascii="宋体" w:hAnsi="宋体" w:cs="宋体"/>
                <w:b/>
                <w:bCs/>
                <w:color w:val="auto"/>
                <w:szCs w:val="21"/>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szCs w:val="21"/>
                <w:highlight w:val="none"/>
              </w:rPr>
              <w:t>投标有效期</w:t>
            </w:r>
          </w:p>
        </w:tc>
        <w:tc>
          <w:tcPr>
            <w:tcW w:w="6494" w:type="dxa"/>
            <w:vAlign w:val="center"/>
          </w:tcPr>
          <w:p w14:paraId="5EBD8A9B">
            <w:pPr>
              <w:adjustRightInd w:val="0"/>
              <w:snapToGrid w:val="0"/>
              <w:spacing w:line="440" w:lineRule="exact"/>
              <w:ind w:left="105" w:leftChars="50"/>
              <w:jc w:val="left"/>
              <w:rPr>
                <w:rFonts w:ascii="宋体" w:hAnsi="宋体" w:cs="宋体"/>
                <w:b/>
                <w:bCs/>
                <w:color w:val="auto"/>
                <w:szCs w:val="21"/>
                <w:highlight w:val="none"/>
              </w:rPr>
            </w:pPr>
            <w:r>
              <w:rPr>
                <w:rFonts w:hint="eastAsia" w:ascii="宋体" w:hAnsi="宋体" w:cs="宋体"/>
                <w:b/>
                <w:bCs/>
                <w:color w:val="auto"/>
                <w:szCs w:val="21"/>
                <w:highlight w:val="none"/>
              </w:rPr>
              <w:t>递交投标文件截止时间起90日历天。</w:t>
            </w:r>
          </w:p>
        </w:tc>
      </w:tr>
      <w:tr w14:paraId="564B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96" w:type="dxa"/>
            <w:vAlign w:val="center"/>
          </w:tcPr>
          <w:p w14:paraId="1A93F913">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3.4</w:t>
            </w:r>
          </w:p>
        </w:tc>
        <w:tc>
          <w:tcPr>
            <w:tcW w:w="1969" w:type="dxa"/>
            <w:vAlign w:val="center"/>
          </w:tcPr>
          <w:p w14:paraId="39C7019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投标保证金</w:t>
            </w:r>
          </w:p>
        </w:tc>
        <w:tc>
          <w:tcPr>
            <w:tcW w:w="6494" w:type="dxa"/>
            <w:vAlign w:val="center"/>
          </w:tcPr>
          <w:p w14:paraId="22955786">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不要求，根据《河南省财政厅关于优化政府采购营商环境有关问题的通知》豫财购（2019）4号要求，本项目不再收取投标保证金。</w:t>
            </w:r>
          </w:p>
        </w:tc>
      </w:tr>
      <w:tr w14:paraId="7604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096" w:type="dxa"/>
            <w:vAlign w:val="center"/>
          </w:tcPr>
          <w:p w14:paraId="28FBFB1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3.6</w:t>
            </w:r>
          </w:p>
        </w:tc>
        <w:tc>
          <w:tcPr>
            <w:tcW w:w="1969" w:type="dxa"/>
            <w:vAlign w:val="center"/>
          </w:tcPr>
          <w:p w14:paraId="65DCFBFF">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是否允许递交备选投标方案</w:t>
            </w:r>
          </w:p>
        </w:tc>
        <w:tc>
          <w:tcPr>
            <w:tcW w:w="6494" w:type="dxa"/>
            <w:vAlign w:val="center"/>
          </w:tcPr>
          <w:p w14:paraId="69BC4086">
            <w:pPr>
              <w:adjustRightInd w:val="0"/>
              <w:snapToGrid w:val="0"/>
              <w:spacing w:line="440" w:lineRule="exact"/>
              <w:ind w:left="105" w:leftChars="50"/>
              <w:jc w:val="left"/>
              <w:rPr>
                <w:rFonts w:ascii="宋体" w:hAnsi="宋体" w:cs="宋体"/>
                <w:color w:val="auto"/>
                <w:szCs w:val="21"/>
                <w:highlight w:val="none"/>
                <w:u w:val="single"/>
              </w:rPr>
            </w:pPr>
            <w:r>
              <w:rPr>
                <w:rFonts w:hint="eastAsia" w:ascii="宋体" w:hAnsi="宋体" w:cs="宋体"/>
                <w:color w:val="auto"/>
                <w:szCs w:val="21"/>
                <w:highlight w:val="none"/>
              </w:rPr>
              <w:t>不允许</w:t>
            </w:r>
          </w:p>
        </w:tc>
      </w:tr>
      <w:tr w14:paraId="0674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96" w:type="dxa"/>
            <w:vAlign w:val="center"/>
          </w:tcPr>
          <w:p w14:paraId="1B5F4022">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3.7.3</w:t>
            </w:r>
          </w:p>
        </w:tc>
        <w:tc>
          <w:tcPr>
            <w:tcW w:w="1969" w:type="dxa"/>
            <w:vAlign w:val="center"/>
          </w:tcPr>
          <w:p w14:paraId="302C2BE6">
            <w:pPr>
              <w:adjustRightInd w:val="0"/>
              <w:snapToGrid w:val="0"/>
              <w:spacing w:line="440" w:lineRule="exact"/>
              <w:ind w:left="105" w:leftChars="50"/>
              <w:jc w:val="center"/>
              <w:rPr>
                <w:rFonts w:ascii="宋体" w:hAnsi="宋体" w:cs="宋体"/>
                <w:b/>
                <w:bCs/>
                <w:color w:val="auto"/>
                <w:szCs w:val="21"/>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szCs w:val="21"/>
                <w:highlight w:val="none"/>
              </w:rPr>
              <w:t>签字和（或）盖章要求</w:t>
            </w:r>
          </w:p>
        </w:tc>
        <w:tc>
          <w:tcPr>
            <w:tcW w:w="6494" w:type="dxa"/>
            <w:vAlign w:val="center"/>
          </w:tcPr>
          <w:p w14:paraId="299CDE56">
            <w:pPr>
              <w:adjustRightInd w:val="0"/>
              <w:snapToGrid w:val="0"/>
              <w:spacing w:line="440" w:lineRule="exact"/>
              <w:ind w:left="105" w:leftChars="50"/>
              <w:jc w:val="left"/>
              <w:rPr>
                <w:rFonts w:ascii="宋体" w:hAnsi="宋体" w:cs="宋体"/>
                <w:b/>
                <w:bCs/>
                <w:color w:val="auto"/>
                <w:szCs w:val="21"/>
                <w:highlight w:val="none"/>
              </w:rPr>
            </w:pPr>
            <w:r>
              <w:rPr>
                <w:rFonts w:hint="eastAsia" w:ascii="宋体" w:hAnsi="宋体" w:cs="宋体"/>
                <w:b/>
                <w:bCs/>
                <w:color w:val="auto"/>
                <w:szCs w:val="21"/>
                <w:highlight w:val="none"/>
              </w:rPr>
              <w:t>（1）所有要求投标人加盖公章的地方都应用投标人单位的CA 印章。</w:t>
            </w:r>
          </w:p>
          <w:p w14:paraId="020A6389">
            <w:pPr>
              <w:adjustRightInd w:val="0"/>
              <w:snapToGrid w:val="0"/>
              <w:spacing w:line="440" w:lineRule="exact"/>
              <w:ind w:left="105" w:leftChars="50"/>
              <w:jc w:val="left"/>
              <w:rPr>
                <w:rFonts w:ascii="宋体" w:hAnsi="宋体" w:cs="宋体"/>
                <w:b/>
                <w:bCs/>
                <w:color w:val="auto"/>
                <w:szCs w:val="21"/>
                <w:highlight w:val="none"/>
              </w:rPr>
            </w:pPr>
            <w:r>
              <w:rPr>
                <w:rFonts w:hint="eastAsia" w:ascii="宋体" w:hAnsi="宋体" w:cs="宋体"/>
                <w:b/>
                <w:bCs/>
                <w:color w:val="auto"/>
                <w:szCs w:val="21"/>
                <w:highlight w:val="none"/>
              </w:rPr>
              <w:t>（2）所有要求法定代表人签字的地方都应用法定代表人的CA 印章。</w:t>
            </w:r>
          </w:p>
          <w:p w14:paraId="63992D86">
            <w:pPr>
              <w:adjustRightInd w:val="0"/>
              <w:snapToGrid w:val="0"/>
              <w:spacing w:line="440" w:lineRule="exact"/>
              <w:ind w:left="105" w:leftChars="50"/>
              <w:jc w:val="left"/>
              <w:rPr>
                <w:rFonts w:ascii="宋体" w:hAnsi="宋体" w:cs="宋体"/>
                <w:b/>
                <w:bCs/>
                <w:color w:val="auto"/>
                <w:szCs w:val="21"/>
                <w:highlight w:val="none"/>
              </w:rPr>
            </w:pPr>
            <w:r>
              <w:rPr>
                <w:rFonts w:hint="eastAsia" w:ascii="宋体" w:hAnsi="宋体" w:cs="宋体"/>
                <w:b/>
                <w:bCs/>
                <w:color w:val="auto"/>
                <w:szCs w:val="21"/>
                <w:highlight w:val="none"/>
              </w:rPr>
              <w:t>（3）若有委托代理人，且委托代理人没有CA锁，则投标文件需上传有手写签名的扫描件。</w:t>
            </w:r>
          </w:p>
        </w:tc>
      </w:tr>
      <w:tr w14:paraId="5C4F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37E28B3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4.2.1</w:t>
            </w:r>
          </w:p>
        </w:tc>
        <w:tc>
          <w:tcPr>
            <w:tcW w:w="1969" w:type="dxa"/>
            <w:vAlign w:val="center"/>
          </w:tcPr>
          <w:p w14:paraId="09042A5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投标文件的递交</w:t>
            </w:r>
          </w:p>
        </w:tc>
        <w:tc>
          <w:tcPr>
            <w:tcW w:w="6494" w:type="dxa"/>
            <w:vAlign w:val="center"/>
          </w:tcPr>
          <w:p w14:paraId="7FD9A951">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（1）各投标人应在投标截止时间前上传加密的电子投标文件（*.hntf）到会员系统的指定位置。上传时必须得到电脑“上传成功”的确认回复。请投标人在上传时认真检查上传投标文件是否完整、正确。</w:t>
            </w:r>
          </w:p>
          <w:p w14:paraId="5C417479">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（2）资格审查证明文件须上传至河南省公共资源交易平台“资格审查资料”模块，因未上传至指定位置导致资格审查不通过的，由投标人自行承担责任。</w:t>
            </w:r>
          </w:p>
          <w:p w14:paraId="561E1D19">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（3）投标人因交易中心投标系统问题无法上传电子投标文件时，请在工作时间与河南省公共资源交易中心联系，联系电话：0371-86095925。</w:t>
            </w:r>
          </w:p>
        </w:tc>
      </w:tr>
      <w:tr w14:paraId="70DF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64423BF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4.2.2</w:t>
            </w:r>
          </w:p>
        </w:tc>
        <w:tc>
          <w:tcPr>
            <w:tcW w:w="1969" w:type="dxa"/>
            <w:vAlign w:val="center"/>
          </w:tcPr>
          <w:p w14:paraId="5C03F349">
            <w:pPr>
              <w:adjustRightInd w:val="0"/>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远程开标机位地点</w:t>
            </w:r>
          </w:p>
        </w:tc>
        <w:tc>
          <w:tcPr>
            <w:tcW w:w="6494" w:type="dxa"/>
            <w:vAlign w:val="center"/>
          </w:tcPr>
          <w:p w14:paraId="1E990EF7">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河南省公共资源交易中心远程开标室（</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（郑州市经二路12号（经二路与纬四路向南50米路西）</w:t>
            </w:r>
          </w:p>
        </w:tc>
      </w:tr>
      <w:tr w14:paraId="23D6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96" w:type="dxa"/>
            <w:vAlign w:val="center"/>
          </w:tcPr>
          <w:p w14:paraId="54AADD9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4.2.3</w:t>
            </w:r>
          </w:p>
        </w:tc>
        <w:tc>
          <w:tcPr>
            <w:tcW w:w="1969" w:type="dxa"/>
            <w:vAlign w:val="center"/>
          </w:tcPr>
          <w:p w14:paraId="3A046BFC">
            <w:pPr>
              <w:adjustRightInd w:val="0"/>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是否退还投标文件</w:t>
            </w:r>
          </w:p>
        </w:tc>
        <w:tc>
          <w:tcPr>
            <w:tcW w:w="6494" w:type="dxa"/>
            <w:vAlign w:val="center"/>
          </w:tcPr>
          <w:p w14:paraId="56AF72DE">
            <w:pPr>
              <w:adjustRightInd w:val="0"/>
              <w:snapToGrid w:val="0"/>
              <w:spacing w:line="440" w:lineRule="exact"/>
              <w:ind w:left="105" w:leftChars="50"/>
              <w:jc w:val="left"/>
              <w:rPr>
                <w:rFonts w:ascii="宋体" w:hAnsi="宋体" w:cs="宋体"/>
                <w:color w:val="auto"/>
                <w:szCs w:val="21"/>
                <w:highlight w:val="none"/>
                <w:u w:val="single"/>
              </w:rPr>
            </w:pPr>
            <w:r>
              <w:rPr>
                <w:rFonts w:hint="eastAsia" w:ascii="宋体" w:hAnsi="宋体" w:cs="宋体"/>
                <w:color w:val="auto"/>
                <w:szCs w:val="21"/>
                <w:highlight w:val="none"/>
              </w:rPr>
              <w:t>否</w:t>
            </w:r>
          </w:p>
        </w:tc>
      </w:tr>
      <w:tr w14:paraId="1A70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7C60C57D">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5.1</w:t>
            </w:r>
          </w:p>
        </w:tc>
        <w:tc>
          <w:tcPr>
            <w:tcW w:w="1969" w:type="dxa"/>
            <w:vAlign w:val="center"/>
          </w:tcPr>
          <w:p w14:paraId="278537C9">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开标时间和地点</w:t>
            </w:r>
          </w:p>
        </w:tc>
        <w:tc>
          <w:tcPr>
            <w:tcW w:w="6494" w:type="dxa"/>
            <w:vAlign w:val="center"/>
          </w:tcPr>
          <w:p w14:paraId="3CB9D8BC">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1.时间：同投标文件递交截止时间；</w:t>
            </w:r>
          </w:p>
          <w:p w14:paraId="40BC7F69">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2.开标管理员操作地点：河南省公共资源交易中心远程开标室（</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p>
        </w:tc>
      </w:tr>
      <w:tr w14:paraId="2B8D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70BD757E">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6.1</w:t>
            </w:r>
          </w:p>
        </w:tc>
        <w:tc>
          <w:tcPr>
            <w:tcW w:w="1969" w:type="dxa"/>
            <w:vAlign w:val="center"/>
          </w:tcPr>
          <w:p w14:paraId="2F515DB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资格审查</w:t>
            </w:r>
          </w:p>
        </w:tc>
        <w:tc>
          <w:tcPr>
            <w:tcW w:w="6494" w:type="dxa"/>
            <w:vAlign w:val="center"/>
          </w:tcPr>
          <w:p w14:paraId="5F85AB9E">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资格审查主体：招标人或招标代理机构；</w:t>
            </w:r>
          </w:p>
          <w:p w14:paraId="2615C0B0">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在开标结束后，首先由招标人或招标代理机构对投标人的资格进行审查,资格审查内容为：第三章评标办法及标准中“资格审查表”规定的全部内容。</w:t>
            </w:r>
          </w:p>
        </w:tc>
      </w:tr>
      <w:tr w14:paraId="2E77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002A1F2D">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6.2.1</w:t>
            </w:r>
          </w:p>
        </w:tc>
        <w:tc>
          <w:tcPr>
            <w:tcW w:w="1969" w:type="dxa"/>
            <w:vAlign w:val="center"/>
          </w:tcPr>
          <w:p w14:paraId="6AFABA5E">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评标委员会的组建</w:t>
            </w:r>
          </w:p>
        </w:tc>
        <w:tc>
          <w:tcPr>
            <w:tcW w:w="6494" w:type="dxa"/>
            <w:vAlign w:val="center"/>
          </w:tcPr>
          <w:p w14:paraId="2FCC8AC2">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评标委员会构成：5人，</w:t>
            </w:r>
            <w:r>
              <w:rPr>
                <w:rFonts w:hint="eastAsia" w:ascii="宋体" w:hAnsi="宋体"/>
                <w:color w:val="auto"/>
                <w:highlight w:val="none"/>
              </w:rPr>
              <w:t>由1名招标人代表、4名评标专家组成</w:t>
            </w:r>
            <w:r>
              <w:rPr>
                <w:rFonts w:hint="eastAsia" w:ascii="宋体" w:hAnsi="宋体" w:cs="宋体"/>
                <w:color w:val="auto"/>
                <w:szCs w:val="21"/>
                <w:highlight w:val="none"/>
              </w:rPr>
              <w:t>；</w:t>
            </w:r>
          </w:p>
          <w:p w14:paraId="54F3F7D6">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评标专家确定方式：开标前从河南省政府采购评标专家库中随机抽取。</w:t>
            </w:r>
          </w:p>
        </w:tc>
      </w:tr>
      <w:tr w14:paraId="3208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96" w:type="dxa"/>
            <w:vAlign w:val="center"/>
          </w:tcPr>
          <w:p w14:paraId="40F08046">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6.3.4</w:t>
            </w:r>
          </w:p>
        </w:tc>
        <w:tc>
          <w:tcPr>
            <w:tcW w:w="1969" w:type="dxa"/>
            <w:vAlign w:val="center"/>
          </w:tcPr>
          <w:p w14:paraId="6575CE5A">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本次评标采用的评标方法</w:t>
            </w:r>
          </w:p>
        </w:tc>
        <w:tc>
          <w:tcPr>
            <w:tcW w:w="6494" w:type="dxa"/>
            <w:vAlign w:val="center"/>
          </w:tcPr>
          <w:p w14:paraId="737A3320">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综合评分法</w:t>
            </w:r>
          </w:p>
        </w:tc>
      </w:tr>
      <w:tr w14:paraId="7609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96" w:type="dxa"/>
            <w:vAlign w:val="center"/>
          </w:tcPr>
          <w:p w14:paraId="030E0FF9">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7.1</w:t>
            </w:r>
          </w:p>
        </w:tc>
        <w:tc>
          <w:tcPr>
            <w:tcW w:w="1969" w:type="dxa"/>
            <w:vAlign w:val="center"/>
          </w:tcPr>
          <w:p w14:paraId="4D8773DC">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是否授权评标委员会确定中标人</w:t>
            </w:r>
          </w:p>
        </w:tc>
        <w:tc>
          <w:tcPr>
            <w:tcW w:w="6494" w:type="dxa"/>
            <w:vAlign w:val="center"/>
          </w:tcPr>
          <w:p w14:paraId="6074A5CD">
            <w:pPr>
              <w:tabs>
                <w:tab w:val="left" w:pos="4762"/>
              </w:tabs>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否，推荐的中标候选人数：3名</w:t>
            </w:r>
          </w:p>
        </w:tc>
      </w:tr>
      <w:tr w14:paraId="5684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096" w:type="dxa"/>
            <w:vAlign w:val="center"/>
          </w:tcPr>
          <w:p w14:paraId="65F3E640">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7.4</w:t>
            </w:r>
          </w:p>
        </w:tc>
        <w:tc>
          <w:tcPr>
            <w:tcW w:w="1969" w:type="dxa"/>
            <w:vAlign w:val="center"/>
          </w:tcPr>
          <w:p w14:paraId="58D50F46">
            <w:pPr>
              <w:adjustRightInd w:val="0"/>
              <w:snapToGrid w:val="0"/>
              <w:spacing w:line="440" w:lineRule="exact"/>
              <w:ind w:left="105" w:leftChars="50"/>
              <w:jc w:val="center"/>
              <w:rPr>
                <w:rFonts w:ascii="宋体" w:hAnsi="宋体" w:cs="宋体"/>
                <w:color w:val="auto"/>
                <w:szCs w:val="21"/>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szCs w:val="21"/>
                <w:highlight w:val="none"/>
              </w:rPr>
              <w:t>履约担保</w:t>
            </w:r>
          </w:p>
        </w:tc>
        <w:tc>
          <w:tcPr>
            <w:tcW w:w="6494" w:type="dxa"/>
            <w:vAlign w:val="center"/>
          </w:tcPr>
          <w:p w14:paraId="00B7CB19">
            <w:pPr>
              <w:tabs>
                <w:tab w:val="left" w:pos="4762"/>
              </w:tabs>
              <w:adjustRightInd w:val="0"/>
              <w:snapToGrid w:val="0"/>
              <w:spacing w:line="440" w:lineRule="exact"/>
              <w:ind w:left="105" w:leftChars="50"/>
              <w:rPr>
                <w:rFonts w:ascii="宋体" w:hAnsi="宋体" w:cs="宋体"/>
                <w:b/>
                <w:bCs/>
                <w:color w:val="auto"/>
                <w:szCs w:val="21"/>
                <w:highlight w:val="none"/>
              </w:rPr>
            </w:pPr>
            <w:r>
              <w:rPr>
                <w:rFonts w:ascii="宋体" w:hAnsi="宋体" w:cs="宋体"/>
                <w:b/>
                <w:bCs/>
                <w:color w:val="auto"/>
                <w:szCs w:val="21"/>
                <w:highlight w:val="none"/>
              </w:rPr>
              <w:t>履约担保的金额：合同金额的5%</w:t>
            </w:r>
          </w:p>
          <w:p w14:paraId="25F72951">
            <w:pPr>
              <w:tabs>
                <w:tab w:val="left" w:pos="4762"/>
              </w:tabs>
              <w:adjustRightInd w:val="0"/>
              <w:snapToGrid w:val="0"/>
              <w:spacing w:line="440" w:lineRule="exact"/>
              <w:ind w:left="105" w:leftChars="50"/>
              <w:rPr>
                <w:rFonts w:ascii="宋体" w:hAnsi="宋体" w:cs="宋体"/>
                <w:b/>
                <w:bCs/>
                <w:color w:val="auto"/>
                <w:szCs w:val="21"/>
                <w:highlight w:val="none"/>
              </w:rPr>
            </w:pPr>
            <w:r>
              <w:rPr>
                <w:rFonts w:ascii="宋体" w:hAnsi="宋体" w:cs="宋体"/>
                <w:b/>
                <w:bCs/>
                <w:color w:val="auto"/>
                <w:szCs w:val="21"/>
                <w:highlight w:val="none"/>
              </w:rPr>
              <w:t>履约保证金币种：人民币</w:t>
            </w:r>
          </w:p>
          <w:p w14:paraId="15F8DADA">
            <w:pPr>
              <w:tabs>
                <w:tab w:val="left" w:pos="4762"/>
              </w:tabs>
              <w:adjustRightInd w:val="0"/>
              <w:snapToGrid w:val="0"/>
              <w:spacing w:line="440" w:lineRule="exact"/>
              <w:ind w:left="105" w:leftChars="50"/>
              <w:rPr>
                <w:rFonts w:ascii="宋体" w:hAnsi="宋体" w:cs="宋体"/>
                <w:b/>
                <w:bCs/>
                <w:color w:val="auto"/>
                <w:szCs w:val="21"/>
                <w:highlight w:val="none"/>
              </w:rPr>
            </w:pPr>
            <w:r>
              <w:rPr>
                <w:rFonts w:ascii="宋体" w:hAnsi="宋体" w:cs="宋体"/>
                <w:b/>
                <w:bCs/>
                <w:color w:val="auto"/>
                <w:szCs w:val="21"/>
                <w:highlight w:val="none"/>
              </w:rPr>
              <w:t>履约担保的时间及形式：银行保函</w:t>
            </w:r>
          </w:p>
          <w:p w14:paraId="06F094AF">
            <w:pPr>
              <w:tabs>
                <w:tab w:val="left" w:pos="4762"/>
              </w:tabs>
              <w:adjustRightInd w:val="0"/>
              <w:snapToGrid w:val="0"/>
              <w:spacing w:line="440" w:lineRule="exact"/>
              <w:ind w:left="105" w:leftChars="50"/>
              <w:rPr>
                <w:rFonts w:ascii="宋体" w:hAnsi="宋体" w:cs="宋体"/>
                <w:b/>
                <w:bCs/>
                <w:color w:val="auto"/>
                <w:szCs w:val="21"/>
                <w:highlight w:val="none"/>
              </w:rPr>
            </w:pPr>
            <w:r>
              <w:rPr>
                <w:rFonts w:ascii="宋体" w:hAnsi="宋体" w:cs="宋体"/>
                <w:b/>
                <w:bCs/>
                <w:color w:val="auto"/>
                <w:szCs w:val="21"/>
                <w:highlight w:val="none"/>
              </w:rPr>
              <w:t>履约保证金提交方式：成交供应商应在采购合同签订之日起 7 个工作日内向</w:t>
            </w:r>
            <w:r>
              <w:rPr>
                <w:rFonts w:hint="eastAsia" w:ascii="宋体" w:hAnsi="宋体" w:cs="宋体"/>
                <w:b/>
                <w:bCs/>
                <w:color w:val="auto"/>
                <w:szCs w:val="21"/>
                <w:highlight w:val="none"/>
              </w:rPr>
              <w:t>招标人</w:t>
            </w:r>
            <w:r>
              <w:rPr>
                <w:rFonts w:ascii="宋体" w:hAnsi="宋体" w:cs="宋体"/>
                <w:b/>
                <w:bCs/>
                <w:color w:val="auto"/>
                <w:szCs w:val="21"/>
                <w:highlight w:val="none"/>
              </w:rPr>
              <w:t>缴纳履约保证金（以银行保函形式）。履约保证金期限应覆盖供货期和质保期，不缴纳，视为中标人自动放弃中标资格。在成交供应商完成其合同义务包括任何保证义务至质保期结束无质量问题，退还成交供应商履约保证金（银行保函）</w:t>
            </w:r>
          </w:p>
        </w:tc>
      </w:tr>
      <w:tr w14:paraId="281D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559" w:type="dxa"/>
            <w:gridSpan w:val="3"/>
            <w:vAlign w:val="center"/>
          </w:tcPr>
          <w:p w14:paraId="3B904112">
            <w:pPr>
              <w:adjustRightInd w:val="0"/>
              <w:snapToGrid w:val="0"/>
              <w:spacing w:line="440" w:lineRule="exact"/>
              <w:ind w:left="105" w:leftChars="50"/>
              <w:rPr>
                <w:rFonts w:ascii="宋体" w:hAnsi="宋体" w:cs="宋体"/>
                <w:color w:val="auto"/>
                <w:szCs w:val="21"/>
                <w:highlight w:val="none"/>
              </w:rPr>
            </w:pPr>
            <w:r>
              <w:rPr>
                <w:rFonts w:hint="eastAsia" w:ascii="宋体" w:hAnsi="宋体" w:cs="宋体"/>
                <w:color w:val="auto"/>
                <w:szCs w:val="21"/>
                <w:highlight w:val="none"/>
              </w:rPr>
              <w:t>10. 需要补充的其他内容</w:t>
            </w:r>
          </w:p>
        </w:tc>
      </w:tr>
      <w:tr w14:paraId="777E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030E114D">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10.1</w:t>
            </w:r>
          </w:p>
        </w:tc>
        <w:tc>
          <w:tcPr>
            <w:tcW w:w="1969" w:type="dxa"/>
            <w:vAlign w:val="center"/>
          </w:tcPr>
          <w:p w14:paraId="4DBA64AE">
            <w:pPr>
              <w:adjustRightInd w:val="0"/>
              <w:snapToGrid w:val="0"/>
              <w:spacing w:line="440" w:lineRule="exact"/>
              <w:ind w:left="105" w:leftChars="50"/>
              <w:jc w:val="center"/>
              <w:rPr>
                <w:b/>
                <w:bCs/>
                <w:color w:val="auto"/>
                <w:highlight w:val="none"/>
              </w:rPr>
            </w:pPr>
            <w:r>
              <w:rPr>
                <w:rFonts w:hint="eastAsia" w:ascii="微软雅黑" w:hAnsi="微软雅黑" w:eastAsia="微软雅黑" w:cs="微软雅黑"/>
                <w:b/>
                <w:bCs/>
                <w:color w:val="auto"/>
                <w:szCs w:val="21"/>
                <w:highlight w:val="none"/>
              </w:rPr>
              <w:t>★</w:t>
            </w:r>
            <w:r>
              <w:rPr>
                <w:rFonts w:hint="eastAsia" w:ascii="宋体" w:hAnsi="宋体" w:cs="宋体"/>
                <w:b/>
                <w:bCs/>
                <w:color w:val="auto"/>
                <w:szCs w:val="21"/>
                <w:highlight w:val="none"/>
              </w:rPr>
              <w:t>付款方式</w:t>
            </w:r>
          </w:p>
        </w:tc>
        <w:tc>
          <w:tcPr>
            <w:tcW w:w="6494" w:type="dxa"/>
            <w:vAlign w:val="center"/>
          </w:tcPr>
          <w:p w14:paraId="6E99F739">
            <w:pPr>
              <w:tabs>
                <w:tab w:val="left" w:pos="4762"/>
              </w:tabs>
              <w:adjustRightInd w:val="0"/>
              <w:snapToGrid w:val="0"/>
              <w:spacing w:line="440" w:lineRule="exact"/>
              <w:ind w:left="105" w:leftChars="50"/>
              <w:rPr>
                <w:rFonts w:hint="eastAsia"/>
                <w:b/>
                <w:bCs/>
                <w:color w:val="auto"/>
                <w:highlight w:val="none"/>
                <w:lang w:val="en-US" w:eastAsia="zh-CN"/>
              </w:rPr>
            </w:pPr>
            <w:r>
              <w:rPr>
                <w:rFonts w:hint="eastAsia"/>
                <w:b/>
                <w:bCs/>
                <w:color w:val="auto"/>
                <w:highlight w:val="none"/>
                <w:lang w:val="en-US" w:eastAsia="zh-CN"/>
              </w:rPr>
              <w:t>1.合同签订后30日内，由乙方提供本合同金额30%的预付款保函（银行保函形式、有效期至甲方收货后），甲方收到预付款保函、合同备案通过后一个月内，支付合同总额30%作为预付款给乙方；</w:t>
            </w:r>
          </w:p>
          <w:p w14:paraId="54877EFF">
            <w:pPr>
              <w:tabs>
                <w:tab w:val="left" w:pos="4762"/>
              </w:tabs>
              <w:adjustRightInd w:val="0"/>
              <w:snapToGrid w:val="0"/>
              <w:spacing w:line="440" w:lineRule="exact"/>
              <w:ind w:left="105" w:leftChars="50"/>
              <w:rPr>
                <w:rFonts w:hint="eastAsia"/>
                <w:b/>
                <w:bCs/>
                <w:color w:val="auto"/>
                <w:highlight w:val="none"/>
                <w:lang w:val="en-US" w:eastAsia="zh-CN"/>
              </w:rPr>
            </w:pPr>
            <w:r>
              <w:rPr>
                <w:rFonts w:hint="eastAsia"/>
                <w:b/>
                <w:bCs/>
                <w:color w:val="auto"/>
                <w:highlight w:val="none"/>
                <w:lang w:val="en-US" w:eastAsia="zh-CN"/>
              </w:rPr>
              <w:t>2.乙方在验收合格之日起15日内，按照合同金额的100%向甲方开具发票，甲方收到全额发票30日内支付合同总额的70%给乙方并退还乙方预付款保函，在乙方完成其合同义务包括任何保证义务至质保期结束无质量问题，退还乙方履约保证金（银行保函）；</w:t>
            </w:r>
          </w:p>
          <w:p w14:paraId="24428089">
            <w:pPr>
              <w:tabs>
                <w:tab w:val="left" w:pos="4762"/>
              </w:tabs>
              <w:adjustRightInd w:val="0"/>
              <w:snapToGrid w:val="0"/>
              <w:spacing w:line="440" w:lineRule="exact"/>
              <w:ind w:left="105" w:leftChars="50"/>
              <w:rPr>
                <w:b/>
                <w:bCs/>
                <w:color w:val="auto"/>
                <w:highlight w:val="none"/>
              </w:rPr>
            </w:pPr>
            <w:r>
              <w:rPr>
                <w:rFonts w:hint="eastAsia"/>
                <w:b/>
                <w:bCs/>
                <w:color w:val="auto"/>
                <w:highlight w:val="none"/>
              </w:rPr>
              <w:t>3.如乙方未开具预付款保函，视为放弃预付款。乙方在验收合格之日起15日内，按照合同</w:t>
            </w:r>
            <w:r>
              <w:rPr>
                <w:rFonts w:hint="eastAsia" w:ascii="宋体" w:hAnsi="宋体" w:cs="宋体"/>
                <w:b/>
                <w:bCs/>
                <w:color w:val="auto"/>
                <w:szCs w:val="21"/>
                <w:highlight w:val="none"/>
              </w:rPr>
              <w:t>金额</w:t>
            </w:r>
            <w:r>
              <w:rPr>
                <w:rFonts w:hint="eastAsia"/>
                <w:b/>
                <w:bCs/>
                <w:color w:val="auto"/>
                <w:highlight w:val="none"/>
              </w:rPr>
              <w:t>的100%向甲方开具发票，甲方收到全额发票30日内支付合同总额的100%给乙方，在乙方完成其合同义务包括任何保证义务至质保期结束无质量问题，退还乙方履约保证金（银行保函）；</w:t>
            </w:r>
          </w:p>
          <w:p w14:paraId="2649C7AF">
            <w:pPr>
              <w:tabs>
                <w:tab w:val="left" w:pos="4762"/>
              </w:tabs>
              <w:adjustRightInd w:val="0"/>
              <w:snapToGrid w:val="0"/>
              <w:spacing w:line="440" w:lineRule="exact"/>
              <w:ind w:left="105" w:leftChars="50"/>
              <w:rPr>
                <w:color w:val="auto"/>
                <w:highlight w:val="none"/>
              </w:rPr>
            </w:pPr>
            <w:r>
              <w:rPr>
                <w:rFonts w:hint="eastAsia"/>
                <w:b/>
                <w:bCs/>
                <w:color w:val="auto"/>
                <w:highlight w:val="none"/>
              </w:rPr>
              <w:t>注：因甲方单位性质，需要按照国家、省级项目资金支付规定执行，乙方应对此清楚知晓，甲方</w:t>
            </w:r>
            <w:r>
              <w:rPr>
                <w:rFonts w:hint="eastAsia" w:ascii="宋体" w:hAnsi="宋体" w:cs="宋体"/>
                <w:b/>
                <w:bCs/>
                <w:color w:val="auto"/>
                <w:szCs w:val="21"/>
                <w:highlight w:val="none"/>
              </w:rPr>
              <w:t>尽量</w:t>
            </w:r>
            <w:r>
              <w:rPr>
                <w:rFonts w:hint="eastAsia"/>
                <w:b/>
                <w:bCs/>
                <w:color w:val="auto"/>
                <w:highlight w:val="none"/>
              </w:rPr>
              <w:t>保证按照本协议约定履行义务，如因以上原因导致无法按时支付款项的，乙方承诺不追究甲方违约责任。</w:t>
            </w:r>
          </w:p>
        </w:tc>
      </w:tr>
      <w:tr w14:paraId="1FA5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459FBE30">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10.2</w:t>
            </w:r>
          </w:p>
        </w:tc>
        <w:tc>
          <w:tcPr>
            <w:tcW w:w="1969" w:type="dxa"/>
            <w:vAlign w:val="center"/>
          </w:tcPr>
          <w:p w14:paraId="1C501D91">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投标费用</w:t>
            </w:r>
          </w:p>
        </w:tc>
        <w:tc>
          <w:tcPr>
            <w:tcW w:w="6494" w:type="dxa"/>
            <w:vAlign w:val="center"/>
          </w:tcPr>
          <w:p w14:paraId="488B0D41">
            <w:pPr>
              <w:adjustRightInd w:val="0"/>
              <w:snapToGrid w:val="0"/>
              <w:spacing w:line="440" w:lineRule="exact"/>
              <w:ind w:left="105"/>
              <w:jc w:val="left"/>
              <w:rPr>
                <w:rFonts w:ascii="宋体" w:hAnsi="宋体" w:cs="宋体"/>
                <w:color w:val="auto"/>
                <w:szCs w:val="21"/>
                <w:highlight w:val="none"/>
              </w:rPr>
            </w:pPr>
            <w:r>
              <w:rPr>
                <w:rFonts w:hint="eastAsia" w:ascii="宋体" w:hAnsi="宋体" w:cs="宋体"/>
                <w:color w:val="auto"/>
                <w:szCs w:val="21"/>
                <w:highlight w:val="none"/>
              </w:rPr>
              <w:t>1.投标人准备和参加投标活动发生的费用自理。在任何情况下招标人和招标代理机构对上述费用均不承担任何责任。</w:t>
            </w:r>
          </w:p>
          <w:p w14:paraId="19885EB1">
            <w:pPr>
              <w:adjustRightInd w:val="0"/>
              <w:snapToGrid w:val="0"/>
              <w:spacing w:line="440" w:lineRule="exact"/>
              <w:ind w:left="105"/>
              <w:jc w:val="left"/>
              <w:rPr>
                <w:rFonts w:hint="eastAsia" w:ascii="宋体" w:hAnsi="宋体"/>
                <w:b/>
                <w:bCs/>
                <w:color w:val="auto"/>
                <w:kern w:val="0"/>
                <w:highlight w:val="none"/>
              </w:rPr>
            </w:pPr>
            <w:r>
              <w:rPr>
                <w:rFonts w:hint="eastAsia" w:ascii="宋体" w:hAnsi="宋体" w:cs="宋体"/>
                <w:color w:val="auto"/>
                <w:szCs w:val="21"/>
                <w:highlight w:val="none"/>
              </w:rPr>
              <w:t>2.本项目招标代理服务费参照国家计委关于《招标代理服务收费管理暂行办法》（计价格〔2002〕1980号）规定收费标准（以中标金额为基数）的60%收取，由中标供应商在领取中标通知书时，一次性向招标代理机构缴纳。</w:t>
            </w:r>
            <w:r>
              <w:rPr>
                <w:rFonts w:hint="eastAsia" w:ascii="宋体" w:hAnsi="宋体"/>
                <w:b/>
                <w:bCs/>
                <w:color w:val="auto"/>
                <w:kern w:val="0"/>
                <w:highlight w:val="none"/>
              </w:rPr>
              <w:t>类别：货物招标。</w:t>
            </w:r>
          </w:p>
          <w:p w14:paraId="68B8B1C4">
            <w:pPr>
              <w:adjustRightInd w:val="0"/>
              <w:snapToGrid w:val="0"/>
              <w:spacing w:line="440" w:lineRule="exact"/>
              <w:ind w:left="105"/>
              <w:jc w:val="left"/>
              <w:rPr>
                <w:rFonts w:hint="eastAsia" w:ascii="宋体" w:hAnsi="宋体"/>
                <w:b/>
                <w:bCs/>
                <w:color w:val="auto"/>
                <w:kern w:val="0"/>
                <w:highlight w:val="none"/>
              </w:rPr>
            </w:pPr>
            <w:r>
              <w:rPr>
                <w:rFonts w:hint="eastAsia" w:ascii="宋体" w:hAnsi="宋体"/>
                <w:b/>
                <w:bCs/>
                <w:color w:val="auto"/>
                <w:kern w:val="0"/>
                <w:highlight w:val="none"/>
              </w:rPr>
              <w:t>因成交供应商/中标人无正当理由拖延/拒绝支付招标代理服务费用，导致招标代理机构通过诉讼/仲裁维权的，成交供应商/中标人应赔偿代理机构维权产生的合理费用，包括但不限于诉讼费、保全费、利息、律师费，差旅费等。</w:t>
            </w:r>
          </w:p>
        </w:tc>
      </w:tr>
      <w:tr w14:paraId="7A61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280FF32E">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10.3</w:t>
            </w:r>
          </w:p>
        </w:tc>
        <w:tc>
          <w:tcPr>
            <w:tcW w:w="1969" w:type="dxa"/>
            <w:vAlign w:val="center"/>
          </w:tcPr>
          <w:p w14:paraId="06F0F465">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中标结果公告</w:t>
            </w:r>
          </w:p>
        </w:tc>
        <w:tc>
          <w:tcPr>
            <w:tcW w:w="6494" w:type="dxa"/>
            <w:vAlign w:val="center"/>
          </w:tcPr>
          <w:p w14:paraId="64DC8182">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招标人或者招标代理机构自中标人确定之日起2个工作日内，在招标公告发布的同一媒介公告中标结果，中标公告期限为1个工作日。</w:t>
            </w:r>
          </w:p>
        </w:tc>
      </w:tr>
      <w:tr w14:paraId="40D6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012BC0ED">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10.4</w:t>
            </w:r>
          </w:p>
        </w:tc>
        <w:tc>
          <w:tcPr>
            <w:tcW w:w="1969" w:type="dxa"/>
            <w:vAlign w:val="center"/>
          </w:tcPr>
          <w:p w14:paraId="0694EA64">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重新确定中标人</w:t>
            </w:r>
          </w:p>
        </w:tc>
        <w:tc>
          <w:tcPr>
            <w:tcW w:w="6494" w:type="dxa"/>
            <w:vAlign w:val="center"/>
          </w:tcPr>
          <w:p w14:paraId="19F0AAD7">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按照投标人须知第7.1条规定的情形确定的中标候选人出现下述情况：排名第一的中标候选人放弃中标/因不可抗力不能履行合同/被查实存在影响中标结果的违法行为等情形，招标人可以按照评标委员会提出的中标候选人名单排序依次确定其他中标候选人为中标人，也可以重新招标。</w:t>
            </w:r>
          </w:p>
        </w:tc>
      </w:tr>
      <w:tr w14:paraId="3F9B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07EBD3F3">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10.5</w:t>
            </w:r>
          </w:p>
        </w:tc>
        <w:tc>
          <w:tcPr>
            <w:tcW w:w="1969" w:type="dxa"/>
            <w:vAlign w:val="center"/>
          </w:tcPr>
          <w:p w14:paraId="7D2EC75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投标供应商数量确定</w:t>
            </w:r>
          </w:p>
        </w:tc>
        <w:tc>
          <w:tcPr>
            <w:tcW w:w="6494" w:type="dxa"/>
            <w:vAlign w:val="center"/>
          </w:tcPr>
          <w:p w14:paraId="06A38D43">
            <w:pPr>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出现多个供应商提供相同品牌产品的，按以下原则进行评审：</w:t>
            </w:r>
          </w:p>
          <w:p w14:paraId="4B6EFFA8">
            <w:pPr>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1）单一产品采购项目，提供相同品牌产品且通过资格审查、符合性审查的不同供应商参加同一合同项下投标的，按一家供应商计算，评审后得分最高的同品牌供应商获得中标人推荐资格；评审得分相同的，投标报价低的供应商获得中标人推荐资格；投标报价也相同的，技术部分得分高的供应商获得中标人推荐资格；技术部分得分也相同的，商务部分得分高的供应商获得中标人推荐资格。其他同品牌供应商不作为中标候选人。</w:t>
            </w:r>
          </w:p>
          <w:p w14:paraId="7C52B255">
            <w:pPr>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2）非单一产品采购项目，招标人将根据采购项目技术构成、产品价格比重等合理确定核心产品，确定的核心产品见招标文件的采购清单。多家供应商提供的核心产品品牌相同，且通过资格审查、符合性审查的不同供应商参加同一合同项下投标的，按一家供应商计算，评审后得分最高的同品牌供应商获得中标人推荐资格；评审得分相同的，投标报价低的供应商获得中标人推荐资格；投标报价也相同的，技术部分得分高的供应商获得中标人推荐资格；技术部分得分也相同的，商务部分得分高的供应商获得中标人推荐资格。其他同品牌供应商不作为中标候选人。</w:t>
            </w:r>
          </w:p>
          <w:p w14:paraId="0B907313">
            <w:pPr>
              <w:spacing w:line="440" w:lineRule="exact"/>
              <w:ind w:left="105" w:leftChars="50"/>
              <w:jc w:val="left"/>
              <w:rPr>
                <w:rFonts w:ascii="宋体" w:hAnsi="宋体" w:cs="宋体"/>
                <w:color w:val="auto"/>
                <w:szCs w:val="21"/>
                <w:highlight w:val="none"/>
              </w:rPr>
            </w:pPr>
            <w:r>
              <w:rPr>
                <w:rFonts w:hint="eastAsia" w:ascii="宋体" w:hAnsi="宋体" w:cs="宋体"/>
                <w:b/>
                <w:bCs/>
                <w:color w:val="auto"/>
                <w:szCs w:val="21"/>
                <w:highlight w:val="none"/>
              </w:rPr>
              <w:t>本项目为单一产品采购项目。</w:t>
            </w:r>
          </w:p>
        </w:tc>
      </w:tr>
      <w:tr w14:paraId="498F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096" w:type="dxa"/>
            <w:vAlign w:val="center"/>
          </w:tcPr>
          <w:p w14:paraId="44000BBD">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10.6</w:t>
            </w:r>
          </w:p>
        </w:tc>
        <w:tc>
          <w:tcPr>
            <w:tcW w:w="1969" w:type="dxa"/>
            <w:vAlign w:val="center"/>
          </w:tcPr>
          <w:p w14:paraId="50CF3158">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解释权</w:t>
            </w:r>
          </w:p>
        </w:tc>
        <w:tc>
          <w:tcPr>
            <w:tcW w:w="6494" w:type="dxa"/>
            <w:vAlign w:val="center"/>
          </w:tcPr>
          <w:p w14:paraId="37A4D516">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构成本招标文件的各个组成文件应互为解释，互为说明；如有不明确或不一致，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1522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1FF584E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10.7</w:t>
            </w:r>
          </w:p>
        </w:tc>
        <w:tc>
          <w:tcPr>
            <w:tcW w:w="1969" w:type="dxa"/>
            <w:vAlign w:val="center"/>
          </w:tcPr>
          <w:p w14:paraId="28F8F0F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kern w:val="0"/>
                <w:szCs w:val="21"/>
                <w:highlight w:val="none"/>
              </w:rPr>
              <w:t>政府采购政策</w:t>
            </w:r>
          </w:p>
        </w:tc>
        <w:tc>
          <w:tcPr>
            <w:tcW w:w="6494" w:type="dxa"/>
            <w:vAlign w:val="center"/>
          </w:tcPr>
          <w:p w14:paraId="71419D34">
            <w:pPr>
              <w:widowControl/>
              <w:spacing w:line="360" w:lineRule="auto"/>
              <w:ind w:left="105" w:leftChars="50"/>
              <w:jc w:val="left"/>
              <w:rPr>
                <w:rFonts w:ascii="宋体" w:hAnsi="宋体"/>
                <w:color w:val="auto"/>
                <w:highlight w:val="none"/>
              </w:rPr>
            </w:pPr>
            <w:r>
              <w:rPr>
                <w:rFonts w:hint="eastAsia" w:ascii="宋体" w:hAnsi="宋体"/>
                <w:color w:val="auto"/>
                <w:highlight w:val="none"/>
              </w:rPr>
              <w:t>A．为贯彻落实《财政部 工业和信息化部关于印发&lt;政府采购促进中小企业发展管理办法&gt;的通知》（财库〔2020〕46号）和《关于进一步加大政府采购支持中小企业力度的通知》（财库〔2022〕19号）。本项目鼓励中小企业参与，若供应商为符合政府采购政策价格扣除的小型及微型企业，应提交信息完整有效的《中小企业声明函》。若不能提供，则视为非小微型企业，价格不予扣除；本项目对属于小微型企业的响应报价给予</w:t>
            </w:r>
            <w:r>
              <w:rPr>
                <w:rFonts w:hint="eastAsia" w:ascii="宋体" w:hAnsi="宋体"/>
                <w:b/>
                <w:bCs/>
                <w:color w:val="auto"/>
                <w:highlight w:val="none"/>
              </w:rPr>
              <w:t>10%</w:t>
            </w:r>
            <w:r>
              <w:rPr>
                <w:rFonts w:hint="eastAsia" w:ascii="宋体" w:hAnsi="宋体"/>
                <w:color w:val="auto"/>
                <w:highlight w:val="none"/>
              </w:rPr>
              <w:t>的价格扣除。（声明函格式详见附件）。</w:t>
            </w:r>
          </w:p>
          <w:p w14:paraId="7D38D3CA">
            <w:pPr>
              <w:widowControl/>
              <w:spacing w:line="360" w:lineRule="auto"/>
              <w:ind w:left="105" w:leftChars="50"/>
              <w:jc w:val="left"/>
              <w:rPr>
                <w:rFonts w:ascii="宋体" w:hAnsi="宋体"/>
                <w:color w:val="auto"/>
                <w:highlight w:val="none"/>
              </w:rPr>
            </w:pPr>
            <w:r>
              <w:rPr>
                <w:rFonts w:hint="eastAsia" w:ascii="宋体" w:hAnsi="宋体"/>
                <w:color w:val="auto"/>
                <w:highlight w:val="none"/>
              </w:rPr>
              <w:t>B．中小企业划型标准以《工业和信息化部国家统计局国家发展和改革委财政部关于印发中小企业划型标准规定的通知》（工信部联企业〔2011〕300号）为依据。其中企业的营业收入、资产总额判定依据为最近一年度的财务审计报告，企业从业人员总数判定依据为缴纳统筹人员总数。</w:t>
            </w:r>
          </w:p>
          <w:p w14:paraId="0821EEFD">
            <w:pPr>
              <w:widowControl/>
              <w:spacing w:line="360" w:lineRule="auto"/>
              <w:ind w:left="105" w:leftChars="50"/>
              <w:jc w:val="left"/>
              <w:rPr>
                <w:rFonts w:ascii="宋体" w:hAnsi="宋体"/>
                <w:color w:val="auto"/>
                <w:highlight w:val="none"/>
              </w:rPr>
            </w:pPr>
            <w:r>
              <w:rPr>
                <w:rFonts w:hint="eastAsia" w:ascii="宋体" w:hAnsi="宋体"/>
                <w:color w:val="auto"/>
                <w:highlight w:val="none"/>
              </w:rPr>
              <w:t>C．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w:t>
            </w:r>
          </w:p>
          <w:p w14:paraId="18DA041A">
            <w:pPr>
              <w:widowControl/>
              <w:spacing w:line="360" w:lineRule="auto"/>
              <w:ind w:left="105" w:leftChars="50"/>
              <w:jc w:val="left"/>
              <w:rPr>
                <w:rFonts w:ascii="宋体" w:hAnsi="宋体"/>
                <w:color w:val="auto"/>
                <w:highlight w:val="none"/>
              </w:rPr>
            </w:pPr>
            <w:r>
              <w:rPr>
                <w:rFonts w:hint="eastAsia" w:ascii="宋体" w:hAnsi="宋体"/>
                <w:color w:val="auto"/>
                <w:highlight w:val="none"/>
              </w:rPr>
              <w:t>D．根据《财政部、民政部、中国残疾人联合会关于关于促进残疾人就业政府采购政策的通知》（财库〔2017〕141号）规定，本项目支持残疾人福利性单位参与政府采购活动，符合条件的残疾人福利性单位参加本项目投标时，应当提供《残疾人福利性单位声明函》，视同小型、微型企业。</w:t>
            </w:r>
          </w:p>
          <w:p w14:paraId="7EDC2904">
            <w:pPr>
              <w:widowControl/>
              <w:spacing w:line="360" w:lineRule="auto"/>
              <w:ind w:left="105" w:leftChars="50"/>
              <w:jc w:val="left"/>
              <w:rPr>
                <w:rFonts w:ascii="宋体" w:hAnsi="宋体"/>
                <w:color w:val="auto"/>
                <w:highlight w:val="none"/>
              </w:rPr>
            </w:pPr>
            <w:r>
              <w:rPr>
                <w:rFonts w:hint="eastAsia" w:ascii="宋体" w:hAnsi="宋体"/>
                <w:color w:val="auto"/>
                <w:highlight w:val="none"/>
              </w:rPr>
              <w:t>供应商提供的《声明函》与事实不符的，将依照《政府采购法》第七十七条第一款的规定追究法律责任。</w:t>
            </w:r>
          </w:p>
          <w:p w14:paraId="5F1E7AE8">
            <w:pPr>
              <w:pStyle w:val="88"/>
              <w:adjustRightInd w:val="0"/>
              <w:snapToGrid w:val="0"/>
              <w:spacing w:line="360" w:lineRule="auto"/>
              <w:ind w:left="105" w:leftChars="50" w:firstLine="211" w:firstLineChars="100"/>
              <w:rPr>
                <w:rFonts w:ascii="宋体" w:hAnsi="宋体" w:cs="宋体"/>
                <w:b/>
                <w:bCs/>
                <w:color w:val="auto"/>
                <w:szCs w:val="21"/>
                <w:highlight w:val="none"/>
              </w:rPr>
            </w:pPr>
            <w:r>
              <w:rPr>
                <w:rFonts w:hint="eastAsia" w:ascii="宋体" w:hAnsi="宋体" w:cs="宋体"/>
                <w:b/>
                <w:bCs/>
                <w:color w:val="auto"/>
                <w:szCs w:val="21"/>
                <w:highlight w:val="none"/>
              </w:rPr>
              <w:t>采购标的所属行业：工业</w:t>
            </w:r>
          </w:p>
          <w:p w14:paraId="2F5E0B3F">
            <w:pPr>
              <w:pStyle w:val="88"/>
              <w:adjustRightInd w:val="0"/>
              <w:snapToGrid w:val="0"/>
              <w:spacing w:line="360" w:lineRule="auto"/>
              <w:ind w:left="105" w:leftChars="50" w:firstLine="211" w:firstLineChars="100"/>
              <w:rPr>
                <w:rFonts w:ascii="宋体" w:hAnsi="宋体"/>
                <w:color w:val="auto"/>
                <w:highlight w:val="none"/>
              </w:rPr>
            </w:pPr>
            <w:r>
              <w:rPr>
                <w:rFonts w:hint="eastAsia" w:ascii="宋体" w:hAnsi="宋体" w:cs="宋体"/>
                <w:b/>
                <w:bCs/>
                <w:color w:val="auto"/>
                <w:szCs w:val="21"/>
                <w:highlight w:val="none"/>
              </w:rPr>
              <w:t>中小企业划型标准：根据《工业和信息化部、国家统计局、国家发展改革委、财政部&lt;关于印发中小企业划型标准规定的通知&gt;》（工信部联企业〔2011〕300号）、《国家统计局关于印发&lt;统计大中小微型企业划分办法（2017）&gt;的通知》（国统字</w:t>
            </w:r>
            <w:r>
              <w:rPr>
                <w:rFonts w:ascii="宋体" w:hAnsi="宋体" w:cs="宋体"/>
                <w:b/>
                <w:bCs/>
                <w:color w:val="auto"/>
                <w:szCs w:val="21"/>
                <w:highlight w:val="none"/>
              </w:rPr>
              <w:t>〔</w:t>
            </w:r>
            <w:r>
              <w:rPr>
                <w:rFonts w:hint="eastAsia" w:ascii="宋体" w:hAnsi="宋体" w:cs="宋体"/>
                <w:b/>
                <w:bCs/>
                <w:color w:val="auto"/>
                <w:szCs w:val="21"/>
                <w:highlight w:val="none"/>
              </w:rPr>
              <w:t>2017</w:t>
            </w:r>
            <w:r>
              <w:rPr>
                <w:rFonts w:ascii="宋体" w:hAnsi="宋体" w:cs="宋体"/>
                <w:b/>
                <w:bCs/>
                <w:color w:val="auto"/>
                <w:szCs w:val="21"/>
                <w:highlight w:val="none"/>
              </w:rPr>
              <w:t>〕</w:t>
            </w:r>
            <w:r>
              <w:rPr>
                <w:rFonts w:hint="eastAsia" w:ascii="宋体" w:hAnsi="宋体" w:cs="宋体"/>
                <w:b/>
                <w:bCs/>
                <w:color w:val="auto"/>
                <w:szCs w:val="21"/>
                <w:highlight w:val="none"/>
              </w:rPr>
              <w:t>213号文件）、《国民经济行业分类》（GB/T 4754-2017）。</w:t>
            </w:r>
          </w:p>
          <w:p w14:paraId="45E2381E">
            <w:pPr>
              <w:widowControl/>
              <w:spacing w:line="360" w:lineRule="auto"/>
              <w:ind w:left="105" w:leftChars="50"/>
              <w:jc w:val="left"/>
              <w:rPr>
                <w:rFonts w:ascii="宋体" w:hAnsi="宋体"/>
                <w:color w:val="auto"/>
                <w:highlight w:val="none"/>
              </w:rPr>
            </w:pPr>
            <w:r>
              <w:rPr>
                <w:rFonts w:hint="eastAsia" w:ascii="宋体" w:hAnsi="宋体"/>
                <w:color w:val="auto"/>
                <w:highlight w:val="none"/>
              </w:rPr>
              <w:t>E.投标产品的包装应符合《财政部等三部门联合印发商品包装和快递包装政府采购需求标准（试行）》（财办库〔2020〕123号）的规定。</w:t>
            </w:r>
          </w:p>
          <w:p w14:paraId="128FB4A3">
            <w:pPr>
              <w:widowControl/>
              <w:spacing w:line="360" w:lineRule="auto"/>
              <w:ind w:left="105" w:leftChars="50"/>
              <w:jc w:val="left"/>
              <w:rPr>
                <w:rFonts w:ascii="宋体" w:hAnsi="宋体"/>
                <w:color w:val="auto"/>
                <w:highlight w:val="none"/>
              </w:rPr>
            </w:pPr>
            <w:r>
              <w:rPr>
                <w:rFonts w:hint="eastAsia" w:ascii="宋体" w:hAnsi="宋体"/>
                <w:color w:val="auto"/>
                <w:highlight w:val="none"/>
              </w:rPr>
              <w:t>F.根据《政府采购进口产品管理办法》（财库</w:t>
            </w:r>
            <w:r>
              <w:rPr>
                <w:rFonts w:ascii="宋体" w:hAnsi="宋体"/>
                <w:color w:val="auto"/>
                <w:highlight w:val="none"/>
              </w:rPr>
              <w:t>〔</w:t>
            </w:r>
            <w:r>
              <w:rPr>
                <w:rFonts w:hint="eastAsia" w:ascii="宋体" w:hAnsi="宋体"/>
                <w:color w:val="auto"/>
                <w:highlight w:val="none"/>
              </w:rPr>
              <w:t>2007</w:t>
            </w:r>
            <w:r>
              <w:rPr>
                <w:rFonts w:ascii="宋体" w:hAnsi="宋体"/>
                <w:color w:val="auto"/>
                <w:highlight w:val="none"/>
              </w:rPr>
              <w:t>〕</w:t>
            </w:r>
            <w:r>
              <w:rPr>
                <w:rFonts w:hint="eastAsia" w:ascii="宋体" w:hAnsi="宋体"/>
                <w:color w:val="auto"/>
                <w:highlight w:val="none"/>
              </w:rPr>
              <w:t>119号）规定，政府采购应当采购本国产品，不允许采购进口产品，确需采购进口产品的，实行审核管理。本办法所称进口产品是指通过中国海关报关验放进入中国境内且产自关境外的产品。根据《财政部办公厅关于政府采购进口产品管理有关问题的通知》（财办库</w:t>
            </w:r>
            <w:r>
              <w:rPr>
                <w:rFonts w:ascii="宋体" w:hAnsi="宋体"/>
                <w:color w:val="auto"/>
                <w:highlight w:val="none"/>
              </w:rPr>
              <w:t>〔</w:t>
            </w:r>
            <w:r>
              <w:rPr>
                <w:rFonts w:hint="eastAsia" w:ascii="宋体" w:hAnsi="宋体"/>
                <w:color w:val="auto"/>
                <w:highlight w:val="none"/>
              </w:rPr>
              <w:t>2008</w:t>
            </w:r>
            <w:r>
              <w:rPr>
                <w:rFonts w:ascii="宋体" w:hAnsi="宋体"/>
                <w:color w:val="auto"/>
                <w:highlight w:val="none"/>
              </w:rPr>
              <w:t>〕</w:t>
            </w:r>
            <w:r>
              <w:rPr>
                <w:rFonts w:hint="eastAsia" w:ascii="宋体" w:hAnsi="宋体"/>
                <w:color w:val="auto"/>
                <w:highlight w:val="none"/>
              </w:rPr>
              <w:t>248号）规定，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设定为进口产品。</w:t>
            </w:r>
            <w:r>
              <w:rPr>
                <w:rFonts w:hint="eastAsia" w:ascii="宋体" w:hAnsi="宋体"/>
                <w:b/>
                <w:bCs/>
                <w:color w:val="auto"/>
                <w:highlight w:val="none"/>
              </w:rPr>
              <w:t>本次采购接受进口产品。</w:t>
            </w:r>
          </w:p>
          <w:p w14:paraId="2E118D9C">
            <w:pPr>
              <w:adjustRightInd w:val="0"/>
              <w:snapToGrid w:val="0"/>
              <w:spacing w:line="360" w:lineRule="auto"/>
              <w:ind w:left="105" w:leftChars="50"/>
              <w:rPr>
                <w:rFonts w:ascii="宋体" w:hAnsi="宋体"/>
                <w:color w:val="auto"/>
                <w:highlight w:val="none"/>
              </w:rPr>
            </w:pPr>
            <w:r>
              <w:rPr>
                <w:rFonts w:hint="eastAsia" w:ascii="宋体" w:hAnsi="宋体"/>
                <w:color w:val="auto"/>
                <w:highlight w:val="none"/>
              </w:rPr>
              <w:t>G.</w:t>
            </w:r>
            <w:r>
              <w:rPr>
                <w:rFonts w:hint="eastAsia" w:ascii="宋体" w:hAnsi="宋体" w:cs="宋体"/>
                <w:color w:val="auto"/>
                <w:szCs w:val="21"/>
                <w:highlight w:val="none"/>
              </w:rPr>
              <w:t>为落实河南省财政厅关于印发深入推进政府采购合同融资工作实施方案的通知（豫财办</w:t>
            </w:r>
            <w:r>
              <w:rPr>
                <w:rFonts w:ascii="宋体" w:hAnsi="宋体" w:cs="宋体"/>
                <w:color w:val="auto"/>
                <w:szCs w:val="21"/>
                <w:highlight w:val="none"/>
              </w:rPr>
              <w:t>〔</w:t>
            </w:r>
            <w:r>
              <w:rPr>
                <w:rFonts w:hint="eastAsia" w:ascii="宋体" w:hAnsi="宋体" w:cs="宋体"/>
                <w:color w:val="auto"/>
                <w:szCs w:val="21"/>
                <w:highlight w:val="none"/>
              </w:rPr>
              <w:t>2020</w:t>
            </w:r>
            <w:r>
              <w:rPr>
                <w:rFonts w:ascii="宋体" w:hAnsi="宋体" w:cs="宋体"/>
                <w:color w:val="auto"/>
                <w:szCs w:val="21"/>
                <w:highlight w:val="none"/>
              </w:rPr>
              <w:t>〕</w:t>
            </w:r>
            <w:r>
              <w:rPr>
                <w:rFonts w:hint="eastAsia" w:ascii="宋体" w:hAnsi="宋体" w:cs="宋体"/>
                <w:color w:val="auto"/>
                <w:szCs w:val="21"/>
                <w:highlight w:val="none"/>
              </w:rPr>
              <w:t>33号），中标人可以持政府采购合同向融资机构申请贷款，具体详见附件1。</w:t>
            </w:r>
          </w:p>
          <w:p w14:paraId="72725C95">
            <w:pPr>
              <w:adjustRightInd w:val="0"/>
              <w:snapToGrid w:val="0"/>
              <w:spacing w:line="360" w:lineRule="auto"/>
              <w:ind w:left="105" w:leftChars="50"/>
              <w:rPr>
                <w:rFonts w:ascii="宋体" w:hAnsi="宋体" w:cs="宋体"/>
                <w:color w:val="auto"/>
                <w:szCs w:val="21"/>
                <w:highlight w:val="none"/>
              </w:rPr>
            </w:pPr>
            <w:r>
              <w:rPr>
                <w:rFonts w:hint="eastAsia" w:ascii="宋体" w:hAnsi="宋体" w:cs="宋体"/>
                <w:color w:val="auto"/>
                <w:szCs w:val="21"/>
                <w:highlight w:val="none"/>
              </w:rPr>
              <w:t>H.为落实财政部《关于推动解决政府采购异常低价问题的通知》（财库〔2026〕2号），</w:t>
            </w:r>
            <w:r>
              <w:rPr>
                <w:rFonts w:ascii="宋体" w:hAnsi="宋体" w:cs="宋体"/>
                <w:color w:val="auto"/>
                <w:szCs w:val="21"/>
                <w:highlight w:val="none"/>
              </w:rPr>
              <w:t>政府采购评审中出现下列情形之一的，评审委员会应当启动异常低价投标（响应）审查程序：</w:t>
            </w:r>
          </w:p>
          <w:p w14:paraId="2856A1D6">
            <w:pPr>
              <w:adjustRightInd w:val="0"/>
              <w:snapToGrid w:val="0"/>
              <w:spacing w:line="360" w:lineRule="auto"/>
              <w:ind w:left="105" w:leftChars="50"/>
              <w:rPr>
                <w:rFonts w:ascii="宋体" w:hAnsi="宋体" w:cs="宋体"/>
                <w:color w:val="auto"/>
                <w:szCs w:val="21"/>
                <w:highlight w:val="none"/>
              </w:rPr>
            </w:pPr>
            <w:r>
              <w:rPr>
                <w:rFonts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1E8B6330">
            <w:pPr>
              <w:adjustRightInd w:val="0"/>
              <w:snapToGrid w:val="0"/>
              <w:spacing w:line="360" w:lineRule="auto"/>
              <w:ind w:left="105" w:leftChars="50"/>
              <w:rPr>
                <w:rFonts w:ascii="宋体" w:hAnsi="宋体" w:cs="宋体"/>
                <w:color w:val="auto"/>
                <w:szCs w:val="21"/>
                <w:highlight w:val="none"/>
              </w:rPr>
            </w:pPr>
            <w:r>
              <w:rPr>
                <w:rFonts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6468F71C">
            <w:pPr>
              <w:adjustRightInd w:val="0"/>
              <w:snapToGrid w:val="0"/>
              <w:spacing w:line="360" w:lineRule="auto"/>
              <w:ind w:left="105" w:leftChars="50"/>
              <w:rPr>
                <w:rFonts w:ascii="宋体" w:hAnsi="宋体" w:cs="宋体"/>
                <w:color w:val="auto"/>
                <w:szCs w:val="21"/>
                <w:highlight w:val="none"/>
              </w:rPr>
            </w:pPr>
            <w:r>
              <w:rPr>
                <w:rFonts w:ascii="宋体" w:hAnsi="宋体" w:cs="宋体"/>
                <w:color w:val="auto"/>
                <w:szCs w:val="21"/>
                <w:highlight w:val="none"/>
              </w:rPr>
              <w:t>（3）投标（响应）报价低于采购项目最高限价45%的，即投标（响应）报价&lt;采购项目最高限价×45%；</w:t>
            </w:r>
          </w:p>
          <w:p w14:paraId="29DCE2BC">
            <w:pPr>
              <w:adjustRightInd w:val="0"/>
              <w:snapToGrid w:val="0"/>
              <w:spacing w:line="360" w:lineRule="auto"/>
              <w:ind w:left="105" w:leftChars="50"/>
              <w:rPr>
                <w:rFonts w:ascii="宋体" w:hAnsi="宋体" w:cs="宋体"/>
                <w:color w:val="auto"/>
                <w:szCs w:val="21"/>
                <w:highlight w:val="none"/>
              </w:rPr>
            </w:pPr>
            <w:r>
              <w:rPr>
                <w:rFonts w:ascii="宋体" w:hAnsi="宋体" w:cs="宋体"/>
                <w:color w:val="auto"/>
                <w:szCs w:val="21"/>
                <w:highlight w:val="none"/>
              </w:rPr>
              <w:t>（4）评审委员会基于专业判断，认为供应商报价过低，有可能影响产品质量或者不能诚信履约的其他情形。</w:t>
            </w:r>
          </w:p>
          <w:p w14:paraId="19F31FEA">
            <w:pPr>
              <w:adjustRightInd w:val="0"/>
              <w:snapToGrid w:val="0"/>
              <w:spacing w:line="360" w:lineRule="auto"/>
              <w:ind w:left="105" w:leftChars="50"/>
              <w:rPr>
                <w:rFonts w:ascii="宋体" w:hAnsi="宋体" w:cs="宋体"/>
                <w:color w:val="auto"/>
                <w:szCs w:val="21"/>
                <w:highlight w:val="none"/>
              </w:rPr>
            </w:pPr>
            <w:r>
              <w:rPr>
                <w:rFonts w:ascii="宋体" w:hAnsi="宋体" w:cs="宋体"/>
                <w:color w:val="auto"/>
                <w:szCs w:val="21"/>
                <w:highlight w:val="none"/>
              </w:rPr>
              <w:t>采购人可以结合具体项目实际情况，提高上述第1项至第3项中启动异常低价投标（响应）审查的数值标准，但是最高不得超过65%。</w:t>
            </w:r>
          </w:p>
          <w:p w14:paraId="1F1C10C7">
            <w:pPr>
              <w:adjustRightInd w:val="0"/>
              <w:snapToGrid w:val="0"/>
              <w:spacing w:line="360" w:lineRule="auto"/>
              <w:ind w:left="105" w:leftChars="50"/>
              <w:rPr>
                <w:rFonts w:ascii="宋体" w:hAnsi="宋体" w:cs="宋体"/>
                <w:color w:val="auto"/>
                <w:szCs w:val="21"/>
                <w:highlight w:val="none"/>
              </w:rPr>
            </w:pPr>
            <w:r>
              <w:rPr>
                <w:rFonts w:ascii="宋体" w:hAnsi="宋体" w:cs="宋体"/>
                <w:color w:val="auto"/>
                <w:szCs w:val="21"/>
                <w:highlight w:val="none"/>
              </w:rPr>
              <w:t>相关法律法规对供应商报价有规定的，从其规定。</w:t>
            </w:r>
          </w:p>
          <w:p w14:paraId="12BC61AF">
            <w:pPr>
              <w:adjustRightInd w:val="0"/>
              <w:snapToGrid w:val="0"/>
              <w:spacing w:line="360" w:lineRule="auto"/>
              <w:ind w:left="105" w:leftChars="50"/>
              <w:rPr>
                <w:rFonts w:ascii="宋体" w:hAnsi="宋体" w:cs="宋体"/>
                <w:color w:val="auto"/>
                <w:szCs w:val="21"/>
                <w:highlight w:val="none"/>
              </w:rPr>
            </w:pPr>
            <w:r>
              <w:rPr>
                <w:rFonts w:ascii="宋体" w:hAnsi="宋体" w:cs="宋体"/>
                <w:color w:val="auto"/>
                <w:szCs w:val="21"/>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FFC43AC">
            <w:pPr>
              <w:adjustRightInd w:val="0"/>
              <w:snapToGrid w:val="0"/>
              <w:spacing w:line="360" w:lineRule="auto"/>
              <w:ind w:left="105" w:leftChars="50"/>
              <w:rPr>
                <w:rFonts w:ascii="宋体" w:hAnsi="宋体" w:cs="宋体"/>
                <w:b/>
                <w:bCs/>
                <w:color w:val="auto"/>
                <w:highlight w:val="none"/>
              </w:rPr>
            </w:pPr>
            <w:r>
              <w:rPr>
                <w:rFonts w:hint="eastAsia" w:ascii="宋体" w:hAnsi="宋体" w:cs="宋体"/>
                <w:b/>
                <w:bCs/>
                <w:color w:val="auto"/>
                <w:highlight w:val="none"/>
              </w:rPr>
              <w:t>I.对本国产品的支持政策</w:t>
            </w:r>
          </w:p>
          <w:p w14:paraId="6BBD1A2A">
            <w:pPr>
              <w:adjustRightInd w:val="0"/>
              <w:snapToGrid w:val="0"/>
              <w:spacing w:line="360" w:lineRule="auto"/>
              <w:ind w:left="105" w:leftChars="50"/>
              <w:rPr>
                <w:rFonts w:ascii="宋体" w:hAnsi="宋体" w:cs="宋体"/>
                <w:color w:val="auto"/>
                <w:highlight w:val="none"/>
              </w:rPr>
            </w:pPr>
            <w:r>
              <w:rPr>
                <w:rFonts w:hint="eastAsia" w:ascii="宋体" w:hAnsi="宋体" w:cs="宋体"/>
                <w:color w:val="auto"/>
                <w:highlight w:val="none"/>
              </w:rPr>
              <w:t>政府采购活动中既有本国产品又有非本国产品参与竞争的，依法对本国产品给予价格评审优惠，对本国产品的报价给予20%的价格扣除，用扣除后的价格参与评审。</w:t>
            </w:r>
          </w:p>
          <w:p w14:paraId="50A1A0B0">
            <w:pPr>
              <w:adjustRightInd w:val="0"/>
              <w:snapToGrid w:val="0"/>
              <w:spacing w:line="360" w:lineRule="auto"/>
              <w:ind w:left="105" w:leftChars="50"/>
              <w:rPr>
                <w:rFonts w:ascii="宋体" w:hAnsi="宋体" w:cs="宋体"/>
                <w:color w:val="auto"/>
                <w:highlight w:val="none"/>
              </w:rPr>
            </w:pPr>
            <w:r>
              <w:rPr>
                <w:rFonts w:hint="eastAsia" w:ascii="宋体" w:hAnsi="宋体" w:cs="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cs="宋体"/>
                <w:b/>
                <w:bCs/>
                <w:color w:val="auto"/>
                <w:highlight w:val="none"/>
              </w:rPr>
              <w:t>（本项目不适用此种情形）。</w:t>
            </w:r>
          </w:p>
          <w:p w14:paraId="639E5B46">
            <w:pPr>
              <w:adjustRightInd w:val="0"/>
              <w:snapToGrid w:val="0"/>
              <w:spacing w:line="360" w:lineRule="auto"/>
              <w:ind w:left="105" w:leftChars="50"/>
              <w:rPr>
                <w:rFonts w:ascii="宋体" w:hAnsi="宋体" w:cs="宋体"/>
                <w:color w:val="auto"/>
                <w:highlight w:val="none"/>
              </w:rPr>
            </w:pPr>
            <w:r>
              <w:rPr>
                <w:rFonts w:hint="eastAsia" w:ascii="宋体" w:hAnsi="宋体" w:cs="宋体"/>
                <w:color w:val="auto"/>
                <w:highlight w:val="none"/>
              </w:rPr>
              <w:t>评标委员会须根据《国务院办公厅关于在政府采购中实施本国产品标准及相关政策的通知》（国办发〔2025〕34号）的规定，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4D207661">
            <w:pPr>
              <w:adjustRightInd w:val="0"/>
              <w:snapToGrid w:val="0"/>
              <w:spacing w:line="360" w:lineRule="auto"/>
              <w:ind w:left="105" w:leftChars="50"/>
              <w:rPr>
                <w:rFonts w:ascii="宋体" w:hAnsi="宋体" w:cs="宋体"/>
                <w:color w:val="auto"/>
                <w:highlight w:val="none"/>
              </w:rPr>
            </w:pPr>
            <w:r>
              <w:rPr>
                <w:rFonts w:hint="eastAsia" w:ascii="宋体" w:hAnsi="宋体" w:cs="宋体"/>
                <w:color w:val="auto"/>
                <w:highlight w:val="none"/>
              </w:rPr>
              <w:t>本国产品应符合的条件：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为确保产品在运输或者储存期间保持某种状态而进行的操作；为产品运输或者销售进行的包装或者展示；在产品或者其包装上粘贴或者印刷品牌、标志、标识以及其他用于区别的标记；简单的上漆、磨光和分装；其他不属于属性改变的情形。在分产品的中国境内生产组件成本占比要求，以及对特定产品关键组件、关键工序的相关要求实施前，只要是符合在中国境内生产要求的产品，在政府采购活动中即视同本国产品。</w:t>
            </w:r>
          </w:p>
          <w:p w14:paraId="716A3AEE">
            <w:pPr>
              <w:adjustRightInd w:val="0"/>
              <w:snapToGrid w:val="0"/>
              <w:spacing w:line="360" w:lineRule="auto"/>
              <w:ind w:left="105" w:leftChars="50"/>
              <w:rPr>
                <w:rFonts w:ascii="宋体" w:hAnsi="宋体" w:cs="宋体"/>
                <w:color w:val="auto"/>
                <w:highlight w:val="none"/>
              </w:rPr>
            </w:pPr>
            <w:r>
              <w:rPr>
                <w:rFonts w:hint="eastAsia" w:ascii="宋体" w:hAnsi="宋体" w:cs="宋体"/>
                <w:color w:val="auto"/>
                <w:highlight w:val="none"/>
              </w:rPr>
              <w:t>投标供应商须对其提供的产品出具《关于符合本国产品标准的声明函》或财政部会同有关部门规定的有关证明文件。</w:t>
            </w:r>
          </w:p>
          <w:p w14:paraId="1363B88C">
            <w:pPr>
              <w:adjustRightInd w:val="0"/>
              <w:snapToGrid w:val="0"/>
              <w:spacing w:line="360" w:lineRule="auto"/>
              <w:ind w:left="105" w:leftChars="50"/>
              <w:rPr>
                <w:rFonts w:ascii="宋体" w:hAnsi="宋体" w:cs="宋体"/>
                <w:color w:val="auto"/>
                <w:highlight w:val="none"/>
              </w:rPr>
            </w:pPr>
            <w:r>
              <w:rPr>
                <w:rFonts w:hint="eastAsia" w:ascii="宋体" w:hAnsi="宋体" w:cs="宋体"/>
                <w:color w:val="auto"/>
                <w:highlight w:val="none"/>
              </w:rPr>
              <w:t>招标人、采购代理机构应当随中标、成交结果同时公告中标、成交供应商提供的《声明函》或有关证明文件。</w:t>
            </w:r>
          </w:p>
          <w:p w14:paraId="73AB7E8A">
            <w:pPr>
              <w:pStyle w:val="88"/>
              <w:widowControl/>
              <w:adjustRightInd w:val="0"/>
              <w:snapToGrid w:val="0"/>
              <w:spacing w:line="440" w:lineRule="exact"/>
              <w:ind w:left="105" w:leftChars="50" w:firstLine="0" w:firstLineChars="0"/>
              <w:jc w:val="left"/>
              <w:textAlignment w:val="center"/>
              <w:rPr>
                <w:rFonts w:ascii="宋体" w:hAnsi="宋体" w:cs="宋体"/>
                <w:color w:val="auto"/>
                <w:szCs w:val="21"/>
                <w:highlight w:val="none"/>
              </w:rPr>
            </w:pPr>
            <w:r>
              <w:rPr>
                <w:rFonts w:hint="eastAsia" w:ascii="宋体" w:hAnsi="宋体" w:cs="宋体"/>
                <w:color w:val="auto"/>
                <w:highlight w:val="none"/>
              </w:rPr>
              <w:t>供应商提供虚假《声明函》或虚假证明文件谋取中标、成交的，依照《中华人民共和国政府采购法》等法律法规规定追究相应责任。</w:t>
            </w:r>
          </w:p>
        </w:tc>
      </w:tr>
      <w:tr w14:paraId="23BD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096" w:type="dxa"/>
            <w:vAlign w:val="center"/>
          </w:tcPr>
          <w:p w14:paraId="653D7FE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10.8</w:t>
            </w:r>
          </w:p>
        </w:tc>
        <w:tc>
          <w:tcPr>
            <w:tcW w:w="1969" w:type="dxa"/>
            <w:vAlign w:val="center"/>
          </w:tcPr>
          <w:p w14:paraId="036135F0">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质疑</w:t>
            </w:r>
          </w:p>
        </w:tc>
        <w:tc>
          <w:tcPr>
            <w:tcW w:w="6494" w:type="dxa"/>
            <w:vAlign w:val="center"/>
          </w:tcPr>
          <w:p w14:paraId="435EEA51">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（1）针对同一采购程序环节的质疑次数：一次性提出，多次提出质疑的不予受理。</w:t>
            </w:r>
          </w:p>
          <w:p w14:paraId="2B4FECC2">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（2）投标人认为招标文件、采购过程和中标结果使自己的权益受到损害的，可以在知道或者应知其权益受到损害之日起七个工作日内，按照政府采购质疑和投诉办法（中华人民共和国财政部令94号）以书面</w:t>
            </w:r>
            <w:r>
              <w:rPr>
                <w:rFonts w:hint="eastAsia" w:ascii="宋体" w:hAnsi="宋体" w:cs="宋体"/>
                <w:b/>
                <w:bCs/>
                <w:color w:val="auto"/>
                <w:szCs w:val="21"/>
                <w:highlight w:val="none"/>
              </w:rPr>
              <w:t>实名</w:t>
            </w:r>
            <w:r>
              <w:rPr>
                <w:rFonts w:hint="eastAsia" w:ascii="宋体" w:hAnsi="宋体" w:cs="宋体"/>
                <w:color w:val="auto"/>
                <w:szCs w:val="21"/>
                <w:highlight w:val="none"/>
              </w:rPr>
              <w:t>形式向招标人或招标代理机构一次性提出质疑，质疑函及授权委托书应按规定签字并加盖公章逾期不再接收,质疑函见附件。</w:t>
            </w:r>
          </w:p>
          <w:p w14:paraId="343AA552">
            <w:pPr>
              <w:adjustRightInd w:val="0"/>
              <w:snapToGrid w:val="0"/>
              <w:spacing w:line="440" w:lineRule="exact"/>
              <w:ind w:left="105" w:leftChars="50"/>
              <w:jc w:val="left"/>
              <w:rPr>
                <w:rFonts w:ascii="宋体" w:hAnsi="宋体" w:cs="宋体"/>
                <w:b/>
                <w:bCs/>
                <w:color w:val="auto"/>
                <w:szCs w:val="21"/>
                <w:highlight w:val="none"/>
              </w:rPr>
            </w:pPr>
            <w:r>
              <w:rPr>
                <w:rFonts w:hint="eastAsia" w:ascii="宋体" w:hAnsi="宋体" w:cs="宋体"/>
                <w:b/>
                <w:bCs/>
                <w:color w:val="auto"/>
                <w:szCs w:val="21"/>
                <w:highlight w:val="none"/>
              </w:rPr>
              <w:t>（3）对招标文件、采购过程提出质疑的方式：登录河南省公共资源交易中心市场主体系统，在对应模块提出，同时将签字盖章的完整版发送至采购代理机构邮箱，并电话告知代理机构。</w:t>
            </w:r>
          </w:p>
          <w:p w14:paraId="48E50245">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b/>
                <w:bCs/>
                <w:color w:val="auto"/>
                <w:szCs w:val="21"/>
                <w:highlight w:val="none"/>
              </w:rPr>
              <w:t>对中标结果提出质疑的方式：登录河南省公共资源交易中心市场主体系统，在对应模块提出，并将书面签字盖章完整版的纸质版质疑函及授权委托书当面送达至采购代理机构接收部门。</w:t>
            </w:r>
          </w:p>
          <w:p w14:paraId="1494F5D9">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（4）质疑函接收部门、联系电话和通讯地址：</w:t>
            </w:r>
          </w:p>
          <w:p w14:paraId="31A84513">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接收质疑函联系部门：中建山河建设管理集团有限公司</w:t>
            </w:r>
          </w:p>
          <w:p w14:paraId="1F6EA912">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联系电话：0371-86556161</w:t>
            </w:r>
          </w:p>
          <w:p w14:paraId="7358CFBC">
            <w:pPr>
              <w:adjustRightInd w:val="0"/>
              <w:snapToGrid w:val="0"/>
              <w:spacing w:line="440" w:lineRule="exact"/>
              <w:ind w:left="105" w:leftChars="50"/>
              <w:jc w:val="left"/>
              <w:rPr>
                <w:rFonts w:ascii="宋体" w:hAnsi="宋体" w:cs="宋体"/>
                <w:color w:val="auto"/>
                <w:szCs w:val="21"/>
                <w:highlight w:val="none"/>
              </w:rPr>
            </w:pPr>
            <w:r>
              <w:rPr>
                <w:rFonts w:ascii="宋体" w:hAnsi="宋体" w:cs="宋体"/>
                <w:color w:val="auto"/>
                <w:szCs w:val="21"/>
                <w:highlight w:val="none"/>
              </w:rPr>
              <w:t>采购代理机构邮箱（zjsh86556161@163.com ）</w:t>
            </w:r>
          </w:p>
          <w:p w14:paraId="312641FB">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通讯地址：郑州市郑东新区七里河南路与圃田西路交叉口明亮集团大楼三楼312室</w:t>
            </w:r>
          </w:p>
        </w:tc>
      </w:tr>
      <w:tr w14:paraId="1E20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499AEF53">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10.9</w:t>
            </w:r>
          </w:p>
        </w:tc>
        <w:tc>
          <w:tcPr>
            <w:tcW w:w="1969" w:type="dxa"/>
            <w:vAlign w:val="center"/>
          </w:tcPr>
          <w:p w14:paraId="57DC131A">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知识产权</w:t>
            </w:r>
          </w:p>
        </w:tc>
        <w:tc>
          <w:tcPr>
            <w:tcW w:w="6494" w:type="dxa"/>
            <w:vAlign w:val="center"/>
          </w:tcPr>
          <w:p w14:paraId="30D59F04">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1）供应商须保证招标人使用投标货物、资料、技术、服务或其任何一部分时，享有不受限制的无偿使用权，不会产生因第三方提出侵犯其专利权、商标权或其它知识产权而引起的法律或经济纠纷。如因专利权、商标权或其它知识产权而引起法律和经济纠纷，由供应商承担所有相关责任。</w:t>
            </w:r>
          </w:p>
          <w:p w14:paraId="0E423CBD">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（2）如制造商不拥有相应的知识产权，则在投标报价中必须包括合法获取该知识产权的一切相关费用。如因此导致招标人损失的，供应商须承担全部赔偿责任。</w:t>
            </w:r>
          </w:p>
        </w:tc>
      </w:tr>
      <w:tr w14:paraId="5A7C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6E831F5B">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10.10</w:t>
            </w:r>
          </w:p>
        </w:tc>
        <w:tc>
          <w:tcPr>
            <w:tcW w:w="1969" w:type="dxa"/>
            <w:vAlign w:val="center"/>
          </w:tcPr>
          <w:p w14:paraId="3756D481">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特别提醒</w:t>
            </w:r>
          </w:p>
        </w:tc>
        <w:tc>
          <w:tcPr>
            <w:tcW w:w="6494" w:type="dxa"/>
            <w:vAlign w:val="center"/>
          </w:tcPr>
          <w:p w14:paraId="192328D1">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1.招标人和招标代理机构对已发出的招标文件进行的澄清、更正或更改，澄清、更正或更改的内容将作为招标文件组成部分。招标代理机构将通过网站“变更公告”和系统内部“答疑文件”告知投标人，对于各项目中已经成功报名并下载招标文件的项目投标人，系统将通过第三方短信群发方式提醒投标人进行查询。各投标人须重新下载最新的招标文件及答疑文件，以此编制投标文件。投标人注册时所留手机联系方式要保持畅通，因联系方式变更而未及时更新系统内联系方式的，将会造成收不到短信。此短信仅系友情提示，并具有任何约束性和必要性，招标人和招标代理机构不承担投标人未收到短信而引起的一切后果和法律责任。</w:t>
            </w:r>
          </w:p>
          <w:p w14:paraId="74E18621">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2.因河南省公共资源交易中心平台在开标前具有保密性，投标人在投标文件递交截止时间前须自行查看项目进展、变更通知、澄清及回复，因投标人未及时查看而造成的后果自负。</w:t>
            </w:r>
          </w:p>
          <w:p w14:paraId="0AE3A6A3">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3.本项目采用“远程不见面”开标方式，远程开标大厅网址为http://hnsggzyjy.henan.gov.cn/BidOpening/bidopeninghallaction/hall/login，投标人无需到河南省公共资源交易中心现场参加开标会议，无需到达现场提交原件资料。投标人应当在投标截止时间前，登录远程开标大厅，在线准时参加开标活动并进行投标文件解密等。</w:t>
            </w:r>
          </w:p>
        </w:tc>
      </w:tr>
      <w:tr w14:paraId="4707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96" w:type="dxa"/>
            <w:vAlign w:val="center"/>
          </w:tcPr>
          <w:p w14:paraId="750AF2D0">
            <w:pPr>
              <w:adjustRightInd w:val="0"/>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10.11</w:t>
            </w:r>
          </w:p>
        </w:tc>
        <w:tc>
          <w:tcPr>
            <w:tcW w:w="1969" w:type="dxa"/>
            <w:vAlign w:val="center"/>
          </w:tcPr>
          <w:p w14:paraId="4011FFE3">
            <w:pPr>
              <w:adjustRightInd w:val="0"/>
              <w:snapToGrid w:val="0"/>
              <w:spacing w:line="440" w:lineRule="exact"/>
              <w:ind w:left="105" w:leftChars="50"/>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494" w:type="dxa"/>
            <w:vAlign w:val="center"/>
          </w:tcPr>
          <w:p w14:paraId="0D9277B7">
            <w:pPr>
              <w:adjustRightInd w:val="0"/>
              <w:snapToGrid w:val="0"/>
              <w:spacing w:line="440" w:lineRule="exact"/>
              <w:ind w:left="105" w:leftChars="50"/>
              <w:jc w:val="left"/>
              <w:rPr>
                <w:rFonts w:ascii="宋体" w:hAnsi="宋体" w:cs="宋体"/>
                <w:color w:val="auto"/>
                <w:szCs w:val="21"/>
                <w:highlight w:val="none"/>
              </w:rPr>
            </w:pPr>
            <w:r>
              <w:rPr>
                <w:rFonts w:hint="eastAsia" w:ascii="宋体" w:hAnsi="宋体" w:cs="宋体"/>
                <w:color w:val="auto"/>
                <w:szCs w:val="21"/>
                <w:highlight w:val="none"/>
              </w:rPr>
              <w:t>招标人属于“十四五”期间享受科技创新进口税收政策的科研院所，供应商自行了解政策并考虑在报价中。</w:t>
            </w:r>
          </w:p>
        </w:tc>
      </w:tr>
    </w:tbl>
    <w:p w14:paraId="034FB71D">
      <w:pPr>
        <w:pStyle w:val="3"/>
        <w:keepNext w:val="0"/>
        <w:keepLines w:val="0"/>
        <w:snapToGrid w:val="0"/>
        <w:spacing w:before="0" w:after="0" w:line="440" w:lineRule="exact"/>
        <w:ind w:firstLine="482" w:firstLineChars="200"/>
        <w:jc w:val="left"/>
        <w:rPr>
          <w:color w:val="auto"/>
          <w:sz w:val="21"/>
          <w:szCs w:val="21"/>
          <w:highlight w:val="none"/>
        </w:rPr>
      </w:pPr>
      <w:bookmarkStart w:id="36" w:name="_Toc345178448"/>
      <w:bookmarkStart w:id="37" w:name="_Toc20145"/>
      <w:bookmarkStart w:id="38" w:name="_Toc184635071"/>
      <w:r>
        <w:rPr>
          <w:rFonts w:hint="eastAsia"/>
          <w:color w:val="auto"/>
          <w:sz w:val="24"/>
          <w:szCs w:val="16"/>
          <w:highlight w:val="none"/>
        </w:rPr>
        <w:br w:type="page"/>
      </w:r>
      <w:bookmarkStart w:id="39" w:name="_Toc10596"/>
      <w:bookmarkStart w:id="40" w:name="_Toc950"/>
      <w:bookmarkStart w:id="41" w:name="_Toc6076"/>
      <w:bookmarkStart w:id="42" w:name="_Toc12470"/>
      <w:bookmarkStart w:id="43" w:name="_Toc1066277272"/>
      <w:bookmarkStart w:id="44" w:name="_Toc28240"/>
      <w:r>
        <w:rPr>
          <w:rFonts w:hint="eastAsia"/>
          <w:color w:val="auto"/>
          <w:sz w:val="21"/>
          <w:szCs w:val="21"/>
          <w:highlight w:val="none"/>
        </w:rPr>
        <w:t>1.总则</w:t>
      </w:r>
      <w:bookmarkEnd w:id="36"/>
      <w:bookmarkEnd w:id="37"/>
      <w:bookmarkEnd w:id="38"/>
      <w:bookmarkEnd w:id="39"/>
      <w:bookmarkEnd w:id="40"/>
      <w:bookmarkEnd w:id="41"/>
      <w:bookmarkEnd w:id="42"/>
      <w:bookmarkEnd w:id="43"/>
      <w:bookmarkEnd w:id="44"/>
      <w:bookmarkStart w:id="45" w:name="_Toc9974"/>
    </w:p>
    <w:p w14:paraId="2430982C">
      <w:pPr>
        <w:adjustRightInd w:val="0"/>
        <w:snapToGrid w:val="0"/>
        <w:spacing w:line="440" w:lineRule="exact"/>
        <w:ind w:firstLine="422" w:firstLineChars="200"/>
        <w:outlineLvl w:val="2"/>
        <w:rPr>
          <w:rFonts w:ascii="宋体" w:hAnsi="宋体" w:cs="宋体"/>
          <w:b/>
          <w:color w:val="auto"/>
          <w:szCs w:val="21"/>
          <w:highlight w:val="none"/>
        </w:rPr>
      </w:pPr>
      <w:bookmarkStart w:id="46" w:name="_Toc171076289"/>
      <w:bookmarkStart w:id="47" w:name="_Toc12807"/>
      <w:bookmarkStart w:id="48" w:name="_Toc487128323"/>
      <w:bookmarkStart w:id="49" w:name="_Toc22694"/>
      <w:bookmarkStart w:id="50" w:name="_Toc492577679"/>
      <w:r>
        <w:rPr>
          <w:rFonts w:hint="eastAsia" w:ascii="宋体" w:hAnsi="宋体" w:cs="宋体"/>
          <w:b/>
          <w:color w:val="auto"/>
          <w:szCs w:val="21"/>
          <w:highlight w:val="none"/>
        </w:rPr>
        <w:t>1.1 项目概况</w:t>
      </w:r>
      <w:bookmarkEnd w:id="45"/>
      <w:bookmarkEnd w:id="46"/>
      <w:bookmarkEnd w:id="47"/>
      <w:bookmarkEnd w:id="48"/>
      <w:bookmarkEnd w:id="49"/>
      <w:bookmarkEnd w:id="50"/>
    </w:p>
    <w:p w14:paraId="774A922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1.1.1 根据《中华人民共和国政府采购法》等有关法律、法规和规章的规定，本招标项目己具备招标条件，现对本项目进行招标。</w:t>
      </w:r>
    </w:p>
    <w:p w14:paraId="02D5953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 本招标项目招标人：见投标人须知前附表。</w:t>
      </w:r>
    </w:p>
    <w:p w14:paraId="56C96D77">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1.1.3 本招标项目招标代理机构：见投标人须知前附表。</w:t>
      </w:r>
    </w:p>
    <w:p w14:paraId="087940F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1.1.4 本招标项目名称：见投标人须知前附表。</w:t>
      </w:r>
    </w:p>
    <w:p w14:paraId="2EBDAF80">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1.1.5 本招标项目项目编号：见投标人须知前附表。</w:t>
      </w:r>
    </w:p>
    <w:p w14:paraId="3E0299B1">
      <w:pPr>
        <w:adjustRightInd w:val="0"/>
        <w:snapToGrid w:val="0"/>
        <w:spacing w:line="440" w:lineRule="exact"/>
        <w:ind w:firstLine="422" w:firstLineChars="200"/>
        <w:outlineLvl w:val="2"/>
        <w:rPr>
          <w:rFonts w:ascii="宋体" w:hAnsi="宋体" w:cs="宋体"/>
          <w:b/>
          <w:color w:val="auto"/>
          <w:szCs w:val="21"/>
          <w:highlight w:val="none"/>
        </w:rPr>
      </w:pPr>
      <w:bookmarkStart w:id="51" w:name="_Toc1946069537"/>
      <w:bookmarkStart w:id="52" w:name="_Toc20332"/>
      <w:bookmarkStart w:id="53" w:name="_Toc25594"/>
      <w:bookmarkStart w:id="54" w:name="_Toc7137"/>
      <w:r>
        <w:rPr>
          <w:rFonts w:hint="eastAsia" w:ascii="宋体" w:hAnsi="宋体" w:cs="宋体"/>
          <w:b/>
          <w:color w:val="auto"/>
          <w:szCs w:val="21"/>
          <w:highlight w:val="none"/>
        </w:rPr>
        <w:t>1.2 资金来源和落实情况</w:t>
      </w:r>
      <w:bookmarkEnd w:id="51"/>
      <w:bookmarkEnd w:id="52"/>
      <w:bookmarkEnd w:id="53"/>
      <w:bookmarkEnd w:id="54"/>
    </w:p>
    <w:p w14:paraId="04CEED20">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 本项目的资金来源：见投标人须知前附表。</w:t>
      </w:r>
    </w:p>
    <w:p w14:paraId="116BA597">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1.2.2 本项目资金落实情况：见投标人须知前附表。</w:t>
      </w:r>
    </w:p>
    <w:p w14:paraId="69BC57D6">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1.2.3 本招标项目的最高限价：见投标人须知前附表。</w:t>
      </w:r>
    </w:p>
    <w:p w14:paraId="79829F9B">
      <w:pPr>
        <w:adjustRightInd w:val="0"/>
        <w:snapToGrid w:val="0"/>
        <w:spacing w:line="440" w:lineRule="exact"/>
        <w:ind w:firstLine="422" w:firstLineChars="200"/>
        <w:outlineLvl w:val="3"/>
        <w:rPr>
          <w:rFonts w:ascii="宋体" w:hAnsi="宋体" w:cs="宋体"/>
          <w:b/>
          <w:color w:val="auto"/>
          <w:szCs w:val="21"/>
          <w:highlight w:val="none"/>
        </w:rPr>
      </w:pPr>
      <w:bookmarkStart w:id="55" w:name="_Toc13037"/>
      <w:r>
        <w:rPr>
          <w:rFonts w:hint="eastAsia" w:ascii="宋体" w:hAnsi="宋体" w:cs="宋体"/>
          <w:b/>
          <w:color w:val="auto"/>
          <w:szCs w:val="21"/>
          <w:highlight w:val="none"/>
        </w:rPr>
        <w:t>1.3 采购内容、质保期、交货期</w:t>
      </w:r>
      <w:bookmarkEnd w:id="55"/>
      <w:r>
        <w:rPr>
          <w:rFonts w:hint="eastAsia" w:ascii="宋体" w:hAnsi="宋体" w:cs="宋体"/>
          <w:b/>
          <w:color w:val="auto"/>
          <w:szCs w:val="21"/>
          <w:highlight w:val="none"/>
        </w:rPr>
        <w:t>、质量要求等</w:t>
      </w:r>
    </w:p>
    <w:p w14:paraId="2331E89C">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1.3.1 本次招标项目的采购内容：见投标人须知前附表。</w:t>
      </w:r>
    </w:p>
    <w:p w14:paraId="4CB5605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1.3.2 本次招标项目的质保期：见投标人须知前附表。</w:t>
      </w:r>
    </w:p>
    <w:p w14:paraId="653DE83B">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1.3.3 本次招标项目的交货期：见投标人须知前附表。</w:t>
      </w:r>
    </w:p>
    <w:p w14:paraId="13031E97">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1.3.4 本次招标项目的交货地点：见投标人须知前附表。</w:t>
      </w:r>
    </w:p>
    <w:p w14:paraId="79B943B2">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1.3.5 本次招标项目的质量要求：见投标人须知前附表。</w:t>
      </w:r>
    </w:p>
    <w:p w14:paraId="5366F062">
      <w:pPr>
        <w:adjustRightInd w:val="0"/>
        <w:snapToGrid w:val="0"/>
        <w:spacing w:line="440" w:lineRule="exact"/>
        <w:ind w:firstLine="422" w:firstLineChars="200"/>
        <w:outlineLvl w:val="3"/>
        <w:rPr>
          <w:rFonts w:ascii="宋体" w:hAnsi="宋体" w:cs="宋体"/>
          <w:b/>
          <w:color w:val="auto"/>
          <w:szCs w:val="21"/>
          <w:highlight w:val="none"/>
        </w:rPr>
      </w:pPr>
      <w:bookmarkStart w:id="56" w:name="_Toc24498"/>
      <w:r>
        <w:rPr>
          <w:rFonts w:hint="eastAsia" w:ascii="宋体" w:hAnsi="宋体" w:cs="宋体"/>
          <w:b/>
          <w:color w:val="auto"/>
          <w:szCs w:val="21"/>
          <w:highlight w:val="none"/>
        </w:rPr>
        <w:t>1.4 投标人资格要求</w:t>
      </w:r>
      <w:bookmarkEnd w:id="56"/>
    </w:p>
    <w:p w14:paraId="2F20CF0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1.4.1 投标人应具备承担本项目的资质条件、能力、信誉：见投标人须知前附表。</w:t>
      </w:r>
    </w:p>
    <w:p w14:paraId="18B2D07B">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1.4.2 本项目不接受联合体投标。</w:t>
      </w:r>
      <w:bookmarkStart w:id="57" w:name="_Toc18874"/>
    </w:p>
    <w:p w14:paraId="1EF4B41C">
      <w:pPr>
        <w:adjustRightInd w:val="0"/>
        <w:snapToGrid w:val="0"/>
        <w:spacing w:line="440" w:lineRule="exact"/>
        <w:ind w:firstLine="422" w:firstLineChars="200"/>
        <w:outlineLvl w:val="3"/>
        <w:rPr>
          <w:rFonts w:ascii="宋体" w:hAnsi="宋体" w:cs="宋体"/>
          <w:b/>
          <w:color w:val="auto"/>
          <w:szCs w:val="21"/>
          <w:highlight w:val="none"/>
        </w:rPr>
      </w:pPr>
      <w:r>
        <w:rPr>
          <w:rFonts w:hint="eastAsia" w:ascii="宋体" w:hAnsi="宋体" w:cs="宋体"/>
          <w:b/>
          <w:color w:val="auto"/>
          <w:szCs w:val="21"/>
          <w:highlight w:val="none"/>
        </w:rPr>
        <w:t>1.5 费用承担</w:t>
      </w:r>
      <w:bookmarkEnd w:id="57"/>
    </w:p>
    <w:p w14:paraId="2CAE5D3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投标人准备和参加投标活动发生的费用自理。</w:t>
      </w:r>
    </w:p>
    <w:p w14:paraId="383A7539">
      <w:pPr>
        <w:adjustRightInd w:val="0"/>
        <w:snapToGrid w:val="0"/>
        <w:spacing w:line="440" w:lineRule="exact"/>
        <w:ind w:firstLine="422" w:firstLineChars="200"/>
        <w:outlineLvl w:val="3"/>
        <w:rPr>
          <w:rFonts w:ascii="宋体" w:hAnsi="宋体" w:cs="宋体"/>
          <w:b/>
          <w:color w:val="auto"/>
          <w:szCs w:val="21"/>
          <w:highlight w:val="none"/>
        </w:rPr>
      </w:pPr>
      <w:bookmarkStart w:id="58" w:name="_Toc6153"/>
      <w:r>
        <w:rPr>
          <w:rFonts w:hint="eastAsia" w:ascii="宋体" w:hAnsi="宋体" w:cs="宋体"/>
          <w:b/>
          <w:color w:val="auto"/>
          <w:szCs w:val="21"/>
          <w:highlight w:val="none"/>
        </w:rPr>
        <w:t>1.6 保密</w:t>
      </w:r>
      <w:bookmarkEnd w:id="58"/>
    </w:p>
    <w:p w14:paraId="35AFE3AC">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1.6.1 参与招标投标活动的各方应对招标文件和投标文件中的商业和技术等秘密保密，否则应承担相应的法律责任。</w:t>
      </w:r>
    </w:p>
    <w:p w14:paraId="37BE20C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 依据政府采购中标结果及合同公告规定，中标（合同）标的名称、规格型号、单价及中标（合同）金额等内容不得作为商业秘密。</w:t>
      </w:r>
    </w:p>
    <w:p w14:paraId="13FBCC88">
      <w:pPr>
        <w:adjustRightInd w:val="0"/>
        <w:snapToGrid w:val="0"/>
        <w:spacing w:line="440" w:lineRule="exact"/>
        <w:ind w:firstLine="422" w:firstLineChars="200"/>
        <w:outlineLvl w:val="3"/>
        <w:rPr>
          <w:rFonts w:ascii="宋体" w:hAnsi="宋体" w:cs="宋体"/>
          <w:b/>
          <w:color w:val="auto"/>
          <w:szCs w:val="21"/>
          <w:highlight w:val="none"/>
        </w:rPr>
      </w:pPr>
      <w:bookmarkStart w:id="59" w:name="_Toc12185"/>
      <w:r>
        <w:rPr>
          <w:rFonts w:hint="eastAsia" w:ascii="宋体" w:hAnsi="宋体" w:cs="宋体"/>
          <w:b/>
          <w:color w:val="auto"/>
          <w:szCs w:val="21"/>
          <w:highlight w:val="none"/>
        </w:rPr>
        <w:t>1.7 语言文字</w:t>
      </w:r>
      <w:bookmarkEnd w:id="59"/>
    </w:p>
    <w:p w14:paraId="3DE2424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招标投标文件使用的语言文字为中文。专用术语使用外文的，应附有中文注释。</w:t>
      </w:r>
    </w:p>
    <w:p w14:paraId="2C1501C5">
      <w:pPr>
        <w:adjustRightInd w:val="0"/>
        <w:snapToGrid w:val="0"/>
        <w:spacing w:line="440" w:lineRule="exact"/>
        <w:ind w:firstLine="422" w:firstLineChars="200"/>
        <w:outlineLvl w:val="3"/>
        <w:rPr>
          <w:rFonts w:ascii="宋体" w:hAnsi="宋体" w:cs="宋体"/>
          <w:b/>
          <w:color w:val="auto"/>
          <w:szCs w:val="21"/>
          <w:highlight w:val="none"/>
        </w:rPr>
      </w:pPr>
      <w:bookmarkStart w:id="60" w:name="_Toc10849"/>
      <w:r>
        <w:rPr>
          <w:rFonts w:hint="eastAsia" w:ascii="宋体" w:hAnsi="宋体" w:cs="宋体"/>
          <w:b/>
          <w:color w:val="auto"/>
          <w:szCs w:val="21"/>
          <w:highlight w:val="none"/>
        </w:rPr>
        <w:t>1.8 计量单位</w:t>
      </w:r>
      <w:bookmarkEnd w:id="60"/>
    </w:p>
    <w:p w14:paraId="3CF1BEF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14:paraId="21376F0F">
      <w:pPr>
        <w:adjustRightInd w:val="0"/>
        <w:snapToGrid w:val="0"/>
        <w:spacing w:line="440" w:lineRule="exact"/>
        <w:ind w:firstLine="422" w:firstLineChars="200"/>
        <w:outlineLvl w:val="3"/>
        <w:rPr>
          <w:rFonts w:ascii="宋体" w:hAnsi="宋体" w:cs="宋体"/>
          <w:b/>
          <w:color w:val="auto"/>
          <w:szCs w:val="21"/>
          <w:highlight w:val="none"/>
        </w:rPr>
      </w:pPr>
      <w:bookmarkStart w:id="61" w:name="_Toc23251"/>
      <w:r>
        <w:rPr>
          <w:rFonts w:hint="eastAsia" w:ascii="宋体" w:hAnsi="宋体" w:cs="宋体"/>
          <w:b/>
          <w:color w:val="auto"/>
          <w:szCs w:val="21"/>
          <w:highlight w:val="none"/>
        </w:rPr>
        <w:t>1.9 踏勘现场</w:t>
      </w:r>
      <w:bookmarkEnd w:id="61"/>
      <w:r>
        <w:rPr>
          <w:rFonts w:hint="eastAsia" w:ascii="宋体" w:hAnsi="宋体" w:cs="宋体"/>
          <w:b/>
          <w:color w:val="auto"/>
          <w:szCs w:val="21"/>
          <w:highlight w:val="none"/>
        </w:rPr>
        <w:t>（不组织）</w:t>
      </w:r>
    </w:p>
    <w:p w14:paraId="66AC52D0">
      <w:pPr>
        <w:tabs>
          <w:tab w:val="left" w:pos="0"/>
        </w:tabs>
        <w:adjustRightInd w:val="0"/>
        <w:snapToGrid w:val="0"/>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1.9.1 投标人须知前附表规定组织踏勘现场的，招标人按投标人须知前附表规定的时间、地点组织投标人踏勘项目现场。</w:t>
      </w:r>
    </w:p>
    <w:p w14:paraId="7BF1D086">
      <w:pPr>
        <w:tabs>
          <w:tab w:val="left" w:pos="0"/>
        </w:tabs>
        <w:adjustRightInd w:val="0"/>
        <w:snapToGrid w:val="0"/>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1.9.2 投标人踏勘现场发生的费用自理。</w:t>
      </w:r>
    </w:p>
    <w:p w14:paraId="06D99227">
      <w:pPr>
        <w:tabs>
          <w:tab w:val="left" w:pos="0"/>
        </w:tabs>
        <w:adjustRightInd w:val="0"/>
        <w:snapToGrid w:val="0"/>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1.9.3</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投标人自行负责在踏勘现场中所发生的人员伤亡和财产损失。</w:t>
      </w:r>
    </w:p>
    <w:p w14:paraId="63C8A42E">
      <w:pPr>
        <w:tabs>
          <w:tab w:val="left" w:pos="0"/>
        </w:tabs>
        <w:adjustRightInd w:val="0"/>
        <w:snapToGrid w:val="0"/>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1.9.4 招标人在踏勘现场中介绍的场地和相关的周边环境情况，供投标人在编制投标文件时参考，招标人不对投标人据此作出的判断和决策负责。</w:t>
      </w:r>
    </w:p>
    <w:p w14:paraId="234F5387">
      <w:pPr>
        <w:adjustRightInd w:val="0"/>
        <w:snapToGrid w:val="0"/>
        <w:spacing w:line="440" w:lineRule="exact"/>
        <w:ind w:firstLine="422" w:firstLineChars="200"/>
        <w:outlineLvl w:val="3"/>
        <w:rPr>
          <w:rFonts w:ascii="宋体" w:hAnsi="宋体" w:cs="宋体"/>
          <w:b/>
          <w:color w:val="auto"/>
          <w:szCs w:val="21"/>
          <w:highlight w:val="none"/>
        </w:rPr>
      </w:pPr>
      <w:bookmarkStart w:id="62" w:name="_Toc30607"/>
      <w:r>
        <w:rPr>
          <w:rFonts w:hint="eastAsia" w:ascii="宋体" w:hAnsi="宋体" w:cs="宋体"/>
          <w:b/>
          <w:color w:val="auto"/>
          <w:szCs w:val="21"/>
          <w:highlight w:val="none"/>
        </w:rPr>
        <w:t>1.10 投标预备会</w:t>
      </w:r>
      <w:bookmarkEnd w:id="62"/>
      <w:r>
        <w:rPr>
          <w:rFonts w:hint="eastAsia" w:ascii="宋体" w:hAnsi="宋体" w:cs="宋体"/>
          <w:b/>
          <w:color w:val="auto"/>
          <w:szCs w:val="21"/>
          <w:highlight w:val="none"/>
        </w:rPr>
        <w:t>（不召开）</w:t>
      </w:r>
    </w:p>
    <w:p w14:paraId="35441B37">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1.10.1 投标人须知前附表规定召开投标预备会的，招标人按投标人须知前附表规定的时间和地点召开投标预备会，澄清投标人提出的问题。</w:t>
      </w:r>
    </w:p>
    <w:p w14:paraId="10D4D72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1.10.2 投标人应在投标人须知前附表规定的时间前，以书面形式将提出的问题送达招标人，以便招标人在会议期间澄清。</w:t>
      </w:r>
    </w:p>
    <w:p w14:paraId="504F12F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1.10.3 投标预备会后，招标人在投标人须知前附表规定的时间内，将对投标人所提问颗的澄清，以书面方式通知所有购买招标文件的投标人。该澄清内容为招标文件的组成部分。</w:t>
      </w:r>
      <w:bookmarkStart w:id="63" w:name="_Toc184635072"/>
      <w:bookmarkStart w:id="64" w:name="_Toc345178449"/>
    </w:p>
    <w:p w14:paraId="04985E9D">
      <w:pPr>
        <w:adjustRightInd w:val="0"/>
        <w:snapToGrid w:val="0"/>
        <w:spacing w:line="440" w:lineRule="exact"/>
        <w:ind w:firstLine="422" w:firstLineChars="200"/>
        <w:outlineLvl w:val="3"/>
        <w:rPr>
          <w:rFonts w:ascii="宋体" w:hAnsi="宋体" w:cs="宋体"/>
          <w:b/>
          <w:color w:val="auto"/>
          <w:szCs w:val="21"/>
          <w:highlight w:val="none"/>
        </w:rPr>
      </w:pPr>
      <w:r>
        <w:rPr>
          <w:rFonts w:hint="eastAsia" w:ascii="宋体" w:hAnsi="宋体" w:cs="宋体"/>
          <w:b/>
          <w:color w:val="auto"/>
          <w:szCs w:val="21"/>
          <w:highlight w:val="none"/>
        </w:rPr>
        <w:t>1.11 分包</w:t>
      </w:r>
    </w:p>
    <w:p w14:paraId="64725352">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详见投标人须知前附表。</w:t>
      </w:r>
    </w:p>
    <w:p w14:paraId="10F36A07">
      <w:pPr>
        <w:adjustRightInd w:val="0"/>
        <w:snapToGrid w:val="0"/>
        <w:spacing w:line="440" w:lineRule="exact"/>
        <w:ind w:firstLine="422" w:firstLineChars="200"/>
        <w:outlineLvl w:val="3"/>
        <w:rPr>
          <w:rFonts w:ascii="宋体" w:hAnsi="宋体" w:cs="宋体"/>
          <w:b/>
          <w:color w:val="auto"/>
          <w:szCs w:val="21"/>
          <w:highlight w:val="none"/>
        </w:rPr>
      </w:pPr>
      <w:r>
        <w:rPr>
          <w:rFonts w:hint="eastAsia" w:ascii="宋体" w:hAnsi="宋体" w:cs="宋体"/>
          <w:b/>
          <w:color w:val="auto"/>
          <w:szCs w:val="21"/>
          <w:highlight w:val="none"/>
        </w:rPr>
        <w:t>1.12 偏离</w:t>
      </w:r>
    </w:p>
    <w:p w14:paraId="65373DF8">
      <w:pPr>
        <w:pStyle w:val="36"/>
        <w:ind w:firstLine="211"/>
        <w:rPr>
          <w:color w:val="auto"/>
          <w:highlight w:val="none"/>
        </w:rPr>
      </w:pPr>
      <w:r>
        <w:rPr>
          <w:rFonts w:hint="eastAsia"/>
          <w:color w:val="auto"/>
          <w:highlight w:val="none"/>
        </w:rPr>
        <w:t>投标人须知前附表允许投标文件偏离招标文件某些要求的，偏离应当符合招标文件规定的偏离范围和幅度。</w:t>
      </w:r>
    </w:p>
    <w:p w14:paraId="1351527A">
      <w:pPr>
        <w:pStyle w:val="3"/>
        <w:keepNext w:val="0"/>
        <w:keepLines w:val="0"/>
        <w:snapToGrid w:val="0"/>
        <w:spacing w:before="0" w:after="0" w:line="440" w:lineRule="exact"/>
        <w:ind w:firstLine="422" w:firstLineChars="200"/>
        <w:jc w:val="left"/>
        <w:rPr>
          <w:color w:val="auto"/>
          <w:sz w:val="21"/>
          <w:szCs w:val="21"/>
          <w:highlight w:val="none"/>
        </w:rPr>
      </w:pPr>
      <w:bookmarkStart w:id="65" w:name="_Toc30881"/>
      <w:bookmarkStart w:id="66" w:name="_Toc14690"/>
      <w:bookmarkStart w:id="67" w:name="_Toc3390"/>
      <w:bookmarkStart w:id="68" w:name="_Toc1414764549"/>
      <w:bookmarkStart w:id="69" w:name="_Toc16127"/>
      <w:bookmarkStart w:id="70" w:name="_Toc8608"/>
      <w:bookmarkStart w:id="71" w:name="_Toc7515"/>
      <w:r>
        <w:rPr>
          <w:rFonts w:hint="eastAsia"/>
          <w:color w:val="auto"/>
          <w:sz w:val="21"/>
          <w:szCs w:val="21"/>
          <w:highlight w:val="none"/>
        </w:rPr>
        <w:t>2.招标文件</w:t>
      </w:r>
      <w:bookmarkEnd w:id="63"/>
      <w:bookmarkEnd w:id="64"/>
      <w:bookmarkEnd w:id="65"/>
      <w:bookmarkEnd w:id="66"/>
      <w:bookmarkEnd w:id="67"/>
      <w:bookmarkEnd w:id="68"/>
      <w:bookmarkEnd w:id="69"/>
      <w:bookmarkEnd w:id="70"/>
      <w:bookmarkEnd w:id="71"/>
    </w:p>
    <w:p w14:paraId="31D5BDB4">
      <w:pPr>
        <w:adjustRightInd w:val="0"/>
        <w:snapToGrid w:val="0"/>
        <w:spacing w:line="440" w:lineRule="exact"/>
        <w:ind w:firstLine="422" w:firstLineChars="200"/>
        <w:outlineLvl w:val="3"/>
        <w:rPr>
          <w:rFonts w:ascii="宋体" w:hAnsi="宋体" w:cs="宋体"/>
          <w:b/>
          <w:color w:val="auto"/>
          <w:szCs w:val="21"/>
          <w:highlight w:val="none"/>
        </w:rPr>
      </w:pPr>
      <w:bookmarkStart w:id="72" w:name="_Toc7846"/>
      <w:r>
        <w:rPr>
          <w:rFonts w:hint="eastAsia" w:ascii="宋体" w:hAnsi="宋体" w:cs="宋体"/>
          <w:b/>
          <w:color w:val="auto"/>
          <w:szCs w:val="21"/>
          <w:highlight w:val="none"/>
        </w:rPr>
        <w:t>2.1</w:t>
      </w:r>
      <w:r>
        <w:rPr>
          <w:rFonts w:ascii="宋体" w:hAnsi="宋体" w:cs="宋体"/>
          <w:b/>
          <w:color w:val="auto"/>
          <w:szCs w:val="21"/>
          <w:highlight w:val="none"/>
        </w:rPr>
        <w:t xml:space="preserve"> </w:t>
      </w:r>
      <w:r>
        <w:rPr>
          <w:rFonts w:hint="eastAsia" w:ascii="宋体" w:hAnsi="宋体" w:cs="宋体"/>
          <w:b/>
          <w:color w:val="auto"/>
          <w:szCs w:val="21"/>
          <w:highlight w:val="none"/>
        </w:rPr>
        <w:t>招标文件的组成</w:t>
      </w:r>
      <w:bookmarkEnd w:id="72"/>
    </w:p>
    <w:p w14:paraId="6FDB82B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本招标文件包括：</w:t>
      </w:r>
    </w:p>
    <w:p w14:paraId="5333C9D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（1）招标公告；</w:t>
      </w:r>
    </w:p>
    <w:p w14:paraId="04D3A2C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（2）投标人须知；</w:t>
      </w:r>
    </w:p>
    <w:p w14:paraId="4617E24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（3）评标办法及标准；</w:t>
      </w:r>
    </w:p>
    <w:p w14:paraId="1D5012D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（4）合同格式及合同条款；</w:t>
      </w:r>
    </w:p>
    <w:p w14:paraId="23F058B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（5）采购需求</w:t>
      </w:r>
    </w:p>
    <w:p w14:paraId="56873ED0">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（6）投标文件格式；</w:t>
      </w:r>
    </w:p>
    <w:p w14:paraId="1D819A77">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根据本章第2.2 款和第2.3 款对招标文件所作的澄清、修改，构成招标文件的组成部分。</w:t>
      </w:r>
    </w:p>
    <w:p w14:paraId="100F8619">
      <w:pPr>
        <w:adjustRightInd w:val="0"/>
        <w:snapToGrid w:val="0"/>
        <w:spacing w:line="440" w:lineRule="exact"/>
        <w:ind w:firstLine="422" w:firstLineChars="200"/>
        <w:outlineLvl w:val="3"/>
        <w:rPr>
          <w:rFonts w:ascii="宋体" w:hAnsi="宋体" w:cs="宋体"/>
          <w:b/>
          <w:color w:val="auto"/>
          <w:szCs w:val="21"/>
          <w:highlight w:val="none"/>
        </w:rPr>
      </w:pPr>
      <w:bookmarkStart w:id="73" w:name="_Toc2466"/>
      <w:r>
        <w:rPr>
          <w:rFonts w:hint="eastAsia" w:ascii="宋体" w:hAnsi="宋体" w:cs="宋体"/>
          <w:b/>
          <w:color w:val="auto"/>
          <w:szCs w:val="21"/>
          <w:highlight w:val="none"/>
        </w:rPr>
        <w:t>2.2 招标文件的澄清</w:t>
      </w:r>
      <w:bookmarkEnd w:id="73"/>
    </w:p>
    <w:p w14:paraId="3E982FC5">
      <w:pPr>
        <w:adjustRightInd w:val="0"/>
        <w:snapToGrid w:val="0"/>
        <w:spacing w:line="440" w:lineRule="exact"/>
        <w:ind w:firstLine="420" w:firstLineChars="200"/>
        <w:rPr>
          <w:rFonts w:ascii="宋体" w:hAnsi="宋体" w:cs="宋体"/>
          <w:color w:val="auto"/>
          <w:szCs w:val="21"/>
          <w:highlight w:val="none"/>
        </w:rPr>
      </w:pPr>
      <w:bookmarkStart w:id="74" w:name="_Toc18485"/>
      <w:r>
        <w:rPr>
          <w:rFonts w:hint="eastAsia" w:ascii="宋体" w:hAnsi="宋体" w:cs="宋体"/>
          <w:color w:val="auto"/>
          <w:szCs w:val="21"/>
          <w:highlight w:val="none"/>
        </w:rPr>
        <w:t>2.2.1</w:t>
      </w:r>
      <w:r>
        <w:rPr>
          <w:rFonts w:ascii="宋体" w:hAnsi="宋体" w:cs="宋体"/>
          <w:color w:val="auto"/>
          <w:szCs w:val="21"/>
          <w:highlight w:val="none"/>
        </w:rPr>
        <w:t xml:space="preserve"> </w:t>
      </w:r>
      <w:r>
        <w:rPr>
          <w:rFonts w:hint="eastAsia" w:ascii="宋体" w:hAnsi="宋体" w:cs="宋体"/>
          <w:color w:val="auto"/>
          <w:szCs w:val="21"/>
          <w:highlight w:val="none"/>
        </w:rPr>
        <w:t>投标人应仔细阅读和检查招标文件的全部内容。如有疑问，应当在收到招标文件之日或者招标文件公告期限届满之日起七个工作日内，在河南省公共资源交易中心平台上提出。招标人和招标代理机构对潜在投标人在规定期限内提交的疑问予以答复。在规定的时间内未提出疑问的，将被视为完全理解并接受招标文件的全部内容。</w:t>
      </w:r>
    </w:p>
    <w:p w14:paraId="6F6D655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2.2.2</w:t>
      </w:r>
      <w:r>
        <w:rPr>
          <w:rFonts w:ascii="宋体" w:hAnsi="宋体" w:cs="宋体"/>
          <w:color w:val="auto"/>
          <w:szCs w:val="21"/>
          <w:highlight w:val="none"/>
        </w:rPr>
        <w:t xml:space="preserve"> </w:t>
      </w:r>
      <w:r>
        <w:rPr>
          <w:rFonts w:hint="eastAsia" w:ascii="宋体" w:hAnsi="宋体" w:cs="宋体"/>
          <w:color w:val="auto"/>
          <w:szCs w:val="21"/>
          <w:highlight w:val="none"/>
        </w:rPr>
        <w:t>除非招标人认为确有必要答复，否则，招标人有权拒绝回复投标人在本章第2.2.1项规定的时间后的任何澄清要求。</w:t>
      </w:r>
    </w:p>
    <w:p w14:paraId="52D6A7F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2.2.3</w:t>
      </w:r>
      <w:r>
        <w:rPr>
          <w:rFonts w:ascii="宋体" w:hAnsi="宋体" w:cs="宋体"/>
          <w:color w:val="auto"/>
          <w:szCs w:val="21"/>
          <w:highlight w:val="none"/>
        </w:rPr>
        <w:t xml:space="preserve"> </w:t>
      </w:r>
      <w:r>
        <w:rPr>
          <w:rFonts w:hint="eastAsia" w:ascii="宋体" w:hAnsi="宋体" w:cs="宋体"/>
          <w:color w:val="auto"/>
          <w:szCs w:val="21"/>
          <w:highlight w:val="none"/>
        </w:rPr>
        <w:t>招标人或者招标代理机构可以对已发出的招标文件进行必要的澄清，但不得改变采购标的和资格条件。澄清的内容为招标文件的组成部分。澄清的内容可能影响投标文件编制的，招标人或者招标代理机构在投标截止时间至少15日前，通知所有获取招标文件的潜在投标人，不足15日的，顺延提交投标文件的截止时间。</w:t>
      </w:r>
    </w:p>
    <w:p w14:paraId="0FF62F8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2.2.4</w:t>
      </w:r>
      <w:r>
        <w:rPr>
          <w:rFonts w:ascii="宋体" w:hAnsi="宋体" w:cs="宋体"/>
          <w:color w:val="auto"/>
          <w:szCs w:val="21"/>
          <w:highlight w:val="none"/>
        </w:rPr>
        <w:t xml:space="preserve"> </w:t>
      </w:r>
      <w:r>
        <w:rPr>
          <w:rFonts w:hint="eastAsia" w:ascii="宋体" w:hAnsi="宋体" w:cs="宋体"/>
          <w:color w:val="auto"/>
          <w:szCs w:val="21"/>
          <w:highlight w:val="none"/>
        </w:rPr>
        <w:t>招标文件的澄清将通过交易平台系统内部“答疑文件”告知投标人，发布给所有下载招标文件的投标人，并在原公告发布媒体上发布澄清公告，但不指明澄清问题的来源。对于项目中已经下载招标文件的投标人，系统将通过第三方短信群发方式提醒投标人进行查询。各投标人须重新下载最新的答疑文件，以此编制投标文件。</w:t>
      </w:r>
    </w:p>
    <w:p w14:paraId="728B3459">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2.2.5</w:t>
      </w:r>
      <w:r>
        <w:rPr>
          <w:rFonts w:ascii="宋体" w:hAnsi="宋体" w:cs="宋体"/>
          <w:color w:val="auto"/>
          <w:szCs w:val="21"/>
          <w:highlight w:val="none"/>
        </w:rPr>
        <w:t xml:space="preserve"> </w:t>
      </w:r>
      <w:r>
        <w:rPr>
          <w:rFonts w:hint="eastAsia" w:ascii="宋体" w:hAnsi="宋体" w:cs="宋体"/>
          <w:color w:val="auto"/>
          <w:szCs w:val="21"/>
          <w:highlight w:val="none"/>
        </w:rPr>
        <w:t>投标人市场主体信息登记时所留手机联系方式要保持畅通，因联系方式变更而未及时更新系统内联系方式的，将会造成收不到短信。此短信仅系友情提示，并不具有任何约束性和必要性，招标人和招标代理机构不承担投标人未收到短信而引起的一切后果和法律责任。</w:t>
      </w:r>
    </w:p>
    <w:p w14:paraId="61642B66">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2.2.6</w:t>
      </w:r>
      <w:r>
        <w:rPr>
          <w:rFonts w:ascii="宋体" w:hAnsi="宋体" w:cs="宋体"/>
          <w:color w:val="auto"/>
          <w:szCs w:val="21"/>
          <w:highlight w:val="none"/>
        </w:rPr>
        <w:t xml:space="preserve"> </w:t>
      </w:r>
      <w:r>
        <w:rPr>
          <w:rFonts w:hint="eastAsia" w:ascii="宋体" w:hAnsi="宋体" w:cs="宋体"/>
          <w:color w:val="auto"/>
          <w:szCs w:val="21"/>
          <w:highlight w:val="none"/>
        </w:rPr>
        <w:t>因交易中心平台在开标前具有保密性，投标人在投标截止时间前须自行查看项目进展、变更通知、澄清及回复，因投标人未及时查看而造成的后果自行承担。</w:t>
      </w:r>
    </w:p>
    <w:p w14:paraId="5AE1C5A4">
      <w:pPr>
        <w:adjustRightInd w:val="0"/>
        <w:snapToGrid w:val="0"/>
        <w:spacing w:line="440" w:lineRule="exact"/>
        <w:ind w:firstLine="422" w:firstLineChars="200"/>
        <w:outlineLvl w:val="3"/>
        <w:rPr>
          <w:rFonts w:ascii="宋体" w:hAnsi="宋体" w:cs="宋体"/>
          <w:b/>
          <w:color w:val="auto"/>
          <w:szCs w:val="21"/>
          <w:highlight w:val="none"/>
        </w:rPr>
      </w:pPr>
      <w:r>
        <w:rPr>
          <w:rFonts w:hint="eastAsia" w:ascii="宋体" w:hAnsi="宋体" w:cs="宋体"/>
          <w:b/>
          <w:color w:val="auto"/>
          <w:szCs w:val="21"/>
          <w:highlight w:val="none"/>
        </w:rPr>
        <w:t>2.3 招标文件的修改</w:t>
      </w:r>
    </w:p>
    <w:p w14:paraId="2267F966">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2.3.1 招标文件发出后，在提交投标文件截止时间15日前，招标人可对招标文件进行必要的修改。</w:t>
      </w:r>
    </w:p>
    <w:p w14:paraId="09D78936">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2.3.2 招标人、招标代理机构对已发出的招标文件进行的澄清、更正或更改，澄清、更正或更改的内容将作为招标文件的组成部分。招标代理机构将通过招标公告发布网站以“变更公告”和系统内部“答疑文件”的形式告知投标人，对于项目中已经成功报名并下载招标文件的投标人，系统将通过第三方短信群发方式提醒投标人进行查询。各投标人须重新下载最新的答疑文件，以此编制投标文件。</w:t>
      </w:r>
    </w:p>
    <w:p w14:paraId="2CB79736">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2.3.3 投标人注册时所留手机联系方式要保持畅通，因联系方式变更而未及时更新系统内联系方式的，将会造成收不到短信。此短信仅系友情提示，并不具有任何约束性和必要性，招标代理机构不承担投标人未收到短信而引起的一切后果和法律责任。</w:t>
      </w:r>
    </w:p>
    <w:p w14:paraId="1A30CE1B">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2.3.4 当招标文件、招标文件的澄清、修改、补充等在同一内容的表述上不一致时，以最后发出的文件为准。</w:t>
      </w:r>
    </w:p>
    <w:p w14:paraId="5D5FB35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2.3.5 为使投标人在编制投标文件时有充分的时间对招标文件的澄清、修改、补充等内容进行研究，招标人将酌情延长提交投标文件的截止时间，具体时间将在招标文件的修改、补充通知中予以明确。</w:t>
      </w:r>
    </w:p>
    <w:bookmarkEnd w:id="74"/>
    <w:p w14:paraId="3B6F8F55">
      <w:pPr>
        <w:pStyle w:val="3"/>
        <w:keepNext w:val="0"/>
        <w:keepLines w:val="0"/>
        <w:snapToGrid w:val="0"/>
        <w:spacing w:before="0" w:after="0" w:line="440" w:lineRule="exact"/>
        <w:ind w:firstLine="422" w:firstLineChars="200"/>
        <w:jc w:val="left"/>
        <w:rPr>
          <w:color w:val="auto"/>
          <w:sz w:val="21"/>
          <w:szCs w:val="21"/>
          <w:highlight w:val="none"/>
        </w:rPr>
      </w:pPr>
      <w:bookmarkStart w:id="75" w:name="_Toc4744"/>
      <w:bookmarkStart w:id="76" w:name="_Toc5787"/>
      <w:bookmarkStart w:id="77" w:name="_Toc1539"/>
      <w:bookmarkStart w:id="78" w:name="_Toc23766"/>
      <w:bookmarkStart w:id="79" w:name="_Toc16439"/>
      <w:bookmarkStart w:id="80" w:name="_Toc1008835459"/>
      <w:bookmarkStart w:id="81" w:name="_Toc184635073"/>
      <w:bookmarkStart w:id="82" w:name="_Toc11237"/>
      <w:r>
        <w:rPr>
          <w:rFonts w:hint="eastAsia"/>
          <w:color w:val="auto"/>
          <w:sz w:val="21"/>
          <w:szCs w:val="21"/>
          <w:highlight w:val="none"/>
        </w:rPr>
        <w:t>3.投标文件</w:t>
      </w:r>
      <w:bookmarkEnd w:id="75"/>
      <w:bookmarkEnd w:id="76"/>
      <w:bookmarkEnd w:id="77"/>
      <w:bookmarkEnd w:id="78"/>
      <w:bookmarkEnd w:id="79"/>
      <w:bookmarkEnd w:id="80"/>
      <w:bookmarkEnd w:id="81"/>
      <w:bookmarkEnd w:id="82"/>
    </w:p>
    <w:p w14:paraId="41DA8659">
      <w:pPr>
        <w:adjustRightInd w:val="0"/>
        <w:snapToGrid w:val="0"/>
        <w:spacing w:line="440" w:lineRule="exact"/>
        <w:ind w:firstLine="422" w:firstLineChars="200"/>
        <w:outlineLvl w:val="3"/>
        <w:rPr>
          <w:rFonts w:ascii="宋体" w:hAnsi="宋体" w:cs="宋体"/>
          <w:b/>
          <w:color w:val="auto"/>
          <w:szCs w:val="21"/>
          <w:highlight w:val="none"/>
        </w:rPr>
      </w:pPr>
      <w:bookmarkStart w:id="83" w:name="_Toc274"/>
      <w:r>
        <w:rPr>
          <w:rFonts w:hint="eastAsia" w:ascii="宋体" w:hAnsi="宋体" w:cs="宋体"/>
          <w:b/>
          <w:color w:val="auto"/>
          <w:szCs w:val="21"/>
          <w:highlight w:val="none"/>
        </w:rPr>
        <w:t>3.1</w:t>
      </w:r>
      <w:r>
        <w:rPr>
          <w:rFonts w:ascii="宋体" w:hAnsi="宋体" w:cs="宋体"/>
          <w:b/>
          <w:color w:val="auto"/>
          <w:szCs w:val="21"/>
          <w:highlight w:val="none"/>
        </w:rPr>
        <w:t xml:space="preserve"> </w:t>
      </w:r>
      <w:r>
        <w:rPr>
          <w:rFonts w:hint="eastAsia" w:ascii="宋体" w:hAnsi="宋体" w:cs="宋体"/>
          <w:b/>
          <w:color w:val="auto"/>
          <w:szCs w:val="21"/>
          <w:highlight w:val="none"/>
        </w:rPr>
        <w:t>投标文件的组成</w:t>
      </w:r>
      <w:bookmarkEnd w:id="83"/>
    </w:p>
    <w:p w14:paraId="7760CF5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3.1.1</w:t>
      </w:r>
      <w:r>
        <w:rPr>
          <w:rFonts w:ascii="宋体" w:hAnsi="宋体" w:cs="宋体"/>
          <w:color w:val="auto"/>
          <w:szCs w:val="21"/>
          <w:highlight w:val="none"/>
        </w:rPr>
        <w:t xml:space="preserve"> </w:t>
      </w:r>
      <w:r>
        <w:rPr>
          <w:rFonts w:hint="eastAsia" w:ascii="宋体" w:hAnsi="宋体" w:cs="宋体"/>
          <w:color w:val="auto"/>
          <w:szCs w:val="21"/>
          <w:highlight w:val="none"/>
        </w:rPr>
        <w:t>详见招标文件第六章 “投标文件格式”；</w:t>
      </w:r>
    </w:p>
    <w:p w14:paraId="57FEE94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3.1.2</w:t>
      </w:r>
      <w:r>
        <w:rPr>
          <w:rFonts w:ascii="宋体" w:hAnsi="宋体" w:cs="宋体"/>
          <w:color w:val="auto"/>
          <w:szCs w:val="21"/>
          <w:highlight w:val="none"/>
        </w:rPr>
        <w:t xml:space="preserve"> </w:t>
      </w:r>
      <w:r>
        <w:rPr>
          <w:rFonts w:hint="eastAsia" w:ascii="宋体" w:hAnsi="宋体" w:cs="宋体"/>
          <w:color w:val="auto"/>
          <w:szCs w:val="21"/>
          <w:highlight w:val="none"/>
        </w:rPr>
        <w:t>投标人在评标过程中作出的符合法律法规和招标文件规定的澄清确认，构成投标文件的组成部分。</w:t>
      </w:r>
    </w:p>
    <w:p w14:paraId="69479311">
      <w:pPr>
        <w:adjustRightInd w:val="0"/>
        <w:snapToGrid w:val="0"/>
        <w:spacing w:line="440" w:lineRule="exact"/>
        <w:ind w:firstLine="422" w:firstLineChars="200"/>
        <w:outlineLvl w:val="3"/>
        <w:rPr>
          <w:rFonts w:ascii="宋体" w:hAnsi="宋体" w:cs="宋体"/>
          <w:b/>
          <w:color w:val="auto"/>
          <w:szCs w:val="21"/>
          <w:highlight w:val="none"/>
        </w:rPr>
      </w:pPr>
      <w:bookmarkStart w:id="84" w:name="_Toc13425"/>
      <w:r>
        <w:rPr>
          <w:rFonts w:hint="eastAsia" w:ascii="宋体" w:hAnsi="宋体" w:cs="宋体"/>
          <w:b/>
          <w:color w:val="auto"/>
          <w:szCs w:val="21"/>
          <w:highlight w:val="none"/>
        </w:rPr>
        <w:t>3.2 投标报价</w:t>
      </w:r>
      <w:bookmarkEnd w:id="84"/>
    </w:p>
    <w:p w14:paraId="79E1EA4F">
      <w:pPr>
        <w:adjustRightInd w:val="0"/>
        <w:snapToGrid w:val="0"/>
        <w:spacing w:line="440" w:lineRule="exact"/>
        <w:ind w:firstLine="420" w:firstLineChars="200"/>
        <w:rPr>
          <w:rFonts w:ascii="宋体" w:hAnsi="宋体" w:cs="宋体"/>
          <w:color w:val="auto"/>
          <w:szCs w:val="21"/>
          <w:highlight w:val="none"/>
        </w:rPr>
      </w:pPr>
      <w:bookmarkStart w:id="85" w:name="_Toc257025777"/>
      <w:bookmarkStart w:id="86" w:name="_Toc247965702"/>
      <w:bookmarkStart w:id="87" w:name="_Toc257026310"/>
      <w:bookmarkStart w:id="88" w:name="_Toc247965803"/>
      <w:bookmarkStart w:id="89" w:name="_Toc256760544"/>
      <w:bookmarkStart w:id="90" w:name="_Toc247961842"/>
      <w:r>
        <w:rPr>
          <w:rFonts w:hint="eastAsia" w:ascii="宋体" w:hAnsi="宋体" w:cs="宋体"/>
          <w:color w:val="auto"/>
          <w:szCs w:val="21"/>
          <w:highlight w:val="none"/>
        </w:rPr>
        <w:t>3.2.1 投标人应按第六章“投标文件格式”的要求在投标函中进行报价并填写费用清单。投标货币投标文件中投标报价全部采用人民币表示。</w:t>
      </w:r>
    </w:p>
    <w:p w14:paraId="6AE6D18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3.2.2</w:t>
      </w:r>
      <w:r>
        <w:rPr>
          <w:rFonts w:ascii="宋体" w:hAnsi="宋体" w:cs="宋体"/>
          <w:color w:val="auto"/>
          <w:szCs w:val="21"/>
          <w:highlight w:val="none"/>
        </w:rPr>
        <w:t xml:space="preserve"> </w:t>
      </w:r>
      <w:r>
        <w:rPr>
          <w:rFonts w:hint="eastAsia" w:ascii="宋体" w:hAnsi="宋体" w:cs="宋体"/>
          <w:color w:val="auto"/>
          <w:szCs w:val="21"/>
          <w:highlight w:val="none"/>
        </w:rPr>
        <w:t>投标人的投标报价为指定地点交货报价，包含但不限于设备及附属设施设备的供货、运输、保险、装卸、安装、检测、调试、试运行、验收交付、培训、技术支持、软件升级、售后保修、安装场地改造装修等及相关伴随服务。投标人应结合自身条件，充分考虑本项目实际情况以及市场因素、现场环境因素、社会因素等各方面的风险因素，投标报价将被认为已综合考虑可能发生的全部不可预见的风险费用。中标人无权再以估计不足为由提出任何延长交货期、增加价款或索赔等要求。</w:t>
      </w:r>
    </w:p>
    <w:p w14:paraId="34023457">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3.2.3</w:t>
      </w:r>
      <w:r>
        <w:rPr>
          <w:rFonts w:ascii="宋体" w:hAnsi="宋体" w:cs="宋体"/>
          <w:color w:val="auto"/>
          <w:szCs w:val="21"/>
          <w:highlight w:val="none"/>
        </w:rPr>
        <w:t xml:space="preserve"> </w:t>
      </w:r>
      <w:r>
        <w:rPr>
          <w:rFonts w:hint="eastAsia" w:ascii="宋体" w:hAnsi="宋体" w:cs="宋体"/>
          <w:color w:val="auto"/>
          <w:szCs w:val="21"/>
          <w:highlight w:val="none"/>
        </w:rPr>
        <w:t>投标人应按照招标文件提供的投标报价表格式填写投标报价。</w:t>
      </w:r>
    </w:p>
    <w:p w14:paraId="539EBBE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3.2.4 招标人设有最高投标限价的，投标人的投标报价不得超过最高投标限价，最高投标限价在投标人须知前附表中载明。</w:t>
      </w:r>
    </w:p>
    <w:p w14:paraId="0B9B860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3.2.5</w:t>
      </w:r>
      <w:r>
        <w:rPr>
          <w:rFonts w:ascii="宋体" w:hAnsi="宋体" w:cs="宋体"/>
          <w:color w:val="auto"/>
          <w:szCs w:val="21"/>
          <w:highlight w:val="none"/>
        </w:rPr>
        <w:t xml:space="preserve"> </w:t>
      </w:r>
      <w:r>
        <w:rPr>
          <w:rFonts w:hint="eastAsia" w:ascii="宋体" w:hAnsi="宋体" w:cs="宋体"/>
          <w:color w:val="auto"/>
          <w:szCs w:val="21"/>
          <w:highlight w:val="none"/>
        </w:rPr>
        <w:t>投标人的投标报价如有漏项，视为已经包含在投标报价内。</w:t>
      </w:r>
    </w:p>
    <w:p w14:paraId="68709C3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3.2.6 投标人不得以任何理由在开标后对投标报价予以修改，报价在投标有效期内是固定的，不因任何原因而改变。任何包含价格调整要求和条件的投标，将被视为非实质性响应投标而予以拒绝。最低投标报价并不意味着一定中标。</w:t>
      </w:r>
    </w:p>
    <w:p w14:paraId="4325F19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3.2.7 投标报价包含单价和合计价格的，单价乘数量与合计价格不符时以单价为准修正合计价格，单价小数点明显错误的除外。数字表示的价格与文字表示的价格不一致时以文字表示的为准。如果单价、分项总价和投标总价之间有差异，评标时以单价为准。</w:t>
      </w:r>
    </w:p>
    <w:p w14:paraId="21B271F2">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3.2.8 投标文件中凡是与“报价”、“金额”有关的条款，前后金额数应一致，不一致时以投标函中的金额为准。</w:t>
      </w:r>
    </w:p>
    <w:p w14:paraId="55CA11F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3.2.9 投标人应考虑物价上涨，政策性调整等诸多因素以及由此引起的费用变动的风险。</w:t>
      </w:r>
    </w:p>
    <w:p w14:paraId="441F8A9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3.2.10 投标人的投标报价不得低于企业成本，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914B19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3.2.11 投标人除按评标委员会要求对其报价进行修正外，不得以任何理由在投标截止后对投标报价予以修改，报价在投标有效期内是固定的，不因任何原因而改变。任何包含价格调整要求和条件的投标，将被视为非实质性响应,将被认定为投标无效。</w:t>
      </w:r>
    </w:p>
    <w:bookmarkEnd w:id="85"/>
    <w:bookmarkEnd w:id="86"/>
    <w:bookmarkEnd w:id="87"/>
    <w:bookmarkEnd w:id="88"/>
    <w:bookmarkEnd w:id="89"/>
    <w:bookmarkEnd w:id="90"/>
    <w:p w14:paraId="79EE2640">
      <w:pPr>
        <w:adjustRightInd w:val="0"/>
        <w:snapToGrid w:val="0"/>
        <w:spacing w:line="440" w:lineRule="exact"/>
        <w:ind w:firstLine="422" w:firstLineChars="200"/>
        <w:outlineLvl w:val="3"/>
        <w:rPr>
          <w:rFonts w:ascii="宋体" w:hAnsi="宋体" w:cs="宋体"/>
          <w:b/>
          <w:color w:val="auto"/>
          <w:szCs w:val="21"/>
          <w:highlight w:val="none"/>
        </w:rPr>
      </w:pPr>
      <w:bookmarkStart w:id="91" w:name="_Toc9931"/>
      <w:r>
        <w:rPr>
          <w:rFonts w:hint="eastAsia" w:ascii="宋体" w:hAnsi="宋体" w:cs="宋体"/>
          <w:b/>
          <w:color w:val="auto"/>
          <w:szCs w:val="21"/>
          <w:highlight w:val="none"/>
        </w:rPr>
        <w:t>3.3 投标有效期</w:t>
      </w:r>
      <w:bookmarkEnd w:id="91"/>
    </w:p>
    <w:p w14:paraId="403E662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3.3.1 投标应在投标须知前附表中规定时间内保持有效。投标有效期不满足要求的投标，其投标将被认定为投标无效。</w:t>
      </w:r>
    </w:p>
    <w:p w14:paraId="34E0C3A6">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3.3.2 在特殊情况下，招标人于原投标有效期满前，可向投标人提出延长投标有效期的要求。这种要求与答复均应采用书面形式。投标人可以拒绝招标人的这一要求而放弃中标，同意延长的投标人既不能要求也不允许修改投标文件。</w:t>
      </w:r>
    </w:p>
    <w:p w14:paraId="2DBE91F8">
      <w:pPr>
        <w:adjustRightInd w:val="0"/>
        <w:snapToGrid w:val="0"/>
        <w:spacing w:line="440" w:lineRule="exact"/>
        <w:ind w:firstLine="422" w:firstLineChars="200"/>
        <w:outlineLvl w:val="3"/>
        <w:rPr>
          <w:rFonts w:ascii="宋体" w:hAnsi="宋体" w:cs="宋体"/>
          <w:b/>
          <w:color w:val="auto"/>
          <w:szCs w:val="21"/>
          <w:highlight w:val="none"/>
        </w:rPr>
      </w:pPr>
      <w:bookmarkStart w:id="92" w:name="_Toc9293"/>
      <w:r>
        <w:rPr>
          <w:rFonts w:hint="eastAsia" w:ascii="宋体" w:hAnsi="宋体" w:cs="宋体"/>
          <w:b/>
          <w:color w:val="auto"/>
          <w:szCs w:val="21"/>
          <w:highlight w:val="none"/>
        </w:rPr>
        <w:t>3.4 投标保证金</w:t>
      </w:r>
      <w:bookmarkEnd w:id="92"/>
    </w:p>
    <w:p w14:paraId="02F2A8B2">
      <w:pPr>
        <w:adjustRightInd w:val="0"/>
        <w:snapToGrid w:val="0"/>
        <w:spacing w:line="440" w:lineRule="exact"/>
        <w:ind w:firstLine="420" w:firstLineChars="200"/>
        <w:rPr>
          <w:rFonts w:ascii="宋体" w:hAnsi="宋体" w:cs="宋体"/>
          <w:color w:val="auto"/>
          <w:szCs w:val="21"/>
          <w:highlight w:val="none"/>
        </w:rPr>
      </w:pPr>
      <w:bookmarkStart w:id="93" w:name="_Toc73"/>
      <w:r>
        <w:rPr>
          <w:rFonts w:hint="eastAsia" w:ascii="宋体" w:hAnsi="宋体" w:cs="宋体"/>
          <w:color w:val="auto"/>
          <w:szCs w:val="21"/>
          <w:highlight w:val="none"/>
        </w:rPr>
        <w:t>本项目不再收取投标保证金。</w:t>
      </w:r>
    </w:p>
    <w:p w14:paraId="323E60B9">
      <w:pPr>
        <w:adjustRightInd w:val="0"/>
        <w:snapToGrid w:val="0"/>
        <w:spacing w:line="440" w:lineRule="exact"/>
        <w:ind w:firstLine="422" w:firstLineChars="200"/>
        <w:outlineLvl w:val="3"/>
        <w:rPr>
          <w:rFonts w:ascii="宋体" w:hAnsi="宋体" w:cs="宋体"/>
          <w:b/>
          <w:color w:val="auto"/>
          <w:szCs w:val="21"/>
          <w:highlight w:val="none"/>
        </w:rPr>
      </w:pPr>
      <w:r>
        <w:rPr>
          <w:rFonts w:hint="eastAsia" w:ascii="宋体" w:hAnsi="宋体" w:cs="宋体"/>
          <w:b/>
          <w:color w:val="auto"/>
          <w:szCs w:val="21"/>
          <w:highlight w:val="none"/>
        </w:rPr>
        <w:t>3.5 资格审查资料</w:t>
      </w:r>
      <w:bookmarkEnd w:id="93"/>
    </w:p>
    <w:p w14:paraId="1E116B8F">
      <w:pPr>
        <w:adjustRightInd w:val="0"/>
        <w:snapToGrid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3.5.1</w:t>
      </w:r>
      <w:r>
        <w:rPr>
          <w:rFonts w:ascii="宋体" w:hAnsi="宋体" w:cs="宋体"/>
          <w:bCs/>
          <w:color w:val="auto"/>
          <w:szCs w:val="21"/>
          <w:highlight w:val="none"/>
        </w:rPr>
        <w:t xml:space="preserve"> </w:t>
      </w:r>
      <w:r>
        <w:rPr>
          <w:rFonts w:hint="eastAsia" w:ascii="宋体" w:hAnsi="宋体" w:cs="宋体"/>
          <w:bCs/>
          <w:color w:val="auto"/>
          <w:szCs w:val="21"/>
          <w:highlight w:val="none"/>
        </w:rPr>
        <w:t>资格审查资料见投标人须知前附表</w:t>
      </w:r>
    </w:p>
    <w:p w14:paraId="1D5808F8">
      <w:pPr>
        <w:adjustRightInd w:val="0"/>
        <w:snapToGrid w:val="0"/>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3.5.2上述条款所需材料投标人应按前附表规定从河南省公共资源交易中心会员诚信库选择相应电子文件编入投标文件。投标人应及时更新河南省公共资源交易中心会员诚信库中的材料，确保相关材料真实有效。</w:t>
      </w:r>
    </w:p>
    <w:p w14:paraId="555CD886">
      <w:pPr>
        <w:adjustRightInd w:val="0"/>
        <w:snapToGrid w:val="0"/>
        <w:spacing w:line="440" w:lineRule="exact"/>
        <w:ind w:firstLine="422" w:firstLineChars="200"/>
        <w:outlineLvl w:val="3"/>
        <w:rPr>
          <w:rFonts w:ascii="宋体" w:hAnsi="宋体" w:cs="宋体"/>
          <w:b/>
          <w:color w:val="auto"/>
          <w:szCs w:val="21"/>
          <w:highlight w:val="none"/>
        </w:rPr>
      </w:pPr>
      <w:bookmarkStart w:id="94" w:name="_Toc14395"/>
      <w:r>
        <w:rPr>
          <w:rFonts w:hint="eastAsia" w:ascii="宋体" w:hAnsi="宋体" w:cs="宋体"/>
          <w:b/>
          <w:color w:val="auto"/>
          <w:szCs w:val="21"/>
          <w:highlight w:val="none"/>
        </w:rPr>
        <w:t>3.6 备选投标方案</w:t>
      </w:r>
      <w:bookmarkEnd w:id="94"/>
    </w:p>
    <w:p w14:paraId="65EB82F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170D1CD9">
      <w:pPr>
        <w:adjustRightInd w:val="0"/>
        <w:snapToGrid w:val="0"/>
        <w:spacing w:line="440" w:lineRule="exact"/>
        <w:ind w:firstLine="422" w:firstLineChars="200"/>
        <w:outlineLvl w:val="3"/>
        <w:rPr>
          <w:rFonts w:ascii="宋体" w:hAnsi="宋体" w:cs="宋体"/>
          <w:b/>
          <w:color w:val="auto"/>
          <w:szCs w:val="21"/>
          <w:highlight w:val="none"/>
        </w:rPr>
      </w:pPr>
      <w:bookmarkStart w:id="95" w:name="_Toc4196"/>
      <w:r>
        <w:rPr>
          <w:rFonts w:hint="eastAsia" w:ascii="宋体" w:hAnsi="宋体" w:cs="宋体"/>
          <w:b/>
          <w:color w:val="auto"/>
          <w:szCs w:val="21"/>
          <w:highlight w:val="none"/>
        </w:rPr>
        <w:t>3.7 投标文件的编制</w:t>
      </w:r>
      <w:bookmarkEnd w:id="95"/>
    </w:p>
    <w:p w14:paraId="6D186AC0">
      <w:pPr>
        <w:adjustRightInd w:val="0"/>
        <w:snapToGrid w:val="0"/>
        <w:spacing w:line="440" w:lineRule="exact"/>
        <w:ind w:firstLine="420" w:firstLineChars="200"/>
        <w:rPr>
          <w:rFonts w:ascii="宋体" w:hAnsi="宋体" w:cs="宋体"/>
          <w:color w:val="auto"/>
          <w:szCs w:val="21"/>
          <w:highlight w:val="none"/>
        </w:rPr>
      </w:pPr>
      <w:bookmarkStart w:id="96" w:name="_Toc184635074"/>
      <w:bookmarkStart w:id="97" w:name="_Toc345178450"/>
      <w:r>
        <w:rPr>
          <w:rFonts w:hint="eastAsia" w:ascii="宋体" w:hAnsi="宋体" w:cs="宋体"/>
          <w:color w:val="auto"/>
          <w:szCs w:val="21"/>
          <w:highlight w:val="none"/>
        </w:rPr>
        <w:t>3.7.1</w:t>
      </w:r>
      <w:r>
        <w:rPr>
          <w:rFonts w:ascii="宋体" w:hAnsi="宋体" w:cs="宋体"/>
          <w:color w:val="auto"/>
          <w:szCs w:val="21"/>
          <w:highlight w:val="none"/>
        </w:rPr>
        <w:t xml:space="preserve"> </w:t>
      </w:r>
      <w:r>
        <w:rPr>
          <w:rFonts w:hint="eastAsia" w:ascii="宋体" w:hAnsi="宋体" w:cs="宋体"/>
          <w:color w:val="auto"/>
          <w:szCs w:val="21"/>
          <w:highlight w:val="none"/>
        </w:rPr>
        <w:t>投标文件应按第六章“投标文件格式”使用河南省公共资源交易系统投标文件制作专用工具软件编制。其中，投标函附录在满足招标文件实质性要求的基础上，可以提出比招标文件要求更有利于招标人的承诺。</w:t>
      </w:r>
    </w:p>
    <w:p w14:paraId="5CC4313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3.7.2 投标文件应当对招标文件有关采购内容、质保期、交货期、交货地点、质量要求等实质性内容作出响应。</w:t>
      </w:r>
    </w:p>
    <w:p w14:paraId="6DA2347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3.7.3</w:t>
      </w:r>
      <w:r>
        <w:rPr>
          <w:rFonts w:ascii="宋体" w:hAnsi="宋体" w:cs="宋体"/>
          <w:color w:val="auto"/>
          <w:szCs w:val="21"/>
          <w:highlight w:val="none"/>
        </w:rPr>
        <w:t xml:space="preserve"> </w:t>
      </w:r>
      <w:r>
        <w:rPr>
          <w:rFonts w:hint="eastAsia" w:ascii="宋体" w:hAnsi="宋体" w:cs="宋体"/>
          <w:color w:val="auto"/>
          <w:szCs w:val="21"/>
          <w:highlight w:val="none"/>
        </w:rPr>
        <w:t>投标文件全部采用电子文档，除投标人须知前附表另有规定外，投标文件所附证书证件均为原件扫描件，并采用单位和个人数字证书，按招标文件要求在相应位置加盖电子印章。由投标人的法定代表人签字或加盖电子印章的，应附法定代表人身份证明，由代理人签字或加盖电子印章的，应附由法定代表人签署的授权委托书。签字或盖章的具体要求见投标人须知前附表。</w:t>
      </w:r>
    </w:p>
    <w:bookmarkEnd w:id="96"/>
    <w:bookmarkEnd w:id="97"/>
    <w:p w14:paraId="02C4DA96">
      <w:pPr>
        <w:pStyle w:val="3"/>
        <w:keepNext w:val="0"/>
        <w:keepLines w:val="0"/>
        <w:snapToGrid w:val="0"/>
        <w:spacing w:before="0" w:after="0" w:line="440" w:lineRule="exact"/>
        <w:ind w:firstLine="422" w:firstLineChars="200"/>
        <w:jc w:val="left"/>
        <w:rPr>
          <w:color w:val="auto"/>
          <w:sz w:val="21"/>
          <w:szCs w:val="21"/>
          <w:highlight w:val="none"/>
        </w:rPr>
      </w:pPr>
      <w:bookmarkStart w:id="98" w:name="_Toc32423"/>
      <w:bookmarkStart w:id="99" w:name="_Toc16773"/>
      <w:bookmarkStart w:id="100" w:name="_Toc7385"/>
      <w:bookmarkStart w:id="101" w:name="_Toc6439"/>
      <w:bookmarkStart w:id="102" w:name="_Toc22156"/>
      <w:bookmarkStart w:id="103" w:name="_Toc26971"/>
      <w:bookmarkStart w:id="104" w:name="_Toc1114166348"/>
      <w:r>
        <w:rPr>
          <w:rFonts w:hint="eastAsia"/>
          <w:color w:val="auto"/>
          <w:sz w:val="21"/>
          <w:szCs w:val="21"/>
          <w:highlight w:val="none"/>
        </w:rPr>
        <w:t>4.投标</w:t>
      </w:r>
      <w:bookmarkEnd w:id="98"/>
      <w:bookmarkEnd w:id="99"/>
      <w:bookmarkEnd w:id="100"/>
      <w:bookmarkEnd w:id="101"/>
      <w:bookmarkEnd w:id="102"/>
      <w:bookmarkEnd w:id="103"/>
      <w:bookmarkEnd w:id="104"/>
    </w:p>
    <w:p w14:paraId="55025614">
      <w:pPr>
        <w:adjustRightInd w:val="0"/>
        <w:snapToGrid w:val="0"/>
        <w:spacing w:line="440" w:lineRule="exact"/>
        <w:ind w:firstLine="422" w:firstLineChars="200"/>
        <w:outlineLvl w:val="3"/>
        <w:rPr>
          <w:rFonts w:ascii="宋体" w:hAnsi="宋体" w:cs="宋体"/>
          <w:b/>
          <w:color w:val="auto"/>
          <w:szCs w:val="21"/>
          <w:highlight w:val="none"/>
        </w:rPr>
      </w:pPr>
      <w:bookmarkStart w:id="105" w:name="_Toc14814"/>
      <w:r>
        <w:rPr>
          <w:rFonts w:hint="eastAsia" w:ascii="宋体" w:hAnsi="宋体" w:cs="宋体"/>
          <w:b/>
          <w:color w:val="auto"/>
          <w:szCs w:val="21"/>
          <w:highlight w:val="none"/>
        </w:rPr>
        <w:t>4.1 投标文件的</w:t>
      </w:r>
      <w:bookmarkEnd w:id="105"/>
      <w:r>
        <w:rPr>
          <w:rFonts w:hint="eastAsia" w:ascii="宋体" w:hAnsi="宋体" w:cs="宋体"/>
          <w:b/>
          <w:color w:val="auto"/>
          <w:szCs w:val="21"/>
          <w:highlight w:val="none"/>
        </w:rPr>
        <w:t>加密</w:t>
      </w:r>
    </w:p>
    <w:p w14:paraId="55AD0FD7">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4.1.1 网上上传的电子投标文件应使用数字证书认证并加密。</w:t>
      </w:r>
    </w:p>
    <w:p w14:paraId="6B457C07">
      <w:pPr>
        <w:adjustRightInd w:val="0"/>
        <w:snapToGrid w:val="0"/>
        <w:spacing w:line="440" w:lineRule="exact"/>
        <w:ind w:firstLine="422" w:firstLineChars="200"/>
        <w:outlineLvl w:val="3"/>
        <w:rPr>
          <w:rFonts w:ascii="宋体" w:hAnsi="宋体" w:cs="宋体"/>
          <w:b/>
          <w:color w:val="auto"/>
          <w:szCs w:val="21"/>
          <w:highlight w:val="none"/>
        </w:rPr>
      </w:pPr>
      <w:bookmarkStart w:id="106" w:name="_Toc22547"/>
      <w:r>
        <w:rPr>
          <w:rFonts w:hint="eastAsia" w:ascii="宋体" w:hAnsi="宋体" w:cs="宋体"/>
          <w:b/>
          <w:color w:val="auto"/>
          <w:szCs w:val="21"/>
          <w:highlight w:val="none"/>
        </w:rPr>
        <w:t>4.2 投标文件的递交</w:t>
      </w:r>
      <w:bookmarkEnd w:id="106"/>
    </w:p>
    <w:p w14:paraId="63B3F8F9">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4.2.1 投标人应在第二章投标人须知前附表中规定的投标截止时间前上传加密的电子投标文件（*.hntf）到会员系统的指定位置。上传时必须得到电脑“上传成功”的确认。请投标人在上传时认真检查上传投标文件是否完整、正确。投标人因交易中心投标系统问题无法上传电子投标文件时，请在工作时间与河南省公共资源交易中心联系。</w:t>
      </w:r>
    </w:p>
    <w:p w14:paraId="0A635FF9">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4.2.2 除投标人须知前附表另有规定外，投标人所递交的投标文件不予退还。</w:t>
      </w:r>
    </w:p>
    <w:p w14:paraId="21657C12">
      <w:pPr>
        <w:adjustRightInd w:val="0"/>
        <w:snapToGrid w:val="0"/>
        <w:spacing w:line="440" w:lineRule="exact"/>
        <w:ind w:firstLine="422" w:firstLineChars="200"/>
        <w:outlineLvl w:val="3"/>
        <w:rPr>
          <w:rFonts w:ascii="宋体" w:hAnsi="宋体" w:cs="宋体"/>
          <w:b/>
          <w:color w:val="auto"/>
          <w:szCs w:val="21"/>
          <w:highlight w:val="none"/>
        </w:rPr>
      </w:pPr>
      <w:r>
        <w:rPr>
          <w:rFonts w:hint="eastAsia" w:ascii="宋体" w:hAnsi="宋体" w:cs="宋体"/>
          <w:b/>
          <w:color w:val="auto"/>
          <w:szCs w:val="21"/>
          <w:highlight w:val="none"/>
        </w:rPr>
        <w:t>4.3 投标文件的修改与撤回</w:t>
      </w:r>
    </w:p>
    <w:p w14:paraId="4D55833F">
      <w:pPr>
        <w:adjustRightInd w:val="0"/>
        <w:snapToGrid w:val="0"/>
        <w:spacing w:line="440" w:lineRule="exact"/>
        <w:ind w:firstLine="420" w:firstLineChars="200"/>
        <w:rPr>
          <w:rFonts w:ascii="宋体" w:hAnsi="宋体" w:cs="宋体"/>
          <w:color w:val="auto"/>
          <w:szCs w:val="21"/>
          <w:highlight w:val="none"/>
        </w:rPr>
      </w:pPr>
      <w:bookmarkStart w:id="107" w:name="_Toc345178451"/>
      <w:bookmarkStart w:id="108" w:name="_Toc184635075"/>
      <w:r>
        <w:rPr>
          <w:rFonts w:hint="eastAsia" w:ascii="宋体" w:hAnsi="宋体" w:cs="宋体"/>
          <w:color w:val="auto"/>
          <w:szCs w:val="21"/>
          <w:highlight w:val="none"/>
        </w:rPr>
        <w:t>4.3.1 在第二章投标人须知前附表中规定的投标截止时间前，投标人可以多次修改或撤回已递交的投标文件，最终投标文件以投标截止时间前完成上传至河南省公共资源交易中心交易系统最后一份投标文件为准。</w:t>
      </w:r>
    </w:p>
    <w:p w14:paraId="6498F761">
      <w:pPr>
        <w:pStyle w:val="3"/>
        <w:keepNext w:val="0"/>
        <w:keepLines w:val="0"/>
        <w:snapToGrid w:val="0"/>
        <w:spacing w:before="0" w:after="0" w:line="440" w:lineRule="exact"/>
        <w:ind w:firstLine="422" w:firstLineChars="200"/>
        <w:jc w:val="left"/>
        <w:rPr>
          <w:color w:val="auto"/>
          <w:sz w:val="21"/>
          <w:szCs w:val="21"/>
          <w:highlight w:val="none"/>
        </w:rPr>
      </w:pPr>
      <w:bookmarkStart w:id="109" w:name="_Toc17110"/>
      <w:bookmarkStart w:id="110" w:name="_Toc10759"/>
      <w:bookmarkStart w:id="111" w:name="_Toc10332"/>
      <w:bookmarkStart w:id="112" w:name="_Toc7"/>
      <w:bookmarkStart w:id="113" w:name="_Toc1883892643"/>
      <w:bookmarkStart w:id="114" w:name="_Toc7016"/>
      <w:bookmarkStart w:id="115" w:name="_Toc5042"/>
      <w:r>
        <w:rPr>
          <w:rFonts w:hint="eastAsia"/>
          <w:color w:val="auto"/>
          <w:sz w:val="21"/>
          <w:szCs w:val="21"/>
          <w:highlight w:val="none"/>
        </w:rPr>
        <w:t>5.开标</w:t>
      </w:r>
      <w:bookmarkEnd w:id="107"/>
      <w:bookmarkEnd w:id="108"/>
      <w:bookmarkEnd w:id="109"/>
      <w:bookmarkEnd w:id="110"/>
      <w:bookmarkEnd w:id="111"/>
      <w:bookmarkEnd w:id="112"/>
      <w:bookmarkEnd w:id="113"/>
      <w:bookmarkEnd w:id="114"/>
      <w:bookmarkEnd w:id="115"/>
    </w:p>
    <w:p w14:paraId="5B5728DE">
      <w:pPr>
        <w:adjustRightInd w:val="0"/>
        <w:snapToGrid w:val="0"/>
        <w:spacing w:line="440" w:lineRule="exact"/>
        <w:ind w:firstLine="422" w:firstLineChars="200"/>
        <w:outlineLvl w:val="3"/>
        <w:rPr>
          <w:rFonts w:ascii="宋体" w:hAnsi="宋体" w:cs="宋体"/>
          <w:b/>
          <w:color w:val="auto"/>
          <w:szCs w:val="21"/>
          <w:highlight w:val="none"/>
        </w:rPr>
      </w:pPr>
      <w:bookmarkStart w:id="116" w:name="_Toc22203"/>
      <w:r>
        <w:rPr>
          <w:rFonts w:hint="eastAsia" w:ascii="宋体" w:hAnsi="宋体" w:cs="宋体"/>
          <w:b/>
          <w:color w:val="auto"/>
          <w:szCs w:val="21"/>
          <w:highlight w:val="none"/>
        </w:rPr>
        <w:t>5.1 开标时间和地点</w:t>
      </w:r>
      <w:bookmarkEnd w:id="116"/>
    </w:p>
    <w:p w14:paraId="39C7A451">
      <w:pPr>
        <w:adjustRightInd w:val="0"/>
        <w:snapToGrid w:val="0"/>
        <w:spacing w:line="440" w:lineRule="exact"/>
        <w:ind w:firstLine="420" w:firstLineChars="200"/>
        <w:rPr>
          <w:rFonts w:ascii="宋体" w:hAnsi="宋体" w:cs="宋体"/>
          <w:color w:val="auto"/>
          <w:szCs w:val="21"/>
          <w:highlight w:val="none"/>
        </w:rPr>
      </w:pPr>
      <w:bookmarkStart w:id="117" w:name="_Toc19999"/>
      <w:r>
        <w:rPr>
          <w:rFonts w:hint="eastAsia" w:ascii="宋体" w:hAnsi="宋体" w:cs="宋体"/>
          <w:color w:val="auto"/>
          <w:szCs w:val="21"/>
          <w:highlight w:val="none"/>
        </w:rPr>
        <w:t>5.1.1 招标人在第二章投标人须知前附表中第5.1项规定的投标截止时间（开标时间）和投标人须知前附表规定的地点通过远程进行公开开标。投标人不需要到开标现场，只需根据要求进行远程解密。</w:t>
      </w:r>
      <w:r>
        <w:rPr>
          <w:rFonts w:hint="eastAsia" w:ascii="宋体" w:hAnsi="宋体" w:cs="宋体"/>
          <w:color w:val="auto"/>
          <w:kern w:val="0"/>
          <w:szCs w:val="21"/>
          <w:highlight w:val="none"/>
        </w:rPr>
        <w:t>河南省公共资源交易中心现采用“远程不见面”开标方式，投标人须提前进入远程开标大厅（</w:t>
      </w:r>
      <w:r>
        <w:rPr>
          <w:rFonts w:hint="eastAsia" w:ascii="宋体" w:hAnsi="宋体" w:cs="宋体"/>
          <w:color w:val="auto"/>
          <w:szCs w:val="21"/>
          <w:highlight w:val="none"/>
        </w:rPr>
        <w:t>http://hnsggzyjy.henan.gov.cn/BidOpening/bidopeninghallaction/hall/login</w:t>
      </w:r>
      <w:r>
        <w:rPr>
          <w:rFonts w:hint="eastAsia" w:ascii="宋体" w:hAnsi="宋体" w:cs="宋体"/>
          <w:color w:val="auto"/>
          <w:kern w:val="0"/>
          <w:szCs w:val="21"/>
          <w:highlight w:val="none"/>
        </w:rPr>
        <w:t>）进行开标操作和投标文件的解密。具体操作流程及程序，请投标人查阅河南省公共资源交易平台“办事指南”专区的《河南省公共资源交易平台不见面服务系统使用指南》。</w:t>
      </w:r>
    </w:p>
    <w:p w14:paraId="3AF77ED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5.1.2 投标人须在系统规定的解密时间内完成解密。如投标人因自身原因、在指定时限内没有解密成功的，其投标将不能被接受，投标人自行承担相应后果。</w:t>
      </w:r>
    </w:p>
    <w:p w14:paraId="43C98F30">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5.1.3</w:t>
      </w:r>
      <w:r>
        <w:rPr>
          <w:rFonts w:ascii="宋体" w:hAnsi="宋体" w:cs="宋体"/>
          <w:color w:val="auto"/>
          <w:szCs w:val="21"/>
          <w:highlight w:val="none"/>
        </w:rPr>
        <w:t xml:space="preserve"> </w:t>
      </w:r>
      <w:r>
        <w:rPr>
          <w:rFonts w:hint="eastAsia" w:ascii="宋体" w:hAnsi="宋体" w:cs="宋体"/>
          <w:color w:val="auto"/>
          <w:szCs w:val="21"/>
          <w:highlight w:val="none"/>
        </w:rPr>
        <w:t>投标人未参加远程开标的，视同认可开标结果。</w:t>
      </w:r>
    </w:p>
    <w:p w14:paraId="26870E2A">
      <w:pPr>
        <w:adjustRightInd w:val="0"/>
        <w:snapToGrid w:val="0"/>
        <w:spacing w:line="440" w:lineRule="exact"/>
        <w:ind w:firstLine="422" w:firstLineChars="200"/>
        <w:outlineLvl w:val="3"/>
        <w:rPr>
          <w:rFonts w:ascii="宋体" w:hAnsi="宋体" w:cs="宋体"/>
          <w:b/>
          <w:color w:val="auto"/>
          <w:szCs w:val="21"/>
          <w:highlight w:val="none"/>
        </w:rPr>
      </w:pPr>
      <w:r>
        <w:rPr>
          <w:rFonts w:hint="eastAsia" w:ascii="宋体" w:hAnsi="宋体" w:cs="宋体"/>
          <w:b/>
          <w:color w:val="auto"/>
          <w:szCs w:val="21"/>
          <w:highlight w:val="none"/>
        </w:rPr>
        <w:t>5.2 开标程序</w:t>
      </w:r>
      <w:bookmarkEnd w:id="117"/>
    </w:p>
    <w:p w14:paraId="2637200D">
      <w:pPr>
        <w:adjustRightInd w:val="0"/>
        <w:snapToGrid w:val="0"/>
        <w:spacing w:line="440" w:lineRule="exact"/>
        <w:ind w:firstLine="420" w:firstLineChars="200"/>
        <w:rPr>
          <w:rFonts w:ascii="宋体" w:hAnsi="宋体" w:cs="宋体"/>
          <w:color w:val="auto"/>
          <w:szCs w:val="21"/>
          <w:highlight w:val="none"/>
        </w:rPr>
      </w:pPr>
      <w:bookmarkStart w:id="118" w:name="_Toc345178452"/>
      <w:bookmarkStart w:id="119" w:name="_Toc32736"/>
      <w:bookmarkStart w:id="120" w:name="_Toc184635076"/>
      <w:r>
        <w:rPr>
          <w:rFonts w:hint="eastAsia" w:ascii="宋体" w:hAnsi="宋体" w:cs="宋体"/>
          <w:color w:val="auto"/>
          <w:szCs w:val="21"/>
          <w:highlight w:val="none"/>
        </w:rPr>
        <w:t>（1）公布投标单位；</w:t>
      </w:r>
    </w:p>
    <w:p w14:paraId="2BD54E7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（2）投标人远程解密投标文件；</w:t>
      </w:r>
    </w:p>
    <w:p w14:paraId="312F15F9">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（3）投标文件导入；</w:t>
      </w:r>
    </w:p>
    <w:p w14:paraId="766AD1E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（4）电子唱标；</w:t>
      </w:r>
    </w:p>
    <w:p w14:paraId="7B02E8E6">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（5）异议与回复；</w:t>
      </w:r>
    </w:p>
    <w:p w14:paraId="39ADAE1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（6）开标结束。</w:t>
      </w:r>
    </w:p>
    <w:p w14:paraId="56FBE5BE">
      <w:pPr>
        <w:pStyle w:val="67"/>
        <w:snapToGrid w:val="0"/>
        <w:spacing w:before="0" w:after="0" w:line="440" w:lineRule="exact"/>
        <w:ind w:firstLine="420" w:firstLineChars="200"/>
        <w:jc w:val="left"/>
        <w:outlineLvl w:val="3"/>
        <w:rPr>
          <w:rFonts w:hAnsi="宋体"/>
          <w:b w:val="0"/>
          <w:bCs w:val="0"/>
          <w:color w:val="auto"/>
          <w:sz w:val="21"/>
          <w:szCs w:val="21"/>
          <w:highlight w:val="none"/>
        </w:rPr>
      </w:pPr>
      <w:bookmarkStart w:id="121" w:name="_Toc25313"/>
      <w:r>
        <w:rPr>
          <w:rFonts w:hint="eastAsia" w:hAnsi="宋体"/>
          <w:b w:val="0"/>
          <w:bCs w:val="0"/>
          <w:color w:val="auto"/>
          <w:sz w:val="21"/>
          <w:szCs w:val="21"/>
          <w:highlight w:val="none"/>
        </w:rPr>
        <w:t>5.3 开标时出现下列情况的，招标人将拒绝其投标：</w:t>
      </w:r>
      <w:bookmarkEnd w:id="121"/>
    </w:p>
    <w:p w14:paraId="18A997DF">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22" w:name="_Toc2791"/>
      <w:r>
        <w:rPr>
          <w:rFonts w:hint="eastAsia" w:hAnsi="宋体"/>
          <w:b w:val="0"/>
          <w:bCs w:val="0"/>
          <w:color w:val="auto"/>
          <w:sz w:val="21"/>
          <w:szCs w:val="21"/>
          <w:highlight w:val="none"/>
        </w:rPr>
        <w:t>5.3.1 经检查数字证书无效的投标文件；</w:t>
      </w:r>
      <w:bookmarkEnd w:id="122"/>
    </w:p>
    <w:p w14:paraId="3D34046D">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23" w:name="_Toc5572"/>
      <w:r>
        <w:rPr>
          <w:rFonts w:hint="eastAsia" w:hAnsi="宋体"/>
          <w:b w:val="0"/>
          <w:bCs w:val="0"/>
          <w:color w:val="auto"/>
          <w:sz w:val="21"/>
          <w:szCs w:val="21"/>
          <w:highlight w:val="none"/>
        </w:rPr>
        <w:t>5.3.2 加密的电子投标文件逾期上传的，或加密的电子投标文件从投标截止时间开始30分钟内未解密的，其投标文件不予接收。</w:t>
      </w:r>
      <w:bookmarkEnd w:id="123"/>
    </w:p>
    <w:p w14:paraId="0F9AAF34">
      <w:pPr>
        <w:pStyle w:val="67"/>
        <w:snapToGrid w:val="0"/>
        <w:spacing w:before="0" w:after="0" w:line="440" w:lineRule="exact"/>
        <w:ind w:firstLine="422" w:firstLineChars="200"/>
        <w:jc w:val="left"/>
        <w:outlineLvl w:val="3"/>
        <w:rPr>
          <w:rFonts w:hAnsi="宋体"/>
          <w:color w:val="auto"/>
          <w:sz w:val="21"/>
          <w:szCs w:val="21"/>
          <w:highlight w:val="none"/>
        </w:rPr>
      </w:pPr>
      <w:bookmarkStart w:id="124" w:name="_Toc20045"/>
      <w:r>
        <w:rPr>
          <w:rFonts w:hint="eastAsia" w:hAnsi="宋体"/>
          <w:color w:val="auto"/>
          <w:sz w:val="21"/>
          <w:szCs w:val="21"/>
          <w:highlight w:val="none"/>
        </w:rPr>
        <w:t>5.4 开标异议</w:t>
      </w:r>
      <w:bookmarkEnd w:id="124"/>
    </w:p>
    <w:p w14:paraId="3C401D0E">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25" w:name="_Toc13185"/>
      <w:bookmarkStart w:id="126" w:name="_Toc4261"/>
      <w:r>
        <w:rPr>
          <w:rFonts w:hint="eastAsia" w:hAnsi="宋体"/>
          <w:b w:val="0"/>
          <w:bCs w:val="0"/>
          <w:color w:val="auto"/>
          <w:sz w:val="21"/>
          <w:szCs w:val="21"/>
          <w:highlight w:val="none"/>
        </w:rPr>
        <w:t>投标人对开标有异议的，应当在开标现场，在电子招标投标交易平台系统规定的时间内在交易系统中提出。</w:t>
      </w:r>
      <w:bookmarkEnd w:id="125"/>
      <w:r>
        <w:rPr>
          <w:rFonts w:hint="eastAsia" w:hAnsi="宋体"/>
          <w:b w:val="0"/>
          <w:bCs w:val="0"/>
          <w:color w:val="auto"/>
          <w:sz w:val="21"/>
          <w:szCs w:val="21"/>
          <w:highlight w:val="none"/>
        </w:rPr>
        <w:t>逾期未提出的，视为无异议。</w:t>
      </w:r>
    </w:p>
    <w:p w14:paraId="02A780A6">
      <w:pPr>
        <w:pStyle w:val="3"/>
        <w:keepNext w:val="0"/>
        <w:keepLines w:val="0"/>
        <w:snapToGrid w:val="0"/>
        <w:spacing w:before="0" w:after="0" w:line="440" w:lineRule="exact"/>
        <w:ind w:firstLine="422" w:firstLineChars="200"/>
        <w:jc w:val="left"/>
        <w:rPr>
          <w:bCs/>
          <w:color w:val="auto"/>
          <w:sz w:val="21"/>
          <w:szCs w:val="21"/>
          <w:highlight w:val="none"/>
        </w:rPr>
      </w:pPr>
      <w:bookmarkStart w:id="127" w:name="_Toc18670"/>
      <w:bookmarkStart w:id="128" w:name="_Toc20198"/>
      <w:bookmarkStart w:id="129" w:name="_Toc27274"/>
      <w:bookmarkStart w:id="130" w:name="_Toc21142"/>
      <w:bookmarkStart w:id="131" w:name="_Toc84759533"/>
      <w:r>
        <w:rPr>
          <w:rFonts w:hint="eastAsia"/>
          <w:bCs/>
          <w:color w:val="auto"/>
          <w:sz w:val="21"/>
          <w:szCs w:val="21"/>
          <w:highlight w:val="none"/>
        </w:rPr>
        <w:t>6.资格审查及评标</w:t>
      </w:r>
      <w:bookmarkEnd w:id="118"/>
      <w:bookmarkEnd w:id="119"/>
      <w:bookmarkEnd w:id="120"/>
      <w:bookmarkEnd w:id="126"/>
      <w:bookmarkEnd w:id="127"/>
      <w:bookmarkEnd w:id="128"/>
      <w:bookmarkEnd w:id="129"/>
      <w:bookmarkEnd w:id="130"/>
      <w:bookmarkEnd w:id="131"/>
    </w:p>
    <w:p w14:paraId="6EFF1C9F">
      <w:pPr>
        <w:adjustRightInd w:val="0"/>
        <w:snapToGrid w:val="0"/>
        <w:spacing w:line="440" w:lineRule="exact"/>
        <w:ind w:firstLine="422" w:firstLineChars="200"/>
        <w:jc w:val="left"/>
        <w:outlineLvl w:val="3"/>
        <w:rPr>
          <w:rFonts w:ascii="宋体" w:hAnsi="宋体" w:cs="宋体"/>
          <w:b/>
          <w:bCs/>
          <w:color w:val="auto"/>
          <w:szCs w:val="21"/>
          <w:highlight w:val="none"/>
        </w:rPr>
      </w:pPr>
      <w:bookmarkStart w:id="132" w:name="_Toc1158"/>
      <w:r>
        <w:rPr>
          <w:rFonts w:hint="eastAsia" w:ascii="宋体" w:hAnsi="宋体" w:cs="宋体"/>
          <w:b/>
          <w:bCs/>
          <w:color w:val="auto"/>
          <w:szCs w:val="21"/>
          <w:highlight w:val="none"/>
        </w:rPr>
        <w:t>6.1 资格审查</w:t>
      </w:r>
    </w:p>
    <w:p w14:paraId="4BF9E212">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33" w:name="_Toc9537"/>
      <w:r>
        <w:rPr>
          <w:rFonts w:hint="eastAsia" w:hAnsi="宋体"/>
          <w:b w:val="0"/>
          <w:bCs w:val="0"/>
          <w:color w:val="auto"/>
          <w:sz w:val="21"/>
          <w:szCs w:val="21"/>
          <w:highlight w:val="none"/>
        </w:rPr>
        <w:t>6.1.1 开标结束后，招标人或招标代理机构将依法对投标人的资格进行审查。</w:t>
      </w:r>
      <w:bookmarkEnd w:id="133"/>
      <w:r>
        <w:rPr>
          <w:rFonts w:hint="eastAsia" w:hAnsi="宋体"/>
          <w:b w:val="0"/>
          <w:bCs w:val="0"/>
          <w:color w:val="auto"/>
          <w:sz w:val="21"/>
          <w:szCs w:val="21"/>
          <w:highlight w:val="none"/>
        </w:rPr>
        <w:t xml:space="preserve"> </w:t>
      </w:r>
    </w:p>
    <w:p w14:paraId="4C62A315">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34" w:name="_Toc14183"/>
      <w:r>
        <w:rPr>
          <w:rFonts w:hint="eastAsia" w:hAnsi="宋体"/>
          <w:b w:val="0"/>
          <w:bCs w:val="0"/>
          <w:color w:val="auto"/>
          <w:sz w:val="21"/>
          <w:szCs w:val="21"/>
          <w:highlight w:val="none"/>
        </w:rPr>
        <w:t>6.1.2 资格审查内容及标准</w:t>
      </w:r>
      <w:bookmarkEnd w:id="134"/>
    </w:p>
    <w:p w14:paraId="7F172E99">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35" w:name="_Toc21698"/>
      <w:r>
        <w:rPr>
          <w:rFonts w:hint="eastAsia" w:hAnsi="宋体"/>
          <w:b w:val="0"/>
          <w:bCs w:val="0"/>
          <w:color w:val="auto"/>
          <w:sz w:val="21"/>
          <w:szCs w:val="21"/>
          <w:highlight w:val="none"/>
        </w:rPr>
        <w:t>（1）资格性检查指依据法律法规和招标文件的规定，对投标文件中的资格证明材料进行审查，以确定投标人是否具备投标资格。</w:t>
      </w:r>
      <w:bookmarkEnd w:id="135"/>
      <w:r>
        <w:rPr>
          <w:rFonts w:hint="eastAsia" w:hAnsi="宋体"/>
          <w:b w:val="0"/>
          <w:bCs w:val="0"/>
          <w:color w:val="auto"/>
          <w:sz w:val="21"/>
          <w:szCs w:val="21"/>
          <w:highlight w:val="none"/>
        </w:rPr>
        <w:t xml:space="preserve"> </w:t>
      </w:r>
    </w:p>
    <w:p w14:paraId="376398D8">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36" w:name="_Toc26039"/>
      <w:r>
        <w:rPr>
          <w:rFonts w:hint="eastAsia" w:hAnsi="宋体"/>
          <w:b w:val="0"/>
          <w:bCs w:val="0"/>
          <w:color w:val="auto"/>
          <w:sz w:val="21"/>
          <w:szCs w:val="21"/>
          <w:highlight w:val="none"/>
        </w:rPr>
        <w:t>（2）投标人须在投标文件中按招标文件要求提供资格证明材料，投标人若没有提供资格证明材料或资格证明材料不全的，其投标将被拒绝，不能进入评标。</w:t>
      </w:r>
      <w:bookmarkEnd w:id="136"/>
      <w:r>
        <w:rPr>
          <w:rFonts w:hint="eastAsia" w:hAnsi="宋体"/>
          <w:b w:val="0"/>
          <w:bCs w:val="0"/>
          <w:color w:val="auto"/>
          <w:sz w:val="21"/>
          <w:szCs w:val="21"/>
          <w:highlight w:val="none"/>
        </w:rPr>
        <w:t xml:space="preserve"> </w:t>
      </w:r>
    </w:p>
    <w:p w14:paraId="02EB7AA7">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37" w:name="_Toc2682"/>
      <w:r>
        <w:rPr>
          <w:rFonts w:hint="eastAsia" w:hAnsi="宋体"/>
          <w:b w:val="0"/>
          <w:bCs w:val="0"/>
          <w:color w:val="auto"/>
          <w:sz w:val="21"/>
          <w:szCs w:val="21"/>
          <w:highlight w:val="none"/>
        </w:rPr>
        <w:t>6.1.3 招标人或招标代理机构对投标人的资格进行审查后，将资格审查结果提交评标委员会，未通过资格审查的投标人，不进入评标程序。合格投标人不足3家的，不得评标。</w:t>
      </w:r>
      <w:bookmarkEnd w:id="137"/>
    </w:p>
    <w:p w14:paraId="1ECD0687">
      <w:pPr>
        <w:adjustRightInd w:val="0"/>
        <w:snapToGrid w:val="0"/>
        <w:spacing w:line="440" w:lineRule="exact"/>
        <w:ind w:firstLine="422" w:firstLineChars="200"/>
        <w:outlineLvl w:val="3"/>
        <w:rPr>
          <w:rFonts w:ascii="宋体" w:hAnsi="宋体" w:cs="宋体"/>
          <w:b/>
          <w:color w:val="auto"/>
          <w:szCs w:val="21"/>
          <w:highlight w:val="none"/>
        </w:rPr>
      </w:pPr>
      <w:r>
        <w:rPr>
          <w:rFonts w:hint="eastAsia" w:ascii="宋体" w:hAnsi="宋体" w:cs="宋体"/>
          <w:b/>
          <w:color w:val="auto"/>
          <w:szCs w:val="21"/>
          <w:highlight w:val="none"/>
        </w:rPr>
        <w:t>6.2</w:t>
      </w:r>
      <w:r>
        <w:rPr>
          <w:rFonts w:ascii="宋体" w:hAnsi="宋体" w:cs="宋体"/>
          <w:b/>
          <w:color w:val="auto"/>
          <w:szCs w:val="21"/>
          <w:highlight w:val="none"/>
        </w:rPr>
        <w:t xml:space="preserve"> </w:t>
      </w:r>
      <w:r>
        <w:rPr>
          <w:rFonts w:hint="eastAsia" w:ascii="宋体" w:hAnsi="宋体" w:cs="宋体"/>
          <w:b/>
          <w:color w:val="auto"/>
          <w:szCs w:val="21"/>
          <w:highlight w:val="none"/>
        </w:rPr>
        <w:t>评标委员会</w:t>
      </w:r>
      <w:bookmarkEnd w:id="132"/>
    </w:p>
    <w:p w14:paraId="3A8022D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6.2.1 评标由招标人依法组建的评标委员会负责。评标委员会由招标人委托的熟悉相关业务的代表，以及有关技术、经济等方面的专家组成。评标委员会成员人数以及技术、经济等方面专家的确定方式见投标人须知前附表。</w:t>
      </w:r>
    </w:p>
    <w:p w14:paraId="60C47820">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6.2.2 评标委员会成员有下列情形之一的，应当回避：</w:t>
      </w:r>
    </w:p>
    <w:p w14:paraId="6C415969">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（1）参加政府采购活动前三年内，与供应商存在劳动关系，或者担任过供应商的董事、监事，或者是供应商的控股股东或实际控制人；</w:t>
      </w:r>
    </w:p>
    <w:p w14:paraId="220FFFA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（2）与供应商的法定代表人或者负责人有夫妻、直系血亲、三代以内旁系血亲或者近姻亲关系；</w:t>
      </w:r>
    </w:p>
    <w:p w14:paraId="5ACFF399">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（3）与供应商有其他可能影响政府采购活动公平、公正进行的关系。</w:t>
      </w:r>
    </w:p>
    <w:p w14:paraId="76C1226D">
      <w:pPr>
        <w:pStyle w:val="67"/>
        <w:autoSpaceDE/>
        <w:autoSpaceDN/>
        <w:snapToGrid w:val="0"/>
        <w:spacing w:before="0" w:after="0" w:line="440" w:lineRule="exact"/>
        <w:ind w:firstLine="420" w:firstLineChars="200"/>
        <w:jc w:val="left"/>
        <w:outlineLvl w:val="9"/>
        <w:rPr>
          <w:rFonts w:hAnsi="宋体"/>
          <w:color w:val="auto"/>
          <w:sz w:val="21"/>
          <w:szCs w:val="21"/>
          <w:highlight w:val="none"/>
        </w:rPr>
      </w:pPr>
      <w:bookmarkStart w:id="138" w:name="_Toc7484"/>
      <w:r>
        <w:rPr>
          <w:rFonts w:hint="eastAsia" w:hAnsi="宋体"/>
          <w:b w:val="0"/>
          <w:bCs w:val="0"/>
          <w:color w:val="auto"/>
          <w:sz w:val="21"/>
          <w:szCs w:val="21"/>
          <w:highlight w:val="none"/>
        </w:rPr>
        <w:t>6.2.3 评标过程中，评标委员会成员有回避事由、擅离职守或者因健康等原因不能继续评标 的，招标人有权更换。被更换的评标委员会成员作出的评审结论无效，由更换后的评标委员会成员重新进行评审。</w:t>
      </w:r>
      <w:bookmarkEnd w:id="138"/>
    </w:p>
    <w:p w14:paraId="6A529460">
      <w:pPr>
        <w:adjustRightInd w:val="0"/>
        <w:snapToGrid w:val="0"/>
        <w:spacing w:line="440" w:lineRule="exact"/>
        <w:ind w:firstLine="422" w:firstLineChars="200"/>
        <w:outlineLvl w:val="3"/>
        <w:rPr>
          <w:rFonts w:ascii="宋体" w:hAnsi="宋体" w:cs="宋体"/>
          <w:b/>
          <w:color w:val="auto"/>
          <w:szCs w:val="21"/>
          <w:highlight w:val="none"/>
        </w:rPr>
      </w:pPr>
      <w:bookmarkStart w:id="139" w:name="_Toc17348"/>
      <w:r>
        <w:rPr>
          <w:rFonts w:hint="eastAsia" w:ascii="宋体" w:hAnsi="宋体" w:cs="宋体"/>
          <w:b/>
          <w:color w:val="auto"/>
          <w:szCs w:val="21"/>
          <w:highlight w:val="none"/>
        </w:rPr>
        <w:t>6.3 评标原则</w:t>
      </w:r>
      <w:bookmarkEnd w:id="139"/>
    </w:p>
    <w:p w14:paraId="7D130C8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6.3.1</w:t>
      </w:r>
      <w:r>
        <w:rPr>
          <w:rFonts w:ascii="宋体" w:hAnsi="宋体" w:cs="宋体"/>
          <w:color w:val="auto"/>
          <w:szCs w:val="21"/>
          <w:highlight w:val="none"/>
        </w:rPr>
        <w:t xml:space="preserve"> </w:t>
      </w:r>
      <w:r>
        <w:rPr>
          <w:rFonts w:hint="eastAsia" w:ascii="宋体" w:hAnsi="宋体" w:cs="宋体"/>
          <w:color w:val="auto"/>
          <w:szCs w:val="21"/>
          <w:highlight w:val="none"/>
        </w:rPr>
        <w:t>评标活动遵循客观、公正、审慎的原则。</w:t>
      </w:r>
    </w:p>
    <w:p w14:paraId="5ED569B8">
      <w:pPr>
        <w:adjustRightInd w:val="0"/>
        <w:snapToGrid w:val="0"/>
        <w:spacing w:line="440" w:lineRule="exact"/>
        <w:ind w:firstLine="422" w:firstLineChars="200"/>
        <w:outlineLvl w:val="3"/>
        <w:rPr>
          <w:rFonts w:ascii="宋体" w:hAnsi="宋体" w:cs="宋体"/>
          <w:b/>
          <w:color w:val="auto"/>
          <w:szCs w:val="21"/>
          <w:highlight w:val="none"/>
        </w:rPr>
      </w:pPr>
      <w:bookmarkStart w:id="140" w:name="_Toc3492"/>
      <w:r>
        <w:rPr>
          <w:rFonts w:hint="eastAsia" w:ascii="宋体" w:hAnsi="宋体" w:cs="宋体"/>
          <w:b/>
          <w:color w:val="auto"/>
          <w:szCs w:val="21"/>
          <w:highlight w:val="none"/>
        </w:rPr>
        <w:t>6.4 评标</w:t>
      </w:r>
      <w:bookmarkEnd w:id="140"/>
    </w:p>
    <w:p w14:paraId="3C45924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评标委员会按照第三章“评标办法及标准”规定的方法、评审因素、标准和程序对投标文件进行评审。第三章“评标办法及标准”没有规定的方法、评审因素和标准，不作为评标依据。</w:t>
      </w:r>
    </w:p>
    <w:p w14:paraId="5409B736">
      <w:pPr>
        <w:pStyle w:val="3"/>
        <w:keepNext w:val="0"/>
        <w:keepLines w:val="0"/>
        <w:snapToGrid w:val="0"/>
        <w:spacing w:before="0" w:after="0" w:line="440" w:lineRule="exact"/>
        <w:ind w:firstLine="422" w:firstLineChars="200"/>
        <w:jc w:val="left"/>
        <w:rPr>
          <w:color w:val="auto"/>
          <w:sz w:val="21"/>
          <w:szCs w:val="21"/>
          <w:highlight w:val="none"/>
        </w:rPr>
      </w:pPr>
      <w:bookmarkStart w:id="141" w:name="_Toc2983"/>
      <w:bookmarkStart w:id="142" w:name="_Toc14352"/>
      <w:bookmarkStart w:id="143" w:name="_Toc345178453"/>
      <w:bookmarkStart w:id="144" w:name="_Toc3741"/>
      <w:bookmarkStart w:id="145" w:name="_Toc184635077"/>
      <w:bookmarkStart w:id="146" w:name="_Toc15037"/>
      <w:bookmarkStart w:id="147" w:name="_Toc771813170"/>
      <w:bookmarkStart w:id="148" w:name="_Toc2561"/>
      <w:bookmarkStart w:id="149" w:name="_Toc23160"/>
      <w:r>
        <w:rPr>
          <w:rFonts w:hint="eastAsia"/>
          <w:color w:val="auto"/>
          <w:sz w:val="21"/>
          <w:szCs w:val="21"/>
          <w:highlight w:val="none"/>
        </w:rPr>
        <w:t>7.合同授予</w:t>
      </w:r>
      <w:bookmarkEnd w:id="141"/>
      <w:bookmarkEnd w:id="142"/>
      <w:bookmarkEnd w:id="143"/>
      <w:bookmarkEnd w:id="144"/>
      <w:bookmarkEnd w:id="145"/>
      <w:bookmarkEnd w:id="146"/>
      <w:bookmarkEnd w:id="147"/>
      <w:bookmarkEnd w:id="148"/>
      <w:bookmarkEnd w:id="149"/>
    </w:p>
    <w:p w14:paraId="13C67168">
      <w:pPr>
        <w:adjustRightInd w:val="0"/>
        <w:snapToGrid w:val="0"/>
        <w:spacing w:line="440" w:lineRule="exact"/>
        <w:ind w:firstLine="422" w:firstLineChars="200"/>
        <w:outlineLvl w:val="3"/>
        <w:rPr>
          <w:rFonts w:ascii="宋体" w:hAnsi="宋体" w:cs="宋体"/>
          <w:b/>
          <w:color w:val="auto"/>
          <w:szCs w:val="21"/>
          <w:highlight w:val="none"/>
        </w:rPr>
      </w:pPr>
      <w:bookmarkStart w:id="150" w:name="_Toc26471"/>
      <w:r>
        <w:rPr>
          <w:rFonts w:hint="eastAsia" w:ascii="宋体" w:hAnsi="宋体" w:cs="宋体"/>
          <w:b/>
          <w:color w:val="auto"/>
          <w:szCs w:val="21"/>
          <w:highlight w:val="none"/>
        </w:rPr>
        <w:t>7.1 定标方式</w:t>
      </w:r>
      <w:bookmarkEnd w:id="150"/>
    </w:p>
    <w:p w14:paraId="3EF94DA4">
      <w:pPr>
        <w:adjustRightInd w:val="0"/>
        <w:snapToGrid w:val="0"/>
        <w:spacing w:line="440" w:lineRule="exact"/>
        <w:ind w:firstLine="420" w:firstLineChars="200"/>
        <w:rPr>
          <w:rFonts w:ascii="宋体" w:hAnsi="宋体" w:cs="宋体"/>
          <w:color w:val="auto"/>
          <w:kern w:val="0"/>
          <w:szCs w:val="21"/>
          <w:highlight w:val="none"/>
        </w:rPr>
      </w:pPr>
      <w:bookmarkStart w:id="151" w:name="_Toc22718"/>
      <w:r>
        <w:rPr>
          <w:rFonts w:hint="eastAsia" w:ascii="宋体" w:hAnsi="宋体" w:cs="宋体"/>
          <w:color w:val="auto"/>
          <w:kern w:val="0"/>
          <w:szCs w:val="21"/>
          <w:highlight w:val="none"/>
        </w:rPr>
        <w:t>招标人应当自收到评审报告之日起5个工作日内在评审报告推荐的中标候选人中按顺序确定中标人。若排名第一的中标候选人放弃中标（成交），或者因不可抗力不能履行合同，或者被查实存在影响中标结果的违法行为等情形、不符合成交条件的，招标人可以按照评标委员会提出的中标候选人名单排序依次确定其他中标候选人为中标人，也可以重新采购。</w:t>
      </w:r>
    </w:p>
    <w:p w14:paraId="7D246284">
      <w:pPr>
        <w:adjustRightInd w:val="0"/>
        <w:snapToGrid w:val="0"/>
        <w:spacing w:line="440" w:lineRule="exact"/>
        <w:ind w:firstLine="422" w:firstLineChars="200"/>
        <w:outlineLvl w:val="3"/>
        <w:rPr>
          <w:rFonts w:ascii="宋体" w:hAnsi="宋体" w:cs="宋体"/>
          <w:b/>
          <w:color w:val="auto"/>
          <w:szCs w:val="21"/>
          <w:highlight w:val="none"/>
        </w:rPr>
      </w:pPr>
      <w:r>
        <w:rPr>
          <w:rFonts w:hint="eastAsia" w:ascii="宋体" w:hAnsi="宋体" w:cs="宋体"/>
          <w:b/>
          <w:color w:val="auto"/>
          <w:szCs w:val="21"/>
          <w:highlight w:val="none"/>
        </w:rPr>
        <w:t>7.2 中标</w:t>
      </w:r>
      <w:bookmarkEnd w:id="151"/>
      <w:r>
        <w:rPr>
          <w:rFonts w:hint="eastAsia" w:ascii="宋体" w:hAnsi="宋体" w:cs="宋体"/>
          <w:b/>
          <w:color w:val="auto"/>
          <w:szCs w:val="21"/>
          <w:highlight w:val="none"/>
        </w:rPr>
        <w:t>公告</w:t>
      </w:r>
    </w:p>
    <w:p w14:paraId="77E46F44">
      <w:pPr>
        <w:adjustRightInd w:val="0"/>
        <w:snapToGrid w:val="0"/>
        <w:spacing w:line="440" w:lineRule="exact"/>
        <w:ind w:firstLine="420" w:firstLineChars="200"/>
        <w:rPr>
          <w:rFonts w:ascii="宋体" w:hAnsi="宋体" w:cs="宋体"/>
          <w:color w:val="auto"/>
          <w:kern w:val="0"/>
          <w:szCs w:val="21"/>
          <w:highlight w:val="none"/>
        </w:rPr>
      </w:pPr>
      <w:bookmarkStart w:id="152" w:name="_Toc357522223"/>
      <w:bookmarkStart w:id="153" w:name="_Toc15022"/>
      <w:r>
        <w:rPr>
          <w:rFonts w:hint="eastAsia" w:ascii="宋体" w:hAnsi="宋体" w:cs="宋体"/>
          <w:color w:val="auto"/>
          <w:kern w:val="0"/>
          <w:szCs w:val="21"/>
          <w:highlight w:val="none"/>
        </w:rPr>
        <w:t>7.2.1</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招标人或者招标代理机构应当自中标人确定之日起2个工作日内，在省级以上财政部门指定的媒体上公告中标结果，中标公告期限为1个工作日。</w:t>
      </w:r>
    </w:p>
    <w:p w14:paraId="118D73B9">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54" w:name="_Toc7170"/>
      <w:r>
        <w:rPr>
          <w:rFonts w:hint="eastAsia" w:hAnsi="宋体"/>
          <w:b w:val="0"/>
          <w:bCs w:val="0"/>
          <w:color w:val="auto"/>
          <w:sz w:val="21"/>
          <w:szCs w:val="21"/>
          <w:highlight w:val="none"/>
        </w:rPr>
        <w:t>7.2.2 投标人对中标结果有疑义的，在中标公告期限届满之日起七个工作日内，按本须知前附表10.8款接收质疑函的方式以书面形式一次性提出对中标结果的质疑。但须对投诉和质疑内容的真实性承担责任。</w:t>
      </w:r>
      <w:bookmarkEnd w:id="154"/>
    </w:p>
    <w:p w14:paraId="7A9D48F6">
      <w:pPr>
        <w:adjustRightInd w:val="0"/>
        <w:snapToGrid w:val="0"/>
        <w:spacing w:line="440" w:lineRule="exact"/>
        <w:ind w:firstLine="422" w:firstLineChars="200"/>
        <w:jc w:val="left"/>
        <w:outlineLvl w:val="3"/>
        <w:rPr>
          <w:rFonts w:ascii="宋体" w:hAnsi="宋体" w:cs="宋体"/>
          <w:b/>
          <w:bCs/>
          <w:color w:val="auto"/>
          <w:szCs w:val="21"/>
          <w:highlight w:val="none"/>
        </w:rPr>
      </w:pPr>
      <w:r>
        <w:rPr>
          <w:rFonts w:hint="eastAsia" w:ascii="宋体" w:hAnsi="宋体" w:cs="宋体"/>
          <w:b/>
          <w:bCs/>
          <w:color w:val="auto"/>
          <w:szCs w:val="21"/>
          <w:highlight w:val="none"/>
        </w:rPr>
        <w:t>7.3</w:t>
      </w:r>
      <w:r>
        <w:rPr>
          <w:rFonts w:ascii="宋体" w:hAnsi="宋体" w:cs="宋体"/>
          <w:b/>
          <w:bCs/>
          <w:color w:val="auto"/>
          <w:szCs w:val="21"/>
          <w:highlight w:val="none"/>
        </w:rPr>
        <w:t xml:space="preserve"> </w:t>
      </w:r>
      <w:r>
        <w:rPr>
          <w:rFonts w:hint="eastAsia" w:ascii="宋体" w:hAnsi="宋体" w:cs="宋体"/>
          <w:b/>
          <w:bCs/>
          <w:color w:val="auto"/>
          <w:szCs w:val="21"/>
          <w:highlight w:val="none"/>
        </w:rPr>
        <w:t>中标通知</w:t>
      </w:r>
    </w:p>
    <w:p w14:paraId="7F04ED84">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55" w:name="_Toc18115"/>
      <w:r>
        <w:rPr>
          <w:rFonts w:hint="eastAsia" w:hAnsi="宋体"/>
          <w:b w:val="0"/>
          <w:bCs w:val="0"/>
          <w:color w:val="auto"/>
          <w:sz w:val="21"/>
          <w:szCs w:val="21"/>
          <w:highlight w:val="none"/>
        </w:rPr>
        <w:t>7.3.1</w:t>
      </w:r>
      <w:r>
        <w:rPr>
          <w:rFonts w:hAnsi="宋体"/>
          <w:b w:val="0"/>
          <w:bCs w:val="0"/>
          <w:color w:val="auto"/>
          <w:sz w:val="21"/>
          <w:szCs w:val="21"/>
          <w:highlight w:val="none"/>
        </w:rPr>
        <w:t xml:space="preserve"> </w:t>
      </w:r>
      <w:r>
        <w:rPr>
          <w:rFonts w:hint="eastAsia" w:hAnsi="宋体"/>
          <w:b w:val="0"/>
          <w:bCs w:val="0"/>
          <w:color w:val="auto"/>
          <w:sz w:val="21"/>
          <w:szCs w:val="21"/>
          <w:highlight w:val="none"/>
        </w:rPr>
        <w:t>在公告中标结果的同时，招标人以书面形式向中标人发出中标通知书，同时将中标结果通知未中标的投标人。对未通过资格审查的投标人，应当告知其未通过的原因；采用综合评分法评审的，还应当告知未中标人本人的评审得分与排序。</w:t>
      </w:r>
      <w:bookmarkEnd w:id="155"/>
    </w:p>
    <w:p w14:paraId="7B18CD5F">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56" w:name="_Toc10020"/>
      <w:r>
        <w:rPr>
          <w:rFonts w:hint="eastAsia" w:hAnsi="宋体"/>
          <w:b w:val="0"/>
          <w:bCs w:val="0"/>
          <w:color w:val="auto"/>
          <w:sz w:val="21"/>
          <w:szCs w:val="21"/>
          <w:highlight w:val="none"/>
        </w:rPr>
        <w:t>7.3.2</w:t>
      </w:r>
      <w:r>
        <w:rPr>
          <w:rFonts w:hAnsi="宋体"/>
          <w:b w:val="0"/>
          <w:bCs w:val="0"/>
          <w:color w:val="auto"/>
          <w:sz w:val="21"/>
          <w:szCs w:val="21"/>
          <w:highlight w:val="none"/>
        </w:rPr>
        <w:t xml:space="preserve"> </w:t>
      </w:r>
      <w:r>
        <w:rPr>
          <w:rFonts w:hint="eastAsia" w:hAnsi="宋体"/>
          <w:b w:val="0"/>
          <w:bCs w:val="0"/>
          <w:color w:val="auto"/>
          <w:sz w:val="21"/>
          <w:szCs w:val="21"/>
          <w:highlight w:val="none"/>
        </w:rPr>
        <w:t>中标通知书发出后，招标人不得违法改变中标结果，中标人无正当理由不得放弃中标。</w:t>
      </w:r>
      <w:bookmarkEnd w:id="156"/>
    </w:p>
    <w:p w14:paraId="018BAF6D">
      <w:pPr>
        <w:adjustRightInd w:val="0"/>
        <w:snapToGrid w:val="0"/>
        <w:spacing w:line="440" w:lineRule="exact"/>
        <w:ind w:firstLine="422" w:firstLineChars="200"/>
        <w:jc w:val="left"/>
        <w:outlineLvl w:val="3"/>
        <w:rPr>
          <w:rFonts w:ascii="宋体" w:hAnsi="宋体" w:cs="宋体"/>
          <w:b/>
          <w:bCs/>
          <w:color w:val="auto"/>
          <w:szCs w:val="21"/>
          <w:highlight w:val="none"/>
        </w:rPr>
      </w:pPr>
      <w:r>
        <w:rPr>
          <w:rFonts w:hint="eastAsia" w:ascii="宋体" w:hAnsi="宋体" w:cs="宋体"/>
          <w:b/>
          <w:bCs/>
          <w:color w:val="auto"/>
          <w:szCs w:val="21"/>
          <w:highlight w:val="none"/>
        </w:rPr>
        <w:t>7.4 履约担保</w:t>
      </w:r>
    </w:p>
    <w:p w14:paraId="66D58A17">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57" w:name="_Toc6980"/>
      <w:r>
        <w:rPr>
          <w:rFonts w:hint="eastAsia" w:hAnsi="宋体"/>
          <w:b w:val="0"/>
          <w:bCs w:val="0"/>
          <w:color w:val="auto"/>
          <w:sz w:val="21"/>
          <w:szCs w:val="21"/>
          <w:highlight w:val="none"/>
        </w:rPr>
        <w:t>7.4.1 在签订合同前，中标人应按投标人须知前附表规定的金额、担保形式和招标文件第四章“合同条款及格式”规定的履约担保格式向招标人提交履约担保。</w:t>
      </w:r>
      <w:bookmarkEnd w:id="157"/>
    </w:p>
    <w:p w14:paraId="291F759E">
      <w:pPr>
        <w:pStyle w:val="67"/>
        <w:snapToGrid w:val="0"/>
        <w:spacing w:before="0" w:after="0" w:line="440" w:lineRule="exact"/>
        <w:ind w:firstLine="420" w:firstLineChars="200"/>
        <w:jc w:val="left"/>
        <w:outlineLvl w:val="9"/>
        <w:rPr>
          <w:rFonts w:hAnsi="宋体"/>
          <w:b w:val="0"/>
          <w:bCs w:val="0"/>
          <w:color w:val="auto"/>
          <w:sz w:val="21"/>
          <w:szCs w:val="21"/>
          <w:highlight w:val="none"/>
        </w:rPr>
      </w:pPr>
      <w:bookmarkStart w:id="158" w:name="_Toc6537"/>
      <w:r>
        <w:rPr>
          <w:rFonts w:hint="eastAsia" w:hAnsi="宋体"/>
          <w:b w:val="0"/>
          <w:bCs w:val="0"/>
          <w:color w:val="auto"/>
          <w:sz w:val="21"/>
          <w:szCs w:val="21"/>
          <w:highlight w:val="none"/>
        </w:rPr>
        <w:t>7.4.2 中标人不能按本章第 7.4.1 项要求提交履约担保的，视为放弃中标，给招标人造成损失的，中标人应当予以赔偿。</w:t>
      </w:r>
      <w:bookmarkEnd w:id="158"/>
    </w:p>
    <w:bookmarkEnd w:id="152"/>
    <w:bookmarkEnd w:id="153"/>
    <w:p w14:paraId="36EFE47F">
      <w:pPr>
        <w:adjustRightInd w:val="0"/>
        <w:snapToGrid w:val="0"/>
        <w:spacing w:line="440" w:lineRule="exact"/>
        <w:ind w:firstLine="422" w:firstLineChars="200"/>
        <w:outlineLvl w:val="3"/>
        <w:rPr>
          <w:rFonts w:ascii="宋体" w:hAnsi="宋体" w:cs="宋体"/>
          <w:b/>
          <w:color w:val="auto"/>
          <w:szCs w:val="21"/>
          <w:highlight w:val="none"/>
        </w:rPr>
      </w:pPr>
      <w:bookmarkStart w:id="159" w:name="_Toc5133"/>
      <w:r>
        <w:rPr>
          <w:rFonts w:hint="eastAsia" w:ascii="宋体" w:hAnsi="宋体" w:cs="宋体"/>
          <w:b/>
          <w:color w:val="auto"/>
          <w:szCs w:val="21"/>
          <w:highlight w:val="none"/>
        </w:rPr>
        <w:t>7.5</w:t>
      </w:r>
      <w:r>
        <w:rPr>
          <w:rFonts w:ascii="宋体" w:hAnsi="宋体" w:cs="宋体"/>
          <w:b/>
          <w:color w:val="auto"/>
          <w:szCs w:val="21"/>
          <w:highlight w:val="none"/>
        </w:rPr>
        <w:t xml:space="preserve"> </w:t>
      </w:r>
      <w:r>
        <w:rPr>
          <w:rFonts w:hint="eastAsia" w:ascii="宋体" w:hAnsi="宋体" w:cs="宋体"/>
          <w:b/>
          <w:color w:val="auto"/>
          <w:szCs w:val="21"/>
          <w:highlight w:val="none"/>
        </w:rPr>
        <w:t>签订合同</w:t>
      </w:r>
      <w:bookmarkEnd w:id="159"/>
    </w:p>
    <w:p w14:paraId="2C1DBB86">
      <w:pPr>
        <w:adjustRightInd w:val="0"/>
        <w:snapToGrid w:val="0"/>
        <w:spacing w:line="440" w:lineRule="exact"/>
        <w:ind w:firstLine="420" w:firstLineChars="200"/>
        <w:rPr>
          <w:rFonts w:ascii="宋体" w:hAnsi="宋体" w:cs="宋体"/>
          <w:color w:val="auto"/>
          <w:kern w:val="0"/>
          <w:szCs w:val="21"/>
          <w:highlight w:val="none"/>
        </w:rPr>
      </w:pPr>
      <w:bookmarkStart w:id="160" w:name="_Toc281837633"/>
      <w:bookmarkStart w:id="161" w:name="_Toc345178454"/>
      <w:bookmarkStart w:id="162" w:name="_Toc323212714"/>
      <w:bookmarkStart w:id="163" w:name="_Toc214173888"/>
      <w:bookmarkStart w:id="164" w:name="_Toc184635080"/>
      <w:r>
        <w:rPr>
          <w:rFonts w:hint="eastAsia" w:ascii="宋体" w:hAnsi="宋体" w:cs="宋体"/>
          <w:color w:val="auto"/>
          <w:kern w:val="0"/>
          <w:szCs w:val="21"/>
          <w:highlight w:val="none"/>
        </w:rPr>
        <w:t>7.3.1</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招标人应在中标通知书发出之日起</w:t>
      </w:r>
      <w:r>
        <w:rPr>
          <w:rFonts w:hint="eastAsia" w:ascii="宋体" w:hAnsi="宋体" w:cs="宋体"/>
          <w:b/>
          <w:bCs/>
          <w:color w:val="auto"/>
          <w:kern w:val="0"/>
          <w:szCs w:val="21"/>
          <w:highlight w:val="none"/>
        </w:rPr>
        <w:t>15</w:t>
      </w:r>
      <w:r>
        <w:rPr>
          <w:rFonts w:hint="eastAsia" w:ascii="宋体" w:hAnsi="宋体" w:cs="宋体"/>
          <w:color w:val="auto"/>
          <w:kern w:val="0"/>
          <w:szCs w:val="21"/>
          <w:highlight w:val="none"/>
        </w:rPr>
        <w:t>日内与中标人签订政府采购合同。</w:t>
      </w:r>
    </w:p>
    <w:p w14:paraId="0BAFBFED">
      <w:pPr>
        <w:adjustRightInd w:val="0"/>
        <w:snapToGrid w:val="0"/>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7.3.2 中标人无正当理由拒签合同、在签订合同时向招标人提出附加条件，或者不按照招标文件要求提交履约保证金（银行保函）的，招标人有权取消其中标资格，中标投标人须按投标保证承诺书内容向招标人和招标代理机构支付赔偿；招标人可以按照评标报告推荐的中标候选人排序，确定排名下一位的中标候选人为中标投标人，也可以重新开展采购活动。当出现法规规定的中标无效或中标结果无效情形时，招标人可与排名下一位的中标候选人另行签订合同，或依法重新开展采购活动。</w:t>
      </w:r>
    </w:p>
    <w:p w14:paraId="70629C12">
      <w:pPr>
        <w:adjustRightInd w:val="0"/>
        <w:snapToGrid w:val="0"/>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7.3.3 发出中标通知书后，招标人无正当理由拒签合同的，给中标人造成损失的，应当赔偿损失。</w:t>
      </w:r>
    </w:p>
    <w:p w14:paraId="120A487E">
      <w:pPr>
        <w:pStyle w:val="3"/>
        <w:keepNext w:val="0"/>
        <w:keepLines w:val="0"/>
        <w:snapToGrid w:val="0"/>
        <w:spacing w:before="0" w:after="0" w:line="440" w:lineRule="exact"/>
        <w:ind w:firstLine="422" w:firstLineChars="200"/>
        <w:jc w:val="left"/>
        <w:rPr>
          <w:color w:val="auto"/>
          <w:sz w:val="21"/>
          <w:szCs w:val="21"/>
          <w:highlight w:val="none"/>
        </w:rPr>
      </w:pPr>
      <w:bookmarkStart w:id="165" w:name="_Toc27298"/>
      <w:bookmarkStart w:id="166" w:name="_Toc25993"/>
      <w:bookmarkStart w:id="167" w:name="_Toc1062720310"/>
      <w:bookmarkStart w:id="168" w:name="_Toc22431"/>
      <w:bookmarkStart w:id="169" w:name="_Toc6433"/>
      <w:bookmarkStart w:id="170" w:name="_Toc20206"/>
      <w:bookmarkStart w:id="171" w:name="_Toc32636"/>
      <w:r>
        <w:rPr>
          <w:rFonts w:hint="eastAsia"/>
          <w:color w:val="auto"/>
          <w:sz w:val="21"/>
          <w:szCs w:val="21"/>
          <w:highlight w:val="none"/>
        </w:rPr>
        <w:t>8.</w:t>
      </w:r>
      <w:bookmarkEnd w:id="160"/>
      <w:bookmarkEnd w:id="161"/>
      <w:bookmarkEnd w:id="162"/>
      <w:bookmarkEnd w:id="163"/>
      <w:bookmarkEnd w:id="165"/>
      <w:r>
        <w:rPr>
          <w:rFonts w:hint="eastAsia"/>
          <w:color w:val="auto"/>
          <w:sz w:val="21"/>
          <w:szCs w:val="21"/>
          <w:highlight w:val="none"/>
        </w:rPr>
        <w:t>废标和重新招标</w:t>
      </w:r>
      <w:bookmarkEnd w:id="166"/>
      <w:bookmarkEnd w:id="167"/>
      <w:bookmarkEnd w:id="168"/>
      <w:bookmarkEnd w:id="169"/>
      <w:bookmarkEnd w:id="170"/>
      <w:bookmarkEnd w:id="171"/>
    </w:p>
    <w:p w14:paraId="2F8BB742">
      <w:pPr>
        <w:adjustRightInd w:val="0"/>
        <w:snapToGrid w:val="0"/>
        <w:spacing w:line="440" w:lineRule="exact"/>
        <w:ind w:firstLine="422" w:firstLineChars="200"/>
        <w:outlineLvl w:val="3"/>
        <w:rPr>
          <w:rFonts w:ascii="宋体" w:hAnsi="宋体" w:cs="宋体"/>
          <w:b/>
          <w:color w:val="auto"/>
          <w:szCs w:val="21"/>
          <w:highlight w:val="none"/>
        </w:rPr>
      </w:pPr>
      <w:bookmarkStart w:id="172" w:name="_Toc281837634"/>
      <w:bookmarkStart w:id="173" w:name="_Toc323212715"/>
      <w:bookmarkStart w:id="174" w:name="_Toc24071"/>
      <w:r>
        <w:rPr>
          <w:rFonts w:hint="eastAsia" w:ascii="宋体" w:hAnsi="宋体" w:cs="宋体"/>
          <w:b/>
          <w:color w:val="auto"/>
          <w:szCs w:val="21"/>
          <w:highlight w:val="none"/>
        </w:rPr>
        <w:t xml:space="preserve">8.1 </w:t>
      </w:r>
      <w:bookmarkEnd w:id="172"/>
      <w:bookmarkEnd w:id="173"/>
      <w:bookmarkEnd w:id="174"/>
      <w:bookmarkStart w:id="175" w:name="_Toc345178455"/>
      <w:bookmarkStart w:id="176" w:name="_Toc214173889"/>
      <w:bookmarkStart w:id="177" w:name="_Toc281837636"/>
      <w:bookmarkStart w:id="178" w:name="_Toc323212717"/>
      <w:r>
        <w:rPr>
          <w:rFonts w:hint="eastAsia" w:ascii="宋体" w:hAnsi="宋体" w:cs="宋体"/>
          <w:b/>
          <w:color w:val="auto"/>
          <w:szCs w:val="21"/>
          <w:highlight w:val="none"/>
        </w:rPr>
        <w:t xml:space="preserve">有出现下列情形之一，将导致项目废标： </w:t>
      </w:r>
    </w:p>
    <w:p w14:paraId="1E021C4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（1）符合专业条件的投标人或者对招标文件做实质性响应的投标人不足三家；</w:t>
      </w:r>
    </w:p>
    <w:p w14:paraId="52034CD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63A8DDA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（3）投标人的报价均超过了采购预算，招标人不能支付的；</w:t>
      </w:r>
    </w:p>
    <w:p w14:paraId="604B426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（4）因重大变故，采购任务取消的。</w:t>
      </w:r>
    </w:p>
    <w:p w14:paraId="424040BD">
      <w:pPr>
        <w:adjustRightInd w:val="0"/>
        <w:snapToGrid w:val="0"/>
        <w:spacing w:line="440" w:lineRule="exact"/>
        <w:ind w:firstLine="422" w:firstLineChars="200"/>
        <w:outlineLvl w:val="3"/>
        <w:rPr>
          <w:rFonts w:ascii="宋体" w:hAnsi="宋体" w:cs="宋体"/>
          <w:b/>
          <w:color w:val="auto"/>
          <w:szCs w:val="21"/>
          <w:highlight w:val="none"/>
        </w:rPr>
      </w:pPr>
      <w:r>
        <w:rPr>
          <w:rFonts w:hint="eastAsia" w:ascii="宋体" w:hAnsi="宋体" w:cs="宋体"/>
          <w:b/>
          <w:color w:val="auto"/>
          <w:szCs w:val="21"/>
          <w:highlight w:val="none"/>
        </w:rPr>
        <w:t xml:space="preserve">8.2 重新招标 </w:t>
      </w:r>
    </w:p>
    <w:p w14:paraId="3600772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废标后，除采购任务取消情形外，应当重新组织招标。需要采取其他方式采购的，应当在采购活动开始前获得设区的市、自治州以上人民政府采购监督管理部门或者政府有关部门批准。</w:t>
      </w:r>
    </w:p>
    <w:p w14:paraId="4AE769CF">
      <w:pPr>
        <w:pStyle w:val="3"/>
        <w:keepNext w:val="0"/>
        <w:keepLines w:val="0"/>
        <w:snapToGrid w:val="0"/>
        <w:spacing w:before="0" w:after="0" w:line="440" w:lineRule="exact"/>
        <w:ind w:firstLine="422" w:firstLineChars="200"/>
        <w:jc w:val="left"/>
        <w:rPr>
          <w:color w:val="auto"/>
          <w:sz w:val="21"/>
          <w:szCs w:val="21"/>
          <w:highlight w:val="none"/>
        </w:rPr>
      </w:pPr>
      <w:bookmarkStart w:id="179" w:name="_Toc955"/>
      <w:bookmarkStart w:id="180" w:name="_Toc25623"/>
      <w:bookmarkStart w:id="181" w:name="_Toc6477"/>
      <w:bookmarkStart w:id="182" w:name="_Toc24859"/>
      <w:bookmarkStart w:id="183" w:name="_Toc25583"/>
      <w:bookmarkStart w:id="184" w:name="_Toc518758071"/>
      <w:bookmarkStart w:id="185" w:name="_Toc2691"/>
      <w:r>
        <w:rPr>
          <w:rFonts w:hint="eastAsia"/>
          <w:color w:val="auto"/>
          <w:sz w:val="21"/>
          <w:szCs w:val="21"/>
          <w:highlight w:val="none"/>
        </w:rPr>
        <w:t>9.纪律和监督</w:t>
      </w:r>
      <w:bookmarkEnd w:id="175"/>
      <w:bookmarkEnd w:id="176"/>
      <w:bookmarkEnd w:id="177"/>
      <w:bookmarkEnd w:id="178"/>
      <w:bookmarkEnd w:id="179"/>
      <w:bookmarkEnd w:id="180"/>
      <w:bookmarkEnd w:id="181"/>
      <w:bookmarkEnd w:id="182"/>
      <w:bookmarkEnd w:id="183"/>
      <w:bookmarkEnd w:id="184"/>
      <w:bookmarkEnd w:id="185"/>
    </w:p>
    <w:p w14:paraId="2AD2F9DA">
      <w:pPr>
        <w:adjustRightInd w:val="0"/>
        <w:snapToGrid w:val="0"/>
        <w:spacing w:line="440" w:lineRule="exact"/>
        <w:ind w:firstLine="422" w:firstLineChars="200"/>
        <w:outlineLvl w:val="3"/>
        <w:rPr>
          <w:rFonts w:ascii="宋体" w:hAnsi="宋体" w:cs="宋体"/>
          <w:b/>
          <w:color w:val="auto"/>
          <w:szCs w:val="21"/>
          <w:highlight w:val="none"/>
        </w:rPr>
      </w:pPr>
      <w:bookmarkStart w:id="186" w:name="_Toc323212718"/>
      <w:bookmarkStart w:id="187" w:name="_Toc11700"/>
      <w:bookmarkStart w:id="188" w:name="_Toc281837637"/>
      <w:r>
        <w:rPr>
          <w:rFonts w:hint="eastAsia" w:ascii="宋体" w:hAnsi="宋体" w:cs="宋体"/>
          <w:b/>
          <w:color w:val="auto"/>
          <w:szCs w:val="21"/>
          <w:highlight w:val="none"/>
        </w:rPr>
        <w:t>9.1 对招标人的纪律要求</w:t>
      </w:r>
      <w:bookmarkEnd w:id="186"/>
      <w:bookmarkEnd w:id="187"/>
      <w:bookmarkEnd w:id="188"/>
    </w:p>
    <w:p w14:paraId="7AC7D6E4">
      <w:pPr>
        <w:adjustRightInd w:val="0"/>
        <w:snapToGrid w:val="0"/>
        <w:spacing w:line="440" w:lineRule="exact"/>
        <w:ind w:firstLine="420" w:firstLineChars="200"/>
        <w:rPr>
          <w:rFonts w:ascii="宋体" w:hAnsi="宋体" w:cs="宋体"/>
          <w:color w:val="auto"/>
          <w:szCs w:val="21"/>
          <w:highlight w:val="none"/>
        </w:rPr>
      </w:pPr>
      <w:bookmarkStart w:id="189" w:name="_Toc256694841"/>
      <w:bookmarkStart w:id="190" w:name="_Toc256690965"/>
      <w:bookmarkStart w:id="191" w:name="_Toc281837638"/>
      <w:bookmarkStart w:id="192" w:name="_Toc323212719"/>
      <w:r>
        <w:rPr>
          <w:rFonts w:hint="eastAsia" w:ascii="宋体" w:hAnsi="宋体" w:cs="宋体"/>
          <w:color w:val="auto"/>
          <w:szCs w:val="21"/>
          <w:highlight w:val="none"/>
        </w:rPr>
        <w:t>招标人不得泄漏招标投标活动中应当保密的情况和资料，不得与投标人串通损害国家利益、社会公共利益或者他人合法权益。</w:t>
      </w:r>
      <w:bookmarkEnd w:id="189"/>
      <w:bookmarkEnd w:id="190"/>
    </w:p>
    <w:p w14:paraId="5F8BD99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有下列情形之一的，属于招标人与投标人串通投标：</w:t>
      </w:r>
    </w:p>
    <w:p w14:paraId="1327844C">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（一）招标人在开标前开启投标文件并将有关信息泄露给其他投标人；</w:t>
      </w:r>
    </w:p>
    <w:p w14:paraId="6E0B168C">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（二）招标人直接或者间接向投标人泄露标底、评标委员会成员等信息；</w:t>
      </w:r>
    </w:p>
    <w:p w14:paraId="3A6CE8E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（三）招标人明示或者暗示投标人压低或者抬高投标报价；</w:t>
      </w:r>
    </w:p>
    <w:p w14:paraId="7F2EC87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（四）招标人授意投标人撤换、修改投标文件；</w:t>
      </w:r>
    </w:p>
    <w:p w14:paraId="40CE71E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（五）招标人明示或者暗示投标人为特定投标人中标提供方便；</w:t>
      </w:r>
    </w:p>
    <w:p w14:paraId="4AF5572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（六）招标人与投标人为谋求特定投标人中标而采取的其他串通行为。</w:t>
      </w:r>
    </w:p>
    <w:p w14:paraId="411D6D00">
      <w:pPr>
        <w:adjustRightInd w:val="0"/>
        <w:snapToGrid w:val="0"/>
        <w:spacing w:line="440" w:lineRule="exact"/>
        <w:ind w:firstLine="422" w:firstLineChars="200"/>
        <w:outlineLvl w:val="3"/>
        <w:rPr>
          <w:rFonts w:ascii="宋体" w:hAnsi="宋体" w:cs="宋体"/>
          <w:b/>
          <w:color w:val="auto"/>
          <w:szCs w:val="21"/>
          <w:highlight w:val="none"/>
        </w:rPr>
      </w:pPr>
      <w:bookmarkStart w:id="193" w:name="_Toc13183"/>
      <w:r>
        <w:rPr>
          <w:rFonts w:hint="eastAsia" w:ascii="宋体" w:hAnsi="宋体" w:cs="宋体"/>
          <w:b/>
          <w:color w:val="auto"/>
          <w:szCs w:val="21"/>
          <w:highlight w:val="none"/>
        </w:rPr>
        <w:t>9.2 对投标人的纪律要求</w:t>
      </w:r>
      <w:bookmarkEnd w:id="191"/>
      <w:bookmarkEnd w:id="192"/>
      <w:bookmarkEnd w:id="193"/>
    </w:p>
    <w:p w14:paraId="20EB802E">
      <w:pPr>
        <w:adjustRightInd w:val="0"/>
        <w:snapToGrid w:val="0"/>
        <w:spacing w:line="440" w:lineRule="exact"/>
        <w:ind w:firstLine="420" w:firstLineChars="200"/>
        <w:rPr>
          <w:rFonts w:ascii="宋体" w:hAnsi="宋体" w:cs="宋体"/>
          <w:color w:val="auto"/>
          <w:szCs w:val="21"/>
          <w:highlight w:val="none"/>
        </w:rPr>
      </w:pPr>
      <w:bookmarkStart w:id="194" w:name="_Toc256694849"/>
      <w:bookmarkStart w:id="195" w:name="_Toc256690973"/>
      <w:bookmarkStart w:id="196" w:name="_Toc323212720"/>
      <w:bookmarkStart w:id="197" w:name="_Toc281837639"/>
      <w:r>
        <w:rPr>
          <w:rFonts w:hint="eastAsia" w:ascii="宋体" w:hAnsi="宋体" w:cs="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bookmarkEnd w:id="194"/>
      <w:bookmarkEnd w:id="195"/>
    </w:p>
    <w:p w14:paraId="05A11CC3">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9.2.1 有下列情形之一的，属于投标人相互串通投标：</w:t>
      </w:r>
    </w:p>
    <w:p w14:paraId="10D91339">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（1）投标人之间协商投标报价等投标文件的实质性内容；</w:t>
      </w:r>
    </w:p>
    <w:p w14:paraId="72C335E4">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（2）投标人之间约定中标人；</w:t>
      </w:r>
    </w:p>
    <w:p w14:paraId="45F750E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（3）投标人之间约定部分投标人放弃投标或者中标；</w:t>
      </w:r>
    </w:p>
    <w:p w14:paraId="3BE7AF7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（4）属于同一集团、协会、商会等组织成员的投标人按照该组织要求协同投标；</w:t>
      </w:r>
    </w:p>
    <w:p w14:paraId="42436A9B">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（5）投标人之间为谋取中标或者排斥特定投标人而采取的其他联合行动。</w:t>
      </w:r>
    </w:p>
    <w:p w14:paraId="2F5D983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9.2.2 有下列情形之一的，视为投标人相互串通投标：</w:t>
      </w:r>
    </w:p>
    <w:p w14:paraId="34A67DDB">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（一）不同供应商的电子投标（响应）文件上传计算机的网卡MAC地址、CPU序列号和硬盘序列号等硬件信息相同的；</w:t>
      </w:r>
    </w:p>
    <w:p w14:paraId="723713A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（二）不同供应商的投标（响应）文件由同一电子设备编制、打印加密或者上传；</w:t>
      </w:r>
    </w:p>
    <w:p w14:paraId="45F9A00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（三）不同供应商的投标（响应）文件由同一电子设备打印、复印；</w:t>
      </w:r>
    </w:p>
    <w:p w14:paraId="147CBC0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（四）不同供应商的投标（响应）文件由同一人送达或者分发，或者不同供应商联系人为同一人或不同联系人的联系电话一致的；</w:t>
      </w:r>
    </w:p>
    <w:p w14:paraId="10472F9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（五）不同供应商的投标（响应）文件的内容存在两处以上细节错误一致；</w:t>
      </w:r>
    </w:p>
    <w:p w14:paraId="15F89649">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（六）不同供应商的法定代表人、委托代理人、项目经理、项目负责人等由同一个单位缴纳社会保险或者领取报酬的；</w:t>
      </w:r>
    </w:p>
    <w:p w14:paraId="7CAA225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（七）不同供应商投标（响应）文件中法定代表人或者负责人签字出自同一人之手；</w:t>
      </w:r>
    </w:p>
    <w:p w14:paraId="25F564A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（八）其它涉嫌串通的情形。</w:t>
      </w:r>
    </w:p>
    <w:p w14:paraId="5223929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9.2.3 有下列情形之一的，属于以他人名义投标：</w:t>
      </w:r>
    </w:p>
    <w:p w14:paraId="39BC8E77">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（1）使用通过受让或者租借等方式获取的资格、资质证书投标的。</w:t>
      </w:r>
    </w:p>
    <w:p w14:paraId="11B2479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9.2.4 有下列情形之一的，属于以其他方式弄虚作假的行为：</w:t>
      </w:r>
    </w:p>
    <w:p w14:paraId="7F7250CF">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（1）使用伪造、变造的许可证件；</w:t>
      </w:r>
    </w:p>
    <w:p w14:paraId="5F93224A">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（2）提供虚假的财务状况或者业绩；</w:t>
      </w:r>
    </w:p>
    <w:p w14:paraId="2A974BEC">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（3）提供虚假的信用状况；</w:t>
      </w:r>
    </w:p>
    <w:p w14:paraId="09486AD0">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（4）提供虚假材料谋取中标、成交的，中标、成交无效；</w:t>
      </w:r>
    </w:p>
    <w:p w14:paraId="3A366B6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（5）其他弄虚作假的行为。</w:t>
      </w:r>
    </w:p>
    <w:p w14:paraId="54C23C75">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9.2.5 投标人提供虚假材料谋取中标的，中标无效。并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A9634A3">
      <w:pPr>
        <w:adjustRightInd w:val="0"/>
        <w:snapToGrid w:val="0"/>
        <w:spacing w:line="440" w:lineRule="exact"/>
        <w:ind w:firstLine="422" w:firstLineChars="200"/>
        <w:outlineLvl w:val="3"/>
        <w:rPr>
          <w:rFonts w:ascii="宋体" w:hAnsi="宋体" w:cs="宋体"/>
          <w:b/>
          <w:color w:val="auto"/>
          <w:szCs w:val="21"/>
          <w:highlight w:val="none"/>
        </w:rPr>
      </w:pPr>
      <w:bookmarkStart w:id="198" w:name="_Toc13930"/>
      <w:r>
        <w:rPr>
          <w:rFonts w:hint="eastAsia" w:ascii="宋体" w:hAnsi="宋体" w:cs="宋体"/>
          <w:b/>
          <w:color w:val="auto"/>
          <w:szCs w:val="21"/>
          <w:highlight w:val="none"/>
        </w:rPr>
        <w:t>9.3 对评标委员会成员的纪律要求</w:t>
      </w:r>
      <w:bookmarkEnd w:id="196"/>
      <w:bookmarkEnd w:id="197"/>
      <w:bookmarkEnd w:id="198"/>
    </w:p>
    <w:p w14:paraId="2F6E2CC7">
      <w:pPr>
        <w:adjustRightInd w:val="0"/>
        <w:snapToGrid w:val="0"/>
        <w:spacing w:line="440" w:lineRule="exact"/>
        <w:ind w:firstLine="420" w:firstLineChars="200"/>
        <w:rPr>
          <w:rFonts w:ascii="宋体" w:hAnsi="宋体" w:cs="宋体"/>
          <w:color w:val="auto"/>
          <w:szCs w:val="21"/>
          <w:highlight w:val="none"/>
        </w:rPr>
      </w:pPr>
      <w:bookmarkStart w:id="199" w:name="_Toc323212721"/>
      <w:bookmarkStart w:id="200" w:name="_Toc281837640"/>
      <w:r>
        <w:rPr>
          <w:rFonts w:hint="eastAsia" w:ascii="宋体" w:hAnsi="宋体" w:cs="宋体"/>
          <w:color w:val="auto"/>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及标准”没有规定的评审因素和标准进行评标。</w:t>
      </w:r>
    </w:p>
    <w:p w14:paraId="30B8A6C9">
      <w:pPr>
        <w:adjustRightInd w:val="0"/>
        <w:snapToGrid w:val="0"/>
        <w:spacing w:line="440" w:lineRule="exact"/>
        <w:ind w:firstLine="422" w:firstLineChars="200"/>
        <w:outlineLvl w:val="3"/>
        <w:rPr>
          <w:rFonts w:ascii="宋体" w:hAnsi="宋体" w:cs="宋体"/>
          <w:b/>
          <w:color w:val="auto"/>
          <w:szCs w:val="21"/>
          <w:highlight w:val="none"/>
        </w:rPr>
      </w:pPr>
      <w:bookmarkStart w:id="201" w:name="_Toc31797"/>
      <w:r>
        <w:rPr>
          <w:rFonts w:hint="eastAsia" w:ascii="宋体" w:hAnsi="宋体" w:cs="宋体"/>
          <w:b/>
          <w:color w:val="auto"/>
          <w:szCs w:val="21"/>
          <w:highlight w:val="none"/>
        </w:rPr>
        <w:t>9.4 对与评标活动有关的工作人员的纪律要求</w:t>
      </w:r>
      <w:bookmarkEnd w:id="199"/>
      <w:bookmarkEnd w:id="200"/>
      <w:bookmarkEnd w:id="201"/>
    </w:p>
    <w:p w14:paraId="36E3345A">
      <w:pPr>
        <w:adjustRightInd w:val="0"/>
        <w:snapToGrid w:val="0"/>
        <w:spacing w:line="440" w:lineRule="exact"/>
        <w:ind w:firstLine="420" w:firstLineChars="200"/>
        <w:rPr>
          <w:rFonts w:ascii="宋体" w:hAnsi="宋体" w:cs="宋体"/>
          <w:color w:val="auto"/>
          <w:szCs w:val="21"/>
          <w:highlight w:val="none"/>
        </w:rPr>
      </w:pPr>
      <w:bookmarkStart w:id="202" w:name="_Toc281837641"/>
      <w:bookmarkStart w:id="203" w:name="_Toc323212722"/>
      <w:r>
        <w:rPr>
          <w:rFonts w:hint="eastAsia" w:ascii="宋体" w:hAnsi="宋体" w:cs="宋体"/>
          <w:color w:val="auto"/>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55C378A">
      <w:pPr>
        <w:adjustRightInd w:val="0"/>
        <w:snapToGrid w:val="0"/>
        <w:spacing w:line="440" w:lineRule="exact"/>
        <w:ind w:firstLine="422" w:firstLineChars="200"/>
        <w:outlineLvl w:val="3"/>
        <w:rPr>
          <w:rFonts w:ascii="宋体" w:hAnsi="宋体" w:cs="宋体"/>
          <w:b/>
          <w:color w:val="auto"/>
          <w:szCs w:val="21"/>
          <w:highlight w:val="none"/>
        </w:rPr>
      </w:pPr>
      <w:bookmarkStart w:id="204" w:name="_Toc23777"/>
      <w:r>
        <w:rPr>
          <w:rFonts w:hint="eastAsia" w:ascii="宋体" w:hAnsi="宋体" w:cs="宋体"/>
          <w:b/>
          <w:color w:val="auto"/>
          <w:szCs w:val="21"/>
          <w:highlight w:val="none"/>
        </w:rPr>
        <w:t>9.5 质疑</w:t>
      </w:r>
      <w:bookmarkEnd w:id="202"/>
      <w:bookmarkEnd w:id="203"/>
      <w:bookmarkEnd w:id="204"/>
      <w:r>
        <w:rPr>
          <w:rFonts w:hint="eastAsia" w:ascii="宋体" w:hAnsi="宋体" w:cs="宋体"/>
          <w:b/>
          <w:color w:val="auto"/>
          <w:szCs w:val="21"/>
          <w:highlight w:val="none"/>
        </w:rPr>
        <w:t>和投诉</w:t>
      </w:r>
    </w:p>
    <w:p w14:paraId="7DCB709C">
      <w:pPr>
        <w:adjustRightInd w:val="0"/>
        <w:snapToGrid w:val="0"/>
        <w:spacing w:line="440" w:lineRule="exact"/>
        <w:ind w:firstLine="420" w:firstLineChars="200"/>
        <w:rPr>
          <w:rFonts w:ascii="宋体" w:hAnsi="宋体" w:cs="宋体"/>
          <w:color w:val="auto"/>
          <w:szCs w:val="21"/>
          <w:highlight w:val="none"/>
        </w:rPr>
      </w:pPr>
      <w:bookmarkStart w:id="205" w:name="_Toc345178456"/>
      <w:r>
        <w:rPr>
          <w:rFonts w:hint="eastAsia" w:ascii="宋体" w:hAnsi="宋体" w:cs="宋体"/>
          <w:color w:val="auto"/>
          <w:szCs w:val="21"/>
          <w:highlight w:val="none"/>
        </w:rPr>
        <w:t>（1）投标人认为招标文件、招标过程和中标结果使自己的权益受到损害的，可以在知道或者应知其权益受到损害之日起七个工作日内根据《中华人民共和国政府采购法》、《中华人民共和国政府采购法实施条例》和《政府采购质疑和投诉办法》的有关规定，依法向招标人和其委托的招标代理机构提出质疑。</w:t>
      </w:r>
    </w:p>
    <w:p w14:paraId="00AC1BD1">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（2）质疑投标人应按照财政部制定的《政府采购质疑函范本》格式和《政府采购质疑和投诉办法》的要求，在法定质疑期内以书面形式一次性提出针对同一采购程序环节的质疑。</w:t>
      </w:r>
    </w:p>
    <w:p w14:paraId="65B3E03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（3）质疑函的内容及形式应符合《政府采购质疑和投诉办法》第十二条的规定。超出法定质疑期提交的质疑将被拒绝。</w:t>
      </w:r>
    </w:p>
    <w:p w14:paraId="40AE70A8">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投标人质疑应当有明确的请求和必要的证明材料（质疑人捏造事实或是提供虚假质疑材料的，属于虚假、恶意质疑，被质疑人应当驳回质疑，并向同级政府采购监督管理部门报告，核实后将其列入不良行为记录名单，并依法予以处罚），未按要求提出质疑的不予受理。</w:t>
      </w:r>
    </w:p>
    <w:p w14:paraId="7F24C2EE">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（5）对招标人、招标代理机构的答复不满意或者招标人、招标代理机构未在规定的时间内作出答复的，供应商可以在质疑答复期满后 15 个工作日内实名向（项目所属）同级政府采购监督管理部门投诉。</w:t>
      </w:r>
    </w:p>
    <w:p w14:paraId="405725D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（6）质疑和投诉应有具体的质疑（投诉）事项和必要的证明材料或事实根据，供应商对其质疑和投诉内容的真实性及其来源的合法性承担法律责任。</w:t>
      </w:r>
    </w:p>
    <w:p w14:paraId="6A545D6F">
      <w:pPr>
        <w:adjustRightInd w:val="0"/>
        <w:snapToGrid w:val="0"/>
        <w:spacing w:line="440" w:lineRule="exact"/>
        <w:ind w:firstLine="420" w:firstLineChars="200"/>
        <w:rPr>
          <w:rFonts w:ascii="宋体" w:hAnsi="宋体" w:cs="宋体"/>
          <w:color w:val="auto"/>
          <w:szCs w:val="21"/>
          <w:highlight w:val="none"/>
        </w:rPr>
      </w:pPr>
      <w:bookmarkStart w:id="206" w:name="_Toc12679"/>
      <w:bookmarkStart w:id="207" w:name="_Toc2980"/>
      <w:bookmarkStart w:id="208" w:name="_Toc21753"/>
      <w:r>
        <w:rPr>
          <w:rFonts w:hint="eastAsia" w:ascii="宋体" w:hAnsi="宋体" w:cs="宋体"/>
          <w:color w:val="auto"/>
          <w:szCs w:val="21"/>
          <w:highlight w:val="none"/>
        </w:rPr>
        <w:t>（7）投标人知道或者应知其权益受到损害之日是指：</w:t>
      </w:r>
    </w:p>
    <w:p w14:paraId="41915679">
      <w:pPr>
        <w:adjustRightInd w:val="0"/>
        <w:snapToGrid w:val="0"/>
        <w:spacing w:line="440" w:lineRule="exact"/>
        <w:ind w:firstLine="420" w:firstLineChars="200"/>
        <w:rPr>
          <w:rFonts w:ascii="宋体" w:hAnsi="宋体" w:cs="宋体"/>
          <w:color w:val="auto"/>
          <w:szCs w:val="21"/>
          <w:highlight w:val="none"/>
        </w:rPr>
      </w:pPr>
      <w:r>
        <w:rPr>
          <w:rFonts w:ascii="宋体" w:hAnsi="宋体" w:cs="宋体"/>
          <w:color w:val="auto"/>
          <w:szCs w:val="21"/>
          <w:highlight w:val="none"/>
        </w:rPr>
        <w:t>①</w:t>
      </w:r>
      <w:r>
        <w:rPr>
          <w:rFonts w:hint="eastAsia" w:ascii="宋体" w:hAnsi="宋体" w:cs="宋体"/>
          <w:color w:val="auto"/>
          <w:szCs w:val="21"/>
          <w:highlight w:val="none"/>
        </w:rPr>
        <w:t>对招标文件提出质疑的，为获取招标文件之日或者招标文件公告期限届满之日；</w:t>
      </w:r>
    </w:p>
    <w:p w14:paraId="7FAF300D">
      <w:pPr>
        <w:adjustRightInd w:val="0"/>
        <w:snapToGrid w:val="0"/>
        <w:spacing w:line="440" w:lineRule="exact"/>
        <w:ind w:firstLine="420" w:firstLineChars="200"/>
        <w:rPr>
          <w:rFonts w:ascii="宋体" w:hAnsi="宋体" w:cs="宋体"/>
          <w:color w:val="auto"/>
          <w:szCs w:val="21"/>
          <w:highlight w:val="none"/>
        </w:rPr>
      </w:pPr>
      <w:r>
        <w:rPr>
          <w:rFonts w:ascii="宋体" w:hAnsi="宋体" w:cs="宋体"/>
          <w:color w:val="auto"/>
          <w:szCs w:val="21"/>
          <w:highlight w:val="none"/>
        </w:rPr>
        <w:t>②</w:t>
      </w:r>
      <w:r>
        <w:rPr>
          <w:rFonts w:hint="eastAsia" w:ascii="宋体" w:hAnsi="宋体" w:cs="宋体"/>
          <w:color w:val="auto"/>
          <w:szCs w:val="21"/>
          <w:highlight w:val="none"/>
        </w:rPr>
        <w:t>对采购过程提出质疑的，为各采购程序环节结束之日；</w:t>
      </w:r>
    </w:p>
    <w:p w14:paraId="7ED36997">
      <w:pPr>
        <w:adjustRightInd w:val="0"/>
        <w:snapToGrid w:val="0"/>
        <w:spacing w:line="440" w:lineRule="exact"/>
        <w:ind w:firstLine="420" w:firstLineChars="200"/>
        <w:rPr>
          <w:rFonts w:ascii="宋体" w:hAnsi="宋体" w:cs="宋体"/>
          <w:color w:val="auto"/>
          <w:szCs w:val="21"/>
          <w:highlight w:val="none"/>
        </w:rPr>
      </w:pPr>
      <w:r>
        <w:rPr>
          <w:rFonts w:ascii="宋体" w:hAnsi="宋体" w:cs="宋体"/>
          <w:color w:val="auto"/>
          <w:szCs w:val="21"/>
          <w:highlight w:val="none"/>
        </w:rPr>
        <w:t>③</w:t>
      </w:r>
      <w:r>
        <w:rPr>
          <w:rFonts w:hint="eastAsia" w:ascii="宋体" w:hAnsi="宋体" w:cs="宋体"/>
          <w:color w:val="auto"/>
          <w:szCs w:val="21"/>
          <w:highlight w:val="none"/>
        </w:rPr>
        <w:t>对中标结果提出质疑的，为中标结果公告期限届满之日。</w:t>
      </w:r>
    </w:p>
    <w:p w14:paraId="0F86C443">
      <w:pPr>
        <w:pStyle w:val="3"/>
        <w:keepNext w:val="0"/>
        <w:keepLines w:val="0"/>
        <w:snapToGrid w:val="0"/>
        <w:spacing w:before="0" w:after="0" w:line="440" w:lineRule="exact"/>
        <w:ind w:firstLine="422" w:firstLineChars="200"/>
        <w:jc w:val="left"/>
        <w:rPr>
          <w:color w:val="auto"/>
          <w:sz w:val="21"/>
          <w:szCs w:val="21"/>
          <w:highlight w:val="none"/>
        </w:rPr>
      </w:pPr>
      <w:bookmarkStart w:id="209" w:name="_Toc32573"/>
      <w:bookmarkStart w:id="210" w:name="_Toc5035"/>
      <w:bookmarkStart w:id="211" w:name="_Toc26123"/>
      <w:bookmarkStart w:id="212" w:name="_Toc2130776124"/>
      <w:r>
        <w:rPr>
          <w:rFonts w:hint="eastAsia"/>
          <w:color w:val="auto"/>
          <w:sz w:val="21"/>
          <w:szCs w:val="21"/>
          <w:highlight w:val="none"/>
        </w:rPr>
        <w:t>10.需要补充的其他内容</w:t>
      </w:r>
      <w:bookmarkEnd w:id="164"/>
      <w:bookmarkEnd w:id="205"/>
      <w:bookmarkEnd w:id="206"/>
      <w:bookmarkEnd w:id="207"/>
      <w:bookmarkEnd w:id="208"/>
      <w:bookmarkEnd w:id="209"/>
      <w:bookmarkEnd w:id="210"/>
      <w:bookmarkEnd w:id="211"/>
      <w:bookmarkEnd w:id="212"/>
    </w:p>
    <w:p w14:paraId="4024024D">
      <w:pPr>
        <w:adjustRightInd w:val="0"/>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需要补充的其他内容：见投标人须知前附表。</w:t>
      </w:r>
    </w:p>
    <w:p w14:paraId="40791425">
      <w:pPr>
        <w:rPr>
          <w:color w:val="auto"/>
          <w:highlight w:val="none"/>
        </w:rPr>
      </w:pPr>
      <w:r>
        <w:rPr>
          <w:rFonts w:hint="eastAsia"/>
          <w:color w:val="auto"/>
          <w:highlight w:val="none"/>
        </w:rPr>
        <w:br w:type="page"/>
      </w:r>
    </w:p>
    <w:p w14:paraId="0006B6EC">
      <w:pPr>
        <w:rPr>
          <w:color w:val="auto"/>
          <w:highlight w:val="none"/>
        </w:rPr>
      </w:pPr>
      <w:bookmarkStart w:id="213" w:name="_Toc12150"/>
      <w:bookmarkStart w:id="214" w:name="_Toc8078"/>
      <w:r>
        <w:rPr>
          <w:rFonts w:hint="eastAsia"/>
          <w:color w:val="auto"/>
          <w:highlight w:val="none"/>
        </w:rPr>
        <w:t xml:space="preserve"> </w:t>
      </w:r>
    </w:p>
    <w:p w14:paraId="1CA4294B">
      <w:pPr>
        <w:adjustRightInd w:val="0"/>
        <w:snapToGrid w:val="0"/>
        <w:spacing w:line="360" w:lineRule="auto"/>
        <w:outlineLvl w:val="3"/>
        <w:rPr>
          <w:rFonts w:ascii="宋体" w:hAnsi="宋体" w:cs="宋体"/>
          <w:color w:val="auto"/>
          <w:szCs w:val="21"/>
          <w:highlight w:val="none"/>
        </w:rPr>
      </w:pPr>
      <w:r>
        <w:rPr>
          <w:rFonts w:hint="eastAsia" w:ascii="宋体" w:hAnsi="宋体" w:cs="宋体"/>
          <w:color w:val="auto"/>
          <w:szCs w:val="21"/>
          <w:highlight w:val="none"/>
        </w:rPr>
        <w:t>附件1：河南省政府采购合同融资政策告知函</w:t>
      </w:r>
      <w:bookmarkEnd w:id="213"/>
      <w:bookmarkEnd w:id="214"/>
    </w:p>
    <w:p w14:paraId="60D0E681">
      <w:pPr>
        <w:adjustRightInd w:val="0"/>
        <w:snapToGrid w:val="0"/>
        <w:spacing w:line="360" w:lineRule="auto"/>
        <w:ind w:firstLine="422" w:firstLineChars="200"/>
        <w:jc w:val="center"/>
        <w:rPr>
          <w:rFonts w:ascii="宋体" w:hAnsi="宋体" w:cs="宋体"/>
          <w:b/>
          <w:bCs/>
          <w:color w:val="auto"/>
          <w:szCs w:val="21"/>
          <w:highlight w:val="none"/>
        </w:rPr>
      </w:pPr>
      <w:bookmarkStart w:id="215" w:name="_Toc7567"/>
      <w:bookmarkStart w:id="216" w:name="_Toc19399"/>
    </w:p>
    <w:p w14:paraId="4927DC8C">
      <w:pPr>
        <w:adjustRightInd w:val="0"/>
        <w:snapToGrid w:val="0"/>
        <w:spacing w:line="360" w:lineRule="auto"/>
        <w:ind w:firstLine="422" w:firstLineChars="200"/>
        <w:jc w:val="center"/>
        <w:rPr>
          <w:rFonts w:ascii="宋体" w:hAnsi="宋体" w:cs="宋体"/>
          <w:color w:val="auto"/>
          <w:szCs w:val="21"/>
          <w:highlight w:val="none"/>
        </w:rPr>
      </w:pPr>
      <w:r>
        <w:rPr>
          <w:rFonts w:hint="eastAsia" w:ascii="宋体" w:hAnsi="宋体" w:cs="宋体"/>
          <w:b/>
          <w:bCs/>
          <w:color w:val="auto"/>
          <w:szCs w:val="21"/>
          <w:highlight w:val="none"/>
        </w:rPr>
        <w:t>河南省政府采购合同融资政策告知函</w:t>
      </w:r>
      <w:bookmarkEnd w:id="215"/>
      <w:bookmarkEnd w:id="216"/>
    </w:p>
    <w:p w14:paraId="1944C01A">
      <w:pPr>
        <w:adjustRightInd w:val="0"/>
        <w:snapToGrid w:val="0"/>
        <w:spacing w:line="360" w:lineRule="auto"/>
        <w:ind w:firstLine="420" w:firstLineChars="200"/>
        <w:jc w:val="left"/>
        <w:rPr>
          <w:rFonts w:ascii="宋体" w:hAnsi="宋体" w:cs="宋体"/>
          <w:color w:val="auto"/>
          <w:szCs w:val="21"/>
          <w:highlight w:val="none"/>
        </w:rPr>
      </w:pPr>
    </w:p>
    <w:p w14:paraId="7D8A65BB">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各投标人：</w:t>
      </w:r>
    </w:p>
    <w:p w14:paraId="416DB14B">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欢迎贵公司参与河南省政府采购活动！</w:t>
      </w:r>
    </w:p>
    <w:p w14:paraId="2837558D">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政府采购合同融资是河南省财政厅支持中小微企业发展，针对参与政府采购活动的投标人融资难、融资贵问题推出的一项融资政策。贵公司若成为本次政府采购项目的中标人，可持政府采购合同向金融机构申请贷款，无需抵押、担保，融资机构将根据《河南省政府采购合同融资工作实施方案》（豫财购〔2017〕10号），按照双方自愿的原则提供便捷、优惠的贷款服务。</w:t>
      </w:r>
    </w:p>
    <w:p w14:paraId="6DD9CAC0">
      <w:pPr>
        <w:pStyle w:val="67"/>
        <w:snapToGrid w:val="0"/>
        <w:spacing w:line="360" w:lineRule="auto"/>
        <w:ind w:firstLine="482" w:firstLineChars="200"/>
        <w:jc w:val="left"/>
        <w:outlineLvl w:val="9"/>
        <w:rPr>
          <w:rFonts w:hAnsi="宋体"/>
          <w:b w:val="0"/>
          <w:bCs w:val="0"/>
          <w:color w:val="auto"/>
          <w:sz w:val="21"/>
          <w:szCs w:val="21"/>
          <w:highlight w:val="none"/>
        </w:rPr>
      </w:pPr>
      <w:bookmarkStart w:id="217" w:name="_Toc15196"/>
      <w:r>
        <w:rPr>
          <w:rFonts w:hint="eastAsia" w:hAnsi="宋体"/>
          <w:color w:val="auto"/>
          <w:kern w:val="0"/>
          <w:highlight w:val="none"/>
        </w:rPr>
        <w:drawing>
          <wp:anchor distT="0" distB="0" distL="114300" distR="114300" simplePos="0" relativeHeight="251663360" behindDoc="0" locked="0" layoutInCell="1" allowOverlap="1">
            <wp:simplePos x="0" y="0"/>
            <wp:positionH relativeFrom="page">
              <wp:posOffset>1208405</wp:posOffset>
            </wp:positionH>
            <wp:positionV relativeFrom="page">
              <wp:posOffset>4292600</wp:posOffset>
            </wp:positionV>
            <wp:extent cx="4909820" cy="4204335"/>
            <wp:effectExtent l="0" t="0" r="5080" b="5715"/>
            <wp:wrapNone/>
            <wp:docPr id="8" name="图片 2" descr="1607567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1607567798(1)"/>
                    <pic:cNvPicPr>
                      <a:picLocks noChangeAspect="1"/>
                    </pic:cNvPicPr>
                  </pic:nvPicPr>
                  <pic:blipFill>
                    <a:blip r:embed="rId13"/>
                    <a:stretch>
                      <a:fillRect/>
                    </a:stretch>
                  </pic:blipFill>
                  <pic:spPr>
                    <a:xfrm>
                      <a:off x="0" y="0"/>
                      <a:ext cx="4909820" cy="4204335"/>
                    </a:xfrm>
                    <a:prstGeom prst="rect">
                      <a:avLst/>
                    </a:prstGeom>
                    <a:noFill/>
                    <a:ln>
                      <a:noFill/>
                    </a:ln>
                  </pic:spPr>
                </pic:pic>
              </a:graphicData>
            </a:graphic>
          </wp:anchor>
        </w:drawing>
      </w:r>
      <w:r>
        <w:rPr>
          <w:rFonts w:hint="eastAsia" w:hAnsi="宋体"/>
          <w:b w:val="0"/>
          <w:bCs w:val="0"/>
          <w:color w:val="auto"/>
          <w:sz w:val="21"/>
          <w:szCs w:val="21"/>
          <w:highlight w:val="none"/>
        </w:rPr>
        <w:t>贷款渠道和提供贷款的金融机构，可在河南省政府采购网“河南省政府采购合同融资平台”查询联系。</w:t>
      </w:r>
      <w:bookmarkEnd w:id="217"/>
    </w:p>
    <w:p w14:paraId="5744215C">
      <w:pPr>
        <w:pStyle w:val="67"/>
        <w:snapToGrid w:val="0"/>
        <w:spacing w:line="360" w:lineRule="auto"/>
        <w:ind w:firstLine="482" w:firstLineChars="200"/>
        <w:jc w:val="left"/>
        <w:outlineLvl w:val="9"/>
        <w:rPr>
          <w:rFonts w:hAnsi="宋体"/>
          <w:color w:val="auto"/>
          <w:highlight w:val="none"/>
        </w:rPr>
      </w:pPr>
      <w:r>
        <w:rPr>
          <w:rFonts w:hint="eastAsia" w:hAnsi="宋体"/>
          <w:color w:val="auto"/>
          <w:highlight w:val="none"/>
        </w:rPr>
        <w:br w:type="page"/>
      </w:r>
    </w:p>
    <w:p w14:paraId="6BC098C4">
      <w:pPr>
        <w:adjustRightInd w:val="0"/>
        <w:snapToGrid w:val="0"/>
        <w:spacing w:line="360" w:lineRule="auto"/>
        <w:outlineLvl w:val="3"/>
        <w:rPr>
          <w:rFonts w:ascii="宋体" w:hAnsi="宋体" w:cs="宋体"/>
          <w:b/>
          <w:bCs/>
          <w:color w:val="auto"/>
          <w:szCs w:val="21"/>
          <w:highlight w:val="none"/>
        </w:rPr>
      </w:pPr>
      <w:bookmarkStart w:id="218" w:name="_Toc30288"/>
      <w:r>
        <w:rPr>
          <w:rFonts w:hint="eastAsia" w:ascii="宋体" w:hAnsi="宋体" w:cs="宋体"/>
          <w:b/>
          <w:bCs/>
          <w:color w:val="auto"/>
          <w:szCs w:val="21"/>
          <w:highlight w:val="none"/>
        </w:rPr>
        <w:t>附件2：中小企业划型标准</w:t>
      </w:r>
    </w:p>
    <w:p w14:paraId="56B188F1">
      <w:pPr>
        <w:adjustRightInd w:val="0"/>
        <w:snapToGrid w:val="0"/>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中小企业划型标准规定</w:t>
      </w:r>
    </w:p>
    <w:tbl>
      <w:tblPr>
        <w:tblStyle w:val="38"/>
        <w:tblW w:w="9396" w:type="dxa"/>
        <w:jc w:val="center"/>
        <w:shd w:val="clear" w:color="auto" w:fill="FFFFFF"/>
        <w:tblLayout w:type="autofit"/>
        <w:tblCellMar>
          <w:top w:w="0" w:type="dxa"/>
          <w:left w:w="0" w:type="dxa"/>
          <w:bottom w:w="0" w:type="dxa"/>
          <w:right w:w="0" w:type="dxa"/>
        </w:tblCellMar>
      </w:tblPr>
      <w:tblGrid>
        <w:gridCol w:w="1149"/>
        <w:gridCol w:w="1499"/>
        <w:gridCol w:w="731"/>
        <w:gridCol w:w="1251"/>
        <w:gridCol w:w="1974"/>
        <w:gridCol w:w="1764"/>
        <w:gridCol w:w="1028"/>
      </w:tblGrid>
      <w:tr w14:paraId="4F855D82">
        <w:tblPrEx>
          <w:shd w:val="clear" w:color="auto" w:fill="FFFFFF"/>
          <w:tblCellMar>
            <w:top w:w="0" w:type="dxa"/>
            <w:left w:w="0" w:type="dxa"/>
            <w:bottom w:w="0" w:type="dxa"/>
            <w:right w:w="0" w:type="dxa"/>
          </w:tblCellMar>
        </w:tblPrEx>
        <w:trPr>
          <w:trHeight w:val="603" w:hRule="atLeast"/>
          <w:jc w:val="center"/>
        </w:trPr>
        <w:tc>
          <w:tcPr>
            <w:tcW w:w="1149" w:type="dxa"/>
            <w:tcBorders>
              <w:top w:val="single" w:color="4F81BD" w:sz="6" w:space="0"/>
              <w:left w:val="single" w:color="4F81BD" w:sz="6" w:space="0"/>
              <w:bottom w:val="single" w:color="FFFFFF" w:sz="18" w:space="0"/>
              <w:right w:val="single" w:color="4F81BD" w:sz="6" w:space="0"/>
            </w:tcBorders>
            <w:shd w:val="clear" w:color="auto" w:fill="4F81BD"/>
            <w:tcMar>
              <w:left w:w="105" w:type="dxa"/>
              <w:right w:w="105" w:type="dxa"/>
            </w:tcMar>
            <w:vAlign w:val="center"/>
          </w:tcPr>
          <w:p w14:paraId="73DF7B8F">
            <w:pPr>
              <w:pStyle w:val="33"/>
              <w:wordWrap w:val="0"/>
              <w:jc w:val="center"/>
              <w:rPr>
                <w:rFonts w:ascii="宋体" w:hAnsi="宋体" w:cs="宋体"/>
                <w:color w:val="auto"/>
                <w:sz w:val="21"/>
                <w:szCs w:val="21"/>
                <w:highlight w:val="none"/>
              </w:rPr>
            </w:pPr>
            <w:r>
              <w:rPr>
                <w:rStyle w:val="41"/>
                <w:rFonts w:hint="eastAsia" w:ascii="宋体" w:hAnsi="宋体" w:cs="宋体"/>
                <w:color w:val="auto"/>
                <w:spacing w:val="8"/>
                <w:sz w:val="21"/>
                <w:szCs w:val="21"/>
                <w:highlight w:val="none"/>
              </w:rPr>
              <w:t>行业名称</w:t>
            </w:r>
          </w:p>
        </w:tc>
        <w:tc>
          <w:tcPr>
            <w:tcW w:w="1499"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5F94205F">
            <w:pPr>
              <w:pStyle w:val="33"/>
              <w:wordWrap w:val="0"/>
              <w:jc w:val="center"/>
              <w:rPr>
                <w:rFonts w:ascii="宋体" w:hAnsi="宋体" w:cs="宋体"/>
                <w:color w:val="auto"/>
                <w:sz w:val="21"/>
                <w:szCs w:val="21"/>
                <w:highlight w:val="none"/>
              </w:rPr>
            </w:pPr>
            <w:r>
              <w:rPr>
                <w:rStyle w:val="41"/>
                <w:rFonts w:hint="eastAsia" w:ascii="宋体" w:hAnsi="宋体" w:cs="宋体"/>
                <w:color w:val="auto"/>
                <w:spacing w:val="8"/>
                <w:sz w:val="21"/>
                <w:szCs w:val="21"/>
                <w:highlight w:val="none"/>
              </w:rPr>
              <w:t>指标名称</w:t>
            </w:r>
          </w:p>
        </w:tc>
        <w:tc>
          <w:tcPr>
            <w:tcW w:w="731"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50AACD6E">
            <w:pPr>
              <w:pStyle w:val="33"/>
              <w:wordWrap w:val="0"/>
              <w:jc w:val="center"/>
              <w:rPr>
                <w:rFonts w:ascii="宋体" w:hAnsi="宋体" w:cs="宋体"/>
                <w:color w:val="auto"/>
                <w:sz w:val="21"/>
                <w:szCs w:val="21"/>
                <w:highlight w:val="none"/>
              </w:rPr>
            </w:pPr>
            <w:r>
              <w:rPr>
                <w:rStyle w:val="41"/>
                <w:rFonts w:hint="eastAsia" w:ascii="宋体" w:hAnsi="宋体" w:cs="宋体"/>
                <w:color w:val="auto"/>
                <w:spacing w:val="8"/>
                <w:sz w:val="21"/>
                <w:szCs w:val="21"/>
                <w:highlight w:val="none"/>
              </w:rPr>
              <w:t>计量单位</w:t>
            </w:r>
          </w:p>
        </w:tc>
        <w:tc>
          <w:tcPr>
            <w:tcW w:w="1251"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4397C489">
            <w:pPr>
              <w:pStyle w:val="33"/>
              <w:wordWrap w:val="0"/>
              <w:jc w:val="center"/>
              <w:rPr>
                <w:rFonts w:ascii="宋体" w:hAnsi="宋体" w:cs="宋体"/>
                <w:color w:val="auto"/>
                <w:sz w:val="21"/>
                <w:szCs w:val="21"/>
                <w:highlight w:val="none"/>
              </w:rPr>
            </w:pPr>
            <w:r>
              <w:rPr>
                <w:rStyle w:val="41"/>
                <w:rFonts w:hint="eastAsia" w:ascii="宋体" w:hAnsi="宋体" w:cs="宋体"/>
                <w:color w:val="auto"/>
                <w:spacing w:val="8"/>
                <w:sz w:val="21"/>
                <w:szCs w:val="21"/>
                <w:highlight w:val="none"/>
              </w:rPr>
              <w:t>大型</w:t>
            </w:r>
          </w:p>
        </w:tc>
        <w:tc>
          <w:tcPr>
            <w:tcW w:w="1974"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305B91DD">
            <w:pPr>
              <w:pStyle w:val="33"/>
              <w:wordWrap w:val="0"/>
              <w:jc w:val="center"/>
              <w:rPr>
                <w:rFonts w:ascii="宋体" w:hAnsi="宋体" w:cs="宋体"/>
                <w:color w:val="auto"/>
                <w:sz w:val="21"/>
                <w:szCs w:val="21"/>
                <w:highlight w:val="none"/>
              </w:rPr>
            </w:pPr>
            <w:r>
              <w:rPr>
                <w:rStyle w:val="41"/>
                <w:rFonts w:hint="eastAsia" w:ascii="宋体" w:hAnsi="宋体" w:cs="宋体"/>
                <w:color w:val="auto"/>
                <w:spacing w:val="8"/>
                <w:sz w:val="21"/>
                <w:szCs w:val="21"/>
                <w:highlight w:val="none"/>
              </w:rPr>
              <w:t>中型</w:t>
            </w:r>
          </w:p>
        </w:tc>
        <w:tc>
          <w:tcPr>
            <w:tcW w:w="1764"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43F799CF">
            <w:pPr>
              <w:pStyle w:val="33"/>
              <w:wordWrap w:val="0"/>
              <w:jc w:val="center"/>
              <w:rPr>
                <w:rFonts w:ascii="宋体" w:hAnsi="宋体" w:cs="宋体"/>
                <w:color w:val="auto"/>
                <w:sz w:val="21"/>
                <w:szCs w:val="21"/>
                <w:highlight w:val="none"/>
              </w:rPr>
            </w:pPr>
            <w:r>
              <w:rPr>
                <w:rStyle w:val="41"/>
                <w:rFonts w:hint="eastAsia" w:ascii="宋体" w:hAnsi="宋体" w:cs="宋体"/>
                <w:color w:val="auto"/>
                <w:spacing w:val="8"/>
                <w:sz w:val="21"/>
                <w:szCs w:val="21"/>
                <w:highlight w:val="none"/>
              </w:rPr>
              <w:t>小型</w:t>
            </w:r>
          </w:p>
        </w:tc>
        <w:tc>
          <w:tcPr>
            <w:tcW w:w="1028" w:type="dxa"/>
            <w:tcBorders>
              <w:top w:val="single" w:color="4F81BD" w:sz="6" w:space="0"/>
              <w:left w:val="nil"/>
              <w:bottom w:val="single" w:color="FFFFFF" w:sz="18" w:space="0"/>
              <w:right w:val="single" w:color="4F81BD" w:sz="6" w:space="0"/>
            </w:tcBorders>
            <w:shd w:val="clear" w:color="auto" w:fill="4F81BD"/>
            <w:tcMar>
              <w:left w:w="105" w:type="dxa"/>
              <w:right w:w="105" w:type="dxa"/>
            </w:tcMar>
            <w:vAlign w:val="center"/>
          </w:tcPr>
          <w:p w14:paraId="0CD481D4">
            <w:pPr>
              <w:pStyle w:val="33"/>
              <w:wordWrap w:val="0"/>
              <w:jc w:val="center"/>
              <w:rPr>
                <w:rFonts w:ascii="宋体" w:hAnsi="宋体" w:cs="宋体"/>
                <w:color w:val="auto"/>
                <w:sz w:val="21"/>
                <w:szCs w:val="21"/>
                <w:highlight w:val="none"/>
              </w:rPr>
            </w:pPr>
            <w:r>
              <w:rPr>
                <w:rStyle w:val="41"/>
                <w:rFonts w:hint="eastAsia" w:ascii="宋体" w:hAnsi="宋体" w:cs="宋体"/>
                <w:color w:val="auto"/>
                <w:spacing w:val="8"/>
                <w:sz w:val="21"/>
                <w:szCs w:val="21"/>
                <w:highlight w:val="none"/>
              </w:rPr>
              <w:t>微型</w:t>
            </w:r>
          </w:p>
        </w:tc>
      </w:tr>
      <w:tr w14:paraId="1AA9E509">
        <w:tblPrEx>
          <w:tblCellMar>
            <w:top w:w="0" w:type="dxa"/>
            <w:left w:w="0" w:type="dxa"/>
            <w:bottom w:w="0" w:type="dxa"/>
            <w:right w:w="0" w:type="dxa"/>
          </w:tblCellMar>
        </w:tblPrEx>
        <w:trPr>
          <w:trHeight w:val="656" w:hRule="atLeast"/>
          <w:jc w:val="center"/>
        </w:trPr>
        <w:tc>
          <w:tcPr>
            <w:tcW w:w="1149" w:type="dxa"/>
            <w:tcBorders>
              <w:top w:val="nil"/>
              <w:left w:val="single" w:color="4F81BD" w:sz="6" w:space="0"/>
              <w:bottom w:val="single" w:color="4F81BD" w:sz="6" w:space="0"/>
              <w:right w:val="single" w:color="4F81BD" w:sz="6" w:space="0"/>
            </w:tcBorders>
            <w:shd w:val="clear" w:color="auto" w:fill="B8CCE4"/>
            <w:tcMar>
              <w:left w:w="105" w:type="dxa"/>
              <w:right w:w="105" w:type="dxa"/>
            </w:tcMar>
            <w:vAlign w:val="center"/>
          </w:tcPr>
          <w:p w14:paraId="4A61269B">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农、林、牧、渔业</w:t>
            </w: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C12F51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E51DCC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58ED10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2F699A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500≤Y＜20000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9711215">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50≤Y＜500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1CF5983">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w:t>
            </w:r>
          </w:p>
        </w:tc>
      </w:tr>
      <w:tr w14:paraId="619ECA49">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2C45A12">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工业 *</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1C0292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3F8658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B5B2BFA">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3B30A69">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6A329E6">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C8B2888">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3BA4180B">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23C34D67">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67D3E10">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DC2B6E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1EF22D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Y≥40000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E178B89">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2000≤Y＜40000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850D7E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300≤Y＜2000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0782159">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w:t>
            </w:r>
          </w:p>
        </w:tc>
      </w:tr>
      <w:tr w14:paraId="273392F1">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213B2721">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建筑业</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558DB4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CE0244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DDCA5B6">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Y≥80000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4CE22F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6000≤Y＜80000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31F39B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300≤Y＜6000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FF5E3D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w:t>
            </w:r>
          </w:p>
        </w:tc>
      </w:tr>
      <w:tr w14:paraId="47893027">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098F27C">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69B24BD">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8DD282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75A15B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Z≥80000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5FF511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5000≤Z＜80000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ED5F1CF">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300≤Z＜5000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0AA7CF9">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Z＜300</w:t>
            </w:r>
          </w:p>
        </w:tc>
      </w:tr>
      <w:tr w14:paraId="46D78913">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5091DE2">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批发业</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9CC5F8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078FA89">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C301A6F">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C72E4C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20≤X＜200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EC04318">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5≤X＜20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0DAD98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X＜5</w:t>
            </w:r>
          </w:p>
        </w:tc>
      </w:tr>
      <w:tr w14:paraId="61E8A8B5">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55B27BDD">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B469E95">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F3E970B">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F353D7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Y≥40000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883C81B">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5000≤Y＜40000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2A0B7C1">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1000≤Y＜5000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AB6625F">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w:t>
            </w:r>
          </w:p>
        </w:tc>
      </w:tr>
      <w:tr w14:paraId="56740DA5">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59D0B8F">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零售业</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4D144B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B4508AD">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26AAE8A">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1B6A7D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50≤X＜300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752D148">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10≤X＜50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F3384A1">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EA6FAE4">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D3C6821">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1739720">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A7977FF">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0FD5585">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1C687AA">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500≤Y＜20000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084F4F0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100≤Y＜500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5970BA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6818730F">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6F3F0AC">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交通运输业 *</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764A31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AD09FF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0948F16">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E41EAC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1D7A496">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8D1EA5B">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7F24CF2A">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D02E3AA">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2E4A2BC">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843E60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FDD862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0710CB8">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3000≤Y＜30000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C01B44D">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200≤Y＜3000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86ED66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w:t>
            </w:r>
          </w:p>
        </w:tc>
      </w:tr>
      <w:tr w14:paraId="2C1971DA">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422C679B">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仓储业*</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C8F8E2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A4C8C9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5BB29D8">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8410FE5">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100≤X＜200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30BA886">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20≤X＜100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14CD878">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2DF6E7F2">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67318525">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1CDCB2F">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EF8B5B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6613AFA">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B205385">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1000≤Y＜30000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2311931">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0A03AA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5B9F3E0E">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42CE921">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邮政业</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9F89C5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1935B8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D2BF9E1">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B1DF56B">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75CEB0F">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20≤X＜300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2B2421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w:t>
            </w:r>
          </w:p>
        </w:tc>
      </w:tr>
      <w:tr w14:paraId="5D9A8516">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71C9208">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E1AE271">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86E0955">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068B428">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Y≥30000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BD437C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2000≤Y＜30000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76D821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F23DB2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7521E998">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BF07FC0">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住宿业</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461ABAA">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203541A">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4BE3DE3">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159228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38D7E11">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62A058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1C8666C">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10B7437">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F762F89">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40A4E2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A65B8B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B6B157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2000≤Y＜10000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622AAA1">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AF8B1C3">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2F0037A8">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600E1C51">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餐饮业</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8613C86">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55BA623">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801752B">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AF8AE0A">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139910B">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87E43EA">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6EDD1143">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6640518">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6243420">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5F0714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435F5AD">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51EBB9F">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2000≤Y＜10000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710B16F">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100≤Y＜2000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673ADB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793FC848">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1EC1CDE">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信息传输业*</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A1C4F48">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B1A66C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EE6CB0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X≥2000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707650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100≤X＜2000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1BB415D">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7C770D1">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78D7264C">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EF36181">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9F04257">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112DF17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A94ADB5">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4D8C5EF">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1000≤Y＜100000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B2E18C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27836B3">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4B43DFEB">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70E5376E">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15"/>
                <w:sz w:val="21"/>
                <w:szCs w:val="21"/>
                <w:highlight w:val="none"/>
              </w:rPr>
              <w:t>软件和信息技术服</w:t>
            </w:r>
            <w:r>
              <w:rPr>
                <w:rFonts w:hint="eastAsia" w:ascii="宋体" w:hAnsi="宋体" w:cs="宋体"/>
                <w:color w:val="auto"/>
                <w:spacing w:val="8"/>
                <w:sz w:val="21"/>
                <w:szCs w:val="21"/>
                <w:highlight w:val="none"/>
              </w:rPr>
              <w:t>务业</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48C60B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865FEC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BECE786">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A7ACC7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4036B7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23F8E53">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11AA0D72">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05F20514">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0B9876A">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88CBB5B">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9FC87B3">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7EE983F">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1000≤Y＜10000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75387E5">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50≤Y＜1000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A914251">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w:t>
            </w:r>
          </w:p>
        </w:tc>
      </w:tr>
      <w:tr w14:paraId="4CACC1AB">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43D29718">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房地产开发经营</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0FB54E8">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4F4EBF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30C8E71">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Y≥200000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3C136BB">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1000≤Y＜200000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65D67D1">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100≤Y＜1000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864C37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Y＜100</w:t>
            </w:r>
          </w:p>
        </w:tc>
      </w:tr>
      <w:tr w14:paraId="4CCFD71F">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1A8E9191">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A733659">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0F8E9E5">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831CFC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9FDF4F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5000≤Z＜10000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EAB8D7B">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2000≤Z＜5000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65F9B25">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Z＜2000</w:t>
            </w:r>
          </w:p>
        </w:tc>
      </w:tr>
      <w:tr w14:paraId="228D4DB3">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5C7CA3B1">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物业管理</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34A09891">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1009AF4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E96A80F">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4BA4328">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300≤X＜1000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8AF2B1A">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315488E">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X＜100</w:t>
            </w:r>
          </w:p>
        </w:tc>
      </w:tr>
      <w:tr w14:paraId="056E1475">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21EA84E6">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3CF94039">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营业收入(Y)</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121AE49">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4280FB8">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FEFE095">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1000≤Y＜5000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40878CB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500≤Y＜1000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B2D56F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Y＜500</w:t>
            </w:r>
          </w:p>
        </w:tc>
      </w:tr>
      <w:tr w14:paraId="09A28A44">
        <w:tblPrEx>
          <w:tblCellMar>
            <w:top w:w="0" w:type="dxa"/>
            <w:left w:w="0" w:type="dxa"/>
            <w:bottom w:w="0" w:type="dxa"/>
            <w:right w:w="0" w:type="dxa"/>
          </w:tblCellMar>
        </w:tblPrEx>
        <w:trPr>
          <w:trHeight w:val="545" w:hRule="atLeast"/>
          <w:jc w:val="center"/>
        </w:trPr>
        <w:tc>
          <w:tcPr>
            <w:tcW w:w="1149" w:type="dxa"/>
            <w:vMerge w:val="restart"/>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6B136DFF">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租赁和商务服务业</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36FB0E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4EE2125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51E66294">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E60B2D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EB9AB3D">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3EB016D">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r w14:paraId="442D8ECD">
        <w:tblPrEx>
          <w:tblCellMar>
            <w:top w:w="0" w:type="dxa"/>
            <w:left w:w="0" w:type="dxa"/>
            <w:bottom w:w="0" w:type="dxa"/>
            <w:right w:w="0" w:type="dxa"/>
          </w:tblCellMar>
        </w:tblPrEx>
        <w:trPr>
          <w:trHeight w:val="545" w:hRule="atLeast"/>
          <w:jc w:val="center"/>
        </w:trPr>
        <w:tc>
          <w:tcPr>
            <w:tcW w:w="1149" w:type="dxa"/>
            <w:vMerge w:val="continue"/>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3B9F1A1C">
            <w:pPr>
              <w:jc w:val="center"/>
              <w:rPr>
                <w:rFonts w:ascii="宋体" w:hAnsi="宋体" w:cs="宋体"/>
                <w:color w:val="auto"/>
                <w:spacing w:val="8"/>
                <w:szCs w:val="21"/>
                <w:highlight w:val="none"/>
              </w:rPr>
            </w:pPr>
          </w:p>
        </w:tc>
        <w:tc>
          <w:tcPr>
            <w:tcW w:w="1499"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1B981FB">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资产总额(Z)</w:t>
            </w:r>
          </w:p>
        </w:tc>
        <w:tc>
          <w:tcPr>
            <w:tcW w:w="73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24BC63E9">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万元</w:t>
            </w:r>
          </w:p>
        </w:tc>
        <w:tc>
          <w:tcPr>
            <w:tcW w:w="1251"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6A51A06F">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Z≥120000</w:t>
            </w:r>
          </w:p>
        </w:tc>
        <w:tc>
          <w:tcPr>
            <w:tcW w:w="197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5884A46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8000≤Z＜120000</w:t>
            </w:r>
          </w:p>
        </w:tc>
        <w:tc>
          <w:tcPr>
            <w:tcW w:w="1764"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3A3FAB3">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100≤Z＜8000</w:t>
            </w:r>
          </w:p>
        </w:tc>
        <w:tc>
          <w:tcPr>
            <w:tcW w:w="1028" w:type="dxa"/>
            <w:tcBorders>
              <w:top w:val="nil"/>
              <w:left w:val="nil"/>
              <w:bottom w:val="single" w:color="4F81BD" w:sz="6" w:space="0"/>
              <w:right w:val="single" w:color="4F81BD" w:sz="6" w:space="0"/>
            </w:tcBorders>
            <w:shd w:val="clear" w:color="auto" w:fill="B8CCE4"/>
            <w:tcMar>
              <w:left w:w="105" w:type="dxa"/>
              <w:right w:w="105" w:type="dxa"/>
            </w:tcMar>
            <w:vAlign w:val="center"/>
          </w:tcPr>
          <w:p w14:paraId="74D5ABD2">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Z＜100</w:t>
            </w:r>
          </w:p>
        </w:tc>
      </w:tr>
      <w:tr w14:paraId="744EE71D">
        <w:tblPrEx>
          <w:tblCellMar>
            <w:top w:w="0" w:type="dxa"/>
            <w:left w:w="0" w:type="dxa"/>
            <w:bottom w:w="0" w:type="dxa"/>
            <w:right w:w="0" w:type="dxa"/>
          </w:tblCellMar>
        </w:tblPrEx>
        <w:trPr>
          <w:trHeight w:val="630" w:hRule="atLeast"/>
          <w:jc w:val="center"/>
        </w:trPr>
        <w:tc>
          <w:tcPr>
            <w:tcW w:w="1149" w:type="dxa"/>
            <w:tcBorders>
              <w:top w:val="nil"/>
              <w:left w:val="single" w:color="4F81BD" w:sz="6" w:space="0"/>
              <w:bottom w:val="single" w:color="4F81BD" w:sz="6" w:space="0"/>
              <w:right w:val="single" w:color="4F81BD" w:sz="6" w:space="0"/>
            </w:tcBorders>
            <w:shd w:val="clear" w:color="auto" w:fill="FFFFFF"/>
            <w:tcMar>
              <w:left w:w="105" w:type="dxa"/>
              <w:right w:w="105" w:type="dxa"/>
            </w:tcMar>
            <w:vAlign w:val="center"/>
          </w:tcPr>
          <w:p w14:paraId="22CC1D86">
            <w:pPr>
              <w:pStyle w:val="33"/>
              <w:wordWrap w:val="0"/>
              <w:spacing w:line="240" w:lineRule="atLeast"/>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其他未列明行业*</w:t>
            </w:r>
          </w:p>
        </w:tc>
        <w:tc>
          <w:tcPr>
            <w:tcW w:w="1499"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0B95695C">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从业人员(X)</w:t>
            </w:r>
          </w:p>
        </w:tc>
        <w:tc>
          <w:tcPr>
            <w:tcW w:w="73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DF7B36D">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人</w:t>
            </w:r>
          </w:p>
        </w:tc>
        <w:tc>
          <w:tcPr>
            <w:tcW w:w="1251"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2AB67F7">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X≥300</w:t>
            </w:r>
          </w:p>
        </w:tc>
        <w:tc>
          <w:tcPr>
            <w:tcW w:w="197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24C042E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100≤X＜300</w:t>
            </w:r>
          </w:p>
        </w:tc>
        <w:tc>
          <w:tcPr>
            <w:tcW w:w="1764"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7ED26489">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10≤X＜100</w:t>
            </w:r>
          </w:p>
        </w:tc>
        <w:tc>
          <w:tcPr>
            <w:tcW w:w="1028" w:type="dxa"/>
            <w:tcBorders>
              <w:top w:val="nil"/>
              <w:left w:val="nil"/>
              <w:bottom w:val="single" w:color="4F81BD" w:sz="6" w:space="0"/>
              <w:right w:val="single" w:color="4F81BD" w:sz="6" w:space="0"/>
            </w:tcBorders>
            <w:shd w:val="clear" w:color="auto" w:fill="FFFFFF"/>
            <w:tcMar>
              <w:left w:w="105" w:type="dxa"/>
              <w:right w:w="105" w:type="dxa"/>
            </w:tcMar>
            <w:vAlign w:val="center"/>
          </w:tcPr>
          <w:p w14:paraId="6867E1D0">
            <w:pPr>
              <w:pStyle w:val="33"/>
              <w:wordWrap w:val="0"/>
              <w:jc w:val="center"/>
              <w:rPr>
                <w:rFonts w:ascii="宋体" w:hAnsi="宋体" w:cs="宋体"/>
                <w:color w:val="auto"/>
                <w:sz w:val="21"/>
                <w:szCs w:val="21"/>
                <w:highlight w:val="none"/>
              </w:rPr>
            </w:pPr>
            <w:r>
              <w:rPr>
                <w:rFonts w:hint="eastAsia" w:ascii="宋体" w:hAnsi="宋体" w:cs="宋体"/>
                <w:color w:val="auto"/>
                <w:spacing w:val="8"/>
                <w:sz w:val="21"/>
                <w:szCs w:val="21"/>
                <w:highlight w:val="none"/>
              </w:rPr>
              <w:t>X＜10</w:t>
            </w:r>
          </w:p>
        </w:tc>
      </w:tr>
    </w:tbl>
    <w:p w14:paraId="48F79E7A">
      <w:pPr>
        <w:spacing w:line="42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说明：1.大型、中型和小型企业须</w:t>
      </w:r>
      <w:r>
        <w:rPr>
          <w:rFonts w:hint="eastAsia" w:ascii="宋体" w:hAnsi="宋体" w:cs="宋体"/>
          <w:b/>
          <w:bCs/>
          <w:color w:val="auto"/>
          <w:kern w:val="0"/>
          <w:szCs w:val="21"/>
          <w:highlight w:val="none"/>
        </w:rPr>
        <w:t>同时满足所列指标的下限，否则下划一档</w:t>
      </w:r>
      <w:r>
        <w:rPr>
          <w:rFonts w:hint="eastAsia" w:ascii="宋体" w:hAnsi="宋体" w:cs="宋体"/>
          <w:color w:val="auto"/>
          <w:kern w:val="0"/>
          <w:szCs w:val="21"/>
          <w:highlight w:val="none"/>
        </w:rPr>
        <w:t>；微型企业只须满足所列指标中的一项即可。</w:t>
      </w:r>
    </w:p>
    <w:p w14:paraId="6DD0E92B">
      <w:pPr>
        <w:spacing w:line="42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2.附表中各行业的范围以《国民经济行业分类》（GB/T4754-2017）为准。</w:t>
      </w:r>
      <w:r>
        <w:rPr>
          <w:rFonts w:hint="eastAsia" w:ascii="宋体" w:hAnsi="宋体" w:cs="宋体"/>
          <w:b/>
          <w:bCs/>
          <w:color w:val="auto"/>
          <w:kern w:val="0"/>
          <w:szCs w:val="21"/>
          <w:highlight w:val="none"/>
        </w:rPr>
        <w:t>带*的项为行业组合类别</w:t>
      </w:r>
      <w:r>
        <w:rPr>
          <w:rFonts w:hint="eastAsia" w:ascii="宋体" w:hAnsi="宋体" w:cs="宋体"/>
          <w:color w:val="auto"/>
          <w:kern w:val="0"/>
          <w:szCs w:val="21"/>
          <w:highlight w:val="none"/>
        </w:rPr>
        <w:t>，其中，</w:t>
      </w:r>
      <w:r>
        <w:rPr>
          <w:rFonts w:hint="eastAsia" w:ascii="宋体" w:hAnsi="宋体" w:cs="宋体"/>
          <w:b/>
          <w:bCs/>
          <w:color w:val="auto"/>
          <w:kern w:val="0"/>
          <w:szCs w:val="21"/>
          <w:highlight w:val="none"/>
        </w:rPr>
        <w:t>工业</w:t>
      </w:r>
      <w:r>
        <w:rPr>
          <w:rFonts w:hint="eastAsia" w:ascii="宋体" w:hAnsi="宋体" w:cs="宋体"/>
          <w:color w:val="auto"/>
          <w:kern w:val="0"/>
          <w:szCs w:val="21"/>
          <w:highlight w:val="none"/>
        </w:rPr>
        <w:t>包括采矿业，制造业，电力、热力、燃气及水生产和供应业；</w:t>
      </w:r>
      <w:r>
        <w:rPr>
          <w:rFonts w:hint="eastAsia" w:ascii="宋体" w:hAnsi="宋体" w:cs="宋体"/>
          <w:b/>
          <w:bCs/>
          <w:color w:val="auto"/>
          <w:kern w:val="0"/>
          <w:szCs w:val="21"/>
          <w:highlight w:val="none"/>
        </w:rPr>
        <w:t>交通运输业</w:t>
      </w:r>
      <w:r>
        <w:rPr>
          <w:rFonts w:hint="eastAsia" w:ascii="宋体" w:hAnsi="宋体" w:cs="宋体"/>
          <w:color w:val="auto"/>
          <w:kern w:val="0"/>
          <w:szCs w:val="21"/>
          <w:highlight w:val="none"/>
        </w:rPr>
        <w:t>包括道路运输业，水上运输业，航空运输业，管道运输业，多式联运和运输代理业、装卸搬运，不包括铁路运输业；</w:t>
      </w:r>
      <w:r>
        <w:rPr>
          <w:rFonts w:hint="eastAsia" w:ascii="宋体" w:hAnsi="宋体" w:cs="宋体"/>
          <w:b/>
          <w:bCs/>
          <w:color w:val="auto"/>
          <w:kern w:val="0"/>
          <w:szCs w:val="21"/>
          <w:highlight w:val="none"/>
        </w:rPr>
        <w:t>仓储业</w:t>
      </w:r>
      <w:r>
        <w:rPr>
          <w:rFonts w:hint="eastAsia" w:ascii="宋体" w:hAnsi="宋体" w:cs="宋体"/>
          <w:color w:val="auto"/>
          <w:kern w:val="0"/>
          <w:szCs w:val="21"/>
          <w:highlight w:val="none"/>
        </w:rPr>
        <w:t>包括通用仓储，低温仓储，危险品仓储，谷物、棉花等农产品仓储，中药材仓储和其他仓储业；</w:t>
      </w:r>
      <w:r>
        <w:rPr>
          <w:rFonts w:hint="eastAsia" w:ascii="宋体" w:hAnsi="宋体" w:cs="宋体"/>
          <w:b/>
          <w:bCs/>
          <w:color w:val="auto"/>
          <w:kern w:val="0"/>
          <w:szCs w:val="21"/>
          <w:highlight w:val="none"/>
        </w:rPr>
        <w:t>信息传输业</w:t>
      </w:r>
      <w:r>
        <w:rPr>
          <w:rFonts w:hint="eastAsia" w:ascii="宋体" w:hAnsi="宋体" w:cs="宋体"/>
          <w:color w:val="auto"/>
          <w:kern w:val="0"/>
          <w:szCs w:val="21"/>
          <w:highlight w:val="none"/>
        </w:rPr>
        <w:t>包括电信、广播电视和卫星传输服务，互联网和相关服务；</w:t>
      </w:r>
      <w:r>
        <w:rPr>
          <w:rFonts w:hint="eastAsia" w:ascii="宋体" w:hAnsi="宋体" w:cs="宋体"/>
          <w:b/>
          <w:bCs/>
          <w:color w:val="auto"/>
          <w:kern w:val="0"/>
          <w:szCs w:val="21"/>
          <w:highlight w:val="none"/>
        </w:rPr>
        <w:t>其他未列明行业</w:t>
      </w:r>
      <w:r>
        <w:rPr>
          <w:rFonts w:hint="eastAsia" w:ascii="宋体" w:hAnsi="宋体" w:cs="宋体"/>
          <w:color w:val="auto"/>
          <w:kern w:val="0"/>
          <w:szCs w:val="21"/>
          <w:highlight w:val="none"/>
        </w:rPr>
        <w:t>包括科学研究和技术服务业，水利、环境和公共设施管理业，居民服务、修理和其他服务业，社会工作，文化、体育和娱乐业，以及房地产中介服务，其他房地产业等，不包括自有房地产经营活动。</w:t>
      </w:r>
    </w:p>
    <w:p w14:paraId="028E02F9">
      <w:pPr>
        <w:tabs>
          <w:tab w:val="left" w:pos="312"/>
        </w:tabs>
        <w:spacing w:line="420" w:lineRule="exact"/>
        <w:ind w:left="420"/>
        <w:rPr>
          <w:rFonts w:ascii="宋体" w:hAnsi="宋体" w:cs="宋体"/>
          <w:color w:val="auto"/>
          <w:kern w:val="0"/>
          <w:szCs w:val="21"/>
          <w:highlight w:val="none"/>
        </w:rPr>
      </w:pPr>
      <w:r>
        <w:rPr>
          <w:rFonts w:hint="eastAsia" w:ascii="宋体" w:hAnsi="宋体" w:cs="宋体"/>
          <w:color w:val="auto"/>
          <w:kern w:val="0"/>
          <w:szCs w:val="21"/>
          <w:highlight w:val="none"/>
        </w:rPr>
        <w:t>3.企业划分指标以现行统计制度为准。</w:t>
      </w:r>
    </w:p>
    <w:p w14:paraId="1D14B0BF">
      <w:pPr>
        <w:spacing w:line="42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（1）从业人员，是指期末从业人员数，没有期末从业人员数的，采用全年平均人员数代替。</w:t>
      </w:r>
    </w:p>
    <w:p w14:paraId="3DCD6243">
      <w:pPr>
        <w:spacing w:line="42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0B3F6AC7">
      <w:pPr>
        <w:spacing w:line="420" w:lineRule="exact"/>
        <w:ind w:left="420" w:leftChars="200"/>
        <w:rPr>
          <w:rFonts w:ascii="宋体" w:hAnsi="宋体" w:cs="宋体"/>
          <w:color w:val="auto"/>
          <w:kern w:val="0"/>
          <w:szCs w:val="21"/>
          <w:highlight w:val="none"/>
        </w:rPr>
      </w:pPr>
      <w:r>
        <w:rPr>
          <w:rFonts w:hint="eastAsia" w:ascii="宋体" w:hAnsi="宋体" w:cs="宋体"/>
          <w:color w:val="auto"/>
          <w:kern w:val="0"/>
          <w:szCs w:val="21"/>
          <w:highlight w:val="none"/>
        </w:rPr>
        <w:t>（3）资产总额，采用资产总计代替。</w:t>
      </w:r>
    </w:p>
    <w:p w14:paraId="1AEFFDE1">
      <w:pPr>
        <w:rPr>
          <w:color w:val="auto"/>
          <w:highlight w:val="none"/>
        </w:rPr>
      </w:pPr>
      <w:r>
        <w:rPr>
          <w:color w:val="auto"/>
          <w:highlight w:val="none"/>
        </w:rPr>
        <w:br w:type="page"/>
      </w:r>
    </w:p>
    <w:p w14:paraId="03EB7350">
      <w:pPr>
        <w:jc w:val="left"/>
        <w:outlineLvl w:val="3"/>
        <w:rPr>
          <w:rFonts w:ascii="宋体" w:hAnsi="宋体" w:cs="宋体"/>
          <w:b/>
          <w:bCs/>
          <w:color w:val="auto"/>
          <w:highlight w:val="none"/>
        </w:rPr>
      </w:pPr>
      <w:r>
        <w:rPr>
          <w:rFonts w:hint="eastAsia" w:ascii="宋体" w:hAnsi="宋体" w:cs="宋体"/>
          <w:b/>
          <w:bCs/>
          <w:color w:val="auto"/>
          <w:highlight w:val="none"/>
        </w:rPr>
        <w:t>附件3：质疑函范本</w:t>
      </w:r>
    </w:p>
    <w:p w14:paraId="7AB37DFB">
      <w:pPr>
        <w:rPr>
          <w:rFonts w:ascii="宋体" w:hAnsi="宋体" w:cs="宋体"/>
          <w:b/>
          <w:bCs/>
          <w:color w:val="auto"/>
          <w:highlight w:val="none"/>
        </w:rPr>
      </w:pPr>
    </w:p>
    <w:p w14:paraId="52F4EFAF">
      <w:pPr>
        <w:jc w:val="center"/>
        <w:rPr>
          <w:rFonts w:ascii="宋体" w:hAnsi="宋体" w:cs="宋体"/>
          <w:b/>
          <w:bCs/>
          <w:color w:val="auto"/>
          <w:highlight w:val="none"/>
        </w:rPr>
      </w:pPr>
      <w:r>
        <w:rPr>
          <w:rFonts w:hint="eastAsia" w:ascii="宋体" w:hAnsi="宋体" w:cs="宋体"/>
          <w:b/>
          <w:bCs/>
          <w:color w:val="auto"/>
          <w:highlight w:val="none"/>
        </w:rPr>
        <w:t>质疑函范本</w:t>
      </w:r>
    </w:p>
    <w:p w14:paraId="199BDCD3">
      <w:pPr>
        <w:spacing w:line="5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一、质疑供应商基本信息</w:t>
      </w:r>
    </w:p>
    <w:p w14:paraId="0B7352BD">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质疑供应商：</w:t>
      </w:r>
    </w:p>
    <w:p w14:paraId="6239C618">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地址：          邮编：</w:t>
      </w:r>
    </w:p>
    <w:p w14:paraId="5D7171B7">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联系人：        联系电话：</w:t>
      </w:r>
    </w:p>
    <w:p w14:paraId="64246201">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授权代表：</w:t>
      </w:r>
    </w:p>
    <w:p w14:paraId="62D0A91C">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联系电话：</w:t>
      </w:r>
    </w:p>
    <w:p w14:paraId="79F494D3">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地址：          邮编：</w:t>
      </w:r>
    </w:p>
    <w:p w14:paraId="36FE53F2">
      <w:pPr>
        <w:spacing w:line="5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二、质疑项目基本情况</w:t>
      </w:r>
    </w:p>
    <w:p w14:paraId="55E736F7">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质疑项目的名称：</w:t>
      </w:r>
    </w:p>
    <w:p w14:paraId="22348995">
      <w:pPr>
        <w:spacing w:line="5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质疑项目的编号：         包号：</w:t>
      </w:r>
    </w:p>
    <w:p w14:paraId="548EE987">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招标人名称：</w:t>
      </w:r>
    </w:p>
    <w:p w14:paraId="09A1B610">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招标文件获取日期: </w:t>
      </w:r>
    </w:p>
    <w:p w14:paraId="1BD24B5F">
      <w:pPr>
        <w:spacing w:line="5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三、质疑事项具体内容</w:t>
      </w:r>
    </w:p>
    <w:p w14:paraId="6DA240E5">
      <w:pPr>
        <w:spacing w:line="5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质疑事项1:</w:t>
      </w:r>
    </w:p>
    <w:p w14:paraId="04A072AD">
      <w:pPr>
        <w:spacing w:line="5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事实依据：</w:t>
      </w:r>
    </w:p>
    <w:p w14:paraId="1A5C1677">
      <w:pPr>
        <w:spacing w:line="5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法律依据：</w:t>
      </w:r>
    </w:p>
    <w:p w14:paraId="59D68EDF">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质疑事项2</w:t>
      </w:r>
    </w:p>
    <w:p w14:paraId="1733F155">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w:t>
      </w:r>
    </w:p>
    <w:p w14:paraId="3EBE0812">
      <w:pPr>
        <w:spacing w:line="5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四、与质疑事项相关的质疑请求</w:t>
      </w:r>
    </w:p>
    <w:p w14:paraId="1B486B3D">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请求：</w:t>
      </w:r>
    </w:p>
    <w:p w14:paraId="4446CEB0">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签字(签章)：   </w:t>
      </w:r>
    </w:p>
    <w:p w14:paraId="6B74135F">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公章：</w:t>
      </w:r>
    </w:p>
    <w:p w14:paraId="5F1810C1">
      <w:pPr>
        <w:spacing w:line="5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日期：</w:t>
      </w:r>
    </w:p>
    <w:p w14:paraId="3947B606">
      <w:pPr>
        <w:spacing w:line="5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质疑函制作说明：</w:t>
      </w:r>
    </w:p>
    <w:p w14:paraId="0F1ECBF7">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1.供应商提出质疑时，应提交质疑函和必要的证明材料。</w:t>
      </w:r>
    </w:p>
    <w:p w14:paraId="2B8376A8">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D6BE026">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3.质疑供应商若对项目的某一分包进行质疑，质疑函中应列明具体分包号。</w:t>
      </w:r>
    </w:p>
    <w:p w14:paraId="5E82F8D4">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4.质疑函的质疑事项应具体、明确，并有必要的事实依据和法律依据。</w:t>
      </w:r>
    </w:p>
    <w:p w14:paraId="6190D3ED">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5.质疑函的质疑请求应与质疑事项相关。</w:t>
      </w:r>
    </w:p>
    <w:p w14:paraId="0C1F0F0E">
      <w:pPr>
        <w:spacing w:line="5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1E914B67">
      <w:pPr>
        <w:rPr>
          <w:rFonts w:ascii="宋体" w:hAnsi="宋体" w:cs="宋体"/>
          <w:color w:val="auto"/>
          <w:spacing w:val="-1"/>
          <w:sz w:val="22"/>
          <w:szCs w:val="22"/>
          <w:highlight w:val="none"/>
        </w:rPr>
      </w:pPr>
      <w:r>
        <w:rPr>
          <w:rFonts w:hint="eastAsia" w:ascii="宋体" w:hAnsi="宋体" w:cs="宋体"/>
          <w:b/>
          <w:color w:val="auto"/>
          <w:sz w:val="36"/>
          <w:szCs w:val="36"/>
          <w:highlight w:val="none"/>
        </w:rPr>
        <w:br w:type="page"/>
      </w:r>
    </w:p>
    <w:p w14:paraId="4706748D">
      <w:pPr>
        <w:pStyle w:val="2"/>
        <w:numPr>
          <w:ilvl w:val="0"/>
          <w:numId w:val="2"/>
        </w:numPr>
        <w:spacing w:before="0" w:after="0" w:line="360" w:lineRule="auto"/>
        <w:jc w:val="center"/>
        <w:rPr>
          <w:rFonts w:ascii="宋体" w:hAnsi="宋体" w:eastAsia="宋体" w:cs="宋体"/>
          <w:b/>
          <w:color w:val="auto"/>
          <w:sz w:val="36"/>
          <w:szCs w:val="36"/>
          <w:highlight w:val="none"/>
        </w:rPr>
      </w:pPr>
      <w:bookmarkStart w:id="219" w:name="_Toc29320"/>
      <w:bookmarkStart w:id="220" w:name="_Toc517018696"/>
      <w:bookmarkStart w:id="221" w:name="_Toc27152"/>
      <w:bookmarkStart w:id="222" w:name="_Toc5769"/>
      <w:r>
        <w:rPr>
          <w:rFonts w:hint="eastAsia" w:ascii="宋体" w:hAnsi="宋体" w:eastAsia="宋体" w:cs="宋体"/>
          <w:b/>
          <w:color w:val="auto"/>
          <w:sz w:val="36"/>
          <w:szCs w:val="36"/>
          <w:highlight w:val="none"/>
        </w:rPr>
        <w:t xml:space="preserve">  </w:t>
      </w:r>
      <w:bookmarkStart w:id="223" w:name="_Toc5003"/>
      <w:r>
        <w:rPr>
          <w:rFonts w:hint="eastAsia" w:ascii="宋体" w:hAnsi="宋体" w:eastAsia="宋体" w:cs="宋体"/>
          <w:b/>
          <w:color w:val="auto"/>
          <w:sz w:val="36"/>
          <w:szCs w:val="36"/>
          <w:highlight w:val="none"/>
        </w:rPr>
        <w:t>评分办法及标准</w:t>
      </w:r>
      <w:bookmarkEnd w:id="219"/>
      <w:bookmarkEnd w:id="220"/>
      <w:bookmarkEnd w:id="221"/>
      <w:bookmarkEnd w:id="222"/>
      <w:bookmarkEnd w:id="223"/>
    </w:p>
    <w:bookmarkEnd w:id="218"/>
    <w:p w14:paraId="5DB21FA9">
      <w:pPr>
        <w:spacing w:line="360" w:lineRule="auto"/>
        <w:jc w:val="center"/>
        <w:rPr>
          <w:rFonts w:ascii="宋体" w:hAnsi="宋体" w:cs="宋体"/>
          <w:b/>
          <w:color w:val="auto"/>
          <w:sz w:val="28"/>
          <w:szCs w:val="28"/>
          <w:highlight w:val="none"/>
        </w:rPr>
      </w:pPr>
      <w:bookmarkStart w:id="224" w:name="_Toc4403"/>
      <w:bookmarkStart w:id="225" w:name="_Toc2524"/>
      <w:bookmarkStart w:id="226" w:name="_Toc15953"/>
      <w:r>
        <w:rPr>
          <w:rFonts w:hint="eastAsia" w:ascii="宋体" w:hAnsi="宋体" w:cs="宋体"/>
          <w:b/>
          <w:color w:val="auto"/>
          <w:sz w:val="28"/>
          <w:szCs w:val="28"/>
          <w:highlight w:val="none"/>
        </w:rPr>
        <w:t>资格性审查表</w:t>
      </w:r>
    </w:p>
    <w:tbl>
      <w:tblPr>
        <w:tblStyle w:val="38"/>
        <w:tblW w:w="90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0"/>
        <w:gridCol w:w="3098"/>
        <w:gridCol w:w="5325"/>
      </w:tblGrid>
      <w:tr w14:paraId="6845D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jc w:val="center"/>
        </w:trPr>
        <w:tc>
          <w:tcPr>
            <w:tcW w:w="640" w:type="dxa"/>
            <w:tcBorders>
              <w:tl2br w:val="nil"/>
              <w:tr2bl w:val="nil"/>
            </w:tcBorders>
            <w:vAlign w:val="center"/>
          </w:tcPr>
          <w:p w14:paraId="15757974">
            <w:pPr>
              <w:spacing w:before="156" w:beforeLines="50" w:after="156" w:afterLines="50"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3098" w:type="dxa"/>
            <w:tcBorders>
              <w:tl2br w:val="nil"/>
              <w:tr2bl w:val="nil"/>
            </w:tcBorders>
            <w:vAlign w:val="center"/>
          </w:tcPr>
          <w:p w14:paraId="56C10F90">
            <w:pPr>
              <w:spacing w:before="156" w:beforeLines="50" w:after="156" w:afterLines="50"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5325" w:type="dxa"/>
            <w:tcBorders>
              <w:tl2br w:val="nil"/>
              <w:tr2bl w:val="nil"/>
            </w:tcBorders>
            <w:vAlign w:val="center"/>
          </w:tcPr>
          <w:p w14:paraId="477ED889">
            <w:pPr>
              <w:spacing w:before="156" w:beforeLines="50" w:after="156" w:afterLines="50"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评审标准</w:t>
            </w:r>
          </w:p>
        </w:tc>
      </w:tr>
      <w:tr w14:paraId="24BCF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4" w:hRule="atLeast"/>
          <w:jc w:val="center"/>
        </w:trPr>
        <w:tc>
          <w:tcPr>
            <w:tcW w:w="640" w:type="dxa"/>
            <w:tcBorders>
              <w:tl2br w:val="nil"/>
              <w:tr2bl w:val="nil"/>
            </w:tcBorders>
            <w:vAlign w:val="center"/>
          </w:tcPr>
          <w:p w14:paraId="5A248E11">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3098" w:type="dxa"/>
            <w:tcBorders>
              <w:tl2br w:val="nil"/>
              <w:tr2bl w:val="nil"/>
            </w:tcBorders>
            <w:vAlign w:val="center"/>
          </w:tcPr>
          <w:p w14:paraId="476B120B">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具有独立承担民事责任的能力</w:t>
            </w:r>
          </w:p>
        </w:tc>
        <w:tc>
          <w:tcPr>
            <w:tcW w:w="5325" w:type="dxa"/>
            <w:tcBorders>
              <w:tl2br w:val="nil"/>
              <w:tr2bl w:val="nil"/>
            </w:tcBorders>
            <w:vAlign w:val="center"/>
          </w:tcPr>
          <w:p w14:paraId="71A0111A">
            <w:pPr>
              <w:spacing w:before="156" w:beforeLines="50" w:after="156" w:afterLines="50" w:line="360" w:lineRule="auto"/>
              <w:jc w:val="left"/>
              <w:rPr>
                <w:rFonts w:ascii="宋体" w:hAnsi="宋体" w:cs="宋体"/>
                <w:color w:val="auto"/>
                <w:szCs w:val="21"/>
                <w:highlight w:val="none"/>
              </w:rPr>
            </w:pPr>
            <w:r>
              <w:rPr>
                <w:rFonts w:hint="eastAsia" w:ascii="宋体" w:hAnsi="宋体" w:cs="宋体"/>
                <w:color w:val="auto"/>
                <w:szCs w:val="21"/>
                <w:highlight w:val="none"/>
              </w:rPr>
              <w:t>在中华人民共和国境内注册的法人或其他组织或自然人，提交有效的营业执照（或事业法人登记证或身份证等相关证明）。分支机构投标的，还须提供总公司营业执照副本，总公司出具给分支机构的授权书。</w:t>
            </w:r>
          </w:p>
        </w:tc>
      </w:tr>
      <w:tr w14:paraId="0D3DE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4" w:hRule="atLeast"/>
          <w:jc w:val="center"/>
        </w:trPr>
        <w:tc>
          <w:tcPr>
            <w:tcW w:w="640" w:type="dxa"/>
            <w:tcBorders>
              <w:tl2br w:val="nil"/>
              <w:tr2bl w:val="nil"/>
            </w:tcBorders>
            <w:vAlign w:val="center"/>
          </w:tcPr>
          <w:p w14:paraId="0117635F">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3098" w:type="dxa"/>
            <w:tcBorders>
              <w:tl2br w:val="nil"/>
              <w:tr2bl w:val="nil"/>
            </w:tcBorders>
            <w:vAlign w:val="center"/>
          </w:tcPr>
          <w:p w14:paraId="794BE051">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具有良好的商业信誉和健全的财务会计制度</w:t>
            </w:r>
          </w:p>
        </w:tc>
        <w:tc>
          <w:tcPr>
            <w:tcW w:w="5325" w:type="dxa"/>
            <w:tcBorders>
              <w:tl2br w:val="nil"/>
              <w:tr2bl w:val="nil"/>
            </w:tcBorders>
            <w:vAlign w:val="center"/>
          </w:tcPr>
          <w:p w14:paraId="6EE97517">
            <w:pPr>
              <w:spacing w:before="156" w:beforeLines="50" w:after="156" w:afterLines="50" w:line="360" w:lineRule="auto"/>
              <w:jc w:val="left"/>
              <w:rPr>
                <w:rFonts w:ascii="宋体" w:hAnsi="宋体" w:cs="宋体"/>
                <w:color w:val="auto"/>
                <w:szCs w:val="21"/>
                <w:highlight w:val="none"/>
              </w:rPr>
            </w:pPr>
            <w:r>
              <w:rPr>
                <w:rFonts w:hint="eastAsia" w:ascii="宋体" w:hAnsi="宋体" w:cs="宋体"/>
                <w:color w:val="auto"/>
                <w:szCs w:val="21"/>
                <w:highlight w:val="none"/>
              </w:rPr>
              <w:t>提供2024年度或2025年度经第三方审计机构出具的审计报告，或提供基本户银行开具的资信证明。</w:t>
            </w:r>
          </w:p>
        </w:tc>
      </w:tr>
      <w:tr w14:paraId="09D30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7" w:hRule="atLeast"/>
          <w:jc w:val="center"/>
        </w:trPr>
        <w:tc>
          <w:tcPr>
            <w:tcW w:w="640" w:type="dxa"/>
            <w:tcBorders>
              <w:tl2br w:val="nil"/>
              <w:tr2bl w:val="nil"/>
            </w:tcBorders>
            <w:vAlign w:val="center"/>
          </w:tcPr>
          <w:p w14:paraId="1BDB1087">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3098" w:type="dxa"/>
            <w:tcBorders>
              <w:tl2br w:val="nil"/>
              <w:tr2bl w:val="nil"/>
            </w:tcBorders>
            <w:vAlign w:val="center"/>
          </w:tcPr>
          <w:p w14:paraId="3E15CB55">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具有履行合同所必需的设备和专业技术能力</w:t>
            </w:r>
          </w:p>
        </w:tc>
        <w:tc>
          <w:tcPr>
            <w:tcW w:w="5325" w:type="dxa"/>
            <w:tcBorders>
              <w:tl2br w:val="nil"/>
              <w:tr2bl w:val="nil"/>
            </w:tcBorders>
            <w:vAlign w:val="center"/>
          </w:tcPr>
          <w:p w14:paraId="65264FDF">
            <w:pPr>
              <w:spacing w:before="156" w:beforeLines="50" w:after="156" w:afterLines="50" w:line="360" w:lineRule="auto"/>
              <w:jc w:val="left"/>
              <w:rPr>
                <w:rFonts w:ascii="宋体" w:hAnsi="宋体" w:cs="宋体"/>
                <w:color w:val="auto"/>
                <w:szCs w:val="21"/>
                <w:highlight w:val="none"/>
              </w:rPr>
            </w:pPr>
            <w:r>
              <w:rPr>
                <w:rFonts w:hint="eastAsia" w:ascii="宋体" w:hAnsi="宋体" w:cs="宋体"/>
                <w:color w:val="auto"/>
                <w:szCs w:val="21"/>
                <w:highlight w:val="none"/>
              </w:rPr>
              <w:t>提供声明函</w:t>
            </w:r>
          </w:p>
        </w:tc>
      </w:tr>
      <w:tr w14:paraId="14B41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0" w:type="dxa"/>
            <w:tcBorders>
              <w:tl2br w:val="nil"/>
              <w:tr2bl w:val="nil"/>
            </w:tcBorders>
            <w:vAlign w:val="center"/>
          </w:tcPr>
          <w:p w14:paraId="010A6EE0">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4</w:t>
            </w:r>
          </w:p>
        </w:tc>
        <w:tc>
          <w:tcPr>
            <w:tcW w:w="3098" w:type="dxa"/>
            <w:tcBorders>
              <w:tl2br w:val="nil"/>
              <w:tr2bl w:val="nil"/>
            </w:tcBorders>
            <w:vAlign w:val="center"/>
          </w:tcPr>
          <w:p w14:paraId="084C3862">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有依法缴纳税收和社会保障资金的良好记录</w:t>
            </w:r>
          </w:p>
        </w:tc>
        <w:tc>
          <w:tcPr>
            <w:tcW w:w="5325" w:type="dxa"/>
            <w:tcBorders>
              <w:tl2br w:val="nil"/>
              <w:tr2bl w:val="nil"/>
            </w:tcBorders>
            <w:vAlign w:val="center"/>
          </w:tcPr>
          <w:p w14:paraId="6F1BB322">
            <w:pPr>
              <w:spacing w:before="156" w:beforeLines="50" w:after="156" w:afterLines="50" w:line="360" w:lineRule="auto"/>
              <w:jc w:val="left"/>
              <w:rPr>
                <w:rFonts w:ascii="宋体" w:hAnsi="宋体" w:cs="宋体"/>
                <w:color w:val="auto"/>
                <w:szCs w:val="21"/>
                <w:highlight w:val="none"/>
              </w:rPr>
            </w:pPr>
            <w:r>
              <w:rPr>
                <w:rFonts w:hint="eastAsia" w:ascii="宋体" w:hAnsi="宋体" w:cs="宋体"/>
                <w:color w:val="auto"/>
                <w:szCs w:val="21"/>
                <w:highlight w:val="none"/>
              </w:rPr>
              <w:t>提供2026年1月1日以来至少1个月依法缴纳税收和社会保障资金的相关证明复印件或扫描件。依法免税或不需要缴纳社会保障资金的供应商应提供其依法免税或免缴纳社会保障资金的证明文件</w:t>
            </w:r>
          </w:p>
        </w:tc>
      </w:tr>
      <w:tr w14:paraId="13C26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0" w:type="dxa"/>
            <w:tcBorders>
              <w:tl2br w:val="nil"/>
              <w:tr2bl w:val="nil"/>
            </w:tcBorders>
            <w:vAlign w:val="center"/>
          </w:tcPr>
          <w:p w14:paraId="5C35975A">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5</w:t>
            </w:r>
          </w:p>
        </w:tc>
        <w:tc>
          <w:tcPr>
            <w:tcW w:w="3098" w:type="dxa"/>
            <w:tcBorders>
              <w:tl2br w:val="nil"/>
              <w:tr2bl w:val="nil"/>
            </w:tcBorders>
            <w:vAlign w:val="center"/>
          </w:tcPr>
          <w:p w14:paraId="0EFC3BA7">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参加政府采购活动前三年内，在经营活动中没有重大违法记录</w:t>
            </w:r>
          </w:p>
        </w:tc>
        <w:tc>
          <w:tcPr>
            <w:tcW w:w="5325" w:type="dxa"/>
            <w:tcBorders>
              <w:tl2br w:val="nil"/>
              <w:tr2bl w:val="nil"/>
            </w:tcBorders>
            <w:vAlign w:val="center"/>
          </w:tcPr>
          <w:p w14:paraId="7D8934FB">
            <w:pPr>
              <w:spacing w:before="156" w:beforeLines="50" w:after="156" w:afterLines="50" w:line="360" w:lineRule="auto"/>
              <w:jc w:val="left"/>
              <w:rPr>
                <w:rFonts w:ascii="宋体" w:hAnsi="宋体" w:cs="宋体"/>
                <w:color w:val="auto"/>
                <w:szCs w:val="21"/>
                <w:highlight w:val="none"/>
              </w:rPr>
            </w:pPr>
            <w:r>
              <w:rPr>
                <w:rFonts w:hint="eastAsia" w:ascii="宋体" w:hAnsi="宋体" w:cs="宋体"/>
                <w:color w:val="auto"/>
                <w:szCs w:val="21"/>
                <w:highlight w:val="none"/>
              </w:rPr>
              <w:t>提供声明函</w:t>
            </w:r>
          </w:p>
        </w:tc>
      </w:tr>
      <w:tr w14:paraId="5AD18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7" w:hRule="atLeast"/>
          <w:jc w:val="center"/>
        </w:trPr>
        <w:tc>
          <w:tcPr>
            <w:tcW w:w="640" w:type="dxa"/>
            <w:tcBorders>
              <w:tl2br w:val="nil"/>
              <w:tr2bl w:val="nil"/>
            </w:tcBorders>
            <w:vAlign w:val="center"/>
          </w:tcPr>
          <w:p w14:paraId="24F686A7">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6</w:t>
            </w:r>
          </w:p>
        </w:tc>
        <w:tc>
          <w:tcPr>
            <w:tcW w:w="3098" w:type="dxa"/>
            <w:tcBorders>
              <w:tl2br w:val="nil"/>
              <w:tr2bl w:val="nil"/>
            </w:tcBorders>
            <w:vAlign w:val="center"/>
          </w:tcPr>
          <w:p w14:paraId="2098715D">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信用查询记录</w:t>
            </w:r>
          </w:p>
        </w:tc>
        <w:tc>
          <w:tcPr>
            <w:tcW w:w="5325" w:type="dxa"/>
            <w:tcBorders>
              <w:tl2br w:val="nil"/>
              <w:tr2bl w:val="nil"/>
            </w:tcBorders>
            <w:vAlign w:val="center"/>
          </w:tcPr>
          <w:p w14:paraId="1341B536">
            <w:pPr>
              <w:spacing w:line="360" w:lineRule="auto"/>
              <w:jc w:val="left"/>
              <w:rPr>
                <w:rFonts w:ascii="宋体" w:hAnsi="宋体" w:cs="宋体"/>
                <w:color w:val="auto"/>
                <w:szCs w:val="21"/>
                <w:highlight w:val="none"/>
              </w:rPr>
            </w:pPr>
            <w:r>
              <w:rPr>
                <w:rFonts w:hint="eastAsia" w:ascii="宋体" w:hAnsi="宋体" w:cs="宋体"/>
                <w:color w:val="auto"/>
                <w:highlight w:val="none"/>
              </w:rPr>
              <w:t>符合第二章“供应商须知前附表”第1.4.1项规定</w:t>
            </w:r>
          </w:p>
        </w:tc>
      </w:tr>
      <w:tr w14:paraId="69849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8" w:hRule="atLeast"/>
          <w:jc w:val="center"/>
        </w:trPr>
        <w:tc>
          <w:tcPr>
            <w:tcW w:w="640" w:type="dxa"/>
            <w:tcBorders>
              <w:tl2br w:val="nil"/>
              <w:tr2bl w:val="nil"/>
            </w:tcBorders>
            <w:vAlign w:val="center"/>
          </w:tcPr>
          <w:p w14:paraId="32ADB544">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7</w:t>
            </w:r>
          </w:p>
        </w:tc>
        <w:tc>
          <w:tcPr>
            <w:tcW w:w="3098" w:type="dxa"/>
            <w:tcBorders>
              <w:tl2br w:val="nil"/>
              <w:tr2bl w:val="nil"/>
            </w:tcBorders>
            <w:vAlign w:val="center"/>
          </w:tcPr>
          <w:p w14:paraId="4D0FB24A">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单位负责人为同一人或者存在直接控股关系、管理关系的不同供应商，不得参加同一合同项下的政府采购活动。</w:t>
            </w:r>
          </w:p>
        </w:tc>
        <w:tc>
          <w:tcPr>
            <w:tcW w:w="5325" w:type="dxa"/>
            <w:tcBorders>
              <w:tl2br w:val="nil"/>
              <w:tr2bl w:val="nil"/>
            </w:tcBorders>
            <w:vAlign w:val="center"/>
          </w:tcPr>
          <w:p w14:paraId="6E37B0C0">
            <w:pPr>
              <w:spacing w:before="156" w:beforeLines="50" w:after="156" w:afterLines="50" w:line="360" w:lineRule="auto"/>
              <w:jc w:val="left"/>
              <w:rPr>
                <w:rFonts w:ascii="宋体" w:hAnsi="宋体" w:cs="宋体"/>
                <w:color w:val="auto"/>
                <w:szCs w:val="21"/>
                <w:highlight w:val="none"/>
              </w:rPr>
            </w:pPr>
            <w:r>
              <w:rPr>
                <w:rFonts w:hint="eastAsia" w:ascii="宋体" w:hAnsi="宋体" w:cs="宋体"/>
                <w:color w:val="auto"/>
                <w:szCs w:val="21"/>
                <w:highlight w:val="none"/>
              </w:rPr>
              <w:t>提供声明函</w:t>
            </w:r>
          </w:p>
        </w:tc>
      </w:tr>
      <w:tr w14:paraId="04A4E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7" w:hRule="atLeast"/>
          <w:jc w:val="center"/>
        </w:trPr>
        <w:tc>
          <w:tcPr>
            <w:tcW w:w="640" w:type="dxa"/>
            <w:tcBorders>
              <w:tl2br w:val="nil"/>
              <w:tr2bl w:val="nil"/>
            </w:tcBorders>
            <w:vAlign w:val="center"/>
          </w:tcPr>
          <w:p w14:paraId="1E9C38FC">
            <w:pPr>
              <w:spacing w:before="156" w:beforeLines="50" w:after="156"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8</w:t>
            </w:r>
          </w:p>
        </w:tc>
        <w:tc>
          <w:tcPr>
            <w:tcW w:w="3098" w:type="dxa"/>
            <w:tcBorders>
              <w:tl2br w:val="nil"/>
              <w:tr2bl w:val="nil"/>
            </w:tcBorders>
            <w:vAlign w:val="center"/>
          </w:tcPr>
          <w:p w14:paraId="6A42E4D3">
            <w:pPr>
              <w:spacing w:before="156" w:beforeLines="50" w:after="156" w:afterLines="50" w:line="360" w:lineRule="auto"/>
              <w:jc w:val="center"/>
              <w:rPr>
                <w:rFonts w:ascii="宋体" w:hAnsi="宋体" w:cs="宋体"/>
                <w:color w:val="auto"/>
                <w:szCs w:val="21"/>
                <w:highlight w:val="none"/>
              </w:rPr>
            </w:pPr>
            <w:r>
              <w:rPr>
                <w:rFonts w:hint="eastAsia" w:ascii="宋体" w:hAnsi="宋体"/>
                <w:color w:val="auto"/>
                <w:highlight w:val="none"/>
              </w:rPr>
              <w:t>允许进口的产品授权</w:t>
            </w:r>
          </w:p>
        </w:tc>
        <w:tc>
          <w:tcPr>
            <w:tcW w:w="5325" w:type="dxa"/>
            <w:tcBorders>
              <w:tl2br w:val="nil"/>
              <w:tr2bl w:val="nil"/>
            </w:tcBorders>
            <w:vAlign w:val="center"/>
          </w:tcPr>
          <w:p w14:paraId="23516538">
            <w:pPr>
              <w:spacing w:before="156" w:beforeLines="50" w:after="156" w:afterLines="50" w:line="360" w:lineRule="auto"/>
              <w:jc w:val="left"/>
              <w:rPr>
                <w:rFonts w:ascii="宋体" w:hAnsi="宋体" w:cs="宋体"/>
                <w:color w:val="auto"/>
                <w:szCs w:val="21"/>
                <w:highlight w:val="none"/>
              </w:rPr>
            </w:pPr>
            <w:r>
              <w:rPr>
                <w:rFonts w:hint="eastAsia" w:cs="宋体"/>
                <w:color w:val="auto"/>
                <w:kern w:val="0"/>
                <w:szCs w:val="21"/>
                <w:highlight w:val="none"/>
              </w:rPr>
              <w:t>提供的货物为进口产品的，须提供制造商或总代理商的授权书</w:t>
            </w:r>
          </w:p>
        </w:tc>
      </w:tr>
    </w:tbl>
    <w:p w14:paraId="44E921B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1.资格审查</w:t>
      </w:r>
    </w:p>
    <w:p w14:paraId="3EBF8CF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开标结束后，采购人或采购代理机构应当依法对供应商的资格进行审查。</w:t>
      </w:r>
    </w:p>
    <w:p w14:paraId="55901355">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2.资格审查标准</w:t>
      </w:r>
    </w:p>
    <w:p w14:paraId="13428CC8">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资格审查标准：见“资格性审查表”。</w:t>
      </w:r>
    </w:p>
    <w:p w14:paraId="7B1F9385">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3.资格审查程序</w:t>
      </w:r>
    </w:p>
    <w:p w14:paraId="056B3E5F">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资格审查人员依据本章资格性审查表规定的标准对投标文件进行资格性审查，以确定投标供应商是否具备投标资格，有一项不符合审查标准的，资格审查人员将认定其投标无效，合格供应商不足3家的，将不进入评审阶段。</w:t>
      </w:r>
    </w:p>
    <w:p w14:paraId="7E44691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鉴于河南省公共资源交易中心开评标系统的模式设置，开标后采购人或采购代理机构进行资格审查时，仅能查阅投标文件中的“资格审查材料”，供应商在制作电子投标文件时，招标文件资格评审标准中要求提供的全部资料务必在“投标文件制作工具”左侧栏目“资格审查资料”模块上传并加盖电子签章（包括企业电子签章和个人电子签章），因供应商上传位置错误、漏传或未传资格审查资料，将视为不符合招标文件资格要求。</w:t>
      </w:r>
    </w:p>
    <w:p w14:paraId="2180D2D4">
      <w:pPr>
        <w:rPr>
          <w:rFonts w:cs="宋体"/>
          <w:b/>
          <w:bCs/>
          <w:color w:val="auto"/>
          <w:spacing w:val="4"/>
          <w:sz w:val="28"/>
          <w:szCs w:val="28"/>
          <w:highlight w:val="none"/>
        </w:rPr>
      </w:pPr>
      <w:r>
        <w:rPr>
          <w:rFonts w:hint="eastAsia" w:cs="宋体"/>
          <w:b/>
          <w:bCs/>
          <w:color w:val="auto"/>
          <w:spacing w:val="4"/>
          <w:sz w:val="28"/>
          <w:szCs w:val="28"/>
          <w:highlight w:val="none"/>
        </w:rPr>
        <w:br w:type="page"/>
      </w:r>
    </w:p>
    <w:p w14:paraId="6624D479">
      <w:pPr>
        <w:pStyle w:val="15"/>
        <w:rPr>
          <w:color w:val="auto"/>
          <w:highlight w:val="none"/>
        </w:rPr>
      </w:pPr>
      <w:r>
        <w:rPr>
          <w:rFonts w:hint="eastAsia"/>
          <w:color w:val="auto"/>
          <w:highlight w:val="none"/>
        </w:rPr>
        <w:t>符合性审查表</w:t>
      </w:r>
    </w:p>
    <w:tbl>
      <w:tblPr>
        <w:tblStyle w:val="164"/>
        <w:tblW w:w="89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2411"/>
        <w:gridCol w:w="5818"/>
      </w:tblGrid>
      <w:tr w14:paraId="6421B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750" w:type="dxa"/>
            <w:vAlign w:val="center"/>
          </w:tcPr>
          <w:p w14:paraId="2DF80E69">
            <w:pPr>
              <w:pStyle w:val="163"/>
              <w:spacing w:line="360" w:lineRule="auto"/>
              <w:jc w:val="center"/>
              <w:rPr>
                <w:color w:val="auto"/>
                <w:sz w:val="21"/>
                <w:szCs w:val="21"/>
                <w:highlight w:val="none"/>
              </w:rPr>
            </w:pPr>
            <w:r>
              <w:rPr>
                <w:rFonts w:hint="eastAsia"/>
                <w:color w:val="auto"/>
                <w:spacing w:val="5"/>
                <w:sz w:val="21"/>
                <w:szCs w:val="21"/>
                <w:highlight w:val="none"/>
              </w:rPr>
              <w:t>序号</w:t>
            </w:r>
          </w:p>
        </w:tc>
        <w:tc>
          <w:tcPr>
            <w:tcW w:w="2411" w:type="dxa"/>
            <w:vAlign w:val="center"/>
          </w:tcPr>
          <w:p w14:paraId="204D8D91">
            <w:pPr>
              <w:pStyle w:val="163"/>
              <w:spacing w:line="360" w:lineRule="auto"/>
              <w:jc w:val="center"/>
              <w:rPr>
                <w:color w:val="auto"/>
                <w:sz w:val="21"/>
                <w:szCs w:val="21"/>
                <w:highlight w:val="none"/>
                <w:lang w:eastAsia="zh-CN"/>
              </w:rPr>
            </w:pPr>
            <w:r>
              <w:rPr>
                <w:rFonts w:hint="eastAsia"/>
                <w:color w:val="auto"/>
                <w:sz w:val="21"/>
                <w:szCs w:val="21"/>
                <w:highlight w:val="none"/>
                <w:lang w:eastAsia="zh-CN"/>
              </w:rPr>
              <w:t>评审因素</w:t>
            </w:r>
          </w:p>
        </w:tc>
        <w:tc>
          <w:tcPr>
            <w:tcW w:w="5818" w:type="dxa"/>
            <w:vAlign w:val="center"/>
          </w:tcPr>
          <w:p w14:paraId="5A3CA8B9">
            <w:pPr>
              <w:pStyle w:val="163"/>
              <w:spacing w:line="360" w:lineRule="auto"/>
              <w:ind w:left="105" w:leftChars="50"/>
              <w:jc w:val="center"/>
              <w:rPr>
                <w:color w:val="auto"/>
                <w:sz w:val="21"/>
                <w:szCs w:val="21"/>
                <w:highlight w:val="none"/>
              </w:rPr>
            </w:pPr>
            <w:r>
              <w:rPr>
                <w:rFonts w:hint="eastAsia"/>
                <w:color w:val="auto"/>
                <w:spacing w:val="7"/>
                <w:sz w:val="21"/>
                <w:szCs w:val="21"/>
                <w:highlight w:val="none"/>
              </w:rPr>
              <w:t>评审标准</w:t>
            </w:r>
          </w:p>
        </w:tc>
      </w:tr>
      <w:tr w14:paraId="662BB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750" w:type="dxa"/>
            <w:vAlign w:val="center"/>
          </w:tcPr>
          <w:p w14:paraId="7BBB4532">
            <w:pPr>
              <w:pStyle w:val="163"/>
              <w:spacing w:line="360" w:lineRule="auto"/>
              <w:jc w:val="center"/>
              <w:rPr>
                <w:color w:val="auto"/>
                <w:sz w:val="21"/>
                <w:szCs w:val="21"/>
                <w:highlight w:val="none"/>
              </w:rPr>
            </w:pPr>
            <w:r>
              <w:rPr>
                <w:rFonts w:hint="eastAsia"/>
                <w:color w:val="auto"/>
                <w:sz w:val="21"/>
                <w:szCs w:val="21"/>
                <w:highlight w:val="none"/>
              </w:rPr>
              <w:t>1</w:t>
            </w:r>
          </w:p>
        </w:tc>
        <w:tc>
          <w:tcPr>
            <w:tcW w:w="2411" w:type="dxa"/>
            <w:vAlign w:val="center"/>
          </w:tcPr>
          <w:p w14:paraId="5A5A8B9E">
            <w:pPr>
              <w:pStyle w:val="163"/>
              <w:spacing w:line="360" w:lineRule="auto"/>
              <w:jc w:val="center"/>
              <w:rPr>
                <w:color w:val="auto"/>
                <w:sz w:val="21"/>
                <w:szCs w:val="21"/>
                <w:highlight w:val="none"/>
              </w:rPr>
            </w:pPr>
            <w:r>
              <w:rPr>
                <w:rFonts w:hint="eastAsia"/>
                <w:color w:val="auto"/>
                <w:spacing w:val="8"/>
                <w:sz w:val="21"/>
                <w:szCs w:val="21"/>
                <w:highlight w:val="none"/>
              </w:rPr>
              <w:t>标书雷同性分析</w:t>
            </w:r>
          </w:p>
        </w:tc>
        <w:tc>
          <w:tcPr>
            <w:tcW w:w="5818" w:type="dxa"/>
            <w:vAlign w:val="center"/>
          </w:tcPr>
          <w:p w14:paraId="5EAB215C">
            <w:pPr>
              <w:pStyle w:val="163"/>
              <w:spacing w:line="360" w:lineRule="auto"/>
              <w:ind w:left="105" w:leftChars="50"/>
              <w:rPr>
                <w:color w:val="auto"/>
                <w:sz w:val="21"/>
                <w:szCs w:val="21"/>
                <w:highlight w:val="none"/>
                <w:lang w:eastAsia="zh-CN"/>
              </w:rPr>
            </w:pPr>
            <w:r>
              <w:rPr>
                <w:rFonts w:hint="eastAsia"/>
                <w:color w:val="auto"/>
                <w:sz w:val="21"/>
                <w:szCs w:val="21"/>
                <w:highlight w:val="none"/>
                <w:lang w:eastAsia="zh-CN"/>
              </w:rPr>
              <w:t>投标（响应）文件制作机器码不能一致，电子投标(响应)文件上传计算机的网卡MAC地址、CPU序列号和硬盘序列号等硬件信息不能相同</w:t>
            </w:r>
          </w:p>
        </w:tc>
      </w:tr>
      <w:tr w14:paraId="35562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jc w:val="center"/>
        </w:trPr>
        <w:tc>
          <w:tcPr>
            <w:tcW w:w="750" w:type="dxa"/>
            <w:vAlign w:val="center"/>
          </w:tcPr>
          <w:p w14:paraId="35CC3830">
            <w:pPr>
              <w:pStyle w:val="163"/>
              <w:spacing w:line="360" w:lineRule="auto"/>
              <w:jc w:val="center"/>
              <w:rPr>
                <w:color w:val="auto"/>
                <w:sz w:val="21"/>
                <w:szCs w:val="21"/>
                <w:highlight w:val="none"/>
              </w:rPr>
            </w:pPr>
            <w:r>
              <w:rPr>
                <w:rFonts w:hint="eastAsia"/>
                <w:color w:val="auto"/>
                <w:sz w:val="21"/>
                <w:szCs w:val="21"/>
                <w:highlight w:val="none"/>
              </w:rPr>
              <w:t>2</w:t>
            </w:r>
          </w:p>
        </w:tc>
        <w:tc>
          <w:tcPr>
            <w:tcW w:w="2411" w:type="dxa"/>
            <w:vAlign w:val="center"/>
          </w:tcPr>
          <w:p w14:paraId="76946C31">
            <w:pPr>
              <w:pStyle w:val="163"/>
              <w:spacing w:line="360" w:lineRule="auto"/>
              <w:jc w:val="center"/>
              <w:rPr>
                <w:color w:val="auto"/>
                <w:sz w:val="21"/>
                <w:szCs w:val="21"/>
                <w:highlight w:val="none"/>
              </w:rPr>
            </w:pPr>
            <w:r>
              <w:rPr>
                <w:rFonts w:hint="eastAsia"/>
                <w:color w:val="auto"/>
                <w:spacing w:val="5"/>
                <w:sz w:val="21"/>
                <w:szCs w:val="21"/>
                <w:highlight w:val="none"/>
              </w:rPr>
              <w:t>投标人名称</w:t>
            </w:r>
          </w:p>
        </w:tc>
        <w:tc>
          <w:tcPr>
            <w:tcW w:w="5818" w:type="dxa"/>
            <w:vAlign w:val="center"/>
          </w:tcPr>
          <w:p w14:paraId="37077D13">
            <w:pPr>
              <w:pStyle w:val="163"/>
              <w:spacing w:line="360" w:lineRule="auto"/>
              <w:ind w:left="105" w:leftChars="50"/>
              <w:rPr>
                <w:color w:val="auto"/>
                <w:sz w:val="21"/>
                <w:szCs w:val="21"/>
                <w:highlight w:val="none"/>
                <w:lang w:eastAsia="zh-CN"/>
              </w:rPr>
            </w:pPr>
            <w:r>
              <w:rPr>
                <w:rFonts w:hint="eastAsia"/>
                <w:color w:val="auto"/>
                <w:spacing w:val="8"/>
                <w:sz w:val="21"/>
                <w:szCs w:val="21"/>
                <w:highlight w:val="none"/>
                <w:lang w:eastAsia="zh-CN"/>
              </w:rPr>
              <w:t>与法人或者其他组织的营业执照等证明文件或自然人的身份证明一致</w:t>
            </w:r>
          </w:p>
        </w:tc>
      </w:tr>
      <w:tr w14:paraId="36239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jc w:val="center"/>
        </w:trPr>
        <w:tc>
          <w:tcPr>
            <w:tcW w:w="750" w:type="dxa"/>
            <w:vAlign w:val="center"/>
          </w:tcPr>
          <w:p w14:paraId="44A3CBFD">
            <w:pPr>
              <w:pStyle w:val="163"/>
              <w:spacing w:line="360" w:lineRule="auto"/>
              <w:jc w:val="center"/>
              <w:rPr>
                <w:color w:val="auto"/>
                <w:sz w:val="21"/>
                <w:szCs w:val="21"/>
                <w:highlight w:val="none"/>
              </w:rPr>
            </w:pPr>
            <w:r>
              <w:rPr>
                <w:rFonts w:hint="eastAsia"/>
                <w:color w:val="auto"/>
                <w:sz w:val="21"/>
                <w:szCs w:val="21"/>
                <w:highlight w:val="none"/>
              </w:rPr>
              <w:t>3</w:t>
            </w:r>
          </w:p>
        </w:tc>
        <w:tc>
          <w:tcPr>
            <w:tcW w:w="2411" w:type="dxa"/>
            <w:vAlign w:val="center"/>
          </w:tcPr>
          <w:p w14:paraId="5AD57376">
            <w:pPr>
              <w:pStyle w:val="163"/>
              <w:spacing w:line="360" w:lineRule="auto"/>
              <w:jc w:val="center"/>
              <w:rPr>
                <w:color w:val="auto"/>
                <w:sz w:val="21"/>
                <w:szCs w:val="21"/>
                <w:highlight w:val="none"/>
              </w:rPr>
            </w:pPr>
            <w:r>
              <w:rPr>
                <w:rFonts w:hint="eastAsia"/>
                <w:color w:val="auto"/>
                <w:spacing w:val="6"/>
                <w:sz w:val="21"/>
                <w:szCs w:val="21"/>
                <w:highlight w:val="none"/>
              </w:rPr>
              <w:t>投标内容</w:t>
            </w:r>
          </w:p>
        </w:tc>
        <w:tc>
          <w:tcPr>
            <w:tcW w:w="5818" w:type="dxa"/>
            <w:vAlign w:val="center"/>
          </w:tcPr>
          <w:p w14:paraId="49BB6BCE">
            <w:pPr>
              <w:pStyle w:val="163"/>
              <w:spacing w:line="360" w:lineRule="auto"/>
              <w:ind w:left="105" w:leftChars="50"/>
              <w:rPr>
                <w:color w:val="auto"/>
                <w:kern w:val="0"/>
                <w:sz w:val="21"/>
                <w:szCs w:val="21"/>
                <w:highlight w:val="none"/>
                <w:lang w:eastAsia="zh-CN"/>
              </w:rPr>
            </w:pPr>
            <w:r>
              <w:rPr>
                <w:rFonts w:hint="eastAsia"/>
                <w:color w:val="auto"/>
                <w:kern w:val="0"/>
                <w:sz w:val="21"/>
                <w:szCs w:val="21"/>
                <w:highlight w:val="none"/>
                <w:lang w:eastAsia="zh-CN"/>
              </w:rPr>
              <w:t>符合第二章“投标人须知前附表”第 1.3.1 项规定</w:t>
            </w:r>
          </w:p>
        </w:tc>
      </w:tr>
      <w:tr w14:paraId="5E1FA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jc w:val="center"/>
        </w:trPr>
        <w:tc>
          <w:tcPr>
            <w:tcW w:w="750" w:type="dxa"/>
            <w:vAlign w:val="center"/>
          </w:tcPr>
          <w:p w14:paraId="0DEEDFFD">
            <w:pPr>
              <w:pStyle w:val="163"/>
              <w:spacing w:line="360" w:lineRule="auto"/>
              <w:jc w:val="center"/>
              <w:rPr>
                <w:color w:val="auto"/>
                <w:sz w:val="21"/>
                <w:szCs w:val="21"/>
                <w:highlight w:val="none"/>
              </w:rPr>
            </w:pPr>
            <w:r>
              <w:rPr>
                <w:rFonts w:hint="eastAsia"/>
                <w:color w:val="auto"/>
                <w:sz w:val="21"/>
                <w:szCs w:val="21"/>
                <w:highlight w:val="none"/>
              </w:rPr>
              <w:t>4</w:t>
            </w:r>
          </w:p>
        </w:tc>
        <w:tc>
          <w:tcPr>
            <w:tcW w:w="2411" w:type="dxa"/>
            <w:vAlign w:val="center"/>
          </w:tcPr>
          <w:p w14:paraId="2013AE2D">
            <w:pPr>
              <w:pStyle w:val="163"/>
              <w:spacing w:line="360" w:lineRule="auto"/>
              <w:jc w:val="center"/>
              <w:rPr>
                <w:color w:val="auto"/>
                <w:sz w:val="21"/>
                <w:szCs w:val="21"/>
                <w:highlight w:val="none"/>
              </w:rPr>
            </w:pPr>
            <w:r>
              <w:rPr>
                <w:rFonts w:hint="eastAsia"/>
                <w:color w:val="auto"/>
                <w:spacing w:val="6"/>
                <w:sz w:val="21"/>
                <w:szCs w:val="21"/>
                <w:highlight w:val="none"/>
              </w:rPr>
              <w:t>质保期</w:t>
            </w:r>
          </w:p>
        </w:tc>
        <w:tc>
          <w:tcPr>
            <w:tcW w:w="5818" w:type="dxa"/>
            <w:vAlign w:val="center"/>
          </w:tcPr>
          <w:p w14:paraId="2E0DAFD8">
            <w:pPr>
              <w:pStyle w:val="163"/>
              <w:spacing w:line="360" w:lineRule="auto"/>
              <w:ind w:left="105" w:leftChars="50"/>
              <w:rPr>
                <w:color w:val="auto"/>
                <w:kern w:val="0"/>
                <w:sz w:val="21"/>
                <w:szCs w:val="21"/>
                <w:highlight w:val="none"/>
                <w:lang w:eastAsia="zh-CN"/>
              </w:rPr>
            </w:pPr>
            <w:r>
              <w:rPr>
                <w:rFonts w:hint="eastAsia"/>
                <w:color w:val="auto"/>
                <w:kern w:val="0"/>
                <w:sz w:val="21"/>
                <w:szCs w:val="21"/>
                <w:highlight w:val="none"/>
                <w:lang w:eastAsia="zh-CN"/>
              </w:rPr>
              <w:t>符合第二章“投标人须知前附表”第 1.3.2 项规定</w:t>
            </w:r>
          </w:p>
        </w:tc>
      </w:tr>
      <w:tr w14:paraId="6E674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750" w:type="dxa"/>
            <w:vAlign w:val="center"/>
          </w:tcPr>
          <w:p w14:paraId="004F5AD9">
            <w:pPr>
              <w:pStyle w:val="163"/>
              <w:spacing w:line="360" w:lineRule="auto"/>
              <w:jc w:val="center"/>
              <w:rPr>
                <w:color w:val="auto"/>
                <w:sz w:val="21"/>
                <w:szCs w:val="21"/>
                <w:highlight w:val="none"/>
              </w:rPr>
            </w:pPr>
            <w:r>
              <w:rPr>
                <w:rFonts w:hint="eastAsia"/>
                <w:color w:val="auto"/>
                <w:sz w:val="21"/>
                <w:szCs w:val="21"/>
                <w:highlight w:val="none"/>
              </w:rPr>
              <w:t>5</w:t>
            </w:r>
          </w:p>
        </w:tc>
        <w:tc>
          <w:tcPr>
            <w:tcW w:w="2411" w:type="dxa"/>
            <w:vAlign w:val="center"/>
          </w:tcPr>
          <w:p w14:paraId="7F5CE06A">
            <w:pPr>
              <w:pStyle w:val="163"/>
              <w:spacing w:line="360" w:lineRule="auto"/>
              <w:jc w:val="center"/>
              <w:rPr>
                <w:color w:val="auto"/>
                <w:sz w:val="21"/>
                <w:szCs w:val="21"/>
                <w:highlight w:val="none"/>
              </w:rPr>
            </w:pPr>
            <w:r>
              <w:rPr>
                <w:rFonts w:hint="eastAsia"/>
                <w:color w:val="auto"/>
                <w:spacing w:val="5"/>
                <w:sz w:val="21"/>
                <w:szCs w:val="21"/>
                <w:highlight w:val="none"/>
              </w:rPr>
              <w:t>交货期</w:t>
            </w:r>
          </w:p>
        </w:tc>
        <w:tc>
          <w:tcPr>
            <w:tcW w:w="5818" w:type="dxa"/>
            <w:vAlign w:val="center"/>
          </w:tcPr>
          <w:p w14:paraId="291A3B72">
            <w:pPr>
              <w:pStyle w:val="163"/>
              <w:spacing w:line="360" w:lineRule="auto"/>
              <w:ind w:left="105" w:leftChars="50"/>
              <w:rPr>
                <w:color w:val="auto"/>
                <w:kern w:val="0"/>
                <w:sz w:val="21"/>
                <w:szCs w:val="21"/>
                <w:highlight w:val="none"/>
                <w:lang w:eastAsia="zh-CN"/>
              </w:rPr>
            </w:pPr>
            <w:r>
              <w:rPr>
                <w:rFonts w:hint="eastAsia"/>
                <w:color w:val="auto"/>
                <w:kern w:val="0"/>
                <w:sz w:val="21"/>
                <w:szCs w:val="21"/>
                <w:highlight w:val="none"/>
                <w:lang w:eastAsia="zh-CN"/>
              </w:rPr>
              <w:t>符合第二章“投标人须知前附表”第 1.3.3 项规定</w:t>
            </w:r>
          </w:p>
        </w:tc>
      </w:tr>
      <w:tr w14:paraId="4B3F8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750" w:type="dxa"/>
            <w:vAlign w:val="center"/>
          </w:tcPr>
          <w:p w14:paraId="0BF7138D">
            <w:pPr>
              <w:pStyle w:val="163"/>
              <w:spacing w:line="360" w:lineRule="auto"/>
              <w:jc w:val="center"/>
              <w:rPr>
                <w:color w:val="auto"/>
                <w:sz w:val="21"/>
                <w:szCs w:val="21"/>
                <w:highlight w:val="none"/>
              </w:rPr>
            </w:pPr>
            <w:r>
              <w:rPr>
                <w:rFonts w:hint="eastAsia"/>
                <w:color w:val="auto"/>
                <w:sz w:val="21"/>
                <w:szCs w:val="21"/>
                <w:highlight w:val="none"/>
              </w:rPr>
              <w:t>6</w:t>
            </w:r>
          </w:p>
        </w:tc>
        <w:tc>
          <w:tcPr>
            <w:tcW w:w="2411" w:type="dxa"/>
            <w:vAlign w:val="center"/>
          </w:tcPr>
          <w:p w14:paraId="20B5C07F">
            <w:pPr>
              <w:pStyle w:val="163"/>
              <w:spacing w:line="360" w:lineRule="auto"/>
              <w:jc w:val="center"/>
              <w:rPr>
                <w:color w:val="auto"/>
                <w:sz w:val="21"/>
                <w:szCs w:val="21"/>
                <w:highlight w:val="none"/>
                <w:lang w:eastAsia="zh-CN"/>
              </w:rPr>
            </w:pPr>
            <w:r>
              <w:rPr>
                <w:rFonts w:hint="eastAsia"/>
                <w:color w:val="auto"/>
                <w:sz w:val="21"/>
                <w:szCs w:val="21"/>
                <w:highlight w:val="none"/>
                <w:lang w:eastAsia="zh-CN"/>
              </w:rPr>
              <w:t>交货地点</w:t>
            </w:r>
          </w:p>
        </w:tc>
        <w:tc>
          <w:tcPr>
            <w:tcW w:w="5818" w:type="dxa"/>
            <w:vAlign w:val="center"/>
          </w:tcPr>
          <w:p w14:paraId="77A68B6B">
            <w:pPr>
              <w:pStyle w:val="163"/>
              <w:spacing w:line="360" w:lineRule="auto"/>
              <w:ind w:left="105" w:leftChars="50"/>
              <w:rPr>
                <w:color w:val="auto"/>
                <w:kern w:val="0"/>
                <w:sz w:val="21"/>
                <w:szCs w:val="21"/>
                <w:highlight w:val="none"/>
                <w:lang w:eastAsia="zh-CN"/>
              </w:rPr>
            </w:pPr>
            <w:r>
              <w:rPr>
                <w:rFonts w:hint="eastAsia"/>
                <w:color w:val="auto"/>
                <w:kern w:val="0"/>
                <w:sz w:val="21"/>
                <w:szCs w:val="21"/>
                <w:highlight w:val="none"/>
                <w:lang w:eastAsia="zh-CN"/>
              </w:rPr>
              <w:t>符合第二章“投标人须知前附表”第 1.3.4 项规定</w:t>
            </w:r>
          </w:p>
        </w:tc>
      </w:tr>
      <w:tr w14:paraId="768F2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750" w:type="dxa"/>
            <w:vAlign w:val="center"/>
          </w:tcPr>
          <w:p w14:paraId="5FFACB26">
            <w:pPr>
              <w:pStyle w:val="163"/>
              <w:spacing w:line="360" w:lineRule="auto"/>
              <w:jc w:val="center"/>
              <w:rPr>
                <w:color w:val="auto"/>
                <w:sz w:val="21"/>
                <w:szCs w:val="21"/>
                <w:highlight w:val="none"/>
              </w:rPr>
            </w:pPr>
            <w:r>
              <w:rPr>
                <w:rFonts w:hint="eastAsia"/>
                <w:color w:val="auto"/>
                <w:sz w:val="21"/>
                <w:szCs w:val="21"/>
                <w:highlight w:val="none"/>
              </w:rPr>
              <w:t>7</w:t>
            </w:r>
          </w:p>
        </w:tc>
        <w:tc>
          <w:tcPr>
            <w:tcW w:w="2411" w:type="dxa"/>
            <w:vAlign w:val="center"/>
          </w:tcPr>
          <w:p w14:paraId="33504852">
            <w:pPr>
              <w:pStyle w:val="163"/>
              <w:spacing w:line="360" w:lineRule="auto"/>
              <w:jc w:val="center"/>
              <w:rPr>
                <w:color w:val="auto"/>
                <w:sz w:val="21"/>
                <w:szCs w:val="21"/>
                <w:highlight w:val="none"/>
              </w:rPr>
            </w:pPr>
            <w:r>
              <w:rPr>
                <w:rFonts w:hint="eastAsia"/>
                <w:color w:val="auto"/>
                <w:spacing w:val="7"/>
                <w:sz w:val="21"/>
                <w:szCs w:val="21"/>
                <w:highlight w:val="none"/>
              </w:rPr>
              <w:t>质量要求</w:t>
            </w:r>
          </w:p>
        </w:tc>
        <w:tc>
          <w:tcPr>
            <w:tcW w:w="5818" w:type="dxa"/>
            <w:vAlign w:val="center"/>
          </w:tcPr>
          <w:p w14:paraId="29F351A0">
            <w:pPr>
              <w:pStyle w:val="163"/>
              <w:spacing w:line="360" w:lineRule="auto"/>
              <w:ind w:left="105" w:leftChars="50"/>
              <w:rPr>
                <w:color w:val="auto"/>
                <w:kern w:val="0"/>
                <w:sz w:val="21"/>
                <w:szCs w:val="21"/>
                <w:highlight w:val="none"/>
                <w:lang w:eastAsia="zh-CN"/>
              </w:rPr>
            </w:pPr>
            <w:r>
              <w:rPr>
                <w:rFonts w:hint="eastAsia"/>
                <w:color w:val="auto"/>
                <w:kern w:val="0"/>
                <w:sz w:val="21"/>
                <w:szCs w:val="21"/>
                <w:highlight w:val="none"/>
                <w:lang w:eastAsia="zh-CN"/>
              </w:rPr>
              <w:t>符合第二章“投标人须知前附表”第 1.3.5 项规定</w:t>
            </w:r>
          </w:p>
        </w:tc>
      </w:tr>
      <w:tr w14:paraId="35CF6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jc w:val="center"/>
        </w:trPr>
        <w:tc>
          <w:tcPr>
            <w:tcW w:w="750" w:type="dxa"/>
            <w:vAlign w:val="center"/>
          </w:tcPr>
          <w:p w14:paraId="6CD0E289">
            <w:pPr>
              <w:pStyle w:val="163"/>
              <w:spacing w:line="360" w:lineRule="auto"/>
              <w:jc w:val="center"/>
              <w:rPr>
                <w:color w:val="auto"/>
                <w:sz w:val="21"/>
                <w:szCs w:val="21"/>
                <w:highlight w:val="none"/>
              </w:rPr>
            </w:pPr>
            <w:r>
              <w:rPr>
                <w:rFonts w:hint="eastAsia"/>
                <w:color w:val="auto"/>
                <w:sz w:val="21"/>
                <w:szCs w:val="21"/>
                <w:highlight w:val="none"/>
              </w:rPr>
              <w:t>8</w:t>
            </w:r>
          </w:p>
        </w:tc>
        <w:tc>
          <w:tcPr>
            <w:tcW w:w="2411" w:type="dxa"/>
            <w:vAlign w:val="center"/>
          </w:tcPr>
          <w:p w14:paraId="248F8E0B">
            <w:pPr>
              <w:pStyle w:val="163"/>
              <w:spacing w:line="360" w:lineRule="auto"/>
              <w:jc w:val="center"/>
              <w:rPr>
                <w:color w:val="auto"/>
                <w:sz w:val="21"/>
                <w:szCs w:val="21"/>
                <w:highlight w:val="none"/>
              </w:rPr>
            </w:pPr>
            <w:r>
              <w:rPr>
                <w:rFonts w:hint="eastAsia"/>
                <w:color w:val="auto"/>
                <w:spacing w:val="6"/>
                <w:sz w:val="21"/>
                <w:szCs w:val="21"/>
                <w:highlight w:val="none"/>
              </w:rPr>
              <w:t>投标报价</w:t>
            </w:r>
          </w:p>
        </w:tc>
        <w:tc>
          <w:tcPr>
            <w:tcW w:w="5818" w:type="dxa"/>
            <w:vAlign w:val="center"/>
          </w:tcPr>
          <w:p w14:paraId="3249019B">
            <w:pPr>
              <w:pStyle w:val="163"/>
              <w:spacing w:line="360" w:lineRule="auto"/>
              <w:ind w:left="105" w:leftChars="50"/>
              <w:rPr>
                <w:color w:val="auto"/>
                <w:kern w:val="0"/>
                <w:sz w:val="21"/>
                <w:szCs w:val="21"/>
                <w:highlight w:val="none"/>
                <w:lang w:eastAsia="zh-CN"/>
              </w:rPr>
            </w:pPr>
            <w:r>
              <w:rPr>
                <w:rFonts w:hint="eastAsia"/>
                <w:color w:val="auto"/>
                <w:kern w:val="0"/>
                <w:sz w:val="21"/>
                <w:szCs w:val="21"/>
                <w:highlight w:val="none"/>
                <w:lang w:eastAsia="zh-CN"/>
              </w:rPr>
              <w:t>报价未超过招标文件中规定的最高投标限价</w:t>
            </w:r>
          </w:p>
        </w:tc>
      </w:tr>
      <w:tr w14:paraId="68AD8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jc w:val="center"/>
        </w:trPr>
        <w:tc>
          <w:tcPr>
            <w:tcW w:w="750" w:type="dxa"/>
            <w:vAlign w:val="center"/>
          </w:tcPr>
          <w:p w14:paraId="70BC016A">
            <w:pPr>
              <w:pStyle w:val="163"/>
              <w:spacing w:line="360" w:lineRule="auto"/>
              <w:jc w:val="center"/>
              <w:rPr>
                <w:color w:val="auto"/>
                <w:sz w:val="21"/>
                <w:szCs w:val="21"/>
                <w:highlight w:val="none"/>
                <w:lang w:eastAsia="zh-CN"/>
              </w:rPr>
            </w:pPr>
            <w:r>
              <w:rPr>
                <w:rFonts w:hint="eastAsia"/>
                <w:color w:val="auto"/>
                <w:sz w:val="21"/>
                <w:szCs w:val="21"/>
                <w:highlight w:val="none"/>
                <w:lang w:eastAsia="zh-CN"/>
              </w:rPr>
              <w:t>9</w:t>
            </w:r>
          </w:p>
        </w:tc>
        <w:tc>
          <w:tcPr>
            <w:tcW w:w="2411" w:type="dxa"/>
            <w:vAlign w:val="center"/>
          </w:tcPr>
          <w:p w14:paraId="778F4208">
            <w:pPr>
              <w:pStyle w:val="163"/>
              <w:spacing w:line="360" w:lineRule="auto"/>
              <w:jc w:val="center"/>
              <w:rPr>
                <w:color w:val="auto"/>
                <w:spacing w:val="6"/>
                <w:sz w:val="21"/>
                <w:szCs w:val="21"/>
                <w:highlight w:val="none"/>
              </w:rPr>
            </w:pPr>
            <w:r>
              <w:rPr>
                <w:rFonts w:hint="eastAsia"/>
                <w:color w:val="auto"/>
                <w:spacing w:val="6"/>
                <w:sz w:val="21"/>
                <w:szCs w:val="21"/>
                <w:highlight w:val="none"/>
              </w:rPr>
              <w:t>联合体投标</w:t>
            </w:r>
          </w:p>
        </w:tc>
        <w:tc>
          <w:tcPr>
            <w:tcW w:w="5818" w:type="dxa"/>
            <w:vAlign w:val="center"/>
          </w:tcPr>
          <w:p w14:paraId="4DE516EE">
            <w:pPr>
              <w:pStyle w:val="163"/>
              <w:spacing w:line="360" w:lineRule="auto"/>
              <w:ind w:left="105" w:leftChars="50"/>
              <w:rPr>
                <w:color w:val="auto"/>
                <w:kern w:val="0"/>
                <w:sz w:val="21"/>
                <w:szCs w:val="21"/>
                <w:highlight w:val="none"/>
                <w:lang w:eastAsia="zh-CN"/>
              </w:rPr>
            </w:pPr>
            <w:r>
              <w:rPr>
                <w:rFonts w:hint="eastAsia"/>
                <w:color w:val="auto"/>
                <w:kern w:val="0"/>
                <w:sz w:val="21"/>
                <w:szCs w:val="21"/>
                <w:highlight w:val="none"/>
                <w:lang w:eastAsia="zh-CN"/>
              </w:rPr>
              <w:t>本项目不接受联合体投标</w:t>
            </w:r>
          </w:p>
        </w:tc>
      </w:tr>
      <w:tr w14:paraId="5D12C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750" w:type="dxa"/>
            <w:vAlign w:val="center"/>
          </w:tcPr>
          <w:p w14:paraId="638F1417">
            <w:pPr>
              <w:pStyle w:val="163"/>
              <w:spacing w:line="360" w:lineRule="auto"/>
              <w:jc w:val="center"/>
              <w:rPr>
                <w:color w:val="auto"/>
                <w:sz w:val="21"/>
                <w:szCs w:val="21"/>
                <w:highlight w:val="none"/>
                <w:lang w:eastAsia="zh-CN"/>
              </w:rPr>
            </w:pPr>
            <w:r>
              <w:rPr>
                <w:rFonts w:hint="eastAsia"/>
                <w:color w:val="auto"/>
                <w:sz w:val="21"/>
                <w:szCs w:val="21"/>
                <w:highlight w:val="none"/>
                <w:lang w:eastAsia="zh-CN"/>
              </w:rPr>
              <w:t>10</w:t>
            </w:r>
          </w:p>
        </w:tc>
        <w:tc>
          <w:tcPr>
            <w:tcW w:w="2411" w:type="dxa"/>
            <w:vAlign w:val="center"/>
          </w:tcPr>
          <w:p w14:paraId="0302AB06">
            <w:pPr>
              <w:pStyle w:val="163"/>
              <w:spacing w:line="360" w:lineRule="auto"/>
              <w:jc w:val="center"/>
              <w:rPr>
                <w:color w:val="auto"/>
                <w:sz w:val="21"/>
                <w:szCs w:val="21"/>
                <w:highlight w:val="none"/>
              </w:rPr>
            </w:pPr>
            <w:r>
              <w:rPr>
                <w:rFonts w:hint="eastAsia"/>
                <w:color w:val="auto"/>
                <w:spacing w:val="7"/>
                <w:sz w:val="21"/>
                <w:szCs w:val="21"/>
                <w:highlight w:val="none"/>
              </w:rPr>
              <w:t>投标有效期</w:t>
            </w:r>
          </w:p>
        </w:tc>
        <w:tc>
          <w:tcPr>
            <w:tcW w:w="5818" w:type="dxa"/>
            <w:vAlign w:val="center"/>
          </w:tcPr>
          <w:p w14:paraId="1867B18A">
            <w:pPr>
              <w:pStyle w:val="163"/>
              <w:spacing w:line="360" w:lineRule="auto"/>
              <w:ind w:left="105" w:leftChars="50"/>
              <w:rPr>
                <w:color w:val="auto"/>
                <w:kern w:val="0"/>
                <w:sz w:val="21"/>
                <w:szCs w:val="21"/>
                <w:highlight w:val="none"/>
                <w:lang w:eastAsia="zh-CN"/>
              </w:rPr>
            </w:pPr>
            <w:r>
              <w:rPr>
                <w:rFonts w:hint="eastAsia"/>
                <w:color w:val="auto"/>
                <w:kern w:val="0"/>
                <w:sz w:val="21"/>
                <w:szCs w:val="21"/>
                <w:highlight w:val="none"/>
                <w:lang w:eastAsia="zh-CN"/>
              </w:rPr>
              <w:t>符合第二章“投标人须知前附表”第 3.3.1 项规定</w:t>
            </w:r>
          </w:p>
        </w:tc>
      </w:tr>
      <w:tr w14:paraId="61BEA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jc w:val="center"/>
        </w:trPr>
        <w:tc>
          <w:tcPr>
            <w:tcW w:w="750" w:type="dxa"/>
            <w:vAlign w:val="center"/>
          </w:tcPr>
          <w:p w14:paraId="33CF5C2C">
            <w:pPr>
              <w:pStyle w:val="163"/>
              <w:spacing w:line="360" w:lineRule="auto"/>
              <w:jc w:val="center"/>
              <w:rPr>
                <w:color w:val="auto"/>
                <w:sz w:val="21"/>
                <w:szCs w:val="21"/>
                <w:highlight w:val="none"/>
                <w:lang w:eastAsia="zh-CN"/>
              </w:rPr>
            </w:pPr>
            <w:r>
              <w:rPr>
                <w:rFonts w:hint="eastAsia"/>
                <w:color w:val="auto"/>
                <w:spacing w:val="-7"/>
                <w:sz w:val="21"/>
                <w:szCs w:val="21"/>
                <w:highlight w:val="none"/>
              </w:rPr>
              <w:t>1</w:t>
            </w:r>
            <w:r>
              <w:rPr>
                <w:rFonts w:hint="eastAsia"/>
                <w:color w:val="auto"/>
                <w:spacing w:val="-7"/>
                <w:sz w:val="21"/>
                <w:szCs w:val="21"/>
                <w:highlight w:val="none"/>
                <w:lang w:eastAsia="zh-CN"/>
              </w:rPr>
              <w:t>1</w:t>
            </w:r>
          </w:p>
        </w:tc>
        <w:tc>
          <w:tcPr>
            <w:tcW w:w="2411" w:type="dxa"/>
            <w:vAlign w:val="center"/>
          </w:tcPr>
          <w:p w14:paraId="350FCBEB">
            <w:pPr>
              <w:pStyle w:val="163"/>
              <w:spacing w:line="360" w:lineRule="auto"/>
              <w:jc w:val="center"/>
              <w:rPr>
                <w:color w:val="auto"/>
                <w:sz w:val="21"/>
                <w:szCs w:val="21"/>
                <w:highlight w:val="none"/>
              </w:rPr>
            </w:pPr>
            <w:r>
              <w:rPr>
                <w:rFonts w:hint="eastAsia"/>
                <w:color w:val="auto"/>
                <w:spacing w:val="8"/>
                <w:sz w:val="21"/>
                <w:szCs w:val="21"/>
                <w:highlight w:val="none"/>
              </w:rPr>
              <w:t>投标文件签字盖章</w:t>
            </w:r>
          </w:p>
        </w:tc>
        <w:tc>
          <w:tcPr>
            <w:tcW w:w="5818" w:type="dxa"/>
            <w:vAlign w:val="center"/>
          </w:tcPr>
          <w:p w14:paraId="3A0EB83C">
            <w:pPr>
              <w:pStyle w:val="163"/>
              <w:spacing w:line="360" w:lineRule="auto"/>
              <w:ind w:left="105" w:leftChars="50"/>
              <w:rPr>
                <w:color w:val="auto"/>
                <w:kern w:val="0"/>
                <w:sz w:val="21"/>
                <w:szCs w:val="21"/>
                <w:highlight w:val="none"/>
                <w:lang w:eastAsia="zh-CN"/>
              </w:rPr>
            </w:pPr>
            <w:r>
              <w:rPr>
                <w:rFonts w:hint="eastAsia"/>
                <w:color w:val="auto"/>
                <w:kern w:val="0"/>
                <w:sz w:val="21"/>
                <w:szCs w:val="21"/>
                <w:highlight w:val="none"/>
                <w:lang w:eastAsia="zh-CN"/>
              </w:rPr>
              <w:t>符合第二章“投标人须知前附表”第 3.7.3 项规定</w:t>
            </w:r>
          </w:p>
        </w:tc>
      </w:tr>
      <w:tr w14:paraId="38DAB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750" w:type="dxa"/>
            <w:vAlign w:val="center"/>
          </w:tcPr>
          <w:p w14:paraId="69738842">
            <w:pPr>
              <w:pStyle w:val="163"/>
              <w:spacing w:line="360" w:lineRule="auto"/>
              <w:jc w:val="center"/>
              <w:rPr>
                <w:color w:val="auto"/>
                <w:sz w:val="21"/>
                <w:szCs w:val="21"/>
                <w:highlight w:val="none"/>
                <w:lang w:eastAsia="zh-CN"/>
              </w:rPr>
            </w:pPr>
            <w:r>
              <w:rPr>
                <w:rFonts w:hint="eastAsia"/>
                <w:color w:val="auto"/>
                <w:spacing w:val="-7"/>
                <w:sz w:val="21"/>
                <w:szCs w:val="21"/>
                <w:highlight w:val="none"/>
              </w:rPr>
              <w:t>1</w:t>
            </w:r>
            <w:r>
              <w:rPr>
                <w:rFonts w:hint="eastAsia"/>
                <w:color w:val="auto"/>
                <w:spacing w:val="-7"/>
                <w:sz w:val="21"/>
                <w:szCs w:val="21"/>
                <w:highlight w:val="none"/>
                <w:lang w:eastAsia="zh-CN"/>
              </w:rPr>
              <w:t>2</w:t>
            </w:r>
          </w:p>
        </w:tc>
        <w:tc>
          <w:tcPr>
            <w:tcW w:w="2411" w:type="dxa"/>
            <w:vAlign w:val="center"/>
          </w:tcPr>
          <w:p w14:paraId="103F3BC6">
            <w:pPr>
              <w:pStyle w:val="163"/>
              <w:spacing w:line="360" w:lineRule="auto"/>
              <w:jc w:val="center"/>
              <w:rPr>
                <w:color w:val="auto"/>
                <w:sz w:val="21"/>
                <w:szCs w:val="21"/>
                <w:highlight w:val="none"/>
              </w:rPr>
            </w:pPr>
            <w:r>
              <w:rPr>
                <w:rFonts w:hint="eastAsia"/>
                <w:color w:val="auto"/>
                <w:spacing w:val="8"/>
                <w:sz w:val="21"/>
                <w:szCs w:val="21"/>
                <w:highlight w:val="none"/>
              </w:rPr>
              <w:t>报价唯一</w:t>
            </w:r>
          </w:p>
        </w:tc>
        <w:tc>
          <w:tcPr>
            <w:tcW w:w="5818" w:type="dxa"/>
            <w:vAlign w:val="center"/>
          </w:tcPr>
          <w:p w14:paraId="64E4CEB4">
            <w:pPr>
              <w:pStyle w:val="163"/>
              <w:spacing w:line="360" w:lineRule="auto"/>
              <w:ind w:left="105" w:leftChars="50"/>
              <w:rPr>
                <w:color w:val="auto"/>
                <w:kern w:val="0"/>
                <w:sz w:val="21"/>
                <w:szCs w:val="21"/>
                <w:highlight w:val="none"/>
              </w:rPr>
            </w:pPr>
            <w:r>
              <w:rPr>
                <w:rFonts w:hint="eastAsia"/>
                <w:color w:val="auto"/>
                <w:kern w:val="0"/>
                <w:sz w:val="21"/>
                <w:szCs w:val="21"/>
                <w:highlight w:val="none"/>
              </w:rPr>
              <w:t>只能有一个有效报价</w:t>
            </w:r>
          </w:p>
        </w:tc>
      </w:tr>
      <w:tr w14:paraId="210C7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750" w:type="dxa"/>
            <w:vAlign w:val="center"/>
          </w:tcPr>
          <w:p w14:paraId="3A8F0C18">
            <w:pPr>
              <w:pStyle w:val="163"/>
              <w:spacing w:line="360" w:lineRule="auto"/>
              <w:jc w:val="center"/>
              <w:rPr>
                <w:color w:val="auto"/>
                <w:spacing w:val="-7"/>
                <w:sz w:val="21"/>
                <w:szCs w:val="21"/>
                <w:highlight w:val="none"/>
                <w:lang w:eastAsia="zh-CN"/>
              </w:rPr>
            </w:pPr>
            <w:r>
              <w:rPr>
                <w:rFonts w:hint="eastAsia"/>
                <w:color w:val="auto"/>
                <w:spacing w:val="-7"/>
                <w:sz w:val="21"/>
                <w:szCs w:val="21"/>
                <w:highlight w:val="none"/>
                <w:lang w:eastAsia="zh-CN"/>
              </w:rPr>
              <w:t>13</w:t>
            </w:r>
          </w:p>
        </w:tc>
        <w:tc>
          <w:tcPr>
            <w:tcW w:w="2411" w:type="dxa"/>
            <w:vAlign w:val="center"/>
          </w:tcPr>
          <w:p w14:paraId="1CCFC472">
            <w:pPr>
              <w:pStyle w:val="163"/>
              <w:spacing w:line="360" w:lineRule="auto"/>
              <w:jc w:val="center"/>
              <w:rPr>
                <w:color w:val="auto"/>
                <w:spacing w:val="8"/>
                <w:sz w:val="21"/>
                <w:szCs w:val="21"/>
                <w:highlight w:val="none"/>
                <w:lang w:eastAsia="zh-CN"/>
              </w:rPr>
            </w:pPr>
            <w:r>
              <w:rPr>
                <w:rFonts w:hint="eastAsia"/>
                <w:color w:val="auto"/>
                <w:spacing w:val="8"/>
                <w:sz w:val="21"/>
                <w:szCs w:val="21"/>
                <w:highlight w:val="none"/>
                <w:lang w:eastAsia="zh-CN"/>
              </w:rPr>
              <w:t>付款方式</w:t>
            </w:r>
          </w:p>
        </w:tc>
        <w:tc>
          <w:tcPr>
            <w:tcW w:w="5818" w:type="dxa"/>
            <w:vAlign w:val="center"/>
          </w:tcPr>
          <w:p w14:paraId="69B00714">
            <w:pPr>
              <w:pStyle w:val="163"/>
              <w:spacing w:line="360" w:lineRule="auto"/>
              <w:ind w:left="105" w:leftChars="50"/>
              <w:rPr>
                <w:color w:val="auto"/>
                <w:kern w:val="0"/>
                <w:sz w:val="21"/>
                <w:szCs w:val="21"/>
                <w:highlight w:val="none"/>
                <w:lang w:eastAsia="zh-CN"/>
              </w:rPr>
            </w:pPr>
            <w:r>
              <w:rPr>
                <w:rFonts w:hint="eastAsia"/>
                <w:color w:val="auto"/>
                <w:kern w:val="0"/>
                <w:sz w:val="21"/>
                <w:szCs w:val="21"/>
                <w:highlight w:val="none"/>
                <w:lang w:eastAsia="zh-CN"/>
              </w:rPr>
              <w:t>符合第二章“投标人须知前附表”第10.1项规定</w:t>
            </w:r>
          </w:p>
        </w:tc>
      </w:tr>
      <w:tr w14:paraId="304C0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750" w:type="dxa"/>
            <w:vAlign w:val="center"/>
          </w:tcPr>
          <w:p w14:paraId="763AB104">
            <w:pPr>
              <w:pStyle w:val="163"/>
              <w:spacing w:line="360" w:lineRule="auto"/>
              <w:jc w:val="center"/>
              <w:rPr>
                <w:color w:val="auto"/>
                <w:sz w:val="21"/>
                <w:szCs w:val="21"/>
                <w:highlight w:val="none"/>
                <w:lang w:eastAsia="zh-CN"/>
              </w:rPr>
            </w:pPr>
            <w:r>
              <w:rPr>
                <w:rFonts w:hint="eastAsia"/>
                <w:color w:val="auto"/>
                <w:sz w:val="21"/>
                <w:szCs w:val="21"/>
                <w:highlight w:val="none"/>
                <w:lang w:eastAsia="zh-CN"/>
              </w:rPr>
              <w:t>14</w:t>
            </w:r>
          </w:p>
        </w:tc>
        <w:tc>
          <w:tcPr>
            <w:tcW w:w="2411" w:type="dxa"/>
            <w:vAlign w:val="center"/>
          </w:tcPr>
          <w:p w14:paraId="44A5E7A1">
            <w:pPr>
              <w:pStyle w:val="163"/>
              <w:spacing w:before="163" w:line="360" w:lineRule="auto"/>
              <w:jc w:val="center"/>
              <w:rPr>
                <w:color w:val="auto"/>
                <w:sz w:val="21"/>
                <w:szCs w:val="21"/>
                <w:highlight w:val="none"/>
                <w:lang w:eastAsia="zh-CN"/>
              </w:rPr>
            </w:pPr>
            <w:r>
              <w:rPr>
                <w:rFonts w:hint="eastAsia"/>
                <w:color w:val="auto"/>
                <w:spacing w:val="4"/>
                <w:sz w:val="21"/>
                <w:szCs w:val="21"/>
                <w:highlight w:val="none"/>
              </w:rPr>
              <w:t>其他</w:t>
            </w:r>
          </w:p>
        </w:tc>
        <w:tc>
          <w:tcPr>
            <w:tcW w:w="5818" w:type="dxa"/>
            <w:vAlign w:val="center"/>
          </w:tcPr>
          <w:p w14:paraId="2BB3EB06">
            <w:pPr>
              <w:pStyle w:val="163"/>
              <w:spacing w:line="360" w:lineRule="auto"/>
              <w:ind w:left="105" w:leftChars="50"/>
              <w:rPr>
                <w:color w:val="auto"/>
                <w:kern w:val="0"/>
                <w:sz w:val="21"/>
                <w:szCs w:val="21"/>
                <w:highlight w:val="none"/>
                <w:lang w:eastAsia="zh-CN"/>
              </w:rPr>
            </w:pPr>
            <w:r>
              <w:rPr>
                <w:rFonts w:hint="eastAsia"/>
                <w:color w:val="auto"/>
                <w:kern w:val="0"/>
                <w:sz w:val="21"/>
                <w:szCs w:val="21"/>
                <w:highlight w:val="none"/>
                <w:lang w:eastAsia="zh-CN"/>
              </w:rPr>
              <w:t>符合招标文件中规定的其他实质性要求</w:t>
            </w:r>
          </w:p>
        </w:tc>
      </w:tr>
    </w:tbl>
    <w:p w14:paraId="70F60F84">
      <w:pPr>
        <w:pStyle w:val="15"/>
        <w:rPr>
          <w:color w:val="auto"/>
          <w:highlight w:val="none"/>
        </w:rPr>
      </w:pPr>
      <w:bookmarkStart w:id="227" w:name="_Toc281405528"/>
      <w:r>
        <w:rPr>
          <w:rFonts w:hint="eastAsia"/>
          <w:color w:val="auto"/>
          <w:highlight w:val="none"/>
        </w:rPr>
        <w:t>注：以上评审标准未通过的供应商，不得进入下一步评审。</w:t>
      </w:r>
      <w:bookmarkEnd w:id="227"/>
    </w:p>
    <w:p w14:paraId="2ABE25A7">
      <w:pPr>
        <w:rPr>
          <w:rFonts w:ascii="宋体" w:hAnsi="宋体"/>
          <w:b/>
          <w:bCs/>
          <w:color w:val="auto"/>
          <w:sz w:val="22"/>
          <w:szCs w:val="22"/>
          <w:highlight w:val="none"/>
        </w:rPr>
      </w:pPr>
    </w:p>
    <w:p w14:paraId="5BB74451">
      <w:pPr>
        <w:rPr>
          <w:rFonts w:ascii="宋体" w:hAnsi="宋体"/>
          <w:b/>
          <w:bCs/>
          <w:color w:val="auto"/>
          <w:sz w:val="22"/>
          <w:szCs w:val="22"/>
          <w:highlight w:val="none"/>
        </w:rPr>
      </w:pPr>
    </w:p>
    <w:p w14:paraId="20C4D0A9">
      <w:pPr>
        <w:rPr>
          <w:rFonts w:ascii="宋体" w:hAnsi="宋体"/>
          <w:b/>
          <w:bCs/>
          <w:color w:val="auto"/>
          <w:sz w:val="28"/>
          <w:szCs w:val="28"/>
          <w:highlight w:val="none"/>
        </w:rPr>
      </w:pPr>
      <w:r>
        <w:rPr>
          <w:rFonts w:hint="eastAsia" w:ascii="宋体" w:hAnsi="宋体"/>
          <w:b/>
          <w:bCs/>
          <w:color w:val="auto"/>
          <w:sz w:val="28"/>
          <w:szCs w:val="28"/>
          <w:highlight w:val="none"/>
        </w:rPr>
        <w:br w:type="page"/>
      </w:r>
    </w:p>
    <w:p w14:paraId="3985B930">
      <w:pPr>
        <w:jc w:val="center"/>
        <w:rPr>
          <w:rFonts w:ascii="宋体" w:hAnsi="宋体"/>
          <w:b/>
          <w:bCs/>
          <w:color w:val="auto"/>
          <w:sz w:val="28"/>
          <w:szCs w:val="28"/>
          <w:highlight w:val="none"/>
        </w:rPr>
      </w:pPr>
      <w:r>
        <w:rPr>
          <w:rFonts w:hint="eastAsia" w:ascii="宋体" w:hAnsi="宋体"/>
          <w:b/>
          <w:bCs/>
          <w:color w:val="auto"/>
          <w:sz w:val="28"/>
          <w:szCs w:val="28"/>
          <w:highlight w:val="none"/>
        </w:rPr>
        <w:t>详细评审</w:t>
      </w:r>
    </w:p>
    <w:bookmarkEnd w:id="224"/>
    <w:bookmarkEnd w:id="225"/>
    <w:bookmarkEnd w:id="226"/>
    <w:p w14:paraId="5A1E3F73">
      <w:pPr>
        <w:rPr>
          <w:color w:val="auto"/>
          <w:highlight w:val="none"/>
        </w:rPr>
      </w:pPr>
      <w:bookmarkStart w:id="228" w:name="_Toc345178458"/>
      <w:bookmarkStart w:id="229" w:name="_Toc18047"/>
    </w:p>
    <w:bookmarkEnd w:id="228"/>
    <w:bookmarkEnd w:id="229"/>
    <w:tbl>
      <w:tblPr>
        <w:tblStyle w:val="38"/>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843"/>
        <w:gridCol w:w="5828"/>
      </w:tblGrid>
      <w:tr w14:paraId="6A5A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blHeader/>
          <w:jc w:val="center"/>
        </w:trPr>
        <w:tc>
          <w:tcPr>
            <w:tcW w:w="1330" w:type="dxa"/>
            <w:vAlign w:val="center"/>
          </w:tcPr>
          <w:p w14:paraId="557516E3">
            <w:pPr>
              <w:adjustRightInd w:val="0"/>
              <w:snapToGrid w:val="0"/>
              <w:spacing w:line="360" w:lineRule="auto"/>
              <w:jc w:val="center"/>
              <w:rPr>
                <w:rFonts w:ascii="宋体" w:hAnsi="宋体" w:cs="宋体"/>
                <w:b/>
                <w:color w:val="auto"/>
                <w:szCs w:val="21"/>
                <w:highlight w:val="none"/>
              </w:rPr>
            </w:pPr>
            <w:bookmarkStart w:id="230" w:name="_Toc25084"/>
            <w:bookmarkStart w:id="231" w:name="_Toc3358"/>
            <w:r>
              <w:rPr>
                <w:rFonts w:hint="eastAsia" w:ascii="宋体" w:hAnsi="宋体" w:cs="宋体"/>
                <w:b/>
                <w:color w:val="auto"/>
                <w:szCs w:val="21"/>
                <w:highlight w:val="none"/>
              </w:rPr>
              <w:t>分值构成</w:t>
            </w:r>
          </w:p>
        </w:tc>
        <w:tc>
          <w:tcPr>
            <w:tcW w:w="1843" w:type="dxa"/>
            <w:vAlign w:val="center"/>
          </w:tcPr>
          <w:p w14:paraId="07FBE2D4">
            <w:pPr>
              <w:adjustRightInd w:val="0"/>
              <w:snapToGrid w:val="0"/>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评审因素</w:t>
            </w:r>
          </w:p>
        </w:tc>
        <w:tc>
          <w:tcPr>
            <w:tcW w:w="5828" w:type="dxa"/>
            <w:vAlign w:val="center"/>
          </w:tcPr>
          <w:p w14:paraId="653982C1">
            <w:pPr>
              <w:adjustRightInd w:val="0"/>
              <w:snapToGrid w:val="0"/>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评审标准</w:t>
            </w:r>
          </w:p>
        </w:tc>
      </w:tr>
      <w:tr w14:paraId="74E4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330" w:type="dxa"/>
            <w:vAlign w:val="center"/>
          </w:tcPr>
          <w:p w14:paraId="1D6EBAC4">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投标报价</w:t>
            </w:r>
          </w:p>
          <w:p w14:paraId="3BFFBD7B">
            <w:pPr>
              <w:adjustRightInd w:val="0"/>
              <w:snapToGrid w:val="0"/>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（30分）</w:t>
            </w:r>
          </w:p>
        </w:tc>
        <w:tc>
          <w:tcPr>
            <w:tcW w:w="1843" w:type="dxa"/>
            <w:vAlign w:val="center"/>
          </w:tcPr>
          <w:p w14:paraId="5D14EE13">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投标报价</w:t>
            </w:r>
          </w:p>
          <w:p w14:paraId="06FE394E">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得分（30分）</w:t>
            </w:r>
          </w:p>
        </w:tc>
        <w:tc>
          <w:tcPr>
            <w:tcW w:w="5828" w:type="dxa"/>
            <w:vAlign w:val="center"/>
          </w:tcPr>
          <w:p w14:paraId="61E9161D">
            <w:pPr>
              <w:adjustRightInd w:val="0"/>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采用低价优先法计算，即满足招标文件要求且投标价格最低的投标报价为评标基准价，其价格分为满分，其他供应商的价格分统一按照下列公式计算：</w:t>
            </w:r>
          </w:p>
          <w:p w14:paraId="460239E4">
            <w:pPr>
              <w:adjustRightInd w:val="0"/>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报价得分=（评标基准价/投标报价）×30</w:t>
            </w:r>
          </w:p>
          <w:p w14:paraId="5E73B41F">
            <w:pPr>
              <w:adjustRightInd w:val="0"/>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意：1.本项目非专门面向中小企业采购，若供应商为符合政府采购政策价格扣除的小型及微型企业，应提交信息完整有效的《中小企业声明函》。若不能提供，则视为非小微型企业，价格不予扣除，残疾人福利企业、监狱企业视同小型、微型企业。小微企业、监狱企业、</w:t>
            </w:r>
            <w:r>
              <w:rPr>
                <w:rFonts w:hint="eastAsia" w:asciiTheme="minorEastAsia" w:hAnsiTheme="minorEastAsia" w:eastAsiaTheme="minorEastAsia" w:cstheme="minorEastAsia"/>
                <w:color w:val="auto"/>
                <w:kern w:val="0"/>
                <w:szCs w:val="21"/>
                <w:highlight w:val="none"/>
              </w:rPr>
              <w:t>残疾人福利性单位</w:t>
            </w:r>
            <w:r>
              <w:rPr>
                <w:rFonts w:hint="eastAsia" w:asciiTheme="minorEastAsia" w:hAnsiTheme="minorEastAsia" w:eastAsiaTheme="minorEastAsia" w:cstheme="minorEastAsia"/>
                <w:color w:val="auto"/>
                <w:szCs w:val="21"/>
                <w:highlight w:val="none"/>
              </w:rPr>
              <w:t>产品只给予一次价格扣除，不重复给予价格扣除。本项目对属于小微型企业的投标报价给予</w:t>
            </w:r>
            <w:r>
              <w:rPr>
                <w:rFonts w:hint="eastAsia" w:asciiTheme="minorEastAsia" w:hAnsiTheme="minorEastAsia" w:eastAsiaTheme="minorEastAsia" w:cstheme="minorEastAsia"/>
                <w:b/>
                <w:bCs/>
                <w:color w:val="auto"/>
                <w:szCs w:val="21"/>
                <w:highlight w:val="none"/>
              </w:rPr>
              <w:t>10%</w:t>
            </w:r>
            <w:r>
              <w:rPr>
                <w:rFonts w:hint="eastAsia" w:asciiTheme="minorEastAsia" w:hAnsiTheme="minorEastAsia" w:eastAsiaTheme="minorEastAsia" w:cstheme="minorEastAsia"/>
                <w:color w:val="auto"/>
                <w:szCs w:val="21"/>
                <w:highlight w:val="none"/>
              </w:rPr>
              <w:t>的价格扣除。</w:t>
            </w:r>
          </w:p>
          <w:p w14:paraId="17D1F05E">
            <w:pPr>
              <w:adjustRightInd w:val="0"/>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2.政府采购活动中既有本国产品又有非本国产品参与竞争的，依法对本国产品给予价格评审优惠，对本国产品的报价给予</w:t>
            </w:r>
            <w:r>
              <w:rPr>
                <w:rFonts w:hint="eastAsia" w:asciiTheme="minorEastAsia" w:hAnsiTheme="minorEastAsia" w:eastAsiaTheme="minorEastAsia" w:cstheme="minorEastAsia"/>
                <w:b/>
                <w:bCs/>
                <w:color w:val="auto"/>
                <w:szCs w:val="21"/>
                <w:highlight w:val="none"/>
              </w:rPr>
              <w:t>20%</w:t>
            </w:r>
            <w:r>
              <w:rPr>
                <w:rFonts w:hint="eastAsia" w:asciiTheme="minorEastAsia" w:hAnsiTheme="minorEastAsia" w:eastAsiaTheme="minorEastAsia" w:cstheme="minorEastAsia"/>
                <w:color w:val="auto"/>
                <w:szCs w:val="21"/>
                <w:highlight w:val="none"/>
              </w:rPr>
              <w:t>的价格扣除，用扣除后的价格参与评审。</w:t>
            </w:r>
          </w:p>
          <w:p w14:paraId="6BFEF739">
            <w:pPr>
              <w:adjustRightInd w:val="0"/>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产品在中国境内生产的组件成本，按照《中国境内生产的组件成本核算基本规则》（见附件）计算。供应商对其提供的产品出具《关于符合本国产品标准的声明函》（样式见附件，出具符合要求的《声明函》或有关证明文件的，该产品视为本国产品。</w:t>
            </w:r>
          </w:p>
          <w:p w14:paraId="74B71D77">
            <w:pPr>
              <w:adjustRightInd w:val="0"/>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3.上述1-2项政府采购政策对于价格的评审优惠可累计扣除。</w:t>
            </w:r>
          </w:p>
          <w:p w14:paraId="2F5F44F0">
            <w:pPr>
              <w:adjustRightInd w:val="0"/>
              <w:snapToGrid w:val="0"/>
              <w:spacing w:line="360" w:lineRule="auto"/>
              <w:ind w:firstLine="420" w:firstLineChars="200"/>
              <w:jc w:val="left"/>
              <w:rPr>
                <w:rFonts w:ascii="宋体" w:hAnsi="宋体" w:cs="宋体"/>
                <w:color w:val="auto"/>
                <w:szCs w:val="21"/>
                <w:highlight w:val="none"/>
              </w:rPr>
            </w:pPr>
            <w:r>
              <w:rPr>
                <w:rFonts w:hint="eastAsia" w:asciiTheme="minorEastAsia" w:hAnsiTheme="minorEastAsia" w:eastAsiaTheme="minorEastAsia" w:cstheme="minorEastAsia"/>
                <w:color w:val="auto"/>
                <w:szCs w:val="21"/>
                <w:highlight w:val="none"/>
              </w:rPr>
              <w:t>4.评标委员会认为供应商的报价明显低于其他通过初步审查供应商的报价，有可能影响产品质量或者不能诚信履约的，应当要求其在评标现场合理的时间内提供书面说明，必要时提交相关证明材料；供应商不能证明其报价合理性的或未在规定时间内提供的，评标委员会应当将其作无效投标处理。</w:t>
            </w:r>
            <w:r>
              <w:rPr>
                <w:rFonts w:hint="eastAsia" w:asciiTheme="minorEastAsia" w:hAnsiTheme="minorEastAsia" w:eastAsiaTheme="minorEastAsia" w:cstheme="minorEastAsia"/>
                <w:b/>
                <w:bCs/>
                <w:color w:val="auto"/>
                <w:szCs w:val="21"/>
                <w:highlight w:val="none"/>
              </w:rPr>
              <w:t>评审委员会启动异常低价投标（响应）审查程序详见4.1.4。</w:t>
            </w:r>
          </w:p>
        </w:tc>
      </w:tr>
      <w:tr w14:paraId="789B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1330" w:type="dxa"/>
            <w:vMerge w:val="restart"/>
            <w:vAlign w:val="center"/>
          </w:tcPr>
          <w:p w14:paraId="7A88D4FA">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商务部分</w:t>
            </w:r>
          </w:p>
          <w:p w14:paraId="6E5F6272">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（15分）</w:t>
            </w:r>
          </w:p>
        </w:tc>
        <w:tc>
          <w:tcPr>
            <w:tcW w:w="1843" w:type="dxa"/>
            <w:vAlign w:val="center"/>
          </w:tcPr>
          <w:p w14:paraId="5C509158">
            <w:pPr>
              <w:adjustRightInd w:val="0"/>
              <w:snapToGrid w:val="0"/>
              <w:spacing w:line="440" w:lineRule="exact"/>
              <w:jc w:val="center"/>
              <w:rPr>
                <w:rFonts w:ascii="宋体" w:hAnsi="宋体" w:cs="宋体"/>
                <w:color w:val="auto"/>
                <w:szCs w:val="21"/>
                <w:highlight w:val="none"/>
              </w:rPr>
            </w:pPr>
            <w:r>
              <w:rPr>
                <w:rFonts w:hint="eastAsia" w:ascii="宋体" w:hAnsi="宋体" w:cs="宋体"/>
                <w:bCs/>
                <w:color w:val="auto"/>
                <w:highlight w:val="none"/>
              </w:rPr>
              <w:t>体系证书（1分）</w:t>
            </w:r>
          </w:p>
        </w:tc>
        <w:tc>
          <w:tcPr>
            <w:tcW w:w="5828" w:type="dxa"/>
            <w:vAlign w:val="center"/>
          </w:tcPr>
          <w:p w14:paraId="19E4C665">
            <w:pPr>
              <w:adjustRightInd w:val="0"/>
              <w:snapToGrid w:val="0"/>
              <w:spacing w:line="440" w:lineRule="exact"/>
              <w:rPr>
                <w:rFonts w:ascii="宋体" w:hAnsi="宋体" w:cs="宋体"/>
                <w:color w:val="auto"/>
                <w:szCs w:val="21"/>
                <w:highlight w:val="none"/>
              </w:rPr>
            </w:pPr>
            <w:r>
              <w:rPr>
                <w:rFonts w:hint="eastAsia" w:ascii="宋体" w:hAnsi="宋体" w:cs="宋体"/>
                <w:color w:val="auto"/>
                <w:kern w:val="0"/>
                <w:highlight w:val="none"/>
              </w:rPr>
              <w:t>投标产品生产厂商具有有效的质量管理体系认证证书、环境管理体系认证证书、职业健康安全管理体系认证证书，上述证书提供齐全者得1分，缺项不得分。（投标文件中提供证书的扫描件，附网页查询截图并加盖企业电子章）</w:t>
            </w:r>
          </w:p>
        </w:tc>
      </w:tr>
      <w:tr w14:paraId="7964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330" w:type="dxa"/>
            <w:vMerge w:val="continue"/>
            <w:vAlign w:val="center"/>
          </w:tcPr>
          <w:p w14:paraId="0E05F1AA">
            <w:pPr>
              <w:adjustRightInd w:val="0"/>
              <w:snapToGrid w:val="0"/>
              <w:spacing w:line="360" w:lineRule="auto"/>
              <w:jc w:val="center"/>
              <w:rPr>
                <w:rFonts w:ascii="宋体" w:hAnsi="宋体" w:cs="宋体"/>
                <w:color w:val="auto"/>
                <w:szCs w:val="21"/>
                <w:highlight w:val="none"/>
              </w:rPr>
            </w:pPr>
          </w:p>
        </w:tc>
        <w:tc>
          <w:tcPr>
            <w:tcW w:w="1843" w:type="dxa"/>
            <w:vAlign w:val="center"/>
          </w:tcPr>
          <w:p w14:paraId="1514AFE5">
            <w:pPr>
              <w:adjustRightInd w:val="0"/>
              <w:snapToGrid w:val="0"/>
              <w:spacing w:line="440" w:lineRule="exact"/>
              <w:jc w:val="center"/>
              <w:textAlignment w:val="center"/>
              <w:rPr>
                <w:rFonts w:ascii="宋体" w:hAnsi="宋体" w:cs="宋体"/>
                <w:color w:val="auto"/>
                <w:szCs w:val="21"/>
                <w:highlight w:val="none"/>
              </w:rPr>
            </w:pPr>
            <w:r>
              <w:rPr>
                <w:rFonts w:hint="eastAsia" w:ascii="宋体" w:hAnsi="宋体" w:cs="宋体"/>
                <w:color w:val="auto"/>
                <w:highlight w:val="none"/>
                <w:lang w:val="zh-CN"/>
              </w:rPr>
              <w:t>业绩要求（</w:t>
            </w:r>
            <w:r>
              <w:rPr>
                <w:rFonts w:hint="eastAsia" w:ascii="宋体" w:hAnsi="宋体" w:cs="宋体"/>
                <w:color w:val="auto"/>
                <w:highlight w:val="none"/>
              </w:rPr>
              <w:t>3分</w:t>
            </w:r>
            <w:r>
              <w:rPr>
                <w:rFonts w:hint="eastAsia" w:ascii="宋体" w:hAnsi="宋体" w:cs="宋体"/>
                <w:color w:val="auto"/>
                <w:highlight w:val="none"/>
                <w:lang w:val="zh-CN"/>
              </w:rPr>
              <w:t>）</w:t>
            </w:r>
          </w:p>
        </w:tc>
        <w:tc>
          <w:tcPr>
            <w:tcW w:w="5828" w:type="dxa"/>
            <w:vAlign w:val="center"/>
          </w:tcPr>
          <w:p w14:paraId="55ACB351">
            <w:pPr>
              <w:adjustRightInd w:val="0"/>
              <w:snapToGrid w:val="0"/>
              <w:spacing w:line="440" w:lineRule="exact"/>
              <w:jc w:val="left"/>
              <w:textAlignment w:val="center"/>
              <w:rPr>
                <w:rFonts w:ascii="宋体" w:hAnsi="宋体" w:cs="宋体"/>
                <w:color w:val="auto"/>
                <w:highlight w:val="none"/>
              </w:rPr>
            </w:pPr>
            <w:r>
              <w:rPr>
                <w:rFonts w:hint="eastAsia" w:ascii="宋体" w:hAnsi="宋体" w:cs="宋体"/>
                <w:color w:val="auto"/>
                <w:highlight w:val="none"/>
              </w:rPr>
              <w:t>供应商提供2023年1月1日（以合同签订日期为准）以来同类项目供货业绩合同，每提供一份得1分，本项最高得3分。</w:t>
            </w:r>
          </w:p>
          <w:p w14:paraId="5D67FD12">
            <w:pPr>
              <w:adjustRightInd w:val="0"/>
              <w:snapToGrid w:val="0"/>
              <w:spacing w:line="440" w:lineRule="exact"/>
              <w:jc w:val="left"/>
              <w:textAlignment w:val="center"/>
              <w:rPr>
                <w:rFonts w:ascii="宋体" w:hAnsi="宋体" w:cs="宋体"/>
                <w:color w:val="auto"/>
                <w:szCs w:val="21"/>
                <w:highlight w:val="none"/>
              </w:rPr>
            </w:pPr>
            <w:r>
              <w:rPr>
                <w:rFonts w:hint="eastAsia" w:ascii="宋体" w:hAnsi="宋体" w:cs="宋体"/>
                <w:b/>
                <w:bCs/>
                <w:color w:val="auto"/>
                <w:highlight w:val="none"/>
              </w:rPr>
              <w:t>注：投标文件中需提供验收报告及合同，合同包括合同内容页、盖章页扫描件加盖企业电子章，否则不得分。</w:t>
            </w:r>
          </w:p>
        </w:tc>
      </w:tr>
      <w:tr w14:paraId="2BEF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30" w:type="dxa"/>
            <w:vMerge w:val="continue"/>
            <w:vAlign w:val="center"/>
          </w:tcPr>
          <w:p w14:paraId="1FFA64C3">
            <w:pPr>
              <w:adjustRightInd w:val="0"/>
              <w:snapToGrid w:val="0"/>
              <w:spacing w:line="360" w:lineRule="auto"/>
              <w:jc w:val="center"/>
              <w:rPr>
                <w:rFonts w:ascii="宋体" w:hAnsi="宋体" w:cs="宋体"/>
                <w:color w:val="auto"/>
                <w:szCs w:val="21"/>
                <w:highlight w:val="none"/>
              </w:rPr>
            </w:pPr>
          </w:p>
        </w:tc>
        <w:tc>
          <w:tcPr>
            <w:tcW w:w="1843" w:type="dxa"/>
            <w:vAlign w:val="center"/>
          </w:tcPr>
          <w:p w14:paraId="63F85D89">
            <w:pPr>
              <w:adjustRightInd w:val="0"/>
              <w:snapToGrid w:val="0"/>
              <w:spacing w:line="440" w:lineRule="exact"/>
              <w:jc w:val="center"/>
              <w:textAlignment w:val="center"/>
              <w:rPr>
                <w:rFonts w:ascii="宋体" w:hAnsi="宋体" w:cs="宋体"/>
                <w:color w:val="auto"/>
                <w:szCs w:val="21"/>
                <w:highlight w:val="none"/>
              </w:rPr>
            </w:pPr>
            <w:r>
              <w:rPr>
                <w:rFonts w:hint="eastAsia" w:ascii="宋体" w:hAnsi="宋体" w:cs="宋体"/>
                <w:color w:val="auto"/>
                <w:highlight w:val="none"/>
                <w:lang w:val="zh-CN"/>
              </w:rPr>
              <w:t>质保期（</w:t>
            </w:r>
            <w:r>
              <w:rPr>
                <w:rFonts w:hint="eastAsia" w:ascii="宋体" w:hAnsi="宋体" w:cs="宋体"/>
                <w:color w:val="auto"/>
                <w:highlight w:val="none"/>
              </w:rPr>
              <w:t>2分</w:t>
            </w:r>
            <w:r>
              <w:rPr>
                <w:rFonts w:hint="eastAsia" w:ascii="宋体" w:hAnsi="宋体" w:cs="宋体"/>
                <w:color w:val="auto"/>
                <w:highlight w:val="none"/>
                <w:lang w:val="zh-CN"/>
              </w:rPr>
              <w:t>）</w:t>
            </w:r>
          </w:p>
        </w:tc>
        <w:tc>
          <w:tcPr>
            <w:tcW w:w="5828" w:type="dxa"/>
            <w:vAlign w:val="center"/>
          </w:tcPr>
          <w:p w14:paraId="4A2942A9">
            <w:pPr>
              <w:adjustRightInd w:val="0"/>
              <w:snapToGrid w:val="0"/>
              <w:spacing w:line="440" w:lineRule="exact"/>
              <w:jc w:val="left"/>
              <w:textAlignment w:val="center"/>
              <w:rPr>
                <w:rFonts w:ascii="宋体" w:hAnsi="宋体" w:cs="宋体"/>
                <w:color w:val="auto"/>
                <w:szCs w:val="21"/>
                <w:highlight w:val="none"/>
              </w:rPr>
            </w:pPr>
            <w:r>
              <w:rPr>
                <w:rFonts w:hint="eastAsia" w:ascii="宋体" w:hAnsi="宋体" w:cs="宋体"/>
                <w:color w:val="auto"/>
                <w:kern w:val="0"/>
                <w:szCs w:val="21"/>
                <w:highlight w:val="none"/>
              </w:rPr>
              <w:t>承诺</w:t>
            </w:r>
            <w:r>
              <w:rPr>
                <w:rFonts w:hint="eastAsia" w:ascii="宋体" w:hAnsi="宋体" w:cs="宋体"/>
                <w:b/>
                <w:bCs/>
                <w:color w:val="auto"/>
                <w:kern w:val="0"/>
                <w:szCs w:val="21"/>
                <w:highlight w:val="none"/>
              </w:rPr>
              <w:t>所有投标产品</w:t>
            </w:r>
            <w:r>
              <w:rPr>
                <w:rFonts w:hint="eastAsia" w:ascii="宋体" w:hAnsi="宋体" w:cs="宋体"/>
                <w:color w:val="auto"/>
                <w:kern w:val="0"/>
                <w:szCs w:val="21"/>
                <w:highlight w:val="none"/>
              </w:rPr>
              <w:t>在满足招标文件整体质保期要求（验收合格后原厂质保一年（自验收合格之日起计算）</w:t>
            </w:r>
            <w:r>
              <w:rPr>
                <w:rFonts w:hint="eastAsia" w:ascii="宋体" w:hAnsi="宋体" w:cs="宋体"/>
                <w:color w:val="auto"/>
                <w:kern w:val="0"/>
                <w:highlight w:val="none"/>
              </w:rPr>
              <w:t>的基础上每增加1年</w:t>
            </w:r>
            <w:r>
              <w:rPr>
                <w:rFonts w:hint="eastAsia" w:cs="宋体"/>
                <w:color w:val="auto"/>
                <w:kern w:val="0"/>
                <w:highlight w:val="none"/>
              </w:rPr>
              <w:t>质保期</w:t>
            </w:r>
            <w:r>
              <w:rPr>
                <w:rFonts w:hint="eastAsia" w:ascii="宋体" w:hAnsi="宋体" w:cs="宋体"/>
                <w:color w:val="auto"/>
                <w:kern w:val="0"/>
                <w:highlight w:val="none"/>
              </w:rPr>
              <w:t>的得1分，最多得2分。</w:t>
            </w:r>
          </w:p>
        </w:tc>
      </w:tr>
      <w:tr w14:paraId="51D4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330" w:type="dxa"/>
            <w:vMerge w:val="continue"/>
            <w:vAlign w:val="center"/>
          </w:tcPr>
          <w:p w14:paraId="114AF444">
            <w:pPr>
              <w:adjustRightInd w:val="0"/>
              <w:snapToGrid w:val="0"/>
              <w:spacing w:line="360" w:lineRule="auto"/>
              <w:jc w:val="center"/>
              <w:rPr>
                <w:rFonts w:ascii="宋体" w:hAnsi="宋体" w:cs="宋体"/>
                <w:color w:val="auto"/>
                <w:szCs w:val="21"/>
                <w:highlight w:val="none"/>
              </w:rPr>
            </w:pPr>
          </w:p>
        </w:tc>
        <w:tc>
          <w:tcPr>
            <w:tcW w:w="1843" w:type="dxa"/>
            <w:shd w:val="clear" w:color="auto" w:fill="auto"/>
            <w:vAlign w:val="center"/>
          </w:tcPr>
          <w:p w14:paraId="50386D9B">
            <w:pPr>
              <w:adjustRightInd w:val="0"/>
              <w:snapToGrid w:val="0"/>
              <w:spacing w:line="440" w:lineRule="exact"/>
              <w:jc w:val="center"/>
              <w:rPr>
                <w:rFonts w:ascii="宋体" w:hAnsi="宋体" w:cs="宋体"/>
                <w:color w:val="auto"/>
                <w:highlight w:val="none"/>
              </w:rPr>
            </w:pPr>
            <w:r>
              <w:rPr>
                <w:rFonts w:hint="eastAsia" w:ascii="宋体" w:hAnsi="宋体" w:cs="宋体"/>
                <w:color w:val="auto"/>
                <w:highlight w:val="none"/>
              </w:rPr>
              <w:t>人员配备方案</w:t>
            </w:r>
          </w:p>
          <w:p w14:paraId="038981BD">
            <w:pPr>
              <w:adjustRightInd w:val="0"/>
              <w:snapToGrid w:val="0"/>
              <w:spacing w:line="440" w:lineRule="exact"/>
              <w:jc w:val="center"/>
              <w:rPr>
                <w:rFonts w:ascii="宋体" w:hAnsi="宋体" w:cs="宋体"/>
                <w:color w:val="auto"/>
                <w:highlight w:val="none"/>
              </w:rPr>
            </w:pPr>
            <w:r>
              <w:rPr>
                <w:rFonts w:hint="eastAsia" w:ascii="宋体" w:hAnsi="宋体" w:cs="宋体"/>
                <w:color w:val="auto"/>
                <w:highlight w:val="none"/>
              </w:rPr>
              <w:t>(3分)</w:t>
            </w:r>
          </w:p>
        </w:tc>
        <w:tc>
          <w:tcPr>
            <w:tcW w:w="5828" w:type="dxa"/>
            <w:shd w:val="clear" w:color="auto" w:fill="auto"/>
            <w:vAlign w:val="center"/>
          </w:tcPr>
          <w:p w14:paraId="651CD28A">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根据各供应商提供的人员配备方案，包括但不限于在项目对接、供货、安装调试、验收、售后、备品备件及易损件的供应、培训等各个阶段的项目组织管理、人员及机构设置。按以下标准进行评审：</w:t>
            </w:r>
          </w:p>
          <w:p w14:paraId="7E57934B">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1.供应商提供详细的项目组织管理、人员及机构设置，内容齐全且详细、人员力量配备充足、全面且专业得3分；</w:t>
            </w:r>
          </w:p>
          <w:p w14:paraId="7B3311E6">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2.供应商提供项目组织管理、人员及机构设置</w:t>
            </w:r>
            <w:r>
              <w:rPr>
                <w:rFonts w:hint="eastAsia" w:ascii="宋体" w:hAnsi="宋体" w:cs="宋体"/>
                <w:bCs/>
                <w:color w:val="auto"/>
                <w:highlight w:val="none"/>
              </w:rPr>
              <w:t>个别细节需要完善的，</w:t>
            </w:r>
            <w:r>
              <w:rPr>
                <w:rFonts w:hint="eastAsia" w:ascii="宋体" w:hAnsi="宋体" w:cs="宋体"/>
                <w:color w:val="auto"/>
                <w:highlight w:val="none"/>
              </w:rPr>
              <w:t>得2分；</w:t>
            </w:r>
          </w:p>
          <w:p w14:paraId="0F2C85EF">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3.</w:t>
            </w:r>
            <w:r>
              <w:rPr>
                <w:rFonts w:hint="eastAsia" w:ascii="宋体" w:hAnsi="宋体" w:cs="宋体"/>
                <w:bCs/>
                <w:color w:val="auto"/>
                <w:highlight w:val="none"/>
              </w:rPr>
              <w:t>方案描述详细基本明确、完整、合理，多处内容需要完善的，</w:t>
            </w:r>
            <w:r>
              <w:rPr>
                <w:rFonts w:hint="eastAsia" w:ascii="宋体" w:hAnsi="宋体" w:cs="宋体"/>
                <w:color w:val="auto"/>
                <w:highlight w:val="none"/>
              </w:rPr>
              <w:t>得1分；</w:t>
            </w:r>
          </w:p>
          <w:p w14:paraId="5236DA52">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4.不提供的不得分。</w:t>
            </w:r>
          </w:p>
        </w:tc>
      </w:tr>
      <w:tr w14:paraId="1ECA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330" w:type="dxa"/>
            <w:vMerge w:val="continue"/>
            <w:vAlign w:val="center"/>
          </w:tcPr>
          <w:p w14:paraId="52FA73CB">
            <w:pPr>
              <w:adjustRightInd w:val="0"/>
              <w:snapToGrid w:val="0"/>
              <w:spacing w:line="360" w:lineRule="auto"/>
              <w:rPr>
                <w:rFonts w:ascii="宋体" w:hAnsi="宋体" w:cs="宋体"/>
                <w:color w:val="auto"/>
                <w:szCs w:val="21"/>
                <w:highlight w:val="none"/>
              </w:rPr>
            </w:pPr>
          </w:p>
        </w:tc>
        <w:tc>
          <w:tcPr>
            <w:tcW w:w="1843" w:type="dxa"/>
            <w:vAlign w:val="center"/>
          </w:tcPr>
          <w:p w14:paraId="6D3906BD">
            <w:pPr>
              <w:adjustRightInd w:val="0"/>
              <w:snapToGrid w:val="0"/>
              <w:spacing w:line="440" w:lineRule="exact"/>
              <w:jc w:val="center"/>
              <w:rPr>
                <w:rFonts w:ascii="宋体" w:hAnsi="宋体" w:cs="宋体"/>
                <w:color w:val="auto"/>
                <w:szCs w:val="21"/>
                <w:highlight w:val="none"/>
              </w:rPr>
            </w:pPr>
            <w:r>
              <w:rPr>
                <w:rFonts w:hint="eastAsia" w:ascii="宋体" w:hAnsi="宋体" w:cs="宋体"/>
                <w:color w:val="auto"/>
                <w:kern w:val="0"/>
                <w:highlight w:val="none"/>
              </w:rPr>
              <w:t>质保期内售后服务（3分）</w:t>
            </w:r>
          </w:p>
        </w:tc>
        <w:tc>
          <w:tcPr>
            <w:tcW w:w="5828" w:type="dxa"/>
            <w:vAlign w:val="center"/>
          </w:tcPr>
          <w:p w14:paraId="3FC47240">
            <w:pPr>
              <w:adjustRightInd w:val="0"/>
              <w:snapToGrid w:val="0"/>
              <w:spacing w:line="440" w:lineRule="exact"/>
              <w:rPr>
                <w:rFonts w:ascii="宋体" w:hAnsi="宋体" w:cs="宋体"/>
                <w:color w:val="auto"/>
                <w:kern w:val="0"/>
                <w:highlight w:val="none"/>
              </w:rPr>
            </w:pPr>
            <w:r>
              <w:rPr>
                <w:rFonts w:hint="eastAsia" w:ascii="宋体" w:hAnsi="宋体" w:cs="宋体"/>
                <w:color w:val="auto"/>
                <w:kern w:val="0"/>
                <w:highlight w:val="none"/>
              </w:rPr>
              <w:t>根据各供应商提供的质保期内售后服务方案，包括但不限于质保期内技术支持和服务的内容、形式、定期检测、故障响应及排除、应急维修措施、技术升级服务、备品备件配备情况等。按以下标准进行评审：</w:t>
            </w:r>
          </w:p>
          <w:p w14:paraId="6E5FE92C">
            <w:pPr>
              <w:adjustRightInd w:val="0"/>
              <w:snapToGrid w:val="0"/>
              <w:spacing w:line="440" w:lineRule="exact"/>
              <w:rPr>
                <w:rFonts w:ascii="宋体" w:hAnsi="宋体" w:cs="宋体"/>
                <w:color w:val="auto"/>
                <w:kern w:val="0"/>
                <w:highlight w:val="none"/>
              </w:rPr>
            </w:pPr>
            <w:r>
              <w:rPr>
                <w:rFonts w:hint="eastAsia" w:ascii="宋体" w:hAnsi="宋体" w:cs="宋体"/>
                <w:color w:val="auto"/>
                <w:kern w:val="0"/>
                <w:highlight w:val="none"/>
              </w:rPr>
              <w:t>1.供应商提供的质保期内售后服务方案内容完整、考虑全面周到，形式灵活、多样，响应及时，完全满足或优于采购人需求，得3分；</w:t>
            </w:r>
          </w:p>
          <w:p w14:paraId="70813AB6">
            <w:pPr>
              <w:adjustRightInd w:val="0"/>
              <w:snapToGrid w:val="0"/>
              <w:spacing w:line="440" w:lineRule="exact"/>
              <w:rPr>
                <w:rFonts w:ascii="宋体" w:hAnsi="宋体" w:cs="宋体"/>
                <w:color w:val="auto"/>
                <w:kern w:val="0"/>
                <w:highlight w:val="none"/>
              </w:rPr>
            </w:pPr>
            <w:r>
              <w:rPr>
                <w:rFonts w:hint="eastAsia" w:ascii="宋体" w:hAnsi="宋体" w:cs="宋体"/>
                <w:color w:val="auto"/>
                <w:kern w:val="0"/>
                <w:highlight w:val="none"/>
              </w:rPr>
              <w:t>2.供应商提供的质保期内售后服务方案内容较完整、全面、详细，形式灵活、多样，比较满足采购人需求，得2分；</w:t>
            </w:r>
          </w:p>
          <w:p w14:paraId="28B65087">
            <w:pPr>
              <w:adjustRightInd w:val="0"/>
              <w:snapToGrid w:val="0"/>
              <w:spacing w:line="440" w:lineRule="exact"/>
              <w:rPr>
                <w:rFonts w:ascii="宋体" w:hAnsi="宋体" w:cs="宋体"/>
                <w:color w:val="auto"/>
                <w:kern w:val="0"/>
                <w:highlight w:val="none"/>
              </w:rPr>
            </w:pPr>
            <w:r>
              <w:rPr>
                <w:rFonts w:hint="eastAsia" w:ascii="宋体" w:hAnsi="宋体" w:cs="宋体"/>
                <w:color w:val="auto"/>
                <w:kern w:val="0"/>
                <w:highlight w:val="none"/>
              </w:rPr>
              <w:t>3.供应商提供的质保期内售后服务方案内容完整性、全面性、详细性一般，形式灵活性、多样性一般， 得1分；</w:t>
            </w:r>
          </w:p>
          <w:p w14:paraId="753C20FC">
            <w:pPr>
              <w:adjustRightInd w:val="0"/>
              <w:snapToGrid w:val="0"/>
              <w:spacing w:line="440" w:lineRule="exact"/>
              <w:rPr>
                <w:rFonts w:ascii="宋体" w:hAnsi="宋体" w:cs="宋体"/>
                <w:b/>
                <w:bCs/>
                <w:snapToGrid w:val="0"/>
                <w:color w:val="auto"/>
                <w:szCs w:val="21"/>
                <w:highlight w:val="none"/>
                <w:lang w:bidi="zh-CN"/>
              </w:rPr>
            </w:pPr>
            <w:r>
              <w:rPr>
                <w:rFonts w:hint="eastAsia" w:ascii="宋体" w:hAnsi="宋体" w:cs="宋体"/>
                <w:color w:val="auto"/>
                <w:kern w:val="0"/>
                <w:highlight w:val="none"/>
              </w:rPr>
              <w:t>4.不提供的不得分。</w:t>
            </w:r>
          </w:p>
        </w:tc>
      </w:tr>
      <w:tr w14:paraId="0032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330" w:type="dxa"/>
            <w:vMerge w:val="continue"/>
            <w:vAlign w:val="center"/>
          </w:tcPr>
          <w:p w14:paraId="5198DA27">
            <w:pPr>
              <w:adjustRightInd w:val="0"/>
              <w:snapToGrid w:val="0"/>
              <w:spacing w:line="360" w:lineRule="auto"/>
              <w:rPr>
                <w:rFonts w:ascii="宋体" w:hAnsi="宋体" w:cs="宋体"/>
                <w:color w:val="auto"/>
                <w:szCs w:val="21"/>
                <w:highlight w:val="none"/>
              </w:rPr>
            </w:pPr>
          </w:p>
        </w:tc>
        <w:tc>
          <w:tcPr>
            <w:tcW w:w="1843" w:type="dxa"/>
            <w:vAlign w:val="center"/>
          </w:tcPr>
          <w:p w14:paraId="6FF5F936">
            <w:pPr>
              <w:adjustRightInd w:val="0"/>
              <w:snapToGrid w:val="0"/>
              <w:spacing w:line="440" w:lineRule="exact"/>
              <w:jc w:val="center"/>
              <w:rPr>
                <w:rFonts w:ascii="宋体" w:hAnsi="宋体" w:cs="宋体"/>
                <w:color w:val="auto"/>
                <w:kern w:val="0"/>
                <w:highlight w:val="none"/>
              </w:rPr>
            </w:pPr>
            <w:r>
              <w:rPr>
                <w:rFonts w:hint="eastAsia" w:ascii="宋体" w:hAnsi="宋体" w:cs="宋体"/>
                <w:color w:val="auto"/>
                <w:kern w:val="0"/>
                <w:highlight w:val="none"/>
              </w:rPr>
              <w:t>质保期外售后服务（3分）</w:t>
            </w:r>
          </w:p>
          <w:p w14:paraId="4A666DCD">
            <w:pPr>
              <w:adjustRightInd w:val="0"/>
              <w:snapToGrid w:val="0"/>
              <w:spacing w:line="440" w:lineRule="exact"/>
              <w:rPr>
                <w:rFonts w:ascii="宋体" w:hAnsi="宋体" w:cs="宋体"/>
                <w:color w:val="auto"/>
                <w:szCs w:val="21"/>
                <w:highlight w:val="none"/>
              </w:rPr>
            </w:pPr>
          </w:p>
        </w:tc>
        <w:tc>
          <w:tcPr>
            <w:tcW w:w="5828" w:type="dxa"/>
          </w:tcPr>
          <w:p w14:paraId="568F1B93">
            <w:pPr>
              <w:adjustRightInd w:val="0"/>
              <w:snapToGrid w:val="0"/>
              <w:spacing w:line="440" w:lineRule="exact"/>
              <w:rPr>
                <w:rFonts w:ascii="宋体" w:hAnsi="宋体" w:cs="宋体"/>
                <w:color w:val="auto"/>
                <w:kern w:val="0"/>
                <w:highlight w:val="none"/>
              </w:rPr>
            </w:pPr>
            <w:r>
              <w:rPr>
                <w:rFonts w:hint="eastAsia" w:ascii="宋体" w:hAnsi="宋体" w:cs="宋体"/>
                <w:color w:val="auto"/>
                <w:kern w:val="0"/>
                <w:highlight w:val="none"/>
              </w:rPr>
              <w:t>根据各供应商提供的质保期外售后服务方案，包括但不限于服务内容、服务措施、升级服务、价格优惠、备品备件配备情况等情况。按以下标准进行评审：</w:t>
            </w:r>
          </w:p>
          <w:p w14:paraId="4B21C8E4">
            <w:pPr>
              <w:adjustRightInd w:val="0"/>
              <w:snapToGrid w:val="0"/>
              <w:spacing w:line="440" w:lineRule="exact"/>
              <w:rPr>
                <w:rFonts w:ascii="宋体" w:hAnsi="宋体" w:cs="宋体"/>
                <w:color w:val="auto"/>
                <w:kern w:val="0"/>
                <w:highlight w:val="none"/>
              </w:rPr>
            </w:pPr>
            <w:r>
              <w:rPr>
                <w:rFonts w:hint="eastAsia" w:ascii="宋体" w:hAnsi="宋体" w:cs="宋体"/>
                <w:color w:val="auto"/>
                <w:kern w:val="0"/>
                <w:highlight w:val="none"/>
              </w:rPr>
              <w:t>1.供应商提供的质保期外售后服务方案内容完整、考虑全面周到，措施灵活、多样，响应及时，备品备件配备完善、价格合理，完全满足或优于采购人需求，得3分；</w:t>
            </w:r>
          </w:p>
          <w:p w14:paraId="6A24C1A5">
            <w:pPr>
              <w:adjustRightInd w:val="0"/>
              <w:snapToGrid w:val="0"/>
              <w:spacing w:line="440" w:lineRule="exact"/>
              <w:rPr>
                <w:rFonts w:ascii="宋体" w:hAnsi="宋体" w:cs="宋体"/>
                <w:color w:val="auto"/>
                <w:kern w:val="0"/>
                <w:highlight w:val="none"/>
              </w:rPr>
            </w:pPr>
            <w:r>
              <w:rPr>
                <w:rFonts w:hint="eastAsia" w:ascii="宋体" w:hAnsi="宋体" w:cs="宋体"/>
                <w:color w:val="auto"/>
                <w:kern w:val="0"/>
                <w:highlight w:val="none"/>
              </w:rPr>
              <w:t>2.供应商提供的质保期外售后服务方案内容比较完整、全面、详细，措施比较灵活、多样，备品备件配备价格偏高，基本满足采购人需求，得2分；</w:t>
            </w:r>
          </w:p>
          <w:p w14:paraId="1F25C996">
            <w:pPr>
              <w:adjustRightInd w:val="0"/>
              <w:snapToGrid w:val="0"/>
              <w:spacing w:line="440" w:lineRule="exact"/>
              <w:rPr>
                <w:rFonts w:ascii="宋体" w:hAnsi="宋体" w:cs="宋体"/>
                <w:color w:val="auto"/>
                <w:kern w:val="0"/>
                <w:highlight w:val="none"/>
              </w:rPr>
            </w:pPr>
            <w:r>
              <w:rPr>
                <w:rFonts w:hint="eastAsia" w:ascii="宋体" w:hAnsi="宋体" w:cs="宋体"/>
                <w:color w:val="auto"/>
                <w:kern w:val="0"/>
                <w:highlight w:val="none"/>
              </w:rPr>
              <w:t>3.供应商提供的质保期外售后服务方案内容完整性、全面性、详细性一般，措施灵活性、多样性一般，得1分；</w:t>
            </w:r>
          </w:p>
          <w:p w14:paraId="07B32F86">
            <w:pPr>
              <w:adjustRightInd w:val="0"/>
              <w:snapToGrid w:val="0"/>
              <w:spacing w:line="440" w:lineRule="exact"/>
              <w:rPr>
                <w:rFonts w:ascii="宋体" w:hAnsi="宋体" w:cs="宋体"/>
                <w:b/>
                <w:bCs/>
                <w:snapToGrid w:val="0"/>
                <w:color w:val="auto"/>
                <w:szCs w:val="21"/>
                <w:highlight w:val="none"/>
                <w:lang w:bidi="zh-CN"/>
              </w:rPr>
            </w:pPr>
            <w:r>
              <w:rPr>
                <w:rFonts w:hint="eastAsia" w:ascii="宋体" w:hAnsi="宋体" w:cs="宋体"/>
                <w:color w:val="auto"/>
                <w:kern w:val="0"/>
                <w:highlight w:val="none"/>
              </w:rPr>
              <w:t>4.不提供的不得分。</w:t>
            </w:r>
          </w:p>
        </w:tc>
      </w:tr>
      <w:tr w14:paraId="4C1E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330" w:type="dxa"/>
            <w:vMerge w:val="restart"/>
            <w:vAlign w:val="center"/>
          </w:tcPr>
          <w:p w14:paraId="3C89A29F">
            <w:pPr>
              <w:adjustRightInd w:val="0"/>
              <w:snapToGrid w:val="0"/>
              <w:spacing w:line="360" w:lineRule="auto"/>
              <w:rPr>
                <w:rFonts w:ascii="宋体" w:hAnsi="宋体" w:cs="宋体"/>
                <w:color w:val="auto"/>
                <w:szCs w:val="21"/>
                <w:highlight w:val="none"/>
              </w:rPr>
            </w:pPr>
          </w:p>
          <w:p w14:paraId="0730911F">
            <w:pPr>
              <w:adjustRightInd w:val="0"/>
              <w:snapToGrid w:val="0"/>
              <w:spacing w:line="360" w:lineRule="auto"/>
              <w:rPr>
                <w:rFonts w:ascii="宋体" w:hAnsi="宋体" w:cs="宋体"/>
                <w:color w:val="auto"/>
                <w:szCs w:val="21"/>
                <w:highlight w:val="none"/>
              </w:rPr>
            </w:pPr>
          </w:p>
          <w:p w14:paraId="6D3C0E94">
            <w:pPr>
              <w:adjustRightInd w:val="0"/>
              <w:snapToGrid w:val="0"/>
              <w:spacing w:line="360" w:lineRule="auto"/>
              <w:rPr>
                <w:rFonts w:ascii="宋体" w:hAnsi="宋体" w:cs="宋体"/>
                <w:color w:val="auto"/>
                <w:szCs w:val="21"/>
                <w:highlight w:val="none"/>
              </w:rPr>
            </w:pPr>
          </w:p>
          <w:p w14:paraId="34082613">
            <w:pPr>
              <w:adjustRightInd w:val="0"/>
              <w:snapToGrid w:val="0"/>
              <w:spacing w:line="360" w:lineRule="auto"/>
              <w:rPr>
                <w:rFonts w:ascii="宋体" w:hAnsi="宋体" w:cs="宋体"/>
                <w:color w:val="auto"/>
                <w:szCs w:val="21"/>
                <w:highlight w:val="none"/>
              </w:rPr>
            </w:pPr>
          </w:p>
          <w:p w14:paraId="37A9665E">
            <w:pPr>
              <w:adjustRightInd w:val="0"/>
              <w:snapToGrid w:val="0"/>
              <w:spacing w:line="360" w:lineRule="auto"/>
              <w:rPr>
                <w:rFonts w:ascii="宋体" w:hAnsi="宋体" w:cs="宋体"/>
                <w:color w:val="auto"/>
                <w:szCs w:val="21"/>
                <w:highlight w:val="none"/>
              </w:rPr>
            </w:pPr>
          </w:p>
          <w:p w14:paraId="78C8F837">
            <w:pPr>
              <w:adjustRightInd w:val="0"/>
              <w:snapToGrid w:val="0"/>
              <w:spacing w:line="360" w:lineRule="auto"/>
              <w:rPr>
                <w:rFonts w:ascii="宋体" w:hAnsi="宋体" w:cs="宋体"/>
                <w:color w:val="auto"/>
                <w:szCs w:val="21"/>
                <w:highlight w:val="none"/>
              </w:rPr>
            </w:pPr>
          </w:p>
          <w:p w14:paraId="50E74E8A">
            <w:pPr>
              <w:adjustRightInd w:val="0"/>
              <w:snapToGrid w:val="0"/>
              <w:spacing w:line="360" w:lineRule="auto"/>
              <w:rPr>
                <w:rFonts w:ascii="宋体" w:hAnsi="宋体" w:cs="宋体"/>
                <w:color w:val="auto"/>
                <w:szCs w:val="21"/>
                <w:highlight w:val="none"/>
              </w:rPr>
            </w:pPr>
          </w:p>
          <w:p w14:paraId="54BCE803">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技术部分</w:t>
            </w:r>
          </w:p>
          <w:p w14:paraId="6E1D99CC">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(55分)</w:t>
            </w:r>
          </w:p>
        </w:tc>
        <w:tc>
          <w:tcPr>
            <w:tcW w:w="1843" w:type="dxa"/>
            <w:vAlign w:val="center"/>
          </w:tcPr>
          <w:p w14:paraId="00A217BB">
            <w:pPr>
              <w:adjustRightInd w:val="0"/>
              <w:snapToGrid w:val="0"/>
              <w:spacing w:line="440" w:lineRule="exact"/>
              <w:jc w:val="center"/>
              <w:rPr>
                <w:rFonts w:ascii="宋体" w:hAnsi="宋体" w:cs="宋体"/>
                <w:color w:val="auto"/>
                <w:szCs w:val="21"/>
                <w:highlight w:val="none"/>
              </w:rPr>
            </w:pPr>
            <w:r>
              <w:rPr>
                <w:rFonts w:hint="eastAsia" w:ascii="宋体" w:hAnsi="宋体" w:cs="宋体"/>
                <w:color w:val="auto"/>
                <w:highlight w:val="none"/>
              </w:rPr>
              <w:t>技术参数和产品选型（45分）</w:t>
            </w:r>
          </w:p>
        </w:tc>
        <w:tc>
          <w:tcPr>
            <w:tcW w:w="5828" w:type="dxa"/>
            <w:vAlign w:val="center"/>
          </w:tcPr>
          <w:p w14:paraId="657514B5">
            <w:pPr>
              <w:pStyle w:val="14"/>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1.第五章采购需求-纳米红外高光谱检测系统技术参数中重要性一栏加“*”项代表重要技术指标（</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rPr>
              <w:t>分）：</w:t>
            </w:r>
          </w:p>
          <w:p w14:paraId="57A8514D">
            <w:pPr>
              <w:pStyle w:val="14"/>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重要技术指标共</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项，全部满足招标文件要求得</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rPr>
              <w:t>分，每有一项不满足或证明文件不齐全扣</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分，扣完为止。</w:t>
            </w:r>
          </w:p>
          <w:p w14:paraId="6F43CB57">
            <w:pPr>
              <w:pStyle w:val="14"/>
              <w:numPr>
                <w:ilvl w:val="0"/>
                <w:numId w:val="0"/>
              </w:numPr>
              <w:adjustRightInd w:val="0"/>
              <w:snapToGrid w:val="0"/>
              <w:spacing w:line="440" w:lineRule="exact"/>
              <w:rPr>
                <w:rFonts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szCs w:val="21"/>
                <w:highlight w:val="none"/>
              </w:rPr>
              <w:t>第五章采购需求-纳米红外高光谱检测系统技术参数中重要性一栏未作标注的为一般技术指标（</w:t>
            </w:r>
            <w:r>
              <w:rPr>
                <w:rFonts w:hint="eastAsia" w:ascii="宋体" w:hAnsi="宋体" w:cs="宋体"/>
                <w:color w:val="auto"/>
                <w:szCs w:val="21"/>
                <w:highlight w:val="none"/>
                <w:u w:val="single"/>
                <w:lang w:val="en-US" w:eastAsia="zh-CN"/>
              </w:rPr>
              <w:t>31</w:t>
            </w:r>
            <w:r>
              <w:rPr>
                <w:rFonts w:hint="eastAsia" w:ascii="宋体" w:hAnsi="宋体" w:cs="宋体"/>
                <w:color w:val="auto"/>
                <w:szCs w:val="21"/>
                <w:highlight w:val="none"/>
              </w:rPr>
              <w:t>分）：</w:t>
            </w:r>
          </w:p>
          <w:p w14:paraId="16DCB6AE">
            <w:pPr>
              <w:pStyle w:val="14"/>
              <w:adjustRightInd w:val="0"/>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一般技术指标共</w:t>
            </w:r>
            <w:r>
              <w:rPr>
                <w:rFonts w:hint="eastAsia" w:ascii="宋体" w:hAnsi="宋体" w:cs="宋体"/>
                <w:color w:val="auto"/>
                <w:szCs w:val="21"/>
                <w:highlight w:val="none"/>
                <w:u w:val="single"/>
                <w:lang w:val="en-US" w:eastAsia="zh-CN"/>
              </w:rPr>
              <w:t>29</w:t>
            </w:r>
            <w:r>
              <w:rPr>
                <w:rFonts w:hint="eastAsia" w:ascii="宋体" w:hAnsi="宋体" w:cs="宋体"/>
                <w:color w:val="auto"/>
                <w:szCs w:val="21"/>
                <w:highlight w:val="none"/>
              </w:rPr>
              <w:t>项，全部满足要求得</w:t>
            </w:r>
            <w:r>
              <w:rPr>
                <w:rFonts w:hint="eastAsia" w:ascii="宋体" w:hAnsi="宋体" w:cs="宋体"/>
                <w:color w:val="auto"/>
                <w:szCs w:val="21"/>
                <w:highlight w:val="none"/>
                <w:u w:val="single"/>
                <w:lang w:val="en-US" w:eastAsia="zh-CN"/>
              </w:rPr>
              <w:t>31</w:t>
            </w:r>
            <w:r>
              <w:rPr>
                <w:rFonts w:hint="eastAsia" w:ascii="宋体" w:hAnsi="宋体" w:cs="宋体"/>
                <w:color w:val="auto"/>
                <w:szCs w:val="21"/>
                <w:highlight w:val="none"/>
              </w:rPr>
              <w:t>分，每有一项不满足扣</w:t>
            </w:r>
            <w:r>
              <w:rPr>
                <w:rFonts w:hint="eastAsia" w:ascii="宋体" w:hAnsi="宋体" w:cs="宋体"/>
                <w:color w:val="auto"/>
                <w:szCs w:val="21"/>
                <w:highlight w:val="none"/>
                <w:u w:val="single"/>
                <w:lang w:val="en-US" w:eastAsia="zh-CN"/>
              </w:rPr>
              <w:t>1.07</w:t>
            </w:r>
            <w:r>
              <w:rPr>
                <w:rFonts w:hint="eastAsia" w:ascii="宋体" w:hAnsi="宋体" w:cs="宋体"/>
                <w:color w:val="auto"/>
                <w:szCs w:val="21"/>
                <w:highlight w:val="none"/>
              </w:rPr>
              <w:t>分，扣完为止。</w:t>
            </w:r>
          </w:p>
          <w:p w14:paraId="2C58DE3F">
            <w:pPr>
              <w:pStyle w:val="14"/>
              <w:adjustRightInd w:val="0"/>
              <w:snapToGrid w:val="0"/>
              <w:spacing w:line="440" w:lineRule="exact"/>
              <w:rPr>
                <w:rFonts w:ascii="宋体" w:hAnsi="宋体" w:cs="宋体"/>
                <w:b/>
                <w:bCs/>
                <w:color w:val="auto"/>
                <w:szCs w:val="21"/>
                <w:highlight w:val="none"/>
              </w:rPr>
            </w:pPr>
            <w:r>
              <w:rPr>
                <w:rFonts w:hint="eastAsia" w:ascii="宋体" w:hAnsi="宋体" w:cs="宋体"/>
                <w:b/>
                <w:bCs/>
                <w:color w:val="auto"/>
                <w:szCs w:val="21"/>
                <w:highlight w:val="none"/>
              </w:rPr>
              <w:t>注：（1）第五章采购需求-纳米红外高光谱检测系统技术参数中对于证明材料的形式有明确要求的，供应商在投标文件中按要求的形式提供证明资料；未要求提供证明材料的，以投标文件中技术响应偏离表中供应商的承诺为赋分依据。</w:t>
            </w:r>
          </w:p>
          <w:p w14:paraId="6852D0BB">
            <w:pPr>
              <w:adjustRightInd w:val="0"/>
              <w:snapToGrid w:val="0"/>
              <w:spacing w:line="440" w:lineRule="exact"/>
              <w:jc w:val="left"/>
              <w:rPr>
                <w:color w:val="auto"/>
                <w:spacing w:val="2"/>
                <w:kern w:val="0"/>
                <w:highlight w:val="none"/>
              </w:rPr>
            </w:pPr>
            <w:r>
              <w:rPr>
                <w:rFonts w:hint="eastAsia" w:ascii="宋体" w:hAnsi="宋体" w:cs="宋体"/>
                <w:color w:val="auto"/>
                <w:szCs w:val="21"/>
                <w:highlight w:val="none"/>
              </w:rPr>
              <w:t>（2）供应商对招标文件采购需求中列明的技术要求内容作出一对一应答，要求真实、准确，应答要有具体内容，并在投标文件格式“技术响应偏离表”中的“偏离情况”处填写“正偏离/负偏离/无偏离”，然后在“技术响应偏离表”中注明技术证明材料对应投标文件页码，并在该页面相应位置做出醒目标注，因供应商标注不准确或排列混乱导致评标委员会做出不利于供应商的评审后果由其自行负责。</w:t>
            </w:r>
          </w:p>
        </w:tc>
      </w:tr>
      <w:tr w14:paraId="60B5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ins w:id="0" w:author="中建山河程萌" w:date="2026-06-12T11:10:00Z"/>
        </w:trPr>
        <w:tc>
          <w:tcPr>
            <w:tcW w:w="1330" w:type="dxa"/>
            <w:vMerge w:val="continue"/>
            <w:vAlign w:val="center"/>
          </w:tcPr>
          <w:p w14:paraId="25598387">
            <w:pPr>
              <w:adjustRightInd w:val="0"/>
              <w:snapToGrid w:val="0"/>
              <w:spacing w:line="360" w:lineRule="auto"/>
              <w:jc w:val="center"/>
              <w:rPr>
                <w:ins w:id="1" w:author="中建山河程萌" w:date="2026-06-12T11:10:00Z"/>
                <w:rFonts w:ascii="宋体" w:hAnsi="宋体" w:cs="宋体"/>
                <w:color w:val="auto"/>
                <w:szCs w:val="21"/>
                <w:highlight w:val="none"/>
              </w:rPr>
            </w:pPr>
          </w:p>
        </w:tc>
        <w:tc>
          <w:tcPr>
            <w:tcW w:w="1843" w:type="dxa"/>
            <w:shd w:val="clear" w:color="auto" w:fill="auto"/>
            <w:vAlign w:val="center"/>
          </w:tcPr>
          <w:p w14:paraId="0999B945">
            <w:pPr>
              <w:adjustRightInd w:val="0"/>
              <w:snapToGrid w:val="0"/>
              <w:spacing w:line="440" w:lineRule="exact"/>
              <w:jc w:val="center"/>
              <w:rPr>
                <w:rFonts w:ascii="宋体" w:hAnsi="宋体" w:cs="宋体"/>
                <w:color w:val="auto"/>
                <w:highlight w:val="none"/>
              </w:rPr>
            </w:pPr>
            <w:r>
              <w:rPr>
                <w:rFonts w:hint="eastAsia" w:ascii="宋体" w:hAnsi="宋体" w:cs="宋体"/>
                <w:color w:val="auto"/>
                <w:highlight w:val="none"/>
              </w:rPr>
              <w:t>供货、安装、调试、验收方案（5分）</w:t>
            </w:r>
          </w:p>
        </w:tc>
        <w:tc>
          <w:tcPr>
            <w:tcW w:w="5828" w:type="dxa"/>
            <w:shd w:val="clear" w:color="auto" w:fill="auto"/>
          </w:tcPr>
          <w:p w14:paraId="38C2CD19">
            <w:pPr>
              <w:spacing w:line="360" w:lineRule="auto"/>
              <w:rPr>
                <w:rFonts w:ascii="宋体" w:hAnsi="宋体" w:cs="宋体"/>
                <w:color w:val="auto"/>
                <w:szCs w:val="21"/>
                <w:highlight w:val="none"/>
              </w:rPr>
            </w:pPr>
            <w:r>
              <w:rPr>
                <w:rFonts w:hint="eastAsia" w:ascii="宋体" w:hAnsi="宋体" w:cs="宋体"/>
                <w:color w:val="auto"/>
                <w:szCs w:val="21"/>
                <w:highlight w:val="none"/>
              </w:rPr>
              <w:t>供货、安装、调试、验收方案包括但不限于：①供货计划和质量管控措施；②货物包装方式、运输方式；③安装调试流程、时间安排方案；④验收内容和流程；</w:t>
            </w:r>
            <w:r>
              <w:rPr>
                <w:rFonts w:hint="eastAsia" w:ascii="宋体" w:hAnsi="宋体" w:eastAsia="宋体" w:cs="宋体"/>
                <w:color w:val="auto"/>
                <w:szCs w:val="21"/>
                <w:highlight w:val="none"/>
              </w:rPr>
              <w:t>⑤</w:t>
            </w:r>
            <w:r>
              <w:rPr>
                <w:rFonts w:hint="eastAsia" w:ascii="宋体" w:hAnsi="宋体" w:cs="宋体"/>
                <w:color w:val="auto"/>
                <w:szCs w:val="21"/>
                <w:highlight w:val="none"/>
              </w:rPr>
              <w:t>资料整理和归档等内容。</w:t>
            </w:r>
          </w:p>
          <w:p w14:paraId="46CDC343">
            <w:pPr>
              <w:widowControl/>
              <w:numPr>
                <w:ilvl w:val="255"/>
                <w:numId w:val="0"/>
              </w:numPr>
              <w:adjustRightInd w:val="0"/>
              <w:snapToGrid w:val="0"/>
              <w:spacing w:line="440" w:lineRule="exact"/>
              <w:ind w:left="0" w:firstLine="0"/>
              <w:jc w:val="left"/>
              <w:rPr>
                <w:rFonts w:ascii="宋体" w:hAnsi="宋体" w:cs="宋体"/>
                <w:color w:val="auto"/>
                <w:highlight w:val="none"/>
              </w:rPr>
            </w:pPr>
            <w:r>
              <w:rPr>
                <w:rFonts w:hint="eastAsia" w:ascii="宋体" w:hAnsi="宋体" w:cs="宋体"/>
                <w:color w:val="auto"/>
                <w:highlight w:val="none"/>
              </w:rPr>
              <w:t>1.供应商提供的供货、安装、调试、验收方案内容完整丰富、可操作性强，与采购需求贴合度高的得5分；</w:t>
            </w:r>
          </w:p>
          <w:p w14:paraId="68B86D6C">
            <w:pPr>
              <w:widowControl/>
              <w:numPr>
                <w:ilvl w:val="255"/>
                <w:numId w:val="0"/>
              </w:numPr>
              <w:adjustRightInd w:val="0"/>
              <w:snapToGrid w:val="0"/>
              <w:spacing w:line="440" w:lineRule="exact"/>
              <w:ind w:left="0" w:firstLine="0"/>
              <w:jc w:val="left"/>
              <w:rPr>
                <w:rFonts w:ascii="宋体" w:hAnsi="宋体" w:cs="宋体"/>
                <w:color w:val="auto"/>
                <w:highlight w:val="none"/>
              </w:rPr>
            </w:pPr>
            <w:r>
              <w:rPr>
                <w:rFonts w:hint="eastAsia" w:ascii="宋体" w:hAnsi="宋体" w:cs="宋体"/>
                <w:color w:val="auto"/>
                <w:highlight w:val="none"/>
              </w:rPr>
              <w:t>2.有较具体的供货、安装、调试、验收方案，内容比较完整，可操作性较强，基本满足项目需求，但个别细节需要完善的得3分；</w:t>
            </w:r>
          </w:p>
          <w:p w14:paraId="25A0B0DA">
            <w:pPr>
              <w:widowControl/>
              <w:numPr>
                <w:ilvl w:val="255"/>
                <w:numId w:val="0"/>
              </w:numPr>
              <w:adjustRightInd w:val="0"/>
              <w:snapToGrid w:val="0"/>
              <w:spacing w:line="440" w:lineRule="exact"/>
              <w:jc w:val="left"/>
              <w:rPr>
                <w:rFonts w:ascii="宋体" w:hAnsi="宋体" w:cs="宋体"/>
                <w:color w:val="auto"/>
                <w:highlight w:val="none"/>
              </w:rPr>
            </w:pPr>
            <w:r>
              <w:rPr>
                <w:rFonts w:ascii="宋体" w:hAnsi="宋体" w:cs="宋体"/>
                <w:color w:val="auto"/>
                <w:highlight w:val="none"/>
              </w:rPr>
              <w:t>3.</w:t>
            </w:r>
            <w:r>
              <w:rPr>
                <w:rFonts w:hint="eastAsia" w:ascii="宋体" w:hAnsi="宋体" w:cs="宋体"/>
                <w:color w:val="auto"/>
                <w:highlight w:val="none"/>
              </w:rPr>
              <w:t>供货、安装、调试、验收方案内容不够完整，可操作性一般，多处内容需要完善的得1分；</w:t>
            </w:r>
          </w:p>
          <w:p w14:paraId="345AD1BA">
            <w:pPr>
              <w:adjustRightInd w:val="0"/>
              <w:snapToGrid w:val="0"/>
              <w:spacing w:line="440" w:lineRule="exact"/>
              <w:jc w:val="left"/>
              <w:rPr>
                <w:rFonts w:ascii="宋体" w:hAnsi="宋体" w:cs="宋体"/>
                <w:color w:val="auto"/>
                <w:highlight w:val="none"/>
              </w:rPr>
            </w:pPr>
            <w:r>
              <w:rPr>
                <w:rFonts w:ascii="宋体" w:hAnsi="宋体" w:cs="宋体"/>
                <w:color w:val="auto"/>
                <w:kern w:val="2"/>
                <w:highlight w:val="none"/>
              </w:rPr>
              <w:t>4.</w:t>
            </w:r>
            <w:r>
              <w:rPr>
                <w:rFonts w:hint="eastAsia" w:ascii="宋体" w:hAnsi="宋体" w:cs="宋体"/>
                <w:color w:val="auto"/>
                <w:kern w:val="2"/>
                <w:highlight w:val="none"/>
              </w:rPr>
              <w:t>不提供的不得分。</w:t>
            </w:r>
          </w:p>
        </w:tc>
      </w:tr>
      <w:tr w14:paraId="0ABA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330" w:type="dxa"/>
            <w:vMerge w:val="continue"/>
            <w:vAlign w:val="center"/>
          </w:tcPr>
          <w:p w14:paraId="31C7F3CF">
            <w:pPr>
              <w:adjustRightInd w:val="0"/>
              <w:snapToGrid w:val="0"/>
              <w:spacing w:line="360" w:lineRule="auto"/>
              <w:ind w:firstLine="210" w:firstLineChars="100"/>
              <w:rPr>
                <w:rFonts w:ascii="宋体" w:hAnsi="宋体" w:cs="宋体"/>
                <w:color w:val="auto"/>
                <w:szCs w:val="21"/>
                <w:highlight w:val="none"/>
              </w:rPr>
            </w:pPr>
          </w:p>
        </w:tc>
        <w:tc>
          <w:tcPr>
            <w:tcW w:w="1843" w:type="dxa"/>
            <w:shd w:val="clear" w:color="auto" w:fill="auto"/>
            <w:vAlign w:val="center"/>
          </w:tcPr>
          <w:p w14:paraId="5EE11E78">
            <w:pPr>
              <w:adjustRightInd w:val="0"/>
              <w:snapToGrid w:val="0"/>
              <w:spacing w:line="440" w:lineRule="exact"/>
              <w:jc w:val="center"/>
              <w:rPr>
                <w:rFonts w:ascii="宋体" w:hAnsi="宋体" w:cs="宋体"/>
                <w:color w:val="auto"/>
                <w:szCs w:val="21"/>
                <w:highlight w:val="none"/>
              </w:rPr>
            </w:pPr>
            <w:r>
              <w:rPr>
                <w:rFonts w:hint="eastAsia" w:ascii="宋体" w:hAnsi="宋体" w:cs="宋体"/>
                <w:color w:val="auto"/>
                <w:highlight w:val="none"/>
              </w:rPr>
              <w:t>培训计划（5分）</w:t>
            </w:r>
          </w:p>
        </w:tc>
        <w:tc>
          <w:tcPr>
            <w:tcW w:w="5828" w:type="dxa"/>
            <w:shd w:val="clear" w:color="auto" w:fill="auto"/>
            <w:vAlign w:val="center"/>
          </w:tcPr>
          <w:p w14:paraId="245FF128">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通过培训使采购人相关人员掌握有关使用、维护和管理方法，达到能独立进行管理、一般故障处理、日常检测和维护等工作的目标。响应文件中有详细可行的技术培训方案，包括但不限于培训、培训内容、培训方式、培训时间、培训资料、费用承担等，评审小组对各响应文件的详细合理程度按以下标准进行评审：</w:t>
            </w:r>
          </w:p>
          <w:p w14:paraId="2CE2906D">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1.培训计划合理、详细、可行的得5分；</w:t>
            </w:r>
          </w:p>
          <w:p w14:paraId="4BB5BE39">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2.培训计划合理性一般、较为详细、较为可行，个别细节需要完善的，得3分；</w:t>
            </w:r>
          </w:p>
          <w:p w14:paraId="7A499EF1">
            <w:pPr>
              <w:adjustRightInd w:val="0"/>
              <w:snapToGrid w:val="0"/>
              <w:spacing w:line="440" w:lineRule="exact"/>
              <w:jc w:val="left"/>
              <w:rPr>
                <w:rFonts w:ascii="宋体" w:hAnsi="宋体" w:cs="宋体"/>
                <w:color w:val="auto"/>
                <w:highlight w:val="none"/>
              </w:rPr>
            </w:pPr>
            <w:r>
              <w:rPr>
                <w:rFonts w:hint="eastAsia" w:ascii="宋体" w:hAnsi="宋体" w:cs="宋体"/>
                <w:color w:val="auto"/>
                <w:highlight w:val="none"/>
              </w:rPr>
              <w:t>3.</w:t>
            </w:r>
            <w:r>
              <w:rPr>
                <w:rFonts w:hint="eastAsia" w:ascii="宋体" w:hAnsi="宋体" w:cs="宋体"/>
                <w:bCs/>
                <w:color w:val="auto"/>
                <w:highlight w:val="none"/>
              </w:rPr>
              <w:t>计划方案描述详细基本明确、完整、合理，多处内容需要完善的</w:t>
            </w:r>
            <w:r>
              <w:rPr>
                <w:rFonts w:hint="eastAsia" w:ascii="宋体" w:hAnsi="宋体" w:cs="宋体"/>
                <w:color w:val="auto"/>
                <w:highlight w:val="none"/>
              </w:rPr>
              <w:t>，得1分；</w:t>
            </w:r>
          </w:p>
          <w:p w14:paraId="2E369DF1">
            <w:pPr>
              <w:adjustRightInd w:val="0"/>
              <w:snapToGrid w:val="0"/>
              <w:spacing w:line="440" w:lineRule="exact"/>
              <w:jc w:val="left"/>
              <w:rPr>
                <w:rFonts w:ascii="宋体" w:hAnsi="宋体" w:cs="宋体"/>
                <w:color w:val="auto"/>
                <w:szCs w:val="21"/>
                <w:highlight w:val="none"/>
              </w:rPr>
            </w:pPr>
            <w:r>
              <w:rPr>
                <w:rFonts w:hint="eastAsia" w:ascii="宋体" w:hAnsi="宋体" w:cs="宋体"/>
                <w:color w:val="auto"/>
                <w:highlight w:val="none"/>
              </w:rPr>
              <w:t>4.不提供的不得分。</w:t>
            </w:r>
          </w:p>
        </w:tc>
      </w:tr>
      <w:tr w14:paraId="6EDA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001" w:type="dxa"/>
            <w:gridSpan w:val="3"/>
            <w:vAlign w:val="center"/>
          </w:tcPr>
          <w:p w14:paraId="1EF628FF">
            <w:pPr>
              <w:adjustRightInd w:val="0"/>
              <w:snapToGri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1．评标委员会完成综合打分的汇总后，评委打分的算术平均值，作为该投标人的最终得分。</w:t>
            </w:r>
          </w:p>
          <w:p w14:paraId="648F7721">
            <w:pPr>
              <w:adjustRightInd w:val="0"/>
              <w:snapToGri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2．本办法计算过程中分值按四舍五入保留两位小数，结果按四舍五入保留两位小数。</w:t>
            </w:r>
          </w:p>
        </w:tc>
      </w:tr>
    </w:tbl>
    <w:p w14:paraId="42C54551">
      <w:pPr>
        <w:pStyle w:val="67"/>
        <w:spacing w:before="0" w:after="0" w:line="360" w:lineRule="auto"/>
        <w:ind w:firstLine="422" w:firstLineChars="200"/>
        <w:jc w:val="both"/>
        <w:outlineLvl w:val="9"/>
        <w:rPr>
          <w:rFonts w:hAnsi="宋体"/>
          <w:color w:val="auto"/>
          <w:sz w:val="21"/>
          <w:szCs w:val="21"/>
          <w:highlight w:val="none"/>
        </w:rPr>
      </w:pPr>
      <w:r>
        <w:rPr>
          <w:rFonts w:hint="eastAsia" w:hAnsi="宋体"/>
          <w:color w:val="auto"/>
          <w:sz w:val="21"/>
          <w:szCs w:val="21"/>
          <w:highlight w:val="none"/>
        </w:rPr>
        <w:t>一、评标方法</w:t>
      </w:r>
    </w:p>
    <w:p w14:paraId="25011BC1">
      <w:pPr>
        <w:pStyle w:val="67"/>
        <w:spacing w:before="0" w:after="0" w:line="360" w:lineRule="auto"/>
        <w:ind w:firstLine="420" w:firstLineChars="200"/>
        <w:jc w:val="both"/>
        <w:outlineLvl w:val="9"/>
        <w:rPr>
          <w:rFonts w:hAnsi="宋体"/>
          <w:b w:val="0"/>
          <w:bCs w:val="0"/>
          <w:color w:val="auto"/>
          <w:sz w:val="21"/>
          <w:szCs w:val="21"/>
          <w:highlight w:val="none"/>
        </w:rPr>
      </w:pPr>
      <w:r>
        <w:rPr>
          <w:rFonts w:hint="eastAsia" w:hAnsi="宋体"/>
          <w:b w:val="0"/>
          <w:bCs w:val="0"/>
          <w:color w:val="auto"/>
          <w:sz w:val="21"/>
          <w:szCs w:val="21"/>
          <w:highlight w:val="none"/>
        </w:rPr>
        <w:t>本项目评标方法采用综合评分法，是指投标文件满足招标文件全部实质性要求且按照评审因素的量化指标评审得分由高到低的顺序推荐3名中标候选人的评标方法。如汇总得分相同的，按投标报价由低到高顺序排列，投标报价也相同的，按技术部分得分由高到低顺序排列，仍相同的，</w:t>
      </w:r>
      <w:bookmarkStart w:id="232" w:name="_Toc17571"/>
      <w:r>
        <w:rPr>
          <w:rFonts w:hint="eastAsia" w:hAnsi="宋体"/>
          <w:b w:val="0"/>
          <w:bCs w:val="0"/>
          <w:color w:val="auto"/>
          <w:sz w:val="21"/>
          <w:szCs w:val="21"/>
          <w:highlight w:val="none"/>
        </w:rPr>
        <w:t>按商务部分得分由高到低顺序排列确定中标候选人顺序。</w:t>
      </w:r>
    </w:p>
    <w:p w14:paraId="36928119">
      <w:pPr>
        <w:pStyle w:val="67"/>
        <w:spacing w:before="0" w:after="0" w:line="360" w:lineRule="auto"/>
        <w:ind w:firstLine="422" w:firstLineChars="200"/>
        <w:jc w:val="both"/>
        <w:outlineLvl w:val="9"/>
        <w:rPr>
          <w:color w:val="auto"/>
          <w:sz w:val="21"/>
          <w:szCs w:val="21"/>
          <w:highlight w:val="none"/>
        </w:rPr>
      </w:pPr>
      <w:r>
        <w:rPr>
          <w:rFonts w:hint="eastAsia"/>
          <w:color w:val="auto"/>
          <w:sz w:val="21"/>
          <w:szCs w:val="21"/>
          <w:highlight w:val="none"/>
        </w:rPr>
        <w:t>二、评审标准</w:t>
      </w:r>
      <w:bookmarkEnd w:id="232"/>
    </w:p>
    <w:p w14:paraId="2D6F6896">
      <w:pPr>
        <w:pStyle w:val="15"/>
        <w:ind w:firstLine="440"/>
        <w:jc w:val="both"/>
        <w:rPr>
          <w:b w:val="0"/>
          <w:bCs w:val="0"/>
          <w:color w:val="auto"/>
          <w:highlight w:val="none"/>
        </w:rPr>
      </w:pPr>
      <w:r>
        <w:rPr>
          <w:rFonts w:hint="eastAsia"/>
          <w:b w:val="0"/>
          <w:bCs w:val="0"/>
          <w:color w:val="auto"/>
          <w:highlight w:val="none"/>
        </w:rPr>
        <w:t>2.1 符合性评审标准</w:t>
      </w:r>
    </w:p>
    <w:p w14:paraId="260C076E">
      <w:pPr>
        <w:pStyle w:val="15"/>
        <w:ind w:firstLine="440"/>
        <w:jc w:val="both"/>
        <w:rPr>
          <w:b w:val="0"/>
          <w:bCs w:val="0"/>
          <w:color w:val="auto"/>
          <w:highlight w:val="none"/>
        </w:rPr>
      </w:pPr>
      <w:r>
        <w:rPr>
          <w:rFonts w:hint="eastAsia"/>
          <w:b w:val="0"/>
          <w:bCs w:val="0"/>
          <w:color w:val="auto"/>
          <w:highlight w:val="none"/>
        </w:rPr>
        <w:t>2.1.1 符合性评审标准：见“评分办法前附表 符合性审查标准”。</w:t>
      </w:r>
    </w:p>
    <w:p w14:paraId="3685BEA2">
      <w:pPr>
        <w:pStyle w:val="15"/>
        <w:ind w:firstLine="440"/>
        <w:jc w:val="both"/>
        <w:rPr>
          <w:b w:val="0"/>
          <w:bCs w:val="0"/>
          <w:color w:val="auto"/>
          <w:highlight w:val="none"/>
        </w:rPr>
      </w:pPr>
      <w:r>
        <w:rPr>
          <w:rFonts w:hint="eastAsia"/>
          <w:b w:val="0"/>
          <w:bCs w:val="0"/>
          <w:color w:val="auto"/>
          <w:highlight w:val="none"/>
        </w:rPr>
        <w:t>2.2 分值构成与评分标准</w:t>
      </w:r>
    </w:p>
    <w:p w14:paraId="43EF251E">
      <w:pPr>
        <w:pStyle w:val="15"/>
        <w:ind w:firstLine="440"/>
        <w:jc w:val="both"/>
        <w:rPr>
          <w:b w:val="0"/>
          <w:bCs w:val="0"/>
          <w:color w:val="auto"/>
          <w:highlight w:val="none"/>
        </w:rPr>
      </w:pPr>
      <w:r>
        <w:rPr>
          <w:rFonts w:hint="eastAsia"/>
          <w:b w:val="0"/>
          <w:bCs w:val="0"/>
          <w:color w:val="auto"/>
          <w:highlight w:val="none"/>
        </w:rPr>
        <w:t>2.2.1 分值构成</w:t>
      </w:r>
    </w:p>
    <w:p w14:paraId="486FC8B0">
      <w:pPr>
        <w:pStyle w:val="15"/>
        <w:ind w:firstLine="440"/>
        <w:jc w:val="both"/>
        <w:rPr>
          <w:b w:val="0"/>
          <w:bCs w:val="0"/>
          <w:color w:val="auto"/>
          <w:highlight w:val="none"/>
        </w:rPr>
      </w:pPr>
      <w:r>
        <w:rPr>
          <w:rFonts w:hint="eastAsia"/>
          <w:b w:val="0"/>
          <w:bCs w:val="0"/>
          <w:color w:val="auto"/>
          <w:highlight w:val="none"/>
        </w:rPr>
        <w:t>（1）投标报价：见评标办法前附表；</w:t>
      </w:r>
    </w:p>
    <w:p w14:paraId="0372EB26">
      <w:pPr>
        <w:pStyle w:val="15"/>
        <w:ind w:firstLine="440"/>
        <w:jc w:val="both"/>
        <w:rPr>
          <w:b w:val="0"/>
          <w:bCs w:val="0"/>
          <w:color w:val="auto"/>
          <w:highlight w:val="none"/>
        </w:rPr>
      </w:pPr>
      <w:r>
        <w:rPr>
          <w:rFonts w:hint="eastAsia"/>
          <w:b w:val="0"/>
          <w:bCs w:val="0"/>
          <w:color w:val="auto"/>
          <w:highlight w:val="none"/>
        </w:rPr>
        <w:t>（2）综合部分：见评标办法前附表；</w:t>
      </w:r>
    </w:p>
    <w:p w14:paraId="6AB3B0CC">
      <w:pPr>
        <w:pStyle w:val="15"/>
        <w:ind w:firstLine="440"/>
        <w:jc w:val="both"/>
        <w:rPr>
          <w:b w:val="0"/>
          <w:bCs w:val="0"/>
          <w:color w:val="auto"/>
          <w:highlight w:val="none"/>
        </w:rPr>
      </w:pPr>
      <w:r>
        <w:rPr>
          <w:rFonts w:hint="eastAsia"/>
          <w:b w:val="0"/>
          <w:bCs w:val="0"/>
          <w:color w:val="auto"/>
          <w:highlight w:val="none"/>
        </w:rPr>
        <w:t>（3）技术部分：见评标办法前附表；</w:t>
      </w:r>
    </w:p>
    <w:p w14:paraId="0A927175">
      <w:pPr>
        <w:pStyle w:val="15"/>
        <w:ind w:firstLine="440"/>
        <w:jc w:val="both"/>
        <w:rPr>
          <w:b w:val="0"/>
          <w:bCs w:val="0"/>
          <w:color w:val="auto"/>
          <w:highlight w:val="none"/>
        </w:rPr>
      </w:pPr>
      <w:r>
        <w:rPr>
          <w:rFonts w:hint="eastAsia"/>
          <w:b w:val="0"/>
          <w:bCs w:val="0"/>
          <w:color w:val="auto"/>
          <w:highlight w:val="none"/>
        </w:rPr>
        <w:t>2.2.2 评分标准</w:t>
      </w:r>
    </w:p>
    <w:p w14:paraId="2F1745D6">
      <w:pPr>
        <w:pStyle w:val="15"/>
        <w:ind w:firstLine="440"/>
        <w:jc w:val="both"/>
        <w:rPr>
          <w:b w:val="0"/>
          <w:bCs w:val="0"/>
          <w:color w:val="auto"/>
          <w:highlight w:val="none"/>
        </w:rPr>
      </w:pPr>
      <w:r>
        <w:rPr>
          <w:rFonts w:hint="eastAsia"/>
          <w:b w:val="0"/>
          <w:bCs w:val="0"/>
          <w:color w:val="auto"/>
          <w:highlight w:val="none"/>
        </w:rPr>
        <w:t>（1）投标报价评分标准：见评标办法前附表；</w:t>
      </w:r>
    </w:p>
    <w:p w14:paraId="2ADEDC4A">
      <w:pPr>
        <w:pStyle w:val="15"/>
        <w:ind w:firstLine="440"/>
        <w:jc w:val="both"/>
        <w:rPr>
          <w:b w:val="0"/>
          <w:bCs w:val="0"/>
          <w:color w:val="auto"/>
          <w:highlight w:val="none"/>
        </w:rPr>
      </w:pPr>
      <w:r>
        <w:rPr>
          <w:rFonts w:hint="eastAsia"/>
          <w:b w:val="0"/>
          <w:bCs w:val="0"/>
          <w:color w:val="auto"/>
          <w:highlight w:val="none"/>
        </w:rPr>
        <w:t>（2）综合部分评分标准：见评标办法前附表；</w:t>
      </w:r>
    </w:p>
    <w:p w14:paraId="42B5C98A">
      <w:pPr>
        <w:pStyle w:val="15"/>
        <w:ind w:firstLine="440"/>
        <w:jc w:val="both"/>
        <w:rPr>
          <w:b w:val="0"/>
          <w:bCs w:val="0"/>
          <w:color w:val="auto"/>
          <w:highlight w:val="none"/>
        </w:rPr>
      </w:pPr>
      <w:r>
        <w:rPr>
          <w:rFonts w:hint="eastAsia"/>
          <w:b w:val="0"/>
          <w:bCs w:val="0"/>
          <w:color w:val="auto"/>
          <w:highlight w:val="none"/>
        </w:rPr>
        <w:t>（3）技术部分评分标准：见评标办法前附表；</w:t>
      </w:r>
    </w:p>
    <w:p w14:paraId="530197FC">
      <w:pPr>
        <w:pStyle w:val="15"/>
        <w:jc w:val="both"/>
        <w:rPr>
          <w:color w:val="auto"/>
          <w:highlight w:val="none"/>
        </w:rPr>
      </w:pPr>
      <w:r>
        <w:rPr>
          <w:rFonts w:hint="eastAsia"/>
          <w:color w:val="auto"/>
          <w:highlight w:val="none"/>
        </w:rPr>
        <w:t>三、评审原则</w:t>
      </w:r>
    </w:p>
    <w:p w14:paraId="7F308B1D">
      <w:pPr>
        <w:pStyle w:val="15"/>
        <w:ind w:firstLine="440"/>
        <w:jc w:val="both"/>
        <w:rPr>
          <w:b w:val="0"/>
          <w:bCs w:val="0"/>
          <w:color w:val="auto"/>
          <w:highlight w:val="none"/>
        </w:rPr>
      </w:pPr>
      <w:r>
        <w:rPr>
          <w:b w:val="0"/>
          <w:bCs w:val="0"/>
          <w:color w:val="auto"/>
          <w:highlight w:val="none"/>
        </w:rPr>
        <w:t>评标委员会应当按照客观、公正、审慎的原则，根据采购文件规定的评审程序、评审方法和评审标准独立进行评审；</w:t>
      </w:r>
    </w:p>
    <w:p w14:paraId="0455DF4F">
      <w:pPr>
        <w:pStyle w:val="15"/>
        <w:jc w:val="both"/>
        <w:rPr>
          <w:color w:val="auto"/>
          <w:highlight w:val="none"/>
        </w:rPr>
      </w:pPr>
      <w:r>
        <w:rPr>
          <w:rFonts w:hint="eastAsia"/>
          <w:color w:val="auto"/>
          <w:highlight w:val="none"/>
        </w:rPr>
        <w:t>四、评审程序</w:t>
      </w:r>
    </w:p>
    <w:p w14:paraId="6D649245">
      <w:pPr>
        <w:pStyle w:val="15"/>
        <w:ind w:firstLine="440"/>
        <w:jc w:val="both"/>
        <w:rPr>
          <w:b w:val="0"/>
          <w:bCs w:val="0"/>
          <w:color w:val="auto"/>
          <w:highlight w:val="none"/>
        </w:rPr>
      </w:pPr>
      <w:r>
        <w:rPr>
          <w:rFonts w:hint="eastAsia"/>
          <w:b w:val="0"/>
          <w:bCs w:val="0"/>
          <w:color w:val="auto"/>
          <w:highlight w:val="none"/>
        </w:rPr>
        <w:t>4.1</w:t>
      </w:r>
      <w:r>
        <w:rPr>
          <w:b w:val="0"/>
          <w:bCs w:val="0"/>
          <w:color w:val="auto"/>
          <w:highlight w:val="none"/>
        </w:rPr>
        <w:t xml:space="preserve"> </w:t>
      </w:r>
      <w:r>
        <w:rPr>
          <w:rFonts w:hint="eastAsia"/>
          <w:b w:val="0"/>
          <w:bCs w:val="0"/>
          <w:color w:val="auto"/>
          <w:highlight w:val="none"/>
        </w:rPr>
        <w:t>符合性检查</w:t>
      </w:r>
    </w:p>
    <w:p w14:paraId="464C403A">
      <w:pPr>
        <w:pStyle w:val="15"/>
        <w:ind w:firstLine="440"/>
        <w:jc w:val="both"/>
        <w:rPr>
          <w:b w:val="0"/>
          <w:bCs w:val="0"/>
          <w:color w:val="auto"/>
          <w:highlight w:val="none"/>
        </w:rPr>
      </w:pPr>
      <w:r>
        <w:rPr>
          <w:rFonts w:hint="eastAsia"/>
          <w:b w:val="0"/>
          <w:bCs w:val="0"/>
          <w:color w:val="auto"/>
          <w:highlight w:val="none"/>
        </w:rPr>
        <w:t>4.1.1</w:t>
      </w:r>
      <w:r>
        <w:rPr>
          <w:b w:val="0"/>
          <w:bCs w:val="0"/>
          <w:color w:val="auto"/>
          <w:highlight w:val="none"/>
        </w:rPr>
        <w:t xml:space="preserve"> </w:t>
      </w:r>
      <w:r>
        <w:rPr>
          <w:rFonts w:hint="eastAsia"/>
          <w:b w:val="0"/>
          <w:bCs w:val="0"/>
          <w:color w:val="auto"/>
          <w:highlight w:val="none"/>
        </w:rPr>
        <w:t>评标委员会按符合性审查标准，对投标文件的有效性、完整性和对招标文件的响应程度进行审查，以确定是否对招标文件的实质性要求作出响应。</w:t>
      </w:r>
    </w:p>
    <w:p w14:paraId="7648BEEB">
      <w:pPr>
        <w:pStyle w:val="15"/>
        <w:ind w:firstLine="440"/>
        <w:jc w:val="both"/>
        <w:rPr>
          <w:b w:val="0"/>
          <w:bCs w:val="0"/>
          <w:color w:val="auto"/>
          <w:highlight w:val="none"/>
        </w:rPr>
      </w:pPr>
      <w:r>
        <w:rPr>
          <w:rFonts w:hint="eastAsia"/>
          <w:b w:val="0"/>
          <w:bCs w:val="0"/>
          <w:color w:val="auto"/>
          <w:highlight w:val="none"/>
        </w:rPr>
        <w:t>4.1.2</w:t>
      </w:r>
      <w:r>
        <w:rPr>
          <w:b w:val="0"/>
          <w:bCs w:val="0"/>
          <w:color w:val="auto"/>
          <w:highlight w:val="none"/>
        </w:rPr>
        <w:t xml:space="preserve"> </w:t>
      </w:r>
      <w:r>
        <w:rPr>
          <w:rFonts w:hint="eastAsia"/>
          <w:b w:val="0"/>
          <w:bCs w:val="0"/>
          <w:color w:val="auto"/>
          <w:highlight w:val="none"/>
        </w:rPr>
        <w:t>投标供应商有以下情形之一的，其投标作无效标处理：</w:t>
      </w:r>
    </w:p>
    <w:p w14:paraId="5FD13302">
      <w:pPr>
        <w:pStyle w:val="15"/>
        <w:ind w:firstLine="440"/>
        <w:jc w:val="both"/>
        <w:rPr>
          <w:b w:val="0"/>
          <w:bCs w:val="0"/>
          <w:color w:val="auto"/>
          <w:highlight w:val="none"/>
        </w:rPr>
      </w:pPr>
      <w:r>
        <w:rPr>
          <w:rFonts w:hint="eastAsia"/>
          <w:b w:val="0"/>
          <w:bCs w:val="0"/>
          <w:color w:val="auto"/>
          <w:highlight w:val="none"/>
        </w:rPr>
        <w:t>（1）投标（响应）文件制作机器码一致的；</w:t>
      </w:r>
    </w:p>
    <w:p w14:paraId="779EB475">
      <w:pPr>
        <w:pStyle w:val="15"/>
        <w:ind w:firstLine="440"/>
        <w:jc w:val="both"/>
        <w:rPr>
          <w:b w:val="0"/>
          <w:bCs w:val="0"/>
          <w:color w:val="auto"/>
          <w:highlight w:val="none"/>
        </w:rPr>
      </w:pPr>
      <w:r>
        <w:rPr>
          <w:rFonts w:hint="eastAsia"/>
          <w:b w:val="0"/>
          <w:bCs w:val="0"/>
          <w:color w:val="auto"/>
          <w:highlight w:val="none"/>
        </w:rPr>
        <w:t>（2）串通投标或弄虚作假或有其他违法行为的；</w:t>
      </w:r>
    </w:p>
    <w:p w14:paraId="1E7DD974">
      <w:pPr>
        <w:pStyle w:val="15"/>
        <w:ind w:firstLine="440"/>
        <w:jc w:val="both"/>
        <w:rPr>
          <w:b w:val="0"/>
          <w:bCs w:val="0"/>
          <w:color w:val="auto"/>
          <w:highlight w:val="none"/>
        </w:rPr>
      </w:pPr>
      <w:r>
        <w:rPr>
          <w:rFonts w:hint="eastAsia"/>
          <w:b w:val="0"/>
          <w:bCs w:val="0"/>
          <w:color w:val="auto"/>
          <w:highlight w:val="none"/>
        </w:rPr>
        <w:t>（3）投标供应商递交两份或多份内容不同的投标文件，或在一份投标文件中对同一采购项目报两个或多个报价的；</w:t>
      </w:r>
    </w:p>
    <w:p w14:paraId="5D0BEED0">
      <w:pPr>
        <w:pStyle w:val="15"/>
        <w:ind w:firstLine="440"/>
        <w:jc w:val="both"/>
        <w:rPr>
          <w:b w:val="0"/>
          <w:bCs w:val="0"/>
          <w:color w:val="auto"/>
          <w:highlight w:val="none"/>
        </w:rPr>
      </w:pPr>
      <w:r>
        <w:rPr>
          <w:rFonts w:hint="eastAsia"/>
          <w:b w:val="0"/>
          <w:bCs w:val="0"/>
          <w:color w:val="auto"/>
          <w:highlight w:val="none"/>
        </w:rPr>
        <w:t>（4）不按评标委员会要求澄清、说明或补正的；</w:t>
      </w:r>
    </w:p>
    <w:p w14:paraId="2DD579D4">
      <w:pPr>
        <w:pStyle w:val="15"/>
        <w:ind w:firstLine="440"/>
        <w:jc w:val="both"/>
        <w:rPr>
          <w:b w:val="0"/>
          <w:bCs w:val="0"/>
          <w:color w:val="auto"/>
          <w:highlight w:val="none"/>
        </w:rPr>
      </w:pPr>
      <w:r>
        <w:rPr>
          <w:rFonts w:hint="eastAsia"/>
          <w:b w:val="0"/>
          <w:bCs w:val="0"/>
          <w:color w:val="auto"/>
          <w:highlight w:val="none"/>
        </w:rPr>
        <w:t>（5）不接受进口的产品提供了进口产品的；</w:t>
      </w:r>
    </w:p>
    <w:p w14:paraId="71AF92CE">
      <w:pPr>
        <w:pStyle w:val="15"/>
        <w:ind w:firstLine="440"/>
        <w:jc w:val="both"/>
        <w:rPr>
          <w:b w:val="0"/>
          <w:bCs w:val="0"/>
          <w:color w:val="auto"/>
          <w:highlight w:val="none"/>
        </w:rPr>
      </w:pPr>
      <w:r>
        <w:rPr>
          <w:rFonts w:hint="eastAsia"/>
          <w:b w:val="0"/>
          <w:bCs w:val="0"/>
          <w:color w:val="auto"/>
          <w:highlight w:val="none"/>
        </w:rPr>
        <w:t>（6）采购人不能接受的其他实质性条款。</w:t>
      </w:r>
    </w:p>
    <w:p w14:paraId="779FCC0A">
      <w:pPr>
        <w:pStyle w:val="15"/>
        <w:ind w:firstLine="440"/>
        <w:jc w:val="both"/>
        <w:rPr>
          <w:b w:val="0"/>
          <w:bCs w:val="0"/>
          <w:snapToGrid w:val="0"/>
          <w:color w:val="auto"/>
          <w:highlight w:val="none"/>
        </w:rPr>
      </w:pPr>
      <w:r>
        <w:rPr>
          <w:rFonts w:hint="eastAsia"/>
          <w:b w:val="0"/>
          <w:bCs w:val="0"/>
          <w:snapToGrid w:val="0"/>
          <w:color w:val="auto"/>
          <w:highlight w:val="none"/>
        </w:rPr>
        <w:t>4.1.3</w:t>
      </w:r>
      <w:r>
        <w:rPr>
          <w:b w:val="0"/>
          <w:bCs w:val="0"/>
          <w:snapToGrid w:val="0"/>
          <w:color w:val="auto"/>
          <w:highlight w:val="none"/>
        </w:rPr>
        <w:t xml:space="preserve"> </w:t>
      </w:r>
      <w:r>
        <w:rPr>
          <w:rFonts w:hint="eastAsia"/>
          <w:b w:val="0"/>
          <w:bCs w:val="0"/>
          <w:snapToGrid w:val="0"/>
          <w:color w:val="auto"/>
          <w:highlight w:val="none"/>
        </w:rPr>
        <w:t>投标报价有算术错误的，评标委员会按以下原则对投标报价进行修正，修正的价格经投标供应商确认后具有约束力。投标供应商不接受修正价格的，其投标作无效投标处理。</w:t>
      </w:r>
    </w:p>
    <w:p w14:paraId="4863885B">
      <w:pPr>
        <w:pStyle w:val="15"/>
        <w:ind w:firstLine="440"/>
        <w:jc w:val="both"/>
        <w:rPr>
          <w:b w:val="0"/>
          <w:bCs w:val="0"/>
          <w:snapToGrid w:val="0"/>
          <w:color w:val="auto"/>
          <w:highlight w:val="none"/>
        </w:rPr>
      </w:pPr>
      <w:r>
        <w:rPr>
          <w:rFonts w:hint="eastAsia"/>
          <w:b w:val="0"/>
          <w:bCs w:val="0"/>
          <w:snapToGrid w:val="0"/>
          <w:color w:val="auto"/>
          <w:highlight w:val="none"/>
        </w:rPr>
        <w:t>（1）投标文件中开标一览表（报价表）内容与投标文件中相应内容不一致的，以开标一览表（报价表）为准；</w:t>
      </w:r>
    </w:p>
    <w:p w14:paraId="2D72D41D">
      <w:pPr>
        <w:pStyle w:val="15"/>
        <w:ind w:firstLine="440"/>
        <w:jc w:val="both"/>
        <w:rPr>
          <w:b w:val="0"/>
          <w:bCs w:val="0"/>
          <w:snapToGrid w:val="0"/>
          <w:color w:val="auto"/>
          <w:highlight w:val="none"/>
        </w:rPr>
      </w:pPr>
      <w:r>
        <w:rPr>
          <w:rFonts w:hint="eastAsia"/>
          <w:b w:val="0"/>
          <w:bCs w:val="0"/>
          <w:snapToGrid w:val="0"/>
          <w:color w:val="auto"/>
          <w:highlight w:val="none"/>
        </w:rPr>
        <w:t>（2）大写金额和小写金额不一致的，以大写金额为准；</w:t>
      </w:r>
    </w:p>
    <w:p w14:paraId="29403A32">
      <w:pPr>
        <w:pStyle w:val="15"/>
        <w:ind w:firstLine="440"/>
        <w:jc w:val="both"/>
        <w:rPr>
          <w:b w:val="0"/>
          <w:bCs w:val="0"/>
          <w:snapToGrid w:val="0"/>
          <w:color w:val="auto"/>
          <w:highlight w:val="none"/>
        </w:rPr>
      </w:pPr>
      <w:r>
        <w:rPr>
          <w:rFonts w:hint="eastAsia"/>
          <w:b w:val="0"/>
          <w:bCs w:val="0"/>
          <w:snapToGrid w:val="0"/>
          <w:color w:val="auto"/>
          <w:highlight w:val="none"/>
        </w:rPr>
        <w:t>（3）单价金额小数点或者百分比有明显错位的，以开标一览表的总价为准，并修改单价；</w:t>
      </w:r>
    </w:p>
    <w:p w14:paraId="20056BF4">
      <w:pPr>
        <w:pStyle w:val="15"/>
        <w:ind w:firstLine="440"/>
        <w:jc w:val="both"/>
        <w:rPr>
          <w:b w:val="0"/>
          <w:bCs w:val="0"/>
          <w:snapToGrid w:val="0"/>
          <w:color w:val="auto"/>
          <w:highlight w:val="none"/>
        </w:rPr>
      </w:pPr>
      <w:r>
        <w:rPr>
          <w:rFonts w:hint="eastAsia"/>
          <w:b w:val="0"/>
          <w:bCs w:val="0"/>
          <w:snapToGrid w:val="0"/>
          <w:color w:val="auto"/>
          <w:highlight w:val="none"/>
        </w:rPr>
        <w:t>（4）总价金额与按单价汇总金额不一致的，以单价金额计算结果为准。</w:t>
      </w:r>
    </w:p>
    <w:p w14:paraId="0B0B36AD">
      <w:pPr>
        <w:pStyle w:val="15"/>
        <w:ind w:firstLine="440"/>
        <w:jc w:val="both"/>
        <w:rPr>
          <w:b w:val="0"/>
          <w:bCs w:val="0"/>
          <w:snapToGrid w:val="0"/>
          <w:color w:val="auto"/>
          <w:highlight w:val="none"/>
        </w:rPr>
      </w:pPr>
      <w:r>
        <w:rPr>
          <w:rFonts w:hint="eastAsia"/>
          <w:b w:val="0"/>
          <w:bCs w:val="0"/>
          <w:snapToGrid w:val="0"/>
          <w:color w:val="auto"/>
          <w:highlight w:val="none"/>
        </w:rPr>
        <w:t>同时出现两种以上不一致的，按照前款规定的顺序修正。修正后的报价经供应商确认后产生约束力，供应商不确认的，其投标无效。供应商的确认应当采用书面形式，并加盖公章，或者由法定代表人或其授权的代表签字。</w:t>
      </w:r>
    </w:p>
    <w:p w14:paraId="483D45D1">
      <w:pPr>
        <w:pStyle w:val="15"/>
        <w:rPr>
          <w:snapToGrid w:val="0"/>
          <w:color w:val="auto"/>
          <w:highlight w:val="none"/>
        </w:rPr>
      </w:pPr>
      <w:r>
        <w:rPr>
          <w:rFonts w:hint="eastAsia"/>
          <w:snapToGrid w:val="0"/>
          <w:color w:val="auto"/>
          <w:highlight w:val="none"/>
        </w:rPr>
        <w:t>4.1.4</w:t>
      </w:r>
      <w:r>
        <w:rPr>
          <w:snapToGrid w:val="0"/>
          <w:color w:val="auto"/>
          <w:highlight w:val="none"/>
        </w:rPr>
        <w:t xml:space="preserve"> </w:t>
      </w:r>
      <w:r>
        <w:rPr>
          <w:rFonts w:hint="eastAsia"/>
          <w:snapToGrid w:val="0"/>
          <w:color w:val="auto"/>
          <w:highlight w:val="none"/>
        </w:rPr>
        <w:t>异常低价投标（响应）审查程序</w:t>
      </w:r>
    </w:p>
    <w:p w14:paraId="71AC3AE4">
      <w:pPr>
        <w:pStyle w:val="15"/>
        <w:jc w:val="both"/>
        <w:rPr>
          <w:snapToGrid w:val="0"/>
          <w:color w:val="auto"/>
          <w:highlight w:val="none"/>
        </w:rPr>
      </w:pPr>
      <w:r>
        <w:rPr>
          <w:rFonts w:hint="eastAsia"/>
          <w:snapToGrid w:val="0"/>
          <w:color w:val="auto"/>
          <w:highlight w:val="none"/>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政府采购评审中出现下列情形之一的，评审委员会应当启动异常低价投标（响应）审查程序：</w:t>
      </w:r>
    </w:p>
    <w:p w14:paraId="775C201B">
      <w:pPr>
        <w:pStyle w:val="15"/>
        <w:jc w:val="both"/>
        <w:rPr>
          <w:snapToGrid w:val="0"/>
          <w:color w:val="auto"/>
          <w:highlight w:val="none"/>
        </w:rPr>
      </w:pPr>
      <w:r>
        <w:rPr>
          <w:rFonts w:hint="eastAsia"/>
          <w:snapToGrid w:val="0"/>
          <w:color w:val="auto"/>
          <w:highlight w:val="none"/>
        </w:rPr>
        <w:t>（1）投标（响应）报价低于全部通过符合性审查供应商投标（响应）报价平均值50%的，即投标（响应）报价 ＜ 全部通过符合性审查供应商投标（响应）报价平均值×50%；</w:t>
      </w:r>
    </w:p>
    <w:p w14:paraId="24489F93">
      <w:pPr>
        <w:pStyle w:val="15"/>
        <w:jc w:val="both"/>
        <w:rPr>
          <w:snapToGrid w:val="0"/>
          <w:color w:val="auto"/>
          <w:highlight w:val="none"/>
        </w:rPr>
      </w:pPr>
      <w:r>
        <w:rPr>
          <w:rFonts w:hint="eastAsia"/>
          <w:snapToGrid w:val="0"/>
          <w:color w:val="auto"/>
          <w:highlight w:val="none"/>
        </w:rPr>
        <w:t>（2）投标（响应）报价低于通过符合性审查的次低报价供应商投标（响应）报价50%的，即投标（响应）报价 ＜ 通过符合性审查的次低报价供应商投标（响应）报价×50%；</w:t>
      </w:r>
    </w:p>
    <w:p w14:paraId="111E964F">
      <w:pPr>
        <w:pStyle w:val="15"/>
        <w:jc w:val="both"/>
        <w:rPr>
          <w:snapToGrid w:val="0"/>
          <w:color w:val="auto"/>
          <w:highlight w:val="none"/>
        </w:rPr>
      </w:pPr>
      <w:r>
        <w:rPr>
          <w:rFonts w:hint="eastAsia"/>
          <w:snapToGrid w:val="0"/>
          <w:color w:val="auto"/>
          <w:highlight w:val="none"/>
        </w:rPr>
        <w:t>（3）投标（响应）报价低于采购项目最高限价45%的，即投标（响应）报价 ＜ 采购项目最高限价×45%；</w:t>
      </w:r>
    </w:p>
    <w:p w14:paraId="5D790840">
      <w:pPr>
        <w:pStyle w:val="15"/>
        <w:jc w:val="both"/>
        <w:rPr>
          <w:snapToGrid w:val="0"/>
          <w:color w:val="auto"/>
          <w:highlight w:val="none"/>
        </w:rPr>
      </w:pPr>
      <w:r>
        <w:rPr>
          <w:rFonts w:hint="eastAsia"/>
          <w:snapToGrid w:val="0"/>
          <w:color w:val="auto"/>
          <w:highlight w:val="none"/>
        </w:rPr>
        <w:t>（4）评审委员会基于专业判断，认为供应商报价过低，有可能影响产品质量或者不能诚信履约的其他情形。</w:t>
      </w:r>
    </w:p>
    <w:p w14:paraId="073E57E5">
      <w:pPr>
        <w:pStyle w:val="15"/>
        <w:jc w:val="both"/>
        <w:rPr>
          <w:snapToGrid w:val="0"/>
          <w:color w:val="auto"/>
          <w:highlight w:val="none"/>
        </w:rPr>
      </w:pPr>
      <w:r>
        <w:rPr>
          <w:rFonts w:hint="eastAsia"/>
          <w:snapToGrid w:val="0"/>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DBE9B18">
      <w:pPr>
        <w:pStyle w:val="15"/>
        <w:ind w:firstLine="440"/>
        <w:rPr>
          <w:b w:val="0"/>
          <w:bCs w:val="0"/>
          <w:snapToGrid w:val="0"/>
          <w:color w:val="auto"/>
          <w:highlight w:val="none"/>
        </w:rPr>
      </w:pPr>
      <w:r>
        <w:rPr>
          <w:rFonts w:hint="eastAsia"/>
          <w:b w:val="0"/>
          <w:bCs w:val="0"/>
          <w:snapToGrid w:val="0"/>
          <w:color w:val="auto"/>
          <w:highlight w:val="none"/>
        </w:rPr>
        <w:t>4.1.5 评标委员会只对通过符合性评审确定为实质性响应的投标文件进行详细评审。</w:t>
      </w:r>
    </w:p>
    <w:p w14:paraId="1450DCAF">
      <w:pPr>
        <w:pStyle w:val="15"/>
        <w:rPr>
          <w:snapToGrid w:val="0"/>
          <w:color w:val="auto"/>
          <w:highlight w:val="none"/>
        </w:rPr>
      </w:pPr>
      <w:r>
        <w:rPr>
          <w:rFonts w:hint="eastAsia"/>
          <w:snapToGrid w:val="0"/>
          <w:color w:val="auto"/>
          <w:highlight w:val="none"/>
        </w:rPr>
        <w:t>4.2 详细评审</w:t>
      </w:r>
    </w:p>
    <w:p w14:paraId="7D2EEDE0">
      <w:pPr>
        <w:pStyle w:val="15"/>
        <w:ind w:firstLine="440"/>
        <w:rPr>
          <w:b w:val="0"/>
          <w:bCs w:val="0"/>
          <w:snapToGrid w:val="0"/>
          <w:color w:val="auto"/>
          <w:highlight w:val="none"/>
        </w:rPr>
      </w:pPr>
      <w:r>
        <w:rPr>
          <w:rFonts w:hint="eastAsia"/>
          <w:b w:val="0"/>
          <w:bCs w:val="0"/>
          <w:snapToGrid w:val="0"/>
          <w:color w:val="auto"/>
          <w:highlight w:val="none"/>
        </w:rPr>
        <w:t>4.2.1 评标委员会应当按照招标文件中规定的评标方法和标准，对符合性审查合格的投标文件进行商务和技术评估，综合比较与评价。</w:t>
      </w:r>
    </w:p>
    <w:p w14:paraId="0C68B572">
      <w:pPr>
        <w:pStyle w:val="15"/>
        <w:ind w:firstLine="440"/>
        <w:jc w:val="both"/>
        <w:rPr>
          <w:b w:val="0"/>
          <w:bCs w:val="0"/>
          <w:snapToGrid w:val="0"/>
          <w:color w:val="auto"/>
          <w:highlight w:val="none"/>
        </w:rPr>
      </w:pPr>
      <w:bookmarkStart w:id="233" w:name="_Toc31850"/>
      <w:r>
        <w:rPr>
          <w:rFonts w:hint="eastAsia"/>
          <w:b w:val="0"/>
          <w:bCs w:val="0"/>
          <w:snapToGrid w:val="0"/>
          <w:color w:val="auto"/>
          <w:highlight w:val="none"/>
        </w:rPr>
        <w:t>4.2.2</w:t>
      </w:r>
      <w:r>
        <w:rPr>
          <w:b w:val="0"/>
          <w:bCs w:val="0"/>
          <w:snapToGrid w:val="0"/>
          <w:color w:val="auto"/>
          <w:highlight w:val="none"/>
        </w:rPr>
        <w:t xml:space="preserve"> </w:t>
      </w:r>
      <w:r>
        <w:rPr>
          <w:rFonts w:hint="eastAsia"/>
          <w:b w:val="0"/>
          <w:bCs w:val="0"/>
          <w:snapToGrid w:val="0"/>
          <w:color w:val="auto"/>
          <w:highlight w:val="none"/>
        </w:rPr>
        <w:t>评标委员会按本章第2.2款规定的量化因素和分值进行打分，并计算出综合评估得分。</w:t>
      </w:r>
    </w:p>
    <w:p w14:paraId="28058EB0">
      <w:pPr>
        <w:pStyle w:val="15"/>
        <w:ind w:firstLine="440"/>
        <w:jc w:val="both"/>
        <w:rPr>
          <w:b w:val="0"/>
          <w:bCs w:val="0"/>
          <w:snapToGrid w:val="0"/>
          <w:color w:val="auto"/>
          <w:highlight w:val="none"/>
        </w:rPr>
      </w:pPr>
      <w:r>
        <w:rPr>
          <w:rFonts w:hint="eastAsia"/>
          <w:b w:val="0"/>
          <w:bCs w:val="0"/>
          <w:snapToGrid w:val="0"/>
          <w:color w:val="auto"/>
          <w:highlight w:val="none"/>
        </w:rPr>
        <w:t>（1）按本章规定的评审因素和分值对投标报价计算出得分A；</w:t>
      </w:r>
    </w:p>
    <w:p w14:paraId="783FB938">
      <w:pPr>
        <w:pStyle w:val="15"/>
        <w:ind w:firstLine="440"/>
        <w:jc w:val="both"/>
        <w:rPr>
          <w:b w:val="0"/>
          <w:bCs w:val="0"/>
          <w:snapToGrid w:val="0"/>
          <w:color w:val="auto"/>
          <w:highlight w:val="none"/>
        </w:rPr>
      </w:pPr>
      <w:r>
        <w:rPr>
          <w:rFonts w:hint="eastAsia"/>
          <w:b w:val="0"/>
          <w:bCs w:val="0"/>
          <w:snapToGrid w:val="0"/>
          <w:color w:val="auto"/>
          <w:highlight w:val="none"/>
        </w:rPr>
        <w:t>（2）按本章规定的评审因素和分值对综合部分计算出得分B；</w:t>
      </w:r>
    </w:p>
    <w:p w14:paraId="3FB19DE4">
      <w:pPr>
        <w:pStyle w:val="15"/>
        <w:ind w:firstLine="440"/>
        <w:jc w:val="both"/>
        <w:rPr>
          <w:b w:val="0"/>
          <w:bCs w:val="0"/>
          <w:snapToGrid w:val="0"/>
          <w:color w:val="auto"/>
          <w:highlight w:val="none"/>
        </w:rPr>
      </w:pPr>
      <w:r>
        <w:rPr>
          <w:rFonts w:hint="eastAsia"/>
          <w:b w:val="0"/>
          <w:bCs w:val="0"/>
          <w:snapToGrid w:val="0"/>
          <w:color w:val="auto"/>
          <w:highlight w:val="none"/>
        </w:rPr>
        <w:t>（3）按本章规定的评审因素和分值对技术部分计算出得分C。</w:t>
      </w:r>
    </w:p>
    <w:p w14:paraId="1C031A1C">
      <w:pPr>
        <w:pStyle w:val="15"/>
        <w:ind w:firstLine="440"/>
        <w:jc w:val="both"/>
        <w:rPr>
          <w:b w:val="0"/>
          <w:bCs w:val="0"/>
          <w:snapToGrid w:val="0"/>
          <w:color w:val="auto"/>
          <w:highlight w:val="none"/>
        </w:rPr>
      </w:pPr>
      <w:r>
        <w:rPr>
          <w:rFonts w:hint="eastAsia"/>
          <w:b w:val="0"/>
          <w:bCs w:val="0"/>
          <w:snapToGrid w:val="0"/>
          <w:color w:val="auto"/>
          <w:highlight w:val="none"/>
        </w:rPr>
        <w:t>4.2.3 评分分值计算保留小数点后两位，小数点后第三位“四舍五入”。</w:t>
      </w:r>
    </w:p>
    <w:p w14:paraId="3E0D5553">
      <w:pPr>
        <w:pStyle w:val="15"/>
        <w:ind w:firstLine="440"/>
        <w:jc w:val="both"/>
        <w:rPr>
          <w:b w:val="0"/>
          <w:bCs w:val="0"/>
          <w:snapToGrid w:val="0"/>
          <w:color w:val="auto"/>
          <w:highlight w:val="none"/>
        </w:rPr>
      </w:pPr>
      <w:r>
        <w:rPr>
          <w:rFonts w:hint="eastAsia"/>
          <w:b w:val="0"/>
          <w:bCs w:val="0"/>
          <w:snapToGrid w:val="0"/>
          <w:color w:val="auto"/>
          <w:highlight w:val="none"/>
        </w:rPr>
        <w:t>4.2.4 投标供应商得分=A+B+C，投标供应商的最终得分为所有评委对其打分的算术平均值。</w:t>
      </w:r>
    </w:p>
    <w:p w14:paraId="208F30FD">
      <w:pPr>
        <w:pStyle w:val="15"/>
        <w:rPr>
          <w:snapToGrid w:val="0"/>
          <w:color w:val="auto"/>
          <w:highlight w:val="none"/>
        </w:rPr>
      </w:pPr>
      <w:r>
        <w:rPr>
          <w:rFonts w:hint="eastAsia"/>
          <w:snapToGrid w:val="0"/>
          <w:color w:val="auto"/>
          <w:highlight w:val="none"/>
        </w:rPr>
        <w:t>4.3</w:t>
      </w:r>
      <w:r>
        <w:rPr>
          <w:snapToGrid w:val="0"/>
          <w:color w:val="auto"/>
          <w:highlight w:val="none"/>
        </w:rPr>
        <w:t xml:space="preserve"> </w:t>
      </w:r>
      <w:r>
        <w:rPr>
          <w:rFonts w:hint="eastAsia"/>
          <w:snapToGrid w:val="0"/>
          <w:color w:val="auto"/>
          <w:highlight w:val="none"/>
        </w:rPr>
        <w:t>投标文件的澄清和补正</w:t>
      </w:r>
    </w:p>
    <w:bookmarkEnd w:id="233"/>
    <w:p w14:paraId="3057199A">
      <w:pPr>
        <w:pStyle w:val="15"/>
        <w:ind w:firstLine="440"/>
        <w:jc w:val="both"/>
        <w:rPr>
          <w:b w:val="0"/>
          <w:bCs w:val="0"/>
          <w:snapToGrid w:val="0"/>
          <w:color w:val="auto"/>
          <w:highlight w:val="none"/>
        </w:rPr>
      </w:pPr>
      <w:r>
        <w:rPr>
          <w:rFonts w:hint="eastAsia"/>
          <w:b w:val="0"/>
          <w:bCs w:val="0"/>
          <w:snapToGrid w:val="0"/>
          <w:color w:val="auto"/>
          <w:highlight w:val="none"/>
        </w:rPr>
        <w:t>4.3.1 在评标过程中，评标委员会可以书面形式要求投标供应商对所提交投标文件中不明确的内容进行书面澄清或说明，或者对细微偏差进行补正。评标委员会不接受投标供应商主动提出的澄清、说明或补正。</w:t>
      </w:r>
    </w:p>
    <w:p w14:paraId="187DEB8F">
      <w:pPr>
        <w:pStyle w:val="15"/>
        <w:ind w:firstLine="440"/>
        <w:jc w:val="both"/>
        <w:rPr>
          <w:b w:val="0"/>
          <w:bCs w:val="0"/>
          <w:snapToGrid w:val="0"/>
          <w:color w:val="auto"/>
          <w:highlight w:val="none"/>
        </w:rPr>
      </w:pPr>
      <w:r>
        <w:rPr>
          <w:rFonts w:hint="eastAsia"/>
          <w:b w:val="0"/>
          <w:bCs w:val="0"/>
          <w:snapToGrid w:val="0"/>
          <w:color w:val="auto"/>
          <w:highlight w:val="none"/>
        </w:rPr>
        <w:t>4.3.2 澄清、说明和补正不得改变投标文件的实质性内容（算术性错误修正的除外）。投标供应商的书面澄清、说明和补正属于投标文件的组成部分。</w:t>
      </w:r>
    </w:p>
    <w:p w14:paraId="31C292C9">
      <w:pPr>
        <w:pStyle w:val="15"/>
        <w:ind w:firstLine="440"/>
        <w:jc w:val="both"/>
        <w:rPr>
          <w:b w:val="0"/>
          <w:bCs w:val="0"/>
          <w:snapToGrid w:val="0"/>
          <w:color w:val="auto"/>
          <w:highlight w:val="none"/>
        </w:rPr>
      </w:pPr>
      <w:r>
        <w:rPr>
          <w:rFonts w:hint="eastAsia"/>
          <w:b w:val="0"/>
          <w:bCs w:val="0"/>
          <w:snapToGrid w:val="0"/>
          <w:color w:val="auto"/>
          <w:highlight w:val="none"/>
        </w:rPr>
        <w:t>4.3.3 评标委员会对投标供应商提交的澄清、说明或补正有疑问的，可以要求投标供应商进一步澄清、说明或补正，直至满足评标委员会的要求。</w:t>
      </w:r>
    </w:p>
    <w:p w14:paraId="1085E796">
      <w:pPr>
        <w:pStyle w:val="15"/>
        <w:rPr>
          <w:color w:val="auto"/>
          <w:highlight w:val="none"/>
        </w:rPr>
      </w:pPr>
      <w:r>
        <w:rPr>
          <w:rFonts w:hint="eastAsia"/>
          <w:color w:val="auto"/>
          <w:highlight w:val="none"/>
        </w:rPr>
        <w:t>五、评标结果</w:t>
      </w:r>
    </w:p>
    <w:p w14:paraId="7C1232AA">
      <w:pPr>
        <w:pStyle w:val="15"/>
        <w:ind w:firstLine="440"/>
        <w:jc w:val="both"/>
        <w:rPr>
          <w:b w:val="0"/>
          <w:bCs w:val="0"/>
          <w:snapToGrid w:val="0"/>
          <w:color w:val="auto"/>
          <w:highlight w:val="none"/>
        </w:rPr>
      </w:pPr>
      <w:r>
        <w:rPr>
          <w:rFonts w:hint="eastAsia"/>
          <w:b w:val="0"/>
          <w:bCs w:val="0"/>
          <w:snapToGrid w:val="0"/>
          <w:color w:val="auto"/>
          <w:highlight w:val="none"/>
        </w:rPr>
        <w:t>5.1 除第二章“供应商须知”前附表授权直接确定中标人外，评标委员会按照得分由高到低的顺序推荐中标候选人。提供相同品牌核心产品且通过资格审查、符合性审查的不同供应商参加同一合同项下投标的，按一家供应商计算，评审后得分最高的同品牌供应商获得中标人推荐资格；评审得分相同的，投标报价低的供应商获得中标人推荐资格；投标报价也相同的，技术部分得分高的获得中标人推荐资格。</w:t>
      </w:r>
    </w:p>
    <w:p w14:paraId="612EA768">
      <w:pPr>
        <w:pStyle w:val="15"/>
        <w:ind w:firstLine="440"/>
        <w:jc w:val="both"/>
        <w:rPr>
          <w:b w:val="0"/>
          <w:bCs w:val="0"/>
          <w:snapToGrid w:val="0"/>
          <w:color w:val="auto"/>
          <w:highlight w:val="none"/>
        </w:rPr>
      </w:pPr>
      <w:r>
        <w:rPr>
          <w:rFonts w:hint="eastAsia"/>
          <w:b w:val="0"/>
          <w:bCs w:val="0"/>
          <w:snapToGrid w:val="0"/>
          <w:color w:val="auto"/>
          <w:highlight w:val="none"/>
        </w:rPr>
        <w:t>5.2 评标委员会复核评标结果，复核结果无误的，按评审后综合得分由高到低顺序排列，向采购人推荐3名中标候选人。</w:t>
      </w:r>
    </w:p>
    <w:p w14:paraId="55D9202A">
      <w:pPr>
        <w:pStyle w:val="15"/>
        <w:ind w:firstLine="440"/>
        <w:jc w:val="both"/>
        <w:rPr>
          <w:b w:val="0"/>
          <w:bCs w:val="0"/>
          <w:snapToGrid w:val="0"/>
          <w:color w:val="auto"/>
          <w:highlight w:val="none"/>
        </w:rPr>
      </w:pPr>
      <w:r>
        <w:rPr>
          <w:rFonts w:hint="eastAsia"/>
          <w:b w:val="0"/>
          <w:bCs w:val="0"/>
          <w:snapToGrid w:val="0"/>
          <w:color w:val="auto"/>
          <w:highlight w:val="none"/>
        </w:rPr>
        <w:t>5.3 评标委员会组长须在评标报告签署前发起“核对评标结果”，采购代理机构在评标委员会规定的时间内线上完成评标结果核对，并反馈相关意见；</w:t>
      </w:r>
    </w:p>
    <w:p w14:paraId="05B3CDDE">
      <w:pPr>
        <w:pStyle w:val="15"/>
        <w:ind w:firstLine="440"/>
        <w:jc w:val="both"/>
        <w:rPr>
          <w:b w:val="0"/>
          <w:bCs w:val="0"/>
          <w:snapToGrid w:val="0"/>
          <w:color w:val="auto"/>
          <w:highlight w:val="none"/>
        </w:rPr>
      </w:pPr>
      <w:r>
        <w:rPr>
          <w:rFonts w:hint="eastAsia"/>
          <w:b w:val="0"/>
          <w:bCs w:val="0"/>
          <w:snapToGrid w:val="0"/>
          <w:color w:val="auto"/>
          <w:highlight w:val="none"/>
        </w:rPr>
        <w:t>5.4</w:t>
      </w:r>
      <w:r>
        <w:rPr>
          <w:b w:val="0"/>
          <w:bCs w:val="0"/>
          <w:snapToGrid w:val="0"/>
          <w:color w:val="auto"/>
          <w:highlight w:val="none"/>
        </w:rPr>
        <w:t xml:space="preserve"> </w:t>
      </w:r>
      <w:r>
        <w:rPr>
          <w:rFonts w:hint="eastAsia"/>
          <w:b w:val="0"/>
          <w:bCs w:val="0"/>
          <w:snapToGrid w:val="0"/>
          <w:color w:val="auto"/>
          <w:highlight w:val="none"/>
        </w:rPr>
        <w:t>评标委员会根据评标记录和评标结果编写评标报告。</w:t>
      </w:r>
    </w:p>
    <w:p w14:paraId="5DED729F">
      <w:pPr>
        <w:pStyle w:val="15"/>
        <w:ind w:firstLine="440"/>
        <w:jc w:val="both"/>
        <w:rPr>
          <w:b w:val="0"/>
          <w:bCs w:val="0"/>
          <w:snapToGrid w:val="0"/>
          <w:color w:val="auto"/>
          <w:highlight w:val="none"/>
        </w:rPr>
      </w:pPr>
      <w:r>
        <w:rPr>
          <w:rFonts w:hint="eastAsia"/>
          <w:b w:val="0"/>
          <w:bCs w:val="0"/>
          <w:snapToGrid w:val="0"/>
          <w:color w:val="auto"/>
          <w:highlight w:val="none"/>
        </w:rPr>
        <w:t>5.5</w:t>
      </w:r>
      <w:r>
        <w:rPr>
          <w:b w:val="0"/>
          <w:bCs w:val="0"/>
          <w:snapToGrid w:val="0"/>
          <w:color w:val="auto"/>
          <w:highlight w:val="none"/>
        </w:rPr>
        <w:t xml:space="preserve"> </w:t>
      </w:r>
      <w:r>
        <w:rPr>
          <w:rFonts w:hint="eastAsia"/>
          <w:b w:val="0"/>
          <w:bCs w:val="0"/>
          <w:snapToGrid w:val="0"/>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795327B5">
      <w:pPr>
        <w:pStyle w:val="15"/>
        <w:ind w:firstLine="440"/>
        <w:jc w:val="both"/>
        <w:rPr>
          <w:b w:val="0"/>
          <w:bCs w:val="0"/>
          <w:snapToGrid w:val="0"/>
          <w:color w:val="auto"/>
          <w:highlight w:val="none"/>
        </w:rPr>
      </w:pPr>
      <w:r>
        <w:rPr>
          <w:rFonts w:hint="eastAsia"/>
          <w:b w:val="0"/>
          <w:bCs w:val="0"/>
          <w:snapToGrid w:val="0"/>
          <w:color w:val="auto"/>
          <w:highlight w:val="none"/>
        </w:rPr>
        <w:t>5.6</w:t>
      </w:r>
      <w:r>
        <w:rPr>
          <w:b w:val="0"/>
          <w:bCs w:val="0"/>
          <w:snapToGrid w:val="0"/>
          <w:color w:val="auto"/>
          <w:highlight w:val="none"/>
        </w:rPr>
        <w:t xml:space="preserve"> </w:t>
      </w:r>
      <w:r>
        <w:rPr>
          <w:rFonts w:hint="eastAsia"/>
          <w:b w:val="0"/>
          <w:bCs w:val="0"/>
          <w:snapToGrid w:val="0"/>
          <w:color w:val="auto"/>
          <w:highlight w:val="none"/>
        </w:rPr>
        <w:t>评标结果汇总完成后，除下列情形外，任何人不得修改评标结果：</w:t>
      </w:r>
    </w:p>
    <w:p w14:paraId="062744D1">
      <w:pPr>
        <w:pStyle w:val="15"/>
        <w:ind w:firstLine="440"/>
        <w:jc w:val="both"/>
        <w:rPr>
          <w:b w:val="0"/>
          <w:bCs w:val="0"/>
          <w:snapToGrid w:val="0"/>
          <w:color w:val="auto"/>
          <w:highlight w:val="none"/>
        </w:rPr>
      </w:pPr>
      <w:r>
        <w:rPr>
          <w:rFonts w:hint="eastAsia"/>
          <w:b w:val="0"/>
          <w:bCs w:val="0"/>
          <w:snapToGrid w:val="0"/>
          <w:color w:val="auto"/>
          <w:highlight w:val="none"/>
        </w:rPr>
        <w:t>1）分值汇总计算错误的；</w:t>
      </w:r>
    </w:p>
    <w:p w14:paraId="2B87B55B">
      <w:pPr>
        <w:pStyle w:val="15"/>
        <w:ind w:firstLine="440"/>
        <w:jc w:val="both"/>
        <w:rPr>
          <w:b w:val="0"/>
          <w:bCs w:val="0"/>
          <w:snapToGrid w:val="0"/>
          <w:color w:val="auto"/>
          <w:highlight w:val="none"/>
        </w:rPr>
      </w:pPr>
      <w:r>
        <w:rPr>
          <w:rFonts w:hint="eastAsia"/>
          <w:b w:val="0"/>
          <w:bCs w:val="0"/>
          <w:snapToGrid w:val="0"/>
          <w:color w:val="auto"/>
          <w:highlight w:val="none"/>
        </w:rPr>
        <w:t>2）分项评分超出评分标准范围的；</w:t>
      </w:r>
    </w:p>
    <w:p w14:paraId="10453D14">
      <w:pPr>
        <w:pStyle w:val="15"/>
        <w:ind w:firstLine="440"/>
        <w:jc w:val="both"/>
        <w:rPr>
          <w:b w:val="0"/>
          <w:bCs w:val="0"/>
          <w:snapToGrid w:val="0"/>
          <w:color w:val="auto"/>
          <w:highlight w:val="none"/>
        </w:rPr>
      </w:pPr>
      <w:r>
        <w:rPr>
          <w:rFonts w:hint="eastAsia"/>
          <w:b w:val="0"/>
          <w:bCs w:val="0"/>
          <w:snapToGrid w:val="0"/>
          <w:color w:val="auto"/>
          <w:highlight w:val="none"/>
        </w:rPr>
        <w:t>3）评标委员会成员对客观评审因素评分不一致的；</w:t>
      </w:r>
    </w:p>
    <w:p w14:paraId="4B44D3A6">
      <w:pPr>
        <w:pStyle w:val="15"/>
        <w:ind w:firstLine="440"/>
        <w:jc w:val="both"/>
        <w:rPr>
          <w:b w:val="0"/>
          <w:bCs w:val="0"/>
          <w:snapToGrid w:val="0"/>
          <w:color w:val="auto"/>
          <w:highlight w:val="none"/>
        </w:rPr>
      </w:pPr>
      <w:r>
        <w:rPr>
          <w:rFonts w:hint="eastAsia"/>
          <w:b w:val="0"/>
          <w:bCs w:val="0"/>
          <w:snapToGrid w:val="0"/>
          <w:color w:val="auto"/>
          <w:highlight w:val="none"/>
        </w:rPr>
        <w:t>4）经评标委员会认定评分畸高、畸低的。</w:t>
      </w:r>
    </w:p>
    <w:p w14:paraId="2A7867AA">
      <w:pPr>
        <w:pStyle w:val="15"/>
        <w:ind w:firstLine="440"/>
        <w:jc w:val="both"/>
        <w:rPr>
          <w:color w:val="auto"/>
          <w:szCs w:val="18"/>
          <w:highlight w:val="none"/>
        </w:rPr>
      </w:pPr>
      <w:r>
        <w:rPr>
          <w:rFonts w:hint="eastAsia"/>
          <w:b w:val="0"/>
          <w:bCs w:val="0"/>
          <w:snapToGrid w:val="0"/>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r>
        <w:rPr>
          <w:rFonts w:hint="eastAsia"/>
          <w:color w:val="auto"/>
          <w:szCs w:val="18"/>
          <w:highlight w:val="none"/>
        </w:rPr>
        <w:br w:type="page"/>
      </w:r>
    </w:p>
    <w:bookmarkEnd w:id="230"/>
    <w:bookmarkEnd w:id="231"/>
    <w:p w14:paraId="682DAEDC">
      <w:pPr>
        <w:jc w:val="center"/>
        <w:outlineLvl w:val="0"/>
        <w:rPr>
          <w:rFonts w:ascii="宋体" w:hAnsi="宋体" w:cs="宋体"/>
          <w:b/>
          <w:color w:val="auto"/>
          <w:kern w:val="44"/>
          <w:sz w:val="36"/>
          <w:szCs w:val="36"/>
          <w:highlight w:val="none"/>
        </w:rPr>
      </w:pPr>
      <w:bookmarkStart w:id="234" w:name="_Toc769576846"/>
      <w:bookmarkStart w:id="235" w:name="_Toc21008"/>
      <w:bookmarkStart w:id="236" w:name="_Toc13301"/>
      <w:bookmarkStart w:id="237" w:name="_Toc256363561"/>
      <w:bookmarkStart w:id="238" w:name="_Toc29122"/>
      <w:bookmarkStart w:id="239" w:name="_Toc1220"/>
      <w:bookmarkStart w:id="240" w:name="_Toc28446"/>
      <w:r>
        <w:rPr>
          <w:rFonts w:hint="eastAsia" w:ascii="宋体" w:hAnsi="宋体" w:cs="宋体"/>
          <w:b/>
          <w:color w:val="auto"/>
          <w:kern w:val="44"/>
          <w:sz w:val="36"/>
          <w:szCs w:val="36"/>
          <w:highlight w:val="none"/>
        </w:rPr>
        <w:t>第四章  合同格式及合同条款</w:t>
      </w:r>
      <w:bookmarkEnd w:id="234"/>
      <w:bookmarkEnd w:id="235"/>
      <w:bookmarkEnd w:id="236"/>
      <w:bookmarkEnd w:id="237"/>
      <w:bookmarkEnd w:id="238"/>
      <w:bookmarkEnd w:id="239"/>
      <w:bookmarkEnd w:id="240"/>
    </w:p>
    <w:p w14:paraId="3B9A206A">
      <w:pPr>
        <w:ind w:firstLine="420" w:firstLineChars="200"/>
        <w:jc w:val="left"/>
        <w:rPr>
          <w:bCs/>
          <w:color w:val="auto"/>
          <w:szCs w:val="21"/>
          <w:highlight w:val="none"/>
        </w:rPr>
      </w:pPr>
    </w:p>
    <w:p w14:paraId="22DA4AF7">
      <w:pPr>
        <w:pStyle w:val="15"/>
        <w:rPr>
          <w:color w:val="auto"/>
          <w:highlight w:val="none"/>
        </w:rPr>
      </w:pPr>
    </w:p>
    <w:p w14:paraId="2B7AB202">
      <w:pPr>
        <w:pStyle w:val="15"/>
        <w:rPr>
          <w:color w:val="auto"/>
          <w:highlight w:val="none"/>
        </w:rPr>
      </w:pPr>
    </w:p>
    <w:p w14:paraId="1D0BCD1F">
      <w:pPr>
        <w:pStyle w:val="15"/>
        <w:rPr>
          <w:color w:val="auto"/>
          <w:highlight w:val="none"/>
        </w:rPr>
      </w:pPr>
    </w:p>
    <w:p w14:paraId="68C8E24B">
      <w:pPr>
        <w:pStyle w:val="15"/>
        <w:rPr>
          <w:color w:val="auto"/>
          <w:highlight w:val="none"/>
        </w:rPr>
      </w:pPr>
    </w:p>
    <w:p w14:paraId="7D9E54BF">
      <w:pPr>
        <w:pStyle w:val="15"/>
        <w:rPr>
          <w:color w:val="auto"/>
          <w:highlight w:val="none"/>
        </w:rPr>
      </w:pPr>
    </w:p>
    <w:p w14:paraId="3E262D1B">
      <w:pPr>
        <w:rPr>
          <w:rFonts w:ascii="宋体" w:hAnsi="宋体" w:cs="宋体"/>
          <w:b/>
          <w:bCs/>
          <w:color w:val="auto"/>
          <w:spacing w:val="-20"/>
          <w:kern w:val="44"/>
          <w:sz w:val="48"/>
          <w:szCs w:val="48"/>
          <w:highlight w:val="none"/>
        </w:rPr>
      </w:pPr>
    </w:p>
    <w:p w14:paraId="599D3940">
      <w:pPr>
        <w:pStyle w:val="15"/>
        <w:rPr>
          <w:color w:val="auto"/>
          <w:highlight w:val="none"/>
        </w:rPr>
      </w:pPr>
    </w:p>
    <w:p w14:paraId="7FAA4149">
      <w:pPr>
        <w:pStyle w:val="174"/>
        <w:spacing w:line="240" w:lineRule="auto"/>
        <w:ind w:firstLine="0" w:firstLineChars="0"/>
        <w:jc w:val="center"/>
        <w:rPr>
          <w:color w:val="auto"/>
          <w:highlight w:val="none"/>
        </w:rPr>
      </w:pPr>
      <w:r>
        <w:rPr>
          <w:color w:val="auto"/>
          <w:highlight w:val="none"/>
        </w:rPr>
        <w:t>政府采购货物买卖合同</w:t>
      </w:r>
    </w:p>
    <w:p w14:paraId="41978315">
      <w:pPr>
        <w:rPr>
          <w:rFonts w:ascii="宋体" w:hAnsi="宋体" w:cs="宋体"/>
          <w:b/>
          <w:bCs/>
          <w:color w:val="auto"/>
          <w:spacing w:val="-20"/>
          <w:kern w:val="44"/>
          <w:sz w:val="40"/>
          <w:szCs w:val="40"/>
          <w:highlight w:val="none"/>
        </w:rPr>
      </w:pPr>
    </w:p>
    <w:p w14:paraId="6C8C9651">
      <w:pPr>
        <w:pStyle w:val="59"/>
        <w:ind w:firstLine="721"/>
        <w:rPr>
          <w:rFonts w:ascii="宋体" w:hAnsi="宋体" w:cs="宋体"/>
          <w:b/>
          <w:bCs/>
          <w:color w:val="auto"/>
          <w:spacing w:val="-20"/>
          <w:kern w:val="44"/>
          <w:sz w:val="40"/>
          <w:szCs w:val="40"/>
          <w:highlight w:val="none"/>
        </w:rPr>
      </w:pPr>
    </w:p>
    <w:p w14:paraId="686F8B86">
      <w:pPr>
        <w:pStyle w:val="59"/>
        <w:ind w:firstLine="721"/>
        <w:rPr>
          <w:rFonts w:ascii="宋体" w:hAnsi="宋体" w:cs="宋体"/>
          <w:b/>
          <w:bCs/>
          <w:color w:val="auto"/>
          <w:spacing w:val="-20"/>
          <w:kern w:val="44"/>
          <w:sz w:val="40"/>
          <w:szCs w:val="40"/>
          <w:highlight w:val="none"/>
        </w:rPr>
      </w:pPr>
    </w:p>
    <w:p w14:paraId="1A487550">
      <w:pPr>
        <w:pStyle w:val="59"/>
        <w:ind w:firstLine="721"/>
        <w:rPr>
          <w:rFonts w:ascii="宋体" w:hAnsi="宋体" w:cs="宋体"/>
          <w:b/>
          <w:bCs/>
          <w:color w:val="auto"/>
          <w:spacing w:val="-20"/>
          <w:kern w:val="44"/>
          <w:sz w:val="40"/>
          <w:szCs w:val="40"/>
          <w:highlight w:val="none"/>
        </w:rPr>
      </w:pPr>
    </w:p>
    <w:p w14:paraId="68C94B89">
      <w:pPr>
        <w:pStyle w:val="59"/>
        <w:ind w:firstLine="721"/>
        <w:rPr>
          <w:rFonts w:ascii="宋体" w:hAnsi="宋体" w:cs="宋体"/>
          <w:b/>
          <w:bCs/>
          <w:color w:val="auto"/>
          <w:spacing w:val="-20"/>
          <w:kern w:val="44"/>
          <w:sz w:val="40"/>
          <w:szCs w:val="40"/>
          <w:highlight w:val="none"/>
        </w:rPr>
      </w:pPr>
    </w:p>
    <w:p w14:paraId="0D63BFEF">
      <w:pPr>
        <w:pStyle w:val="59"/>
        <w:ind w:firstLine="721"/>
        <w:rPr>
          <w:rFonts w:ascii="宋体" w:hAnsi="宋体" w:cs="宋体"/>
          <w:b/>
          <w:bCs/>
          <w:color w:val="auto"/>
          <w:spacing w:val="-20"/>
          <w:kern w:val="44"/>
          <w:sz w:val="40"/>
          <w:szCs w:val="40"/>
          <w:highlight w:val="none"/>
        </w:rPr>
      </w:pPr>
    </w:p>
    <w:p w14:paraId="46C6DC49">
      <w:pPr>
        <w:pStyle w:val="59"/>
        <w:ind w:firstLine="721"/>
        <w:rPr>
          <w:rFonts w:ascii="宋体" w:hAnsi="宋体" w:cs="宋体"/>
          <w:b/>
          <w:bCs/>
          <w:color w:val="auto"/>
          <w:spacing w:val="-20"/>
          <w:kern w:val="44"/>
          <w:sz w:val="40"/>
          <w:szCs w:val="40"/>
          <w:highlight w:val="none"/>
        </w:rPr>
      </w:pPr>
    </w:p>
    <w:p w14:paraId="55FDB9A8">
      <w:pPr>
        <w:rPr>
          <w:rFonts w:ascii="宋体" w:hAnsi="宋体" w:cs="宋体"/>
          <w:b/>
          <w:bCs/>
          <w:color w:val="auto"/>
          <w:spacing w:val="-20"/>
          <w:kern w:val="44"/>
          <w:sz w:val="40"/>
          <w:szCs w:val="40"/>
          <w:highlight w:val="none"/>
        </w:rPr>
      </w:pPr>
    </w:p>
    <w:p w14:paraId="01C83368">
      <w:pPr>
        <w:rPr>
          <w:rFonts w:ascii="宋体" w:hAnsi="宋体" w:cs="宋体"/>
          <w:b/>
          <w:bCs/>
          <w:color w:val="auto"/>
          <w:spacing w:val="-20"/>
          <w:kern w:val="44"/>
          <w:sz w:val="40"/>
          <w:szCs w:val="40"/>
          <w:highlight w:val="none"/>
        </w:rPr>
      </w:pPr>
    </w:p>
    <w:p w14:paraId="7868DA4B">
      <w:pPr>
        <w:spacing w:line="360" w:lineRule="auto"/>
        <w:ind w:left="420" w:leftChars="200"/>
        <w:rPr>
          <w:color w:val="auto"/>
          <w:sz w:val="32"/>
          <w:szCs w:val="32"/>
          <w:highlight w:val="none"/>
        </w:rPr>
      </w:pPr>
      <w:r>
        <w:rPr>
          <w:rFonts w:hint="eastAsia" w:ascii="宋体" w:hAnsi="宋体" w:cs="宋体"/>
          <w:color w:val="auto"/>
          <w:kern w:val="0"/>
          <w:sz w:val="32"/>
          <w:szCs w:val="32"/>
          <w:highlight w:val="none"/>
        </w:rPr>
        <w:t>项目名称：</w:t>
      </w:r>
      <w:r>
        <w:rPr>
          <w:rFonts w:hint="eastAsia"/>
          <w:color w:val="auto"/>
          <w:sz w:val="32"/>
          <w:szCs w:val="32"/>
          <w:highlight w:val="none"/>
          <w:u w:val="single"/>
        </w:rPr>
        <w:t>河南省科学院光资源与环境科学研究所红外检测实验平台（二期）项目</w:t>
      </w:r>
    </w:p>
    <w:p w14:paraId="698B7452">
      <w:pPr>
        <w:spacing w:line="360" w:lineRule="auto"/>
        <w:ind w:left="420" w:leftChars="200"/>
        <w:rPr>
          <w:color w:val="auto"/>
          <w:sz w:val="32"/>
          <w:szCs w:val="32"/>
          <w:highlight w:val="none"/>
          <w:u w:val="single"/>
        </w:rPr>
      </w:pPr>
      <w:r>
        <w:rPr>
          <w:rFonts w:hint="eastAsia"/>
          <w:color w:val="auto"/>
          <w:sz w:val="32"/>
          <w:szCs w:val="32"/>
          <w:highlight w:val="none"/>
        </w:rPr>
        <w:t>合同编号：</w:t>
      </w:r>
      <w:r>
        <w:rPr>
          <w:rFonts w:hint="eastAsia"/>
          <w:color w:val="auto"/>
          <w:sz w:val="32"/>
          <w:szCs w:val="32"/>
          <w:highlight w:val="none"/>
          <w:u w:val="single"/>
        </w:rPr>
        <w:t xml:space="preserve">                             </w:t>
      </w:r>
    </w:p>
    <w:p w14:paraId="25FA4F1F">
      <w:pPr>
        <w:spacing w:line="360" w:lineRule="auto"/>
        <w:ind w:left="420" w:leftChars="200"/>
        <w:rPr>
          <w:color w:val="auto"/>
          <w:sz w:val="32"/>
          <w:szCs w:val="32"/>
          <w:highlight w:val="none"/>
        </w:rPr>
      </w:pPr>
      <w:r>
        <w:rPr>
          <w:rFonts w:hint="eastAsia"/>
          <w:color w:val="auto"/>
          <w:sz w:val="32"/>
          <w:szCs w:val="32"/>
          <w:highlight w:val="none"/>
        </w:rPr>
        <w:t>甲    方：</w:t>
      </w:r>
      <w:r>
        <w:rPr>
          <w:rFonts w:hint="eastAsia"/>
          <w:color w:val="auto"/>
          <w:sz w:val="32"/>
          <w:szCs w:val="32"/>
          <w:highlight w:val="none"/>
          <w:u w:val="single"/>
        </w:rPr>
        <w:t xml:space="preserve"> 河南省科学院光资源与环境科学研究所</w:t>
      </w:r>
    </w:p>
    <w:p w14:paraId="0EBA303B">
      <w:pPr>
        <w:spacing w:line="360" w:lineRule="auto"/>
        <w:ind w:left="420" w:leftChars="200"/>
        <w:rPr>
          <w:color w:val="auto"/>
          <w:sz w:val="32"/>
          <w:szCs w:val="32"/>
          <w:highlight w:val="none"/>
          <w:u w:val="single"/>
        </w:rPr>
      </w:pPr>
      <w:r>
        <w:rPr>
          <w:rFonts w:hint="eastAsia"/>
          <w:color w:val="auto"/>
          <w:sz w:val="32"/>
          <w:szCs w:val="32"/>
          <w:highlight w:val="none"/>
        </w:rPr>
        <w:t>乙    方：</w:t>
      </w:r>
      <w:r>
        <w:rPr>
          <w:rFonts w:hint="eastAsia"/>
          <w:color w:val="auto"/>
          <w:sz w:val="32"/>
          <w:szCs w:val="32"/>
          <w:highlight w:val="none"/>
          <w:u w:val="single"/>
        </w:rPr>
        <w:t xml:space="preserve">                             </w:t>
      </w:r>
    </w:p>
    <w:p w14:paraId="17D9045A">
      <w:pPr>
        <w:spacing w:line="360" w:lineRule="auto"/>
        <w:ind w:left="420" w:leftChars="200"/>
        <w:rPr>
          <w:rFonts w:ascii="宋体" w:hAnsi="宋体" w:cs="宋体"/>
          <w:color w:val="auto"/>
          <w:kern w:val="0"/>
          <w:sz w:val="32"/>
          <w:szCs w:val="32"/>
          <w:highlight w:val="none"/>
          <w:u w:val="single"/>
        </w:rPr>
      </w:pPr>
      <w:r>
        <w:rPr>
          <w:rFonts w:hint="eastAsia" w:ascii="宋体" w:hAnsi="宋体" w:cs="宋体"/>
          <w:color w:val="auto"/>
          <w:kern w:val="0"/>
          <w:sz w:val="32"/>
          <w:szCs w:val="32"/>
          <w:highlight w:val="none"/>
        </w:rPr>
        <w:t>签 订 地：</w:t>
      </w:r>
      <w:r>
        <w:rPr>
          <w:rFonts w:hint="eastAsia" w:ascii="宋体" w:hAnsi="宋体" w:cs="宋体"/>
          <w:color w:val="auto"/>
          <w:kern w:val="0"/>
          <w:sz w:val="32"/>
          <w:szCs w:val="32"/>
          <w:highlight w:val="none"/>
          <w:u w:val="single"/>
        </w:rPr>
        <w:t xml:space="preserve">                             </w:t>
      </w:r>
    </w:p>
    <w:p w14:paraId="7B88BE05">
      <w:pPr>
        <w:spacing w:line="360" w:lineRule="auto"/>
        <w:ind w:left="420" w:leftChars="200"/>
        <w:rPr>
          <w:color w:val="auto"/>
          <w:sz w:val="32"/>
          <w:szCs w:val="32"/>
          <w:highlight w:val="none"/>
        </w:rPr>
      </w:pPr>
      <w:r>
        <w:rPr>
          <w:rFonts w:hint="eastAsia"/>
          <w:color w:val="auto"/>
          <w:sz w:val="32"/>
          <w:szCs w:val="32"/>
          <w:highlight w:val="none"/>
        </w:rPr>
        <w:t>签订时间：</w:t>
      </w:r>
      <w:r>
        <w:rPr>
          <w:rFonts w:hint="eastAsia"/>
          <w:color w:val="auto"/>
          <w:sz w:val="32"/>
          <w:szCs w:val="32"/>
          <w:highlight w:val="none"/>
          <w:u w:val="single"/>
        </w:rPr>
        <w:t xml:space="preserve">      </w:t>
      </w:r>
      <w:r>
        <w:rPr>
          <w:color w:val="auto"/>
          <w:sz w:val="32"/>
          <w:szCs w:val="32"/>
          <w:highlight w:val="none"/>
          <w:u w:val="single"/>
        </w:rPr>
        <w:t xml:space="preserve">           </w:t>
      </w:r>
      <w:r>
        <w:rPr>
          <w:rFonts w:hint="eastAsia"/>
          <w:color w:val="auto"/>
          <w:sz w:val="32"/>
          <w:szCs w:val="32"/>
          <w:highlight w:val="none"/>
          <w:u w:val="single"/>
        </w:rPr>
        <w:t xml:space="preserve">            </w:t>
      </w:r>
    </w:p>
    <w:p w14:paraId="47EEB10A">
      <w:pPr>
        <w:rPr>
          <w:color w:val="auto"/>
          <w:highlight w:val="none"/>
        </w:rPr>
      </w:pPr>
    </w:p>
    <w:p w14:paraId="2B0AA3C7">
      <w:pPr>
        <w:rPr>
          <w:rFonts w:eastAsia="黑体"/>
          <w:color w:val="auto"/>
          <w:sz w:val="44"/>
          <w:szCs w:val="44"/>
          <w:highlight w:val="none"/>
        </w:rPr>
      </w:pPr>
      <w:r>
        <w:rPr>
          <w:rFonts w:eastAsia="黑体"/>
          <w:color w:val="auto"/>
          <w:sz w:val="44"/>
          <w:szCs w:val="44"/>
          <w:highlight w:val="none"/>
        </w:rPr>
        <w:br w:type="page"/>
      </w:r>
    </w:p>
    <w:p w14:paraId="5239C649">
      <w:pPr>
        <w:jc w:val="center"/>
        <w:rPr>
          <w:rFonts w:ascii="黑体" w:hAnsi="华文中宋" w:eastAsia="黑体"/>
          <w:color w:val="auto"/>
          <w:szCs w:val="28"/>
          <w:highlight w:val="none"/>
        </w:rPr>
      </w:pPr>
      <w:bookmarkStart w:id="241" w:name="_Toc22209"/>
      <w:r>
        <w:rPr>
          <w:rFonts w:hint="eastAsia"/>
          <w:b/>
          <w:bCs/>
          <w:color w:val="auto"/>
          <w:sz w:val="28"/>
          <w:szCs w:val="28"/>
          <w:highlight w:val="none"/>
        </w:rPr>
        <w:t>第一节 政府采购合同协议书</w:t>
      </w:r>
      <w:bookmarkEnd w:id="241"/>
    </w:p>
    <w:p w14:paraId="0D78B2D1">
      <w:pPr>
        <w:rPr>
          <w:color w:val="auto"/>
          <w:highlight w:val="none"/>
        </w:rPr>
      </w:pPr>
    </w:p>
    <w:p w14:paraId="6A70BCA9">
      <w:pPr>
        <w:rPr>
          <w:rFonts w:ascii="宋体" w:hAnsi="宋体" w:cs="宋体"/>
          <w:color w:val="auto"/>
          <w:szCs w:val="21"/>
          <w:highlight w:val="none"/>
          <w:u w:val="single"/>
        </w:rPr>
      </w:pPr>
      <w:r>
        <w:rPr>
          <w:rFonts w:hint="eastAsia" w:ascii="宋体" w:hAnsi="宋体" w:cs="宋体"/>
          <w:color w:val="auto"/>
          <w:szCs w:val="21"/>
          <w:highlight w:val="none"/>
        </w:rPr>
        <w:t>甲方（全称）：</w:t>
      </w:r>
      <w:r>
        <w:rPr>
          <w:rFonts w:hint="eastAsia" w:ascii="宋体" w:hAnsi="宋体" w:cs="宋体"/>
          <w:color w:val="auto"/>
          <w:szCs w:val="21"/>
          <w:highlight w:val="none"/>
          <w:u w:val="single"/>
        </w:rPr>
        <w:t xml:space="preserve"> 河南省科学院光资源与环境科学研究所 </w:t>
      </w:r>
    </w:p>
    <w:p w14:paraId="02029D34">
      <w:pPr>
        <w:pStyle w:val="59"/>
        <w:ind w:firstLine="0" w:firstLineChars="0"/>
        <w:rPr>
          <w:rFonts w:ascii="宋体" w:hAnsi="宋体" w:eastAsia="宋体" w:cs="宋体"/>
          <w:color w:val="auto"/>
          <w:sz w:val="21"/>
          <w:highlight w:val="none"/>
          <w:u w:val="single"/>
        </w:rPr>
      </w:pPr>
      <w:r>
        <w:rPr>
          <w:rFonts w:hint="eastAsia" w:ascii="宋体" w:hAnsi="宋体" w:eastAsia="宋体" w:cs="宋体"/>
          <w:color w:val="auto"/>
          <w:kern w:val="2"/>
          <w:sz w:val="21"/>
          <w:highlight w:val="none"/>
        </w:rPr>
        <w:t>乙方（全称）：</w:t>
      </w:r>
      <w:r>
        <w:rPr>
          <w:rFonts w:hint="eastAsia" w:ascii="宋体" w:hAnsi="宋体" w:eastAsia="宋体" w:cs="宋体"/>
          <w:color w:val="auto"/>
          <w:sz w:val="21"/>
          <w:highlight w:val="none"/>
          <w:u w:val="single"/>
        </w:rPr>
        <w:t xml:space="preserve">                                </w:t>
      </w:r>
    </w:p>
    <w:p w14:paraId="39558665">
      <w:pPr>
        <w:pStyle w:val="59"/>
        <w:ind w:firstLine="0" w:firstLineChars="0"/>
        <w:rPr>
          <w:rFonts w:ascii="宋体" w:hAnsi="宋体" w:eastAsia="宋体" w:cs="宋体"/>
          <w:color w:val="auto"/>
          <w:sz w:val="21"/>
          <w:highlight w:val="none"/>
          <w:u w:val="single"/>
        </w:rPr>
      </w:pPr>
    </w:p>
    <w:p w14:paraId="21119482">
      <w:pPr>
        <w:pStyle w:val="16"/>
        <w:adjustRightInd w:val="0"/>
        <w:snapToGrid w:val="0"/>
        <w:spacing w:line="400" w:lineRule="exact"/>
        <w:ind w:firstLine="420" w:firstLineChars="200"/>
        <w:rPr>
          <w:rFonts w:hAnsi="宋体" w:cs="宋体"/>
          <w:color w:val="auto"/>
          <w:sz w:val="21"/>
          <w:szCs w:val="21"/>
          <w:highlight w:val="none"/>
        </w:rPr>
      </w:pPr>
      <w:r>
        <w:rPr>
          <w:rFonts w:hint="eastAsia" w:hAnsi="宋体" w:cs="宋体"/>
          <w:color w:val="auto"/>
          <w:sz w:val="21"/>
          <w:szCs w:val="21"/>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3A7AF21B">
      <w:pPr>
        <w:numPr>
          <w:ilvl w:val="0"/>
          <w:numId w:val="3"/>
        </w:numPr>
        <w:adjustRightInd w:val="0"/>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项目信息</w:t>
      </w:r>
    </w:p>
    <w:p w14:paraId="19A6B61A">
      <w:pPr>
        <w:pStyle w:val="16"/>
        <w:numPr>
          <w:ilvl w:val="0"/>
          <w:numId w:val="4"/>
        </w:numPr>
        <w:adjustRightInd w:val="0"/>
        <w:snapToGrid w:val="0"/>
        <w:spacing w:line="400" w:lineRule="exact"/>
        <w:ind w:firstLine="420" w:firstLineChars="200"/>
        <w:rPr>
          <w:rFonts w:hAnsi="宋体" w:cs="宋体"/>
          <w:color w:val="auto"/>
          <w:sz w:val="21"/>
          <w:szCs w:val="21"/>
          <w:highlight w:val="none"/>
          <w:u w:val="single"/>
        </w:rPr>
      </w:pPr>
      <w:r>
        <w:rPr>
          <w:rFonts w:hint="eastAsia" w:hAnsi="宋体" w:cs="宋体"/>
          <w:color w:val="auto"/>
          <w:sz w:val="21"/>
          <w:szCs w:val="21"/>
          <w:highlight w:val="none"/>
        </w:rPr>
        <w:t>采购项目名称：</w:t>
      </w:r>
      <w:r>
        <w:rPr>
          <w:rFonts w:hint="eastAsia" w:hAnsi="宋体" w:cs="宋体"/>
          <w:color w:val="auto"/>
          <w:sz w:val="21"/>
          <w:szCs w:val="21"/>
          <w:highlight w:val="none"/>
          <w:u w:val="single"/>
        </w:rPr>
        <w:t xml:space="preserve"> 河南省科学院光资源与环境科学研究所红外检测实验平台（二期）项目</w:t>
      </w:r>
    </w:p>
    <w:p w14:paraId="2BA4B114">
      <w:pPr>
        <w:pStyle w:val="16"/>
        <w:numPr>
          <w:ilvl w:val="255"/>
          <w:numId w:val="0"/>
        </w:numPr>
        <w:tabs>
          <w:tab w:val="left" w:pos="999"/>
          <w:tab w:val="clear" w:pos="945"/>
          <w:tab w:val="clear" w:pos="1155"/>
        </w:tabs>
        <w:adjustRightInd w:val="0"/>
        <w:snapToGrid w:val="0"/>
        <w:spacing w:line="400" w:lineRule="exact"/>
        <w:rPr>
          <w:rFonts w:hAnsi="宋体" w:cs="宋体"/>
          <w:color w:val="auto"/>
          <w:sz w:val="21"/>
          <w:szCs w:val="21"/>
          <w:highlight w:val="none"/>
        </w:rPr>
      </w:pPr>
      <w:r>
        <w:rPr>
          <w:rFonts w:hint="eastAsia" w:hAnsi="宋体" w:cs="宋体"/>
          <w:color w:val="auto"/>
          <w:sz w:val="21"/>
          <w:szCs w:val="21"/>
          <w:highlight w:val="none"/>
        </w:rPr>
        <w:t xml:space="preserve">         采购项目编号：</w:t>
      </w:r>
      <w:r>
        <w:rPr>
          <w:rFonts w:hint="eastAsia" w:hAnsi="宋体" w:cs="宋体"/>
          <w:color w:val="auto"/>
          <w:sz w:val="21"/>
          <w:szCs w:val="21"/>
          <w:highlight w:val="none"/>
          <w:u w:val="single"/>
        </w:rPr>
        <w:t xml:space="preserve">                                          </w:t>
      </w:r>
    </w:p>
    <w:p w14:paraId="682A177E">
      <w:pPr>
        <w:pStyle w:val="16"/>
        <w:adjustRightInd w:val="0"/>
        <w:snapToGrid w:val="0"/>
        <w:spacing w:line="400" w:lineRule="exact"/>
        <w:ind w:firstLine="420" w:firstLineChars="200"/>
        <w:rPr>
          <w:rFonts w:hAnsi="宋体" w:cs="宋体"/>
          <w:color w:val="auto"/>
          <w:sz w:val="21"/>
          <w:szCs w:val="21"/>
          <w:highlight w:val="none"/>
        </w:rPr>
      </w:pPr>
      <w:r>
        <w:rPr>
          <w:rFonts w:hint="eastAsia" w:hAnsi="宋体" w:cs="宋体"/>
          <w:color w:val="auto"/>
          <w:sz w:val="21"/>
          <w:szCs w:val="21"/>
          <w:highlight w:val="none"/>
        </w:rPr>
        <w:t>（2）采购计划编号：</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w:t>
      </w:r>
    </w:p>
    <w:p w14:paraId="31D424B3">
      <w:pPr>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（3）项目内容：</w:t>
      </w:r>
    </w:p>
    <w:p w14:paraId="3290BE65">
      <w:pPr>
        <w:spacing w:line="400" w:lineRule="exact"/>
        <w:ind w:firstLine="840" w:firstLineChars="400"/>
        <w:rPr>
          <w:rFonts w:ascii="宋体" w:hAnsi="宋体" w:cs="宋体"/>
          <w:color w:val="auto"/>
          <w:szCs w:val="21"/>
          <w:highlight w:val="none"/>
        </w:rPr>
      </w:pPr>
      <w:r>
        <w:rPr>
          <w:rFonts w:hint="eastAsia" w:ascii="宋体" w:hAnsi="宋体" w:cs="宋体"/>
          <w:color w:val="auto"/>
          <w:szCs w:val="21"/>
          <w:highlight w:val="none"/>
        </w:rPr>
        <w:t>采购标的及数量（台/套</w:t>
      </w:r>
      <w:r>
        <w:rPr>
          <w:rFonts w:hint="eastAsia" w:ascii="宋体" w:hAnsi="宋体" w:cs="宋体"/>
          <w:color w:val="auto"/>
          <w:szCs w:val="21"/>
          <w:highlight w:val="none"/>
          <w:lang w:val="en"/>
        </w:rPr>
        <w:t>/个/架/组等</w:t>
      </w:r>
      <w:r>
        <w:rPr>
          <w:rFonts w:hint="eastAsia" w:ascii="宋体" w:hAnsi="宋体" w:cs="宋体"/>
          <w:color w:val="auto"/>
          <w:szCs w:val="21"/>
          <w:highlight w:val="none"/>
        </w:rPr>
        <w:t>）、品牌、规格型号、原产地、技术参数等见附件（附件1：货物分项报价一览表  附件2：配置清单  附件3：技术参数  附件4：售后服务  附件5：授权委托书等）。</w:t>
      </w:r>
    </w:p>
    <w:p w14:paraId="75E4FA96">
      <w:pPr>
        <w:pStyle w:val="59"/>
        <w:numPr>
          <w:ilvl w:val="255"/>
          <w:numId w:val="0"/>
        </w:numPr>
        <w:snapToGrid w:val="0"/>
        <w:rPr>
          <w:rFonts w:ascii="宋体" w:hAnsi="宋体" w:eastAsia="宋体" w:cs="宋体"/>
          <w:color w:val="auto"/>
          <w:sz w:val="21"/>
          <w:highlight w:val="none"/>
        </w:rPr>
      </w:pP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val="en"/>
        </w:rPr>
        <w:t>4</w:t>
      </w:r>
      <w:r>
        <w:rPr>
          <w:rFonts w:hint="eastAsia" w:ascii="宋体" w:hAnsi="宋体" w:eastAsia="宋体" w:cs="宋体"/>
          <w:color w:val="auto"/>
          <w:sz w:val="21"/>
          <w:highlight w:val="none"/>
        </w:rPr>
        <w:t>）政府采购组织形式：</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政府集中采购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部门集中采购  </w:t>
      </w:r>
      <w:r>
        <w:rPr>
          <w:rFonts w:hint="eastAsia" w:ascii="宋体" w:hAnsi="宋体" w:eastAsia="宋体" w:cs="宋体"/>
          <w:color w:val="auto"/>
          <w:sz w:val="21"/>
          <w:highlight w:val="none"/>
        </w:rPr>
        <w:sym w:font="Wingdings" w:char="00FE"/>
      </w:r>
      <w:r>
        <w:rPr>
          <w:rFonts w:hint="eastAsia" w:ascii="宋体" w:hAnsi="宋体" w:eastAsia="宋体" w:cs="宋体"/>
          <w:color w:val="auto"/>
          <w:sz w:val="21"/>
          <w:highlight w:val="none"/>
        </w:rPr>
        <w:t>分散采购</w:t>
      </w:r>
    </w:p>
    <w:p w14:paraId="6C6E3AC9">
      <w:pPr>
        <w:pStyle w:val="59"/>
        <w:numPr>
          <w:ilvl w:val="255"/>
          <w:numId w:val="0"/>
        </w:numPr>
        <w:snapToGrid w:val="0"/>
        <w:ind w:firstLine="420"/>
        <w:rPr>
          <w:rFonts w:ascii="宋体" w:hAnsi="宋体" w:eastAsia="宋体" w:cs="宋体"/>
          <w:color w:val="auto"/>
          <w:sz w:val="21"/>
          <w:highlight w:val="none"/>
        </w:rPr>
      </w:pP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
        </w:rPr>
        <w:t>5</w:t>
      </w:r>
      <w:r>
        <w:rPr>
          <w:rFonts w:hint="eastAsia" w:ascii="宋体" w:hAnsi="宋体" w:eastAsia="宋体" w:cs="宋体"/>
          <w:color w:val="auto"/>
          <w:sz w:val="21"/>
          <w:highlight w:val="none"/>
        </w:rPr>
        <w:t>）政府采购方式：</w:t>
      </w:r>
      <w:r>
        <w:rPr>
          <w:rFonts w:hint="eastAsia" w:ascii="宋体" w:hAnsi="宋体" w:eastAsia="宋体" w:cs="宋体"/>
          <w:color w:val="auto"/>
          <w:sz w:val="21"/>
          <w:highlight w:val="none"/>
        </w:rPr>
        <w:sym w:font="Wingdings" w:char="00FE"/>
      </w:r>
      <w:r>
        <w:rPr>
          <w:rFonts w:hint="eastAsia" w:ascii="宋体" w:hAnsi="宋体" w:eastAsia="宋体" w:cs="宋体"/>
          <w:color w:val="auto"/>
          <w:sz w:val="21"/>
          <w:highlight w:val="none"/>
        </w:rPr>
        <w:t xml:space="preserve">公开招标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邀请招标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竞争性谈判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竞争性磋商</w:t>
      </w:r>
    </w:p>
    <w:p w14:paraId="5BD2193E">
      <w:pPr>
        <w:pStyle w:val="59"/>
        <w:numPr>
          <w:ilvl w:val="255"/>
          <w:numId w:val="0"/>
        </w:numPr>
        <w:snapToGrid w:val="0"/>
        <w:ind w:firstLine="420"/>
        <w:rPr>
          <w:rFonts w:ascii="宋体" w:hAnsi="宋体" w:eastAsia="宋体" w:cs="宋体"/>
          <w:color w:val="auto"/>
          <w:sz w:val="21"/>
          <w:highlight w:val="none"/>
          <w:u w:val="single"/>
        </w:rPr>
      </w:pP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询价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单一来源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框架协议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其他：</w:t>
      </w:r>
      <w:r>
        <w:rPr>
          <w:rFonts w:hint="eastAsia" w:ascii="宋体" w:hAnsi="宋体" w:eastAsia="宋体" w:cs="宋体"/>
          <w:color w:val="auto"/>
          <w:sz w:val="21"/>
          <w:highlight w:val="none"/>
          <w:u w:val="single"/>
        </w:rPr>
        <w:t xml:space="preserve">          </w:t>
      </w:r>
    </w:p>
    <w:p w14:paraId="261F52D7">
      <w:pPr>
        <w:pStyle w:val="59"/>
        <w:numPr>
          <w:ilvl w:val="255"/>
          <w:numId w:val="0"/>
        </w:numPr>
        <w:snapToGrid w:val="0"/>
        <w:ind w:firstLine="420" w:firstLineChars="200"/>
        <w:rPr>
          <w:rFonts w:ascii="宋体" w:hAnsi="宋体" w:eastAsia="宋体" w:cs="宋体"/>
          <w:color w:val="auto"/>
          <w:kern w:val="2"/>
          <w:sz w:val="21"/>
          <w:highlight w:val="none"/>
        </w:rPr>
      </w:pP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
        </w:rPr>
        <w:t>6</w:t>
      </w:r>
      <w:r>
        <w:rPr>
          <w:rFonts w:hint="eastAsia" w:ascii="宋体" w:hAnsi="宋体" w:eastAsia="宋体" w:cs="宋体"/>
          <w:color w:val="auto"/>
          <w:sz w:val="21"/>
          <w:highlight w:val="none"/>
        </w:rPr>
        <w:t>）</w:t>
      </w:r>
      <w:r>
        <w:rPr>
          <w:rFonts w:hint="eastAsia" w:ascii="宋体" w:hAnsi="宋体" w:eastAsia="宋体" w:cs="宋体"/>
          <w:color w:val="auto"/>
          <w:kern w:val="2"/>
          <w:sz w:val="21"/>
          <w:highlight w:val="none"/>
        </w:rPr>
        <w:t>乙方企业规模：</w:t>
      </w:r>
      <w:r>
        <w:rPr>
          <w:rFonts w:hint="eastAsia" w:ascii="宋体" w:hAnsi="宋体" w:eastAsia="宋体" w:cs="宋体"/>
          <w:iCs/>
          <w:color w:val="auto"/>
          <w:sz w:val="21"/>
          <w:highlight w:val="none"/>
        </w:rPr>
        <w:t xml:space="preserve"> </w:t>
      </w:r>
      <w:r>
        <w:rPr>
          <w:rFonts w:hint="eastAsia" w:ascii="宋体" w:hAnsi="宋体" w:eastAsia="宋体" w:cs="宋体"/>
          <w:iCs/>
          <w:color w:val="auto"/>
          <w:sz w:val="21"/>
          <w:highlight w:val="none"/>
        </w:rPr>
        <w:sym w:font="Wingdings" w:char="00A8"/>
      </w:r>
      <w:r>
        <w:rPr>
          <w:rFonts w:hint="eastAsia" w:ascii="宋体" w:hAnsi="宋体" w:eastAsia="宋体" w:cs="宋体"/>
          <w:iCs/>
          <w:color w:val="auto"/>
          <w:sz w:val="21"/>
          <w:highlight w:val="none"/>
        </w:rPr>
        <w:t xml:space="preserve">大型企业  </w:t>
      </w:r>
      <w:r>
        <w:rPr>
          <w:rFonts w:hint="eastAsia" w:ascii="宋体" w:hAnsi="宋体" w:eastAsia="宋体" w:cs="宋体"/>
          <w:iCs/>
          <w:color w:val="auto"/>
          <w:sz w:val="21"/>
          <w:highlight w:val="none"/>
        </w:rPr>
        <w:sym w:font="Wingdings" w:char="00A8"/>
      </w:r>
      <w:r>
        <w:rPr>
          <w:rFonts w:hint="eastAsia" w:ascii="宋体" w:hAnsi="宋体" w:eastAsia="宋体" w:cs="宋体"/>
          <w:iCs/>
          <w:color w:val="auto"/>
          <w:sz w:val="21"/>
          <w:highlight w:val="none"/>
        </w:rPr>
        <w:t xml:space="preserve">中型企业  </w:t>
      </w:r>
      <w:r>
        <w:rPr>
          <w:rFonts w:hint="eastAsia" w:ascii="宋体" w:hAnsi="宋体" w:eastAsia="宋体" w:cs="宋体"/>
          <w:iCs/>
          <w:color w:val="auto"/>
          <w:sz w:val="21"/>
          <w:highlight w:val="none"/>
        </w:rPr>
        <w:sym w:font="Wingdings" w:char="00A8"/>
      </w:r>
      <w:r>
        <w:rPr>
          <w:rFonts w:hint="eastAsia" w:ascii="宋体" w:hAnsi="宋体" w:eastAsia="宋体" w:cs="宋体"/>
          <w:iCs/>
          <w:color w:val="auto"/>
          <w:sz w:val="21"/>
          <w:highlight w:val="none"/>
        </w:rPr>
        <w:t xml:space="preserve">小型企业  </w:t>
      </w:r>
      <w:r>
        <w:rPr>
          <w:rFonts w:hint="eastAsia" w:ascii="宋体" w:hAnsi="宋体" w:eastAsia="宋体" w:cs="宋体"/>
          <w:iCs/>
          <w:color w:val="auto"/>
          <w:sz w:val="21"/>
          <w:highlight w:val="none"/>
        </w:rPr>
        <w:sym w:font="Wingdings" w:char="00A8"/>
      </w:r>
      <w:r>
        <w:rPr>
          <w:rFonts w:hint="eastAsia" w:ascii="宋体" w:hAnsi="宋体" w:eastAsia="宋体" w:cs="宋体"/>
          <w:iCs/>
          <w:color w:val="auto"/>
          <w:sz w:val="21"/>
          <w:highlight w:val="none"/>
        </w:rPr>
        <w:t>微型企业</w:t>
      </w:r>
    </w:p>
    <w:p w14:paraId="1AB9CA7D">
      <w:pPr>
        <w:numPr>
          <w:ilvl w:val="255"/>
          <w:numId w:val="0"/>
        </w:numPr>
        <w:adjustRightInd w:val="0"/>
        <w:snapToGrid w:val="0"/>
        <w:spacing w:line="400" w:lineRule="exact"/>
        <w:rPr>
          <w:rFonts w:ascii="宋体" w:hAnsi="宋体" w:cs="宋体"/>
          <w:iCs/>
          <w:color w:val="auto"/>
          <w:szCs w:val="21"/>
          <w:highlight w:val="none"/>
        </w:rPr>
      </w:pPr>
      <w:r>
        <w:rPr>
          <w:rFonts w:hint="eastAsia" w:ascii="宋体" w:hAnsi="宋体" w:cs="宋体"/>
          <w:color w:val="auto"/>
          <w:szCs w:val="21"/>
          <w:highlight w:val="none"/>
        </w:rPr>
        <w:t xml:space="preserve">         本合同是否为专门面向中小企业的采购合同（中小企业预留合同）：</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否</w:t>
      </w:r>
    </w:p>
    <w:p w14:paraId="6499E2B8">
      <w:pPr>
        <w:numPr>
          <w:ilvl w:val="255"/>
          <w:numId w:val="0"/>
        </w:num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若本项目不专门面向中小企业采购，是否给予小微企业评审优惠：</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14:paraId="7E9B875B">
      <w:pPr>
        <w:pStyle w:val="59"/>
        <w:numPr>
          <w:ilvl w:val="0"/>
          <w:numId w:val="5"/>
        </w:numPr>
        <w:snapToGrid w:val="0"/>
        <w:ind w:firstLine="420" w:firstLineChars="0"/>
        <w:rPr>
          <w:rFonts w:ascii="宋体" w:hAnsi="宋体" w:eastAsia="宋体" w:cs="宋体"/>
          <w:color w:val="auto"/>
          <w:kern w:val="2"/>
          <w:sz w:val="21"/>
          <w:highlight w:val="none"/>
        </w:rPr>
      </w:pPr>
      <w:r>
        <w:rPr>
          <w:rFonts w:hint="eastAsia" w:ascii="宋体" w:hAnsi="宋体" w:eastAsia="宋体" w:cs="宋体"/>
          <w:color w:val="auto"/>
          <w:sz w:val="21"/>
          <w:highlight w:val="none"/>
        </w:rPr>
        <w:t>合同授予类型：</w:t>
      </w:r>
      <w:r>
        <w:rPr>
          <w:rFonts w:hint="eastAsia" w:ascii="宋体" w:hAnsi="宋体" w:eastAsia="宋体" w:cs="宋体"/>
          <w:color w:val="auto"/>
          <w:kern w:val="2"/>
          <w:sz w:val="21"/>
          <w:highlight w:val="none"/>
        </w:rPr>
        <w:sym w:font="Wingdings" w:char="00A8"/>
      </w:r>
      <w:r>
        <w:rPr>
          <w:rFonts w:hint="eastAsia" w:ascii="宋体" w:hAnsi="宋体" w:eastAsia="宋体" w:cs="宋体"/>
          <w:color w:val="auto"/>
          <w:kern w:val="2"/>
          <w:sz w:val="21"/>
          <w:highlight w:val="none"/>
        </w:rPr>
        <w:t xml:space="preserve">省内      </w:t>
      </w:r>
      <w:r>
        <w:rPr>
          <w:rFonts w:hint="eastAsia" w:ascii="宋体" w:hAnsi="宋体" w:eastAsia="宋体" w:cs="宋体"/>
          <w:color w:val="auto"/>
          <w:kern w:val="2"/>
          <w:sz w:val="21"/>
          <w:highlight w:val="none"/>
        </w:rPr>
        <w:sym w:font="Wingdings" w:char="00A8"/>
      </w:r>
      <w:r>
        <w:rPr>
          <w:rFonts w:hint="eastAsia" w:ascii="宋体" w:hAnsi="宋体" w:eastAsia="宋体" w:cs="宋体"/>
          <w:color w:val="auto"/>
          <w:kern w:val="2"/>
          <w:sz w:val="21"/>
          <w:highlight w:val="none"/>
        </w:rPr>
        <w:t>省外</w:t>
      </w:r>
    </w:p>
    <w:p w14:paraId="2FA49815">
      <w:pPr>
        <w:numPr>
          <w:ilvl w:val="0"/>
          <w:numId w:val="3"/>
        </w:numPr>
        <w:adjustRightInd w:val="0"/>
        <w:snapToGrid w:val="0"/>
        <w:spacing w:line="400" w:lineRule="exact"/>
        <w:ind w:firstLine="422" w:firstLineChars="200"/>
        <w:rPr>
          <w:rFonts w:ascii="宋体" w:hAnsi="宋体"/>
          <w:b/>
          <w:color w:val="auto"/>
          <w:highlight w:val="none"/>
        </w:rPr>
      </w:pPr>
      <w:bookmarkStart w:id="242" w:name="_Toc27624"/>
      <w:r>
        <w:rPr>
          <w:rFonts w:hint="eastAsia" w:ascii="宋体" w:hAnsi="宋体"/>
          <w:b/>
          <w:color w:val="auto"/>
          <w:highlight w:val="none"/>
        </w:rPr>
        <w:t>合同金额</w:t>
      </w:r>
    </w:p>
    <w:p w14:paraId="586B385E">
      <w:pPr>
        <w:adjustRightInd w:val="0"/>
        <w:snapToGrid w:val="0"/>
        <w:spacing w:line="400" w:lineRule="exact"/>
        <w:ind w:firstLine="420" w:firstLineChars="200"/>
        <w:rPr>
          <w:rFonts w:ascii="宋体" w:hAnsi="宋体"/>
          <w:color w:val="auto"/>
          <w:highlight w:val="none"/>
        </w:rPr>
      </w:pPr>
      <w:r>
        <w:rPr>
          <w:rFonts w:hint="eastAsia" w:ascii="宋体" w:hAnsi="宋体"/>
          <w:color w:val="auto"/>
          <w:highlight w:val="none"/>
        </w:rPr>
        <w:t>（1）合同金额大写：</w:t>
      </w:r>
      <w:r>
        <w:rPr>
          <w:rFonts w:hint="eastAsia" w:ascii="宋体" w:hAnsi="宋体"/>
          <w:color w:val="auto"/>
          <w:highlight w:val="none"/>
          <w:u w:val="single"/>
        </w:rPr>
        <w:t xml:space="preserve">                           </w:t>
      </w:r>
    </w:p>
    <w:p w14:paraId="245E46B7">
      <w:pPr>
        <w:adjustRightInd w:val="0"/>
        <w:snapToGrid w:val="0"/>
        <w:spacing w:line="400" w:lineRule="exact"/>
        <w:rPr>
          <w:rFonts w:ascii="宋体" w:hAnsi="宋体"/>
          <w:color w:val="auto"/>
          <w:highlight w:val="none"/>
          <w:u w:val="single"/>
        </w:rPr>
      </w:pPr>
      <w:r>
        <w:rPr>
          <w:rFonts w:hint="eastAsia" w:ascii="宋体" w:hAnsi="宋体"/>
          <w:color w:val="auto"/>
          <w:highlight w:val="none"/>
        </w:rPr>
        <w:t xml:space="preserve">                 小写：</w:t>
      </w:r>
      <w:r>
        <w:rPr>
          <w:rFonts w:hint="eastAsia" w:ascii="宋体" w:hAnsi="宋体"/>
          <w:color w:val="auto"/>
          <w:highlight w:val="none"/>
          <w:u w:val="single"/>
        </w:rPr>
        <w:t xml:space="preserve">                           </w:t>
      </w:r>
    </w:p>
    <w:p w14:paraId="4FCBA8C8">
      <w:pPr>
        <w:pStyle w:val="55"/>
        <w:ind w:firstLine="420"/>
        <w:rPr>
          <w:color w:val="auto"/>
          <w:highlight w:val="none"/>
        </w:rPr>
      </w:pPr>
      <w:r>
        <w:rPr>
          <w:rFonts w:hint="eastAsia"/>
          <w:color w:val="auto"/>
          <w:highlight w:val="none"/>
        </w:rPr>
        <w:t>（2）付款方式（按项目实际勾选填写）：</w:t>
      </w:r>
    </w:p>
    <w:p w14:paraId="5316D360">
      <w:pPr>
        <w:adjustRightInd w:val="0"/>
        <w:snapToGrid w:val="0"/>
        <w:spacing w:line="400" w:lineRule="exact"/>
        <w:ind w:firstLine="735" w:firstLineChars="350"/>
        <w:rPr>
          <w:rFonts w:ascii="宋体" w:hAnsi="宋体"/>
          <w:color w:val="auto"/>
          <w:highlight w:val="none"/>
          <w:u w:val="single"/>
        </w:rPr>
      </w:pPr>
      <w:r>
        <w:rPr>
          <w:rFonts w:hint="eastAsia" w:ascii="宋体" w:hAnsi="宋体"/>
          <w:color w:val="auto"/>
          <w:highlight w:val="none"/>
        </w:rPr>
        <w:sym w:font="Wingdings" w:char="00A8"/>
      </w:r>
      <w:r>
        <w:rPr>
          <w:rFonts w:ascii="宋体" w:hAnsi="宋体"/>
          <w:color w:val="auto"/>
          <w:highlight w:val="none"/>
        </w:rPr>
        <w:t xml:space="preserve"> </w:t>
      </w:r>
      <w:r>
        <w:rPr>
          <w:rFonts w:hint="eastAsia" w:ascii="宋体" w:hAnsi="宋体"/>
          <w:color w:val="auto"/>
          <w:highlight w:val="none"/>
        </w:rPr>
        <w:t>全额付款：</w:t>
      </w:r>
      <w:r>
        <w:rPr>
          <w:rFonts w:hint="eastAsia" w:ascii="宋体" w:hAnsi="宋体" w:cs="宋体"/>
          <w:color w:val="auto"/>
          <w:kern w:val="0"/>
          <w:highlight w:val="none"/>
          <w:u w:val="single"/>
        </w:rPr>
        <w:t xml:space="preserve"> 货到安装、调试、验收合格后，甲方支付100%合同价款给乙方</w:t>
      </w:r>
      <w:r>
        <w:rPr>
          <w:rFonts w:hint="eastAsia" w:ascii="宋体" w:hAnsi="宋体"/>
          <w:color w:val="auto"/>
          <w:highlight w:val="none"/>
          <w:u w:val="single"/>
        </w:rPr>
        <w:t>。在成交人响应文件中承诺的质保期满无质量问题退还履约保函。</w:t>
      </w:r>
    </w:p>
    <w:p w14:paraId="40CBFEA4">
      <w:pPr>
        <w:snapToGrid w:val="0"/>
        <w:spacing w:line="400" w:lineRule="exact"/>
        <w:ind w:firstLine="480" w:firstLineChars="200"/>
        <w:rPr>
          <w:rFonts w:hint="eastAsia" w:ascii="宋体" w:hAnsi="宋体"/>
          <w:color w:val="auto"/>
          <w:highlight w:val="none"/>
          <w:u w:val="single"/>
          <w:lang w:val="en-US" w:eastAsia="zh-CN"/>
        </w:rPr>
      </w:pPr>
      <w:r>
        <w:rPr>
          <w:rFonts w:hint="eastAsia"/>
          <w:color w:val="auto"/>
          <w:sz w:val="24"/>
          <w:highlight w:val="none"/>
        </w:rPr>
        <w:sym w:font="Wingdings" w:char="00FE"/>
      </w:r>
      <w:r>
        <w:rPr>
          <w:rFonts w:hint="eastAsia" w:ascii="宋体" w:hAnsi="宋体"/>
          <w:color w:val="auto"/>
          <w:highlight w:val="none"/>
        </w:rPr>
        <w:t>分期付款</w:t>
      </w:r>
      <w:r>
        <w:rPr>
          <w:rFonts w:hint="eastAsia" w:ascii="宋体" w:hAnsi="宋体"/>
          <w:color w:val="auto"/>
          <w:highlight w:val="none"/>
          <w:u w:val="single"/>
        </w:rPr>
        <w:t>：</w:t>
      </w:r>
      <w:r>
        <w:rPr>
          <w:rFonts w:hint="eastAsia" w:ascii="宋体" w:hAnsi="宋体"/>
          <w:color w:val="auto"/>
          <w:highlight w:val="none"/>
          <w:u w:val="single"/>
          <w:lang w:val="en-US" w:eastAsia="zh-CN"/>
        </w:rPr>
        <w:t>1.合同签订后30日内，由乙方提供本合同金额30%的预付款保函（银行保函形式、有效期至甲方收货后），甲方收到预付款保函、合同备案通过后一个月内，支付合同总额30%作为预付款给乙方；</w:t>
      </w:r>
    </w:p>
    <w:p w14:paraId="2D8DA6F5">
      <w:pPr>
        <w:snapToGrid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lang w:val="en-US" w:eastAsia="zh-CN"/>
        </w:rPr>
        <w:t>2.乙方在验收合格之日起15日内，按照合同金额的100%向甲方开具发票，甲方收到全额发票30日内支付合同总额的70%给乙方并退还乙方预付款保函，在乙方完成其合同义务包括任何保证义务至质保期结束无质量问题，退还乙方履约保证金（银行保函）</w:t>
      </w:r>
      <w:r>
        <w:rPr>
          <w:rFonts w:hint="eastAsia" w:ascii="宋体" w:hAnsi="宋体"/>
          <w:color w:val="auto"/>
          <w:highlight w:val="none"/>
          <w:u w:val="single"/>
        </w:rPr>
        <w:t>；</w:t>
      </w:r>
    </w:p>
    <w:p w14:paraId="21ADF4D2">
      <w:pPr>
        <w:snapToGrid w:val="0"/>
        <w:spacing w:line="400" w:lineRule="exact"/>
        <w:ind w:firstLine="420" w:firstLineChars="200"/>
        <w:rPr>
          <w:rFonts w:ascii="宋体" w:hAnsi="宋体"/>
          <w:color w:val="auto"/>
          <w:highlight w:val="none"/>
          <w:u w:val="single"/>
        </w:rPr>
      </w:pPr>
      <w:r>
        <w:rPr>
          <w:rFonts w:hint="eastAsia" w:ascii="宋体" w:hAnsi="宋体"/>
          <w:color w:val="auto"/>
          <w:highlight w:val="none"/>
          <w:u w:val="single"/>
        </w:rPr>
        <w:t>3.如乙方未开具预付款保函，视为放弃预付款。乙方在验收合格之日起15日内，按照合同金额的100%向甲方开具发票，甲方收到全额发票30日内支付合同总额的100%给乙方，在乙方完成其合同义务包括任何保证义务至质保期结束无质量问题，退还乙方履约保证金（银行保函）；</w:t>
      </w:r>
    </w:p>
    <w:p w14:paraId="2995DD54">
      <w:pPr>
        <w:snapToGrid w:val="0"/>
        <w:spacing w:line="400" w:lineRule="exact"/>
        <w:ind w:firstLine="420" w:firstLineChars="200"/>
        <w:rPr>
          <w:rFonts w:ascii="宋体" w:hAnsi="宋体"/>
          <w:color w:val="auto"/>
          <w:highlight w:val="none"/>
          <w:u w:val="single"/>
        </w:rPr>
      </w:pPr>
      <w:r>
        <w:rPr>
          <w:rFonts w:hint="eastAsia" w:ascii="宋体" w:hAnsi="宋体"/>
          <w:color w:val="auto"/>
          <w:highlight w:val="none"/>
        </w:rPr>
        <w:t>（3）其他事项：</w:t>
      </w:r>
      <w:r>
        <w:rPr>
          <w:rFonts w:hint="eastAsia" w:ascii="宋体" w:hAnsi="宋体"/>
          <w:color w:val="auto"/>
          <w:highlight w:val="none"/>
          <w:u w:val="single"/>
        </w:rPr>
        <w:t>因甲方单位性质，需要按照国家、省级项目资金支付规定执行，乙方应对此清楚知晓，甲方尽量保证按照本协议约定履行义务，如因以上原因导致无法按时支付款项的，乙方承诺不追究甲方违约责任。</w:t>
      </w:r>
    </w:p>
    <w:p w14:paraId="7558AC77">
      <w:pPr>
        <w:numPr>
          <w:ilvl w:val="0"/>
          <w:numId w:val="3"/>
        </w:numPr>
        <w:adjustRightInd w:val="0"/>
        <w:snapToGrid w:val="0"/>
        <w:spacing w:line="400" w:lineRule="exact"/>
        <w:ind w:firstLine="422" w:firstLineChars="200"/>
        <w:rPr>
          <w:rFonts w:ascii="宋体" w:hAnsi="宋体"/>
          <w:b/>
          <w:color w:val="auto"/>
          <w:highlight w:val="none"/>
          <w:u w:val="single"/>
        </w:rPr>
      </w:pPr>
      <w:r>
        <w:rPr>
          <w:rFonts w:hint="eastAsia" w:ascii="宋体" w:hAnsi="宋体"/>
          <w:b/>
          <w:color w:val="auto"/>
          <w:highlight w:val="none"/>
        </w:rPr>
        <w:t>合同履行</w:t>
      </w:r>
    </w:p>
    <w:p w14:paraId="65DD3FF9">
      <w:pPr>
        <w:adjustRightInd w:val="0"/>
        <w:snapToGrid w:val="0"/>
        <w:spacing w:line="400" w:lineRule="exact"/>
        <w:ind w:firstLine="420" w:firstLineChars="200"/>
        <w:rPr>
          <w:rFonts w:ascii="宋体" w:hAnsi="宋体" w:cs="宋体"/>
          <w:color w:val="auto"/>
          <w:highlight w:val="none"/>
        </w:rPr>
      </w:pPr>
      <w:r>
        <w:rPr>
          <w:rFonts w:hint="eastAsia" w:ascii="宋体" w:hAnsi="宋体" w:cs="宋体"/>
          <w:color w:val="auto"/>
          <w:highlight w:val="none"/>
        </w:rPr>
        <w:t>（1）起始日期：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日，完成日期：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73EC1F47">
      <w:pPr>
        <w:adjustRightInd w:val="0"/>
        <w:snapToGrid w:val="0"/>
        <w:spacing w:line="400" w:lineRule="exact"/>
        <w:ind w:firstLine="420" w:firstLineChars="200"/>
        <w:rPr>
          <w:rFonts w:ascii="宋体" w:hAnsi="宋体" w:cs="宋体"/>
          <w:color w:val="auto"/>
          <w:highlight w:val="none"/>
          <w:u w:val="single"/>
        </w:rPr>
      </w:pPr>
      <w:r>
        <w:rPr>
          <w:rFonts w:hint="eastAsia" w:ascii="宋体" w:hAnsi="宋体" w:cs="宋体"/>
          <w:color w:val="auto"/>
          <w:highlight w:val="none"/>
        </w:rPr>
        <w:t>（2）履约地点</w:t>
      </w:r>
      <w:r>
        <w:rPr>
          <w:rFonts w:hint="eastAsia" w:ascii="宋体" w:hAnsi="宋体" w:cs="宋体"/>
          <w:bCs/>
          <w:color w:val="auto"/>
          <w:highlight w:val="none"/>
        </w:rPr>
        <w:t>：</w:t>
      </w:r>
      <w:r>
        <w:rPr>
          <w:rFonts w:hint="eastAsia" w:ascii="宋体" w:hAnsi="宋体" w:cs="宋体"/>
          <w:bCs/>
          <w:color w:val="auto"/>
          <w:kern w:val="0"/>
          <w:highlight w:val="none"/>
          <w:u w:val="single"/>
        </w:rPr>
        <w:t xml:space="preserve">河南省郑州市管城回族区汉月街26号中原量子谷       </w:t>
      </w:r>
    </w:p>
    <w:p w14:paraId="4478CF3E">
      <w:pPr>
        <w:adjustRightInd w:val="0"/>
        <w:snapToGrid w:val="0"/>
        <w:spacing w:line="400" w:lineRule="exact"/>
        <w:ind w:firstLine="420" w:firstLineChars="200"/>
        <w:rPr>
          <w:rFonts w:ascii="宋体" w:hAnsi="宋体" w:cs="宋体"/>
          <w:color w:val="auto"/>
          <w:highlight w:val="none"/>
        </w:rPr>
      </w:pPr>
      <w:r>
        <w:rPr>
          <w:rFonts w:hint="eastAsia" w:ascii="宋体" w:hAnsi="宋体" w:cs="宋体"/>
          <w:bCs/>
          <w:color w:val="auto"/>
          <w:highlight w:val="none"/>
        </w:rPr>
        <w:t>（3）履约担保：</w:t>
      </w:r>
      <w:r>
        <w:rPr>
          <w:rFonts w:hint="eastAsia" w:ascii="宋体" w:hAnsi="宋体" w:cs="宋体"/>
          <w:color w:val="auto"/>
          <w:highlight w:val="none"/>
        </w:rPr>
        <w:t>是否收取履约保证金：</w:t>
      </w:r>
      <w:r>
        <w:rPr>
          <w:rFonts w:hint="eastAsia" w:ascii="宋体" w:hAnsi="宋体" w:cs="宋体"/>
          <w:color w:val="auto"/>
          <w:highlight w:val="none"/>
        </w:rPr>
        <w:sym w:font="Wingdings" w:char="00FE"/>
      </w:r>
      <w:r>
        <w:rPr>
          <w:rFonts w:hint="eastAsia" w:ascii="宋体" w:hAnsi="宋体" w:cs="宋体"/>
          <w:color w:val="auto"/>
          <w:highlight w:val="none"/>
        </w:rPr>
        <w:t xml:space="preserve">是    </w:t>
      </w:r>
      <w:r>
        <w:rPr>
          <w:rFonts w:hint="eastAsia" w:ascii="宋体" w:hAnsi="宋体" w:cs="宋体"/>
          <w:color w:val="auto"/>
          <w:highlight w:val="none"/>
        </w:rPr>
        <w:sym w:font="Wingdings" w:char="00A8"/>
      </w:r>
      <w:r>
        <w:rPr>
          <w:rFonts w:hint="eastAsia" w:ascii="宋体" w:hAnsi="宋体" w:cs="宋体"/>
          <w:color w:val="auto"/>
          <w:highlight w:val="none"/>
        </w:rPr>
        <w:t>否</w:t>
      </w:r>
    </w:p>
    <w:p w14:paraId="69B35F74">
      <w:pPr>
        <w:pStyle w:val="59"/>
        <w:rPr>
          <w:rFonts w:ascii="宋体" w:hAnsi="宋体" w:eastAsia="宋体" w:cs="宋体"/>
          <w:color w:val="auto"/>
          <w:sz w:val="21"/>
          <w:highlight w:val="none"/>
        </w:rPr>
      </w:pPr>
      <w:r>
        <w:rPr>
          <w:rFonts w:hint="eastAsia" w:ascii="宋体" w:hAnsi="宋体" w:cs="宋体"/>
          <w:bCs/>
          <w:color w:val="auto"/>
          <w:highlight w:val="none"/>
        </w:rPr>
        <w:t xml:space="preserve">  </w:t>
      </w:r>
      <w:r>
        <w:rPr>
          <w:rFonts w:hint="eastAsia" w:ascii="宋体" w:hAnsi="宋体" w:eastAsia="宋体" w:cs="宋体"/>
          <w:color w:val="auto"/>
          <w:sz w:val="21"/>
          <w:highlight w:val="none"/>
        </w:rPr>
        <w:t xml:space="preserve">  收取履约保证金形式：</w:t>
      </w:r>
      <w:r>
        <w:rPr>
          <w:rFonts w:hint="eastAsia" w:ascii="宋体" w:hAnsi="宋体" w:eastAsia="宋体" w:cs="宋体"/>
          <w:bCs/>
          <w:color w:val="auto"/>
          <w:sz w:val="21"/>
          <w:highlight w:val="none"/>
          <w:u w:val="single"/>
        </w:rPr>
        <w:t xml:space="preserve">  银行保函  </w:t>
      </w:r>
    </w:p>
    <w:p w14:paraId="2161CE7E">
      <w:pPr>
        <w:pStyle w:val="59"/>
        <w:ind w:firstLine="420"/>
        <w:rPr>
          <w:rFonts w:ascii="宋体" w:hAnsi="宋体" w:eastAsia="宋体" w:cs="宋体"/>
          <w:color w:val="auto"/>
          <w:sz w:val="21"/>
          <w:highlight w:val="none"/>
        </w:rPr>
      </w:pPr>
      <w:r>
        <w:rPr>
          <w:rFonts w:hint="eastAsia" w:ascii="宋体" w:hAnsi="宋体" w:eastAsia="宋体" w:cs="宋体"/>
          <w:color w:val="auto"/>
          <w:sz w:val="21"/>
          <w:highlight w:val="none"/>
        </w:rPr>
        <w:t xml:space="preserve">    收取履约保证金金额或比例：</w:t>
      </w:r>
      <w:r>
        <w:rPr>
          <w:rFonts w:hint="eastAsia" w:ascii="宋体" w:hAnsi="宋体" w:eastAsia="宋体" w:cs="宋体"/>
          <w:bCs/>
          <w:color w:val="auto"/>
          <w:sz w:val="21"/>
          <w:highlight w:val="none"/>
          <w:u w:val="single"/>
        </w:rPr>
        <w:t xml:space="preserve"> </w:t>
      </w:r>
      <w:r>
        <w:rPr>
          <w:rFonts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u w:val="single"/>
        </w:rPr>
        <w:t>合同金额的</w:t>
      </w:r>
      <w:r>
        <w:rPr>
          <w:rFonts w:ascii="宋体" w:hAnsi="宋体" w:eastAsia="宋体" w:cs="宋体"/>
          <w:bCs/>
          <w:color w:val="auto"/>
          <w:sz w:val="21"/>
          <w:highlight w:val="none"/>
          <w:u w:val="single"/>
        </w:rPr>
        <w:t xml:space="preserve">5% </w:t>
      </w:r>
    </w:p>
    <w:p w14:paraId="403B7A16">
      <w:pPr>
        <w:snapToGrid w:val="0"/>
        <w:spacing w:line="400" w:lineRule="exact"/>
        <w:ind w:firstLine="420" w:firstLineChars="200"/>
        <w:rPr>
          <w:rFonts w:ascii="宋体" w:hAnsi="宋体" w:cs="宋体"/>
          <w:color w:val="auto"/>
          <w:highlight w:val="none"/>
        </w:rPr>
      </w:pPr>
      <w:r>
        <w:rPr>
          <w:rFonts w:hint="eastAsia" w:ascii="宋体" w:hAnsi="宋体" w:cs="宋体"/>
          <w:bCs/>
          <w:color w:val="auto"/>
          <w:highlight w:val="none"/>
        </w:rPr>
        <w:t xml:space="preserve">    履约担保期限：</w:t>
      </w:r>
      <w:r>
        <w:rPr>
          <w:rFonts w:hint="eastAsia" w:ascii="宋体" w:hAnsi="宋体" w:cs="宋体"/>
          <w:bCs/>
          <w:color w:val="auto"/>
          <w:kern w:val="0"/>
          <w:highlight w:val="none"/>
          <w:u w:val="single"/>
        </w:rPr>
        <w:t xml:space="preserve"> 自合同签订之日起至质保期结束之日止     </w:t>
      </w:r>
      <w:r>
        <w:rPr>
          <w:rFonts w:hint="eastAsia" w:ascii="宋体" w:hAnsi="宋体" w:cs="宋体"/>
          <w:bCs/>
          <w:color w:val="auto"/>
          <w:highlight w:val="none"/>
          <w:u w:val="single"/>
        </w:rPr>
        <w:t xml:space="preserve">       </w:t>
      </w:r>
    </w:p>
    <w:p w14:paraId="44C76E51">
      <w:pPr>
        <w:adjustRightInd w:val="0"/>
        <w:snapToGrid w:val="0"/>
        <w:spacing w:line="400" w:lineRule="exact"/>
        <w:ind w:firstLine="420" w:firstLineChars="200"/>
        <w:rPr>
          <w:rFonts w:ascii="宋体" w:hAnsi="宋体" w:cs="宋体"/>
          <w:bCs/>
          <w:color w:val="auto"/>
          <w:highlight w:val="none"/>
          <w:u w:val="single"/>
        </w:rPr>
      </w:pPr>
      <w:r>
        <w:rPr>
          <w:rFonts w:hint="eastAsia" w:ascii="宋体" w:hAnsi="宋体" w:cs="宋体"/>
          <w:bCs/>
          <w:color w:val="auto"/>
          <w:highlight w:val="none"/>
        </w:rPr>
        <w:t>（4）分期履行要求：</w:t>
      </w:r>
      <w:r>
        <w:rPr>
          <w:rFonts w:hint="eastAsia" w:ascii="宋体" w:hAnsi="宋体" w:cs="宋体"/>
          <w:bCs/>
          <w:color w:val="auto"/>
          <w:highlight w:val="none"/>
          <w:u w:val="single"/>
        </w:rPr>
        <w:t xml:space="preserve">                                                        </w:t>
      </w:r>
    </w:p>
    <w:p w14:paraId="31DFE87A">
      <w:pPr>
        <w:pStyle w:val="59"/>
        <w:ind w:firstLine="422"/>
        <w:rPr>
          <w:rFonts w:ascii="宋体" w:hAnsi="宋体" w:cs="宋体"/>
          <w:color w:val="auto"/>
          <w:highlight w:val="none"/>
          <w:u w:val="single"/>
        </w:rPr>
      </w:pPr>
      <w:r>
        <w:rPr>
          <w:rFonts w:hint="eastAsia" w:ascii="宋体" w:hAnsi="宋体" w:eastAsia="宋体" w:cs="宋体"/>
          <w:b/>
          <w:color w:val="auto"/>
          <w:kern w:val="2"/>
          <w:sz w:val="21"/>
          <w:highlight w:val="none"/>
        </w:rPr>
        <w:t>（5）风险处置措施和替代方案：</w:t>
      </w:r>
      <w:r>
        <w:rPr>
          <w:rFonts w:hint="eastAsia" w:ascii="宋体" w:hAnsi="宋体" w:eastAsia="宋体" w:cs="宋体"/>
          <w:b/>
          <w:color w:val="auto"/>
          <w:kern w:val="2"/>
          <w:sz w:val="21"/>
          <w:highlight w:val="none"/>
          <w:u w:val="single"/>
        </w:rPr>
        <w:t xml:space="preserve"> a.本合同附件一所列的货物在到达交货地点之前的货物灭失风险由供应商负责；b.供应商应对途中运输的货物向保险公司投保商业保险，保险费用由供应商承担。  </w:t>
      </w:r>
      <w:r>
        <w:rPr>
          <w:rFonts w:hint="eastAsia" w:ascii="宋体" w:hAnsi="宋体" w:cs="宋体"/>
          <w:b/>
          <w:color w:val="auto"/>
          <w:highlight w:val="none"/>
          <w:u w:val="single"/>
        </w:rPr>
        <w:t xml:space="preserve">                  </w:t>
      </w:r>
      <w:r>
        <w:rPr>
          <w:rFonts w:hint="eastAsia" w:ascii="宋体" w:hAnsi="宋体" w:cs="宋体"/>
          <w:color w:val="auto"/>
          <w:highlight w:val="none"/>
          <w:u w:val="single"/>
        </w:rPr>
        <w:t xml:space="preserve">  </w:t>
      </w:r>
    </w:p>
    <w:p w14:paraId="75E65BFF">
      <w:pPr>
        <w:numPr>
          <w:ilvl w:val="0"/>
          <w:numId w:val="3"/>
        </w:numPr>
        <w:adjustRightInd w:val="0"/>
        <w:snapToGrid w:val="0"/>
        <w:spacing w:line="400" w:lineRule="exact"/>
        <w:ind w:firstLine="422" w:firstLineChars="200"/>
        <w:rPr>
          <w:rFonts w:ascii="宋体" w:hAnsi="宋体"/>
          <w:b/>
          <w:color w:val="auto"/>
          <w:highlight w:val="none"/>
        </w:rPr>
      </w:pPr>
      <w:r>
        <w:rPr>
          <w:rFonts w:hint="eastAsia" w:ascii="宋体" w:hAnsi="宋体"/>
          <w:b/>
          <w:color w:val="auto"/>
          <w:highlight w:val="none"/>
        </w:rPr>
        <w:t>合同验收</w:t>
      </w:r>
    </w:p>
    <w:p w14:paraId="21643103">
      <w:pPr>
        <w:numPr>
          <w:ilvl w:val="0"/>
          <w:numId w:val="6"/>
        </w:numPr>
        <w:adjustRightInd w:val="0"/>
        <w:snapToGrid w:val="0"/>
        <w:spacing w:line="400" w:lineRule="exact"/>
        <w:ind w:firstLine="420" w:firstLineChars="200"/>
        <w:rPr>
          <w:rFonts w:ascii="宋体" w:hAnsi="宋体"/>
          <w:bCs/>
          <w:color w:val="auto"/>
          <w:highlight w:val="none"/>
        </w:rPr>
      </w:pPr>
      <w:r>
        <w:rPr>
          <w:rFonts w:hint="eastAsia" w:ascii="宋体" w:hAnsi="宋体"/>
          <w:bCs/>
          <w:color w:val="auto"/>
          <w:highlight w:val="none"/>
        </w:rPr>
        <w:t>验收组织方式：自行组织</w:t>
      </w:r>
    </w:p>
    <w:p w14:paraId="1BB8FECF">
      <w:pPr>
        <w:adjustRightInd w:val="0"/>
        <w:snapToGrid w:val="0"/>
        <w:spacing w:line="400" w:lineRule="exact"/>
        <w:rPr>
          <w:rFonts w:ascii="宋体" w:hAnsi="宋体"/>
          <w:bCs/>
          <w:color w:val="auto"/>
          <w:highlight w:val="none"/>
        </w:rPr>
      </w:pPr>
      <w:r>
        <w:rPr>
          <w:rFonts w:hint="eastAsia" w:ascii="宋体" w:hAnsi="宋体"/>
          <w:bCs/>
          <w:color w:val="auto"/>
          <w:highlight w:val="none"/>
        </w:rPr>
        <w:t xml:space="preserve">         验收主体：</w:t>
      </w:r>
      <w:r>
        <w:rPr>
          <w:rFonts w:hint="eastAsia" w:ascii="宋体" w:hAnsi="宋体"/>
          <w:bCs/>
          <w:color w:val="auto"/>
          <w:highlight w:val="none"/>
          <w:u w:val="single"/>
        </w:rPr>
        <w:t xml:space="preserve"> 河南省科学院和河南省科学院光资源与环境科学研究所 </w:t>
      </w:r>
    </w:p>
    <w:p w14:paraId="2313FFF3">
      <w:pPr>
        <w:adjustRightInd w:val="0"/>
        <w:snapToGrid w:val="0"/>
        <w:spacing w:line="400" w:lineRule="exact"/>
        <w:ind w:firstLine="420" w:firstLineChars="200"/>
        <w:rPr>
          <w:rFonts w:ascii="宋体" w:hAnsi="宋体"/>
          <w:bCs/>
          <w:color w:val="auto"/>
          <w:highlight w:val="none"/>
          <w:u w:val="single"/>
        </w:rPr>
      </w:pPr>
      <w:r>
        <w:rPr>
          <w:rFonts w:hint="eastAsia" w:ascii="宋体" w:hAnsi="宋体"/>
          <w:bCs/>
          <w:color w:val="auto"/>
          <w:highlight w:val="none"/>
        </w:rPr>
        <w:t>（2）履约验收时间：</w:t>
      </w:r>
      <w:r>
        <w:rPr>
          <w:rFonts w:hint="eastAsia" w:ascii="宋体" w:hAnsi="宋体"/>
          <w:bCs/>
          <w:color w:val="auto"/>
          <w:highlight w:val="none"/>
          <w:u w:val="single"/>
        </w:rPr>
        <w:t>（供应商提出验收申请之日起</w:t>
      </w:r>
      <w:r>
        <w:rPr>
          <w:rFonts w:hint="eastAsia" w:ascii="宋体" w:hAnsi="宋体"/>
          <w:b/>
          <w:color w:val="auto"/>
          <w:highlight w:val="none"/>
          <w:u w:val="single"/>
        </w:rPr>
        <w:t>5个工作日内</w:t>
      </w:r>
      <w:r>
        <w:rPr>
          <w:rFonts w:hint="eastAsia" w:ascii="宋体" w:hAnsi="宋体"/>
          <w:bCs/>
          <w:color w:val="auto"/>
          <w:highlight w:val="none"/>
          <w:u w:val="single"/>
        </w:rPr>
        <w:t xml:space="preserve">组织验收） </w:t>
      </w:r>
    </w:p>
    <w:p w14:paraId="514EE252">
      <w:pPr>
        <w:adjustRightInd w:val="0"/>
        <w:snapToGrid w:val="0"/>
        <w:spacing w:line="400" w:lineRule="exact"/>
        <w:ind w:firstLine="420" w:firstLineChars="200"/>
        <w:rPr>
          <w:rFonts w:ascii="宋体" w:hAnsi="宋体"/>
          <w:bCs/>
          <w:color w:val="auto"/>
          <w:highlight w:val="none"/>
          <w:u w:val="single"/>
        </w:rPr>
      </w:pPr>
      <w:r>
        <w:rPr>
          <w:rFonts w:hint="eastAsia" w:ascii="宋体" w:hAnsi="宋体"/>
          <w:bCs/>
          <w:color w:val="auto"/>
          <w:highlight w:val="none"/>
        </w:rPr>
        <w:t>（3）履约验收方式和程序：</w:t>
      </w:r>
    </w:p>
    <w:p w14:paraId="5A4D43D9">
      <w:pPr>
        <w:adjustRightInd w:val="0"/>
        <w:snapToGrid w:val="0"/>
        <w:spacing w:line="400" w:lineRule="exact"/>
        <w:ind w:firstLine="420" w:firstLineChars="200"/>
        <w:rPr>
          <w:rFonts w:ascii="宋体" w:hAnsi="宋体"/>
          <w:bCs/>
          <w:color w:val="auto"/>
          <w:highlight w:val="none"/>
        </w:rPr>
      </w:pPr>
      <w:r>
        <w:rPr>
          <w:rFonts w:hint="eastAsia" w:ascii="宋体" w:hAnsi="宋体"/>
          <w:bCs/>
          <w:color w:val="auto"/>
          <w:highlight w:val="none"/>
          <w:u w:val="single"/>
        </w:rPr>
        <w:t>技术性验收：接供应商通知后，采购人根据合同、招标文件、投标文件对相关货物数量（规模）和仪器设备安装调试及使用人员情况进行验收、对设备运行是否能够满足采购需求进行现场测试。符合性验收：技术性验收合格后，由财务审计部在技术性验收报告的基础上进行的实地、实物符合性验收。</w:t>
      </w:r>
    </w:p>
    <w:p w14:paraId="6130B06D">
      <w:pPr>
        <w:adjustRightInd w:val="0"/>
        <w:snapToGrid w:val="0"/>
        <w:spacing w:line="400" w:lineRule="exact"/>
        <w:ind w:firstLine="420" w:firstLineChars="200"/>
        <w:rPr>
          <w:rFonts w:ascii="宋体" w:hAnsi="宋体"/>
          <w:bCs/>
          <w:color w:val="auto"/>
          <w:highlight w:val="none"/>
          <w:u w:val="single"/>
        </w:rPr>
      </w:pPr>
      <w:r>
        <w:rPr>
          <w:rFonts w:hint="eastAsia" w:ascii="宋体" w:hAnsi="宋体"/>
          <w:bCs/>
          <w:color w:val="auto"/>
          <w:highlight w:val="none"/>
        </w:rPr>
        <w:t>（4）履约验收的内容：</w:t>
      </w:r>
      <w:r>
        <w:rPr>
          <w:rFonts w:hint="eastAsia" w:ascii="宋体" w:hAnsi="宋体"/>
          <w:bCs/>
          <w:color w:val="auto"/>
          <w:highlight w:val="none"/>
          <w:u w:val="single"/>
        </w:rPr>
        <w:t xml:space="preserve"> 合同、投标文件、招标文件货物数量、技术规格以及商务服务要求。</w:t>
      </w:r>
    </w:p>
    <w:p w14:paraId="23ED2236">
      <w:pPr>
        <w:adjustRightInd w:val="0"/>
        <w:snapToGrid w:val="0"/>
        <w:spacing w:line="400" w:lineRule="exact"/>
        <w:ind w:firstLine="420" w:firstLineChars="200"/>
        <w:rPr>
          <w:rFonts w:ascii="宋体" w:hAnsi="宋体"/>
          <w:bCs/>
          <w:color w:val="auto"/>
          <w:highlight w:val="none"/>
          <w:u w:val="single"/>
        </w:rPr>
      </w:pPr>
      <w:r>
        <w:rPr>
          <w:rFonts w:hint="eastAsia" w:ascii="宋体" w:hAnsi="宋体"/>
          <w:bCs/>
          <w:color w:val="auto"/>
          <w:highlight w:val="none"/>
        </w:rPr>
        <w:t>（5）履约验收标准：</w:t>
      </w:r>
      <w:r>
        <w:rPr>
          <w:rFonts w:hint="eastAsia" w:ascii="宋体" w:hAnsi="宋体"/>
          <w:bCs/>
          <w:color w:val="auto"/>
          <w:highlight w:val="none"/>
          <w:u w:val="single"/>
        </w:rPr>
        <w:t xml:space="preserve"> 满足国家有关规定，符合合同、投标文件、招标文件货物数量、技术规格以及商务服务要求。 </w:t>
      </w:r>
    </w:p>
    <w:p w14:paraId="5B463893">
      <w:pPr>
        <w:adjustRightInd w:val="0"/>
        <w:snapToGrid w:val="0"/>
        <w:spacing w:line="400" w:lineRule="exact"/>
        <w:ind w:firstLine="420" w:firstLineChars="200"/>
        <w:rPr>
          <w:rFonts w:ascii="宋体" w:hAnsi="宋体" w:cs="宋体"/>
          <w:bCs/>
          <w:color w:val="auto"/>
          <w:highlight w:val="none"/>
          <w:u w:val="single"/>
        </w:rPr>
      </w:pPr>
      <w:r>
        <w:rPr>
          <w:rFonts w:hint="eastAsia" w:ascii="宋体" w:hAnsi="宋体" w:cs="宋体"/>
          <w:bCs/>
          <w:color w:val="auto"/>
          <w:highlight w:val="none"/>
        </w:rPr>
        <w:t>（6）履约验收其他事项：</w:t>
      </w:r>
      <w:r>
        <w:rPr>
          <w:rFonts w:hint="eastAsia" w:ascii="宋体" w:hAnsi="宋体" w:cs="宋体"/>
          <w:bCs/>
          <w:color w:val="auto"/>
          <w:highlight w:val="none"/>
          <w:u w:val="single"/>
        </w:rPr>
        <w:t>采购人根据国家有关规定、招标文件、中标人的投标文件以及合同约定的内容和验收标准进行验收，采购人可以视项目情况邀请第三方机构或者参加本项目投标的落标人参与验收。验收情况作为支付货款的依据。如有异议，以相关质量技术检验检测机构的检验结果为准，如产生检验检测费用，则该费用由过失方承担。</w:t>
      </w:r>
    </w:p>
    <w:p w14:paraId="2FF539C4">
      <w:pPr>
        <w:numPr>
          <w:ilvl w:val="0"/>
          <w:numId w:val="3"/>
        </w:numPr>
        <w:adjustRightInd w:val="0"/>
        <w:snapToGrid w:val="0"/>
        <w:spacing w:line="400" w:lineRule="exact"/>
        <w:ind w:firstLine="422" w:firstLineChars="200"/>
        <w:rPr>
          <w:rFonts w:ascii="宋体" w:hAnsi="宋体"/>
          <w:b/>
          <w:color w:val="auto"/>
          <w:highlight w:val="none"/>
        </w:rPr>
      </w:pPr>
      <w:r>
        <w:rPr>
          <w:rFonts w:hint="eastAsia" w:ascii="宋体" w:hAnsi="宋体"/>
          <w:b/>
          <w:color w:val="auto"/>
          <w:highlight w:val="none"/>
        </w:rPr>
        <w:t>组成合同的文件</w:t>
      </w:r>
    </w:p>
    <w:p w14:paraId="6DB5F04A">
      <w:pPr>
        <w:adjustRightInd w:val="0"/>
        <w:snapToGrid w:val="0"/>
        <w:spacing w:line="400" w:lineRule="exact"/>
        <w:ind w:firstLine="420" w:firstLineChars="200"/>
        <w:rPr>
          <w:rFonts w:ascii="宋体" w:hAnsi="宋体"/>
          <w:color w:val="auto"/>
          <w:highlight w:val="none"/>
        </w:rPr>
      </w:pPr>
      <w:r>
        <w:rPr>
          <w:rFonts w:hint="eastAsia" w:ascii="宋体" w:hAnsi="宋体"/>
          <w:color w:val="auto"/>
          <w:highlight w:val="none"/>
        </w:rPr>
        <w:t>本协议书与下列文件一起构成合同文件，如下述文件之间有任何抵触、矛盾或歧义，应按以下顺序解释：</w:t>
      </w:r>
    </w:p>
    <w:p w14:paraId="77D029C9">
      <w:pPr>
        <w:adjustRightInd w:val="0"/>
        <w:snapToGrid w:val="0"/>
        <w:spacing w:line="400" w:lineRule="exact"/>
        <w:ind w:firstLine="420" w:firstLineChars="200"/>
        <w:rPr>
          <w:rFonts w:ascii="宋体" w:hAnsi="宋体"/>
          <w:color w:val="auto"/>
          <w:highlight w:val="none"/>
        </w:rPr>
      </w:pPr>
      <w:r>
        <w:rPr>
          <w:rFonts w:hint="eastAsia" w:ascii="宋体" w:hAnsi="宋体"/>
          <w:color w:val="auto"/>
          <w:highlight w:val="none"/>
        </w:rPr>
        <w:t>（1）政府采购合同协议书及其变更、补充协议</w:t>
      </w:r>
    </w:p>
    <w:p w14:paraId="07DFFB3C">
      <w:pPr>
        <w:adjustRightInd w:val="0"/>
        <w:snapToGrid w:val="0"/>
        <w:spacing w:line="400" w:lineRule="exact"/>
        <w:ind w:firstLine="420" w:firstLineChars="200"/>
        <w:rPr>
          <w:rFonts w:ascii="宋体" w:hAnsi="宋体"/>
          <w:color w:val="auto"/>
          <w:highlight w:val="none"/>
        </w:rPr>
      </w:pPr>
      <w:r>
        <w:rPr>
          <w:rFonts w:hint="eastAsia" w:ascii="宋体" w:hAnsi="宋体"/>
          <w:color w:val="auto"/>
          <w:highlight w:val="none"/>
        </w:rPr>
        <w:t>（2）政府采购合同专用条款</w:t>
      </w:r>
    </w:p>
    <w:p w14:paraId="36B5DFF9">
      <w:pPr>
        <w:adjustRightInd w:val="0"/>
        <w:snapToGrid w:val="0"/>
        <w:spacing w:line="400" w:lineRule="exact"/>
        <w:ind w:firstLine="420" w:firstLineChars="200"/>
        <w:rPr>
          <w:rFonts w:ascii="宋体" w:hAnsi="宋体"/>
          <w:color w:val="auto"/>
          <w:highlight w:val="none"/>
        </w:rPr>
      </w:pPr>
      <w:r>
        <w:rPr>
          <w:rFonts w:hint="eastAsia" w:ascii="宋体" w:hAnsi="宋体"/>
          <w:color w:val="auto"/>
          <w:highlight w:val="none"/>
        </w:rPr>
        <w:t>（3）政府采购合同通用条款</w:t>
      </w:r>
    </w:p>
    <w:p w14:paraId="7A5E2F9E">
      <w:pPr>
        <w:adjustRightInd w:val="0"/>
        <w:snapToGrid w:val="0"/>
        <w:spacing w:line="400" w:lineRule="exact"/>
        <w:ind w:firstLine="420" w:firstLineChars="200"/>
        <w:rPr>
          <w:rFonts w:ascii="宋体" w:hAnsi="宋体"/>
          <w:color w:val="auto"/>
          <w:highlight w:val="none"/>
        </w:rPr>
      </w:pPr>
      <w:r>
        <w:rPr>
          <w:rFonts w:hint="eastAsia" w:ascii="宋体" w:hAnsi="宋体"/>
          <w:color w:val="auto"/>
          <w:highlight w:val="none"/>
        </w:rPr>
        <w:t>（4）中标（成交）通知书</w:t>
      </w:r>
    </w:p>
    <w:p w14:paraId="0A55AA47">
      <w:pPr>
        <w:adjustRightInd w:val="0"/>
        <w:snapToGrid w:val="0"/>
        <w:spacing w:line="400" w:lineRule="exact"/>
        <w:ind w:firstLine="420" w:firstLineChars="200"/>
        <w:rPr>
          <w:rFonts w:ascii="宋体" w:hAnsi="宋体"/>
          <w:color w:val="auto"/>
          <w:highlight w:val="none"/>
        </w:rPr>
      </w:pPr>
      <w:r>
        <w:rPr>
          <w:rFonts w:hint="eastAsia" w:ascii="宋体" w:hAnsi="宋体"/>
          <w:color w:val="auto"/>
          <w:highlight w:val="none"/>
        </w:rPr>
        <w:t>（5）投标（响应）文件</w:t>
      </w:r>
    </w:p>
    <w:p w14:paraId="13720C3C">
      <w:pPr>
        <w:adjustRightInd w:val="0"/>
        <w:snapToGrid w:val="0"/>
        <w:spacing w:line="400" w:lineRule="exact"/>
        <w:ind w:firstLine="420" w:firstLineChars="200"/>
        <w:rPr>
          <w:rFonts w:ascii="宋体" w:hAnsi="宋体"/>
          <w:color w:val="auto"/>
          <w:highlight w:val="none"/>
        </w:rPr>
      </w:pPr>
      <w:r>
        <w:rPr>
          <w:rFonts w:hint="eastAsia" w:ascii="宋体" w:hAnsi="宋体"/>
          <w:color w:val="auto"/>
          <w:highlight w:val="none"/>
        </w:rPr>
        <w:t>（6）采购文件</w:t>
      </w:r>
    </w:p>
    <w:p w14:paraId="194C143E">
      <w:pPr>
        <w:adjustRightInd w:val="0"/>
        <w:snapToGrid w:val="0"/>
        <w:spacing w:line="400" w:lineRule="exact"/>
        <w:ind w:firstLine="420" w:firstLineChars="200"/>
        <w:rPr>
          <w:rFonts w:ascii="宋体" w:hAnsi="宋体"/>
          <w:color w:val="auto"/>
          <w:highlight w:val="none"/>
        </w:rPr>
      </w:pPr>
      <w:r>
        <w:rPr>
          <w:rFonts w:hint="eastAsia" w:ascii="宋体" w:hAnsi="宋体"/>
          <w:color w:val="auto"/>
          <w:highlight w:val="none"/>
        </w:rPr>
        <w:t>（7）有关技术文件，图纸</w:t>
      </w:r>
    </w:p>
    <w:p w14:paraId="16B15C14">
      <w:pPr>
        <w:pStyle w:val="59"/>
        <w:ind w:firstLine="420"/>
        <w:rPr>
          <w:rFonts w:ascii="宋体" w:hAnsi="宋体" w:eastAsia="宋体" w:cs="宋体"/>
          <w:color w:val="auto"/>
          <w:kern w:val="2"/>
          <w:sz w:val="21"/>
          <w:highlight w:val="none"/>
        </w:rPr>
      </w:pPr>
      <w:r>
        <w:rPr>
          <w:rFonts w:hint="eastAsia" w:ascii="宋体" w:hAnsi="宋体" w:eastAsia="宋体" w:cs="宋体"/>
          <w:color w:val="auto"/>
          <w:sz w:val="21"/>
          <w:highlight w:val="none"/>
        </w:rPr>
        <w:t>（8）</w:t>
      </w:r>
      <w:r>
        <w:rPr>
          <w:rFonts w:hint="eastAsia" w:ascii="宋体" w:hAnsi="宋体" w:eastAsia="宋体" w:cs="宋体"/>
          <w:color w:val="auto"/>
          <w:kern w:val="2"/>
          <w:sz w:val="21"/>
          <w:highlight w:val="none"/>
        </w:rPr>
        <w:t>国家法律、行政法规和规章制度规定或合同约定的作为合同组成部分的其他文件</w:t>
      </w:r>
    </w:p>
    <w:p w14:paraId="2D261EAB">
      <w:pPr>
        <w:numPr>
          <w:ilvl w:val="0"/>
          <w:numId w:val="3"/>
        </w:numPr>
        <w:adjustRightInd w:val="0"/>
        <w:snapToGrid w:val="0"/>
        <w:spacing w:line="400" w:lineRule="exact"/>
        <w:ind w:firstLine="422" w:firstLineChars="200"/>
        <w:rPr>
          <w:rFonts w:ascii="宋体" w:hAnsi="宋体"/>
          <w:b/>
          <w:color w:val="auto"/>
          <w:highlight w:val="none"/>
        </w:rPr>
      </w:pPr>
      <w:r>
        <w:rPr>
          <w:rFonts w:hint="eastAsia" w:ascii="宋体" w:hAnsi="宋体"/>
          <w:b/>
          <w:color w:val="auto"/>
          <w:highlight w:val="none"/>
        </w:rPr>
        <w:t>合同的履行、变更和解除</w:t>
      </w:r>
    </w:p>
    <w:p w14:paraId="2A7350D4">
      <w:pPr>
        <w:pStyle w:val="170"/>
        <w:spacing w:line="360" w:lineRule="auto"/>
        <w:ind w:firstLine="420" w:firstLineChars="200"/>
        <w:jc w:val="both"/>
        <w:rPr>
          <w:rFonts w:ascii="宋体" w:hAnsi="宋体" w:cs="宋体"/>
          <w:color w:val="auto"/>
          <w:kern w:val="2"/>
          <w:sz w:val="21"/>
          <w:szCs w:val="21"/>
          <w:highlight w:val="none"/>
        </w:rPr>
      </w:pPr>
      <w:r>
        <w:rPr>
          <w:rFonts w:hint="eastAsia" w:ascii="宋体" w:hAnsi="宋体" w:cs="宋体"/>
          <w:color w:val="auto"/>
          <w:kern w:val="2"/>
          <w:sz w:val="21"/>
          <w:szCs w:val="21"/>
          <w:highlight w:val="none"/>
        </w:rPr>
        <w:t>（1）合同签订后并经甲方备案通过即具法律效力，甲乙双方均须认真履行，不得随意解除合同，如甲方备案未能通过的，双方应就本协议另行约定处理方案。</w:t>
      </w:r>
    </w:p>
    <w:p w14:paraId="24F08C2A">
      <w:pPr>
        <w:pStyle w:val="170"/>
        <w:spacing w:line="360" w:lineRule="auto"/>
        <w:ind w:firstLine="420" w:firstLineChars="200"/>
        <w:jc w:val="both"/>
        <w:rPr>
          <w:rFonts w:ascii="宋体" w:hAnsi="宋体" w:cs="宋体"/>
          <w:color w:val="auto"/>
          <w:kern w:val="2"/>
          <w:sz w:val="21"/>
          <w:szCs w:val="21"/>
          <w:highlight w:val="none"/>
        </w:rPr>
      </w:pPr>
      <w:r>
        <w:rPr>
          <w:rFonts w:hint="eastAsia" w:ascii="宋体" w:hAnsi="宋体" w:cs="宋体"/>
          <w:color w:val="auto"/>
          <w:kern w:val="2"/>
          <w:sz w:val="21"/>
          <w:szCs w:val="21"/>
          <w:highlight w:val="none"/>
        </w:rPr>
        <w:t>（2）甲乙双方不得擅自变更合同。如因项目实际情况确需变更，须经双方书面认可方可变更并备案通过后生效。</w:t>
      </w:r>
    </w:p>
    <w:p w14:paraId="3B3DF51C">
      <w:pPr>
        <w:numPr>
          <w:ilvl w:val="0"/>
          <w:numId w:val="3"/>
        </w:numPr>
        <w:adjustRightInd w:val="0"/>
        <w:snapToGrid w:val="0"/>
        <w:spacing w:line="400" w:lineRule="exact"/>
        <w:ind w:firstLine="422" w:firstLineChars="200"/>
        <w:rPr>
          <w:rFonts w:ascii="宋体" w:hAnsi="宋体"/>
          <w:b/>
          <w:color w:val="auto"/>
          <w:highlight w:val="none"/>
        </w:rPr>
      </w:pPr>
      <w:r>
        <w:rPr>
          <w:rFonts w:hint="eastAsia" w:ascii="宋体" w:hAnsi="宋体"/>
          <w:b/>
          <w:color w:val="auto"/>
          <w:highlight w:val="none"/>
        </w:rPr>
        <w:t>违约责任</w:t>
      </w:r>
    </w:p>
    <w:p w14:paraId="52F10272">
      <w:pPr>
        <w:tabs>
          <w:tab w:val="left" w:pos="630"/>
        </w:tabs>
        <w:spacing w:line="360" w:lineRule="auto"/>
        <w:ind w:firstLine="420" w:firstLineChars="200"/>
        <w:rPr>
          <w:rFonts w:ascii="宋体" w:hAnsi="宋体" w:cs="宋体"/>
          <w:color w:val="auto"/>
          <w:highlight w:val="none"/>
        </w:rPr>
      </w:pPr>
      <w:r>
        <w:rPr>
          <w:rFonts w:hint="eastAsia" w:ascii="宋体" w:hAnsi="宋体" w:cs="宋体"/>
          <w:color w:val="auto"/>
          <w:highlight w:val="none"/>
        </w:rPr>
        <w:t>（1）除如因战争、严重火灾、水灾、台风、地震和其他甲乙双方认可的不可抗力事件外，甲乙双方不得随意解除合同，否则按违约处理。</w:t>
      </w:r>
    </w:p>
    <w:p w14:paraId="02F7B000">
      <w:pPr>
        <w:tabs>
          <w:tab w:val="left" w:pos="630"/>
        </w:tabs>
        <w:spacing w:line="360" w:lineRule="auto"/>
        <w:ind w:firstLine="420" w:firstLineChars="200"/>
        <w:rPr>
          <w:rFonts w:ascii="宋体" w:hAnsi="宋体" w:cs="宋体"/>
          <w:color w:val="auto"/>
          <w:highlight w:val="none"/>
        </w:rPr>
      </w:pPr>
      <w:r>
        <w:rPr>
          <w:rFonts w:hint="eastAsia" w:ascii="宋体" w:hAnsi="宋体" w:cs="宋体"/>
          <w:color w:val="auto"/>
          <w:highlight w:val="none"/>
        </w:rPr>
        <w:t>（2）乙方提供的货物（设备）不符合合同约定的质量标准或存在产品质量缺陷，甲方有权要求乙方及时修理、重作、更换，乙方应承担因此而发生的一切费用，同时甲方有权拒收并追究乙方责任。因乙方更换而造成逾期交货，则按逾期交货处理。</w:t>
      </w:r>
    </w:p>
    <w:p w14:paraId="7327A8A5">
      <w:pPr>
        <w:pStyle w:val="59"/>
        <w:spacing w:line="360" w:lineRule="auto"/>
        <w:ind w:firstLine="420"/>
        <w:rPr>
          <w:rFonts w:ascii="宋体" w:hAnsi="宋体" w:eastAsia="宋体" w:cs="宋体"/>
          <w:color w:val="auto"/>
          <w:kern w:val="2"/>
          <w:sz w:val="21"/>
          <w:highlight w:val="none"/>
        </w:rPr>
      </w:pPr>
      <w:r>
        <w:rPr>
          <w:rFonts w:hint="eastAsia" w:ascii="宋体" w:hAnsi="宋体" w:cs="宋体"/>
          <w:color w:val="auto"/>
          <w:kern w:val="2"/>
          <w:sz w:val="21"/>
          <w:highlight w:val="none"/>
        </w:rPr>
        <w:t>（3）</w:t>
      </w:r>
      <w:r>
        <w:rPr>
          <w:rFonts w:hint="eastAsia" w:ascii="宋体" w:hAnsi="宋体" w:eastAsia="宋体" w:cs="宋体"/>
          <w:color w:val="auto"/>
          <w:kern w:val="2"/>
          <w:sz w:val="21"/>
          <w:highlight w:val="none"/>
        </w:rPr>
        <w:t>乙方应保证货物（设备）由原厂生产的全新产品，无侵权行为，表面无划痕、无任何缺陷隐患，在中国境内可依常规安全合法使用，</w:t>
      </w:r>
      <w:r>
        <w:rPr>
          <w:rFonts w:hint="eastAsia" w:ascii="宋体" w:hAnsi="宋体" w:eastAsia="宋体" w:cs="宋体"/>
          <w:b/>
          <w:bCs/>
          <w:color w:val="auto"/>
          <w:kern w:val="2"/>
          <w:sz w:val="21"/>
          <w:highlight w:val="none"/>
        </w:rPr>
        <w:t>乙方应保证进货渠道的合法性。</w:t>
      </w:r>
      <w:r>
        <w:rPr>
          <w:rFonts w:hint="eastAsia" w:ascii="宋体" w:hAnsi="宋体" w:eastAsia="宋体" w:cs="宋体"/>
          <w:color w:val="auto"/>
          <w:kern w:val="2"/>
          <w:sz w:val="21"/>
          <w:highlight w:val="none"/>
        </w:rPr>
        <w:t>一经发现存在上述问题，甲方有权要求按照货物</w:t>
      </w:r>
      <w:r>
        <w:rPr>
          <w:rFonts w:hint="eastAsia" w:ascii="宋体" w:hAnsi="宋体" w:cs="宋体"/>
          <w:color w:val="auto"/>
          <w:kern w:val="2"/>
          <w:sz w:val="21"/>
          <w:highlight w:val="none"/>
        </w:rPr>
        <w:t>（</w:t>
      </w:r>
      <w:r>
        <w:rPr>
          <w:rFonts w:hint="eastAsia" w:ascii="宋体" w:hAnsi="宋体" w:eastAsia="宋体" w:cs="宋体"/>
          <w:color w:val="auto"/>
          <w:kern w:val="2"/>
          <w:sz w:val="21"/>
          <w:highlight w:val="none"/>
        </w:rPr>
        <w:t>设备</w:t>
      </w:r>
      <w:r>
        <w:rPr>
          <w:rFonts w:hint="eastAsia" w:ascii="宋体" w:hAnsi="宋体" w:cs="宋体"/>
          <w:color w:val="auto"/>
          <w:kern w:val="2"/>
          <w:sz w:val="21"/>
          <w:highlight w:val="none"/>
        </w:rPr>
        <w:t>）</w:t>
      </w:r>
      <w:r>
        <w:rPr>
          <w:rFonts w:hint="eastAsia" w:ascii="宋体" w:hAnsi="宋体" w:eastAsia="宋体" w:cs="宋体"/>
          <w:color w:val="auto"/>
          <w:kern w:val="2"/>
          <w:sz w:val="21"/>
          <w:highlight w:val="none"/>
        </w:rPr>
        <w:t>原值退货退款，乙方需承担由此产生的一切费用和损失。</w:t>
      </w:r>
    </w:p>
    <w:p w14:paraId="537DA812">
      <w:pPr>
        <w:tabs>
          <w:tab w:val="left" w:pos="630"/>
        </w:tabs>
        <w:spacing w:line="360" w:lineRule="auto"/>
        <w:ind w:firstLine="420" w:firstLineChars="200"/>
        <w:rPr>
          <w:rFonts w:ascii="宋体" w:hAnsi="宋体" w:cs="宋体"/>
          <w:color w:val="auto"/>
          <w:highlight w:val="none"/>
        </w:rPr>
      </w:pPr>
      <w:r>
        <w:rPr>
          <w:rFonts w:hint="eastAsia" w:ascii="宋体" w:hAnsi="宋体" w:cs="宋体"/>
          <w:color w:val="auto"/>
          <w:highlight w:val="none"/>
        </w:rPr>
        <w:t>（4）乙方应按照本合同规定的时间、地点交货和提供相关服务。在履行合同过程中，如果乙方遇到可能影响按时交货和提供服务的情形时，</w:t>
      </w:r>
      <w:r>
        <w:rPr>
          <w:rFonts w:hint="eastAsia" w:ascii="宋体" w:hAnsi="宋体" w:cs="宋体"/>
          <w:b/>
          <w:bCs/>
          <w:color w:val="auto"/>
          <w:highlight w:val="none"/>
        </w:rPr>
        <w:t>应及时以书面形式将迟延的事实、可能迟延的期限和理由通知甲方</w:t>
      </w:r>
      <w:r>
        <w:rPr>
          <w:rFonts w:hint="eastAsia" w:ascii="宋体" w:hAnsi="宋体" w:cs="宋体"/>
          <w:color w:val="auto"/>
          <w:highlight w:val="none"/>
        </w:rPr>
        <w:t>。甲方在收到乙方通知后，应尽快对情况进行评价，并确定是否同意延长交货时间或延期提供服务。</w:t>
      </w:r>
    </w:p>
    <w:p w14:paraId="16A59B20">
      <w:pPr>
        <w:tabs>
          <w:tab w:val="left" w:pos="630"/>
        </w:tabs>
        <w:spacing w:line="360" w:lineRule="auto"/>
        <w:ind w:firstLine="420" w:firstLineChars="200"/>
        <w:rPr>
          <w:rFonts w:ascii="宋体" w:hAnsi="宋体" w:cs="宋体"/>
          <w:color w:val="auto"/>
          <w:highlight w:val="none"/>
        </w:rPr>
      </w:pPr>
      <w:r>
        <w:rPr>
          <w:rFonts w:hint="eastAsia" w:ascii="宋体" w:hAnsi="宋体" w:cs="宋体"/>
          <w:color w:val="auto"/>
          <w:highlight w:val="none"/>
        </w:rPr>
        <w:t>（5）如乙方逾期交付货物（供货、安装调试完毕）达70天。甲方有权单方解除合同，甲方解除合同通知自到达乙方时生效。乙方向甲方偿付合同总额5%的违约金，乙方需在3日内将违约金支付给甲方，并退还甲方已支付的预付款。</w:t>
      </w:r>
    </w:p>
    <w:p w14:paraId="6A3CD345">
      <w:pPr>
        <w:tabs>
          <w:tab w:val="left" w:pos="630"/>
        </w:tabs>
        <w:spacing w:line="360" w:lineRule="auto"/>
        <w:ind w:firstLine="420" w:firstLineChars="200"/>
        <w:rPr>
          <w:rFonts w:ascii="宋体" w:hAnsi="宋体" w:cs="宋体"/>
          <w:color w:val="auto"/>
          <w:highlight w:val="none"/>
        </w:rPr>
      </w:pPr>
      <w:r>
        <w:rPr>
          <w:rFonts w:hint="eastAsia" w:ascii="宋体" w:hAnsi="宋体" w:cs="宋体"/>
          <w:color w:val="auto"/>
          <w:highlight w:val="none"/>
        </w:rPr>
        <w:t>（6）验收过程中，甲乙双方因质量问题发生争议，由甲方所在地或上一级质量技术鉴定单位进行质量鉴定。经鉴定质量合格，鉴定费由甲方承担；鉴定质量不合格，鉴定费用由乙方承担。鉴定质量不合格的，甲方有权拒收、有权单方解除合同并要求乙方赔偿因此造成的一切损失，乙方应在3日内向甲方偿付合同总额5%的违约金，并退还甲方已支付的预付款。在此情况下，乙方给甲方造成的实际损失高于违约金的，对高出违约金的部分乙方应予以赔偿。</w:t>
      </w:r>
    </w:p>
    <w:p w14:paraId="3A81E432">
      <w:pPr>
        <w:tabs>
          <w:tab w:val="left" w:pos="630"/>
        </w:tabs>
        <w:spacing w:line="360" w:lineRule="auto"/>
        <w:ind w:firstLine="420" w:firstLineChars="200"/>
        <w:rPr>
          <w:rFonts w:ascii="宋体" w:hAnsi="宋体" w:cs="宋体"/>
          <w:color w:val="auto"/>
          <w:highlight w:val="none"/>
        </w:rPr>
      </w:pPr>
      <w:r>
        <w:rPr>
          <w:rFonts w:hint="eastAsia" w:ascii="宋体" w:hAnsi="宋体" w:cs="宋体"/>
          <w:color w:val="auto"/>
          <w:highlight w:val="none"/>
        </w:rPr>
        <w:t>（7）当违约金超过履约保证金时，超过部分甲方有权从合同总价款中扣除，用于补偿违约金不足的部分。</w:t>
      </w:r>
    </w:p>
    <w:p w14:paraId="241C1BBF">
      <w:pPr>
        <w:numPr>
          <w:ilvl w:val="0"/>
          <w:numId w:val="3"/>
        </w:numPr>
        <w:adjustRightInd w:val="0"/>
        <w:snapToGrid w:val="0"/>
        <w:spacing w:line="400" w:lineRule="exact"/>
        <w:ind w:firstLine="422" w:firstLineChars="200"/>
        <w:rPr>
          <w:rFonts w:ascii="宋体" w:hAnsi="宋体"/>
          <w:b/>
          <w:color w:val="auto"/>
          <w:highlight w:val="none"/>
        </w:rPr>
      </w:pPr>
      <w:r>
        <w:rPr>
          <w:rFonts w:hint="eastAsia" w:ascii="宋体" w:hAnsi="宋体"/>
          <w:b/>
          <w:color w:val="auto"/>
          <w:highlight w:val="none"/>
        </w:rPr>
        <w:t>合同争议的解决</w:t>
      </w:r>
    </w:p>
    <w:p w14:paraId="65613019">
      <w:pPr>
        <w:tabs>
          <w:tab w:val="left" w:pos="630"/>
        </w:tabs>
        <w:spacing w:line="360" w:lineRule="auto"/>
        <w:ind w:firstLine="420" w:firstLineChars="200"/>
        <w:rPr>
          <w:rFonts w:ascii="宋体" w:hAnsi="宋体" w:cs="宋体"/>
          <w:color w:val="auto"/>
          <w:highlight w:val="none"/>
        </w:rPr>
      </w:pPr>
      <w:r>
        <w:rPr>
          <w:rFonts w:hint="eastAsia" w:ascii="宋体" w:hAnsi="宋体" w:cs="宋体"/>
          <w:color w:val="auto"/>
          <w:highlight w:val="none"/>
        </w:rPr>
        <w:t>本合同履行过程中发生的任何争议，双方当事人均可通过和解或者调解解决；不愿和解、调解或者和解、调解不成的，可以选择下列第</w:t>
      </w:r>
      <w:r>
        <w:rPr>
          <w:rFonts w:hint="eastAsia" w:ascii="宋体" w:hAnsi="宋体" w:cs="宋体"/>
          <w:color w:val="auto"/>
          <w:highlight w:val="none"/>
          <w:u w:val="single"/>
        </w:rPr>
        <w:t xml:space="preserve"> （2） </w:t>
      </w:r>
      <w:r>
        <w:rPr>
          <w:rFonts w:hint="eastAsia" w:ascii="宋体" w:hAnsi="宋体" w:cs="宋体"/>
          <w:color w:val="auto"/>
          <w:highlight w:val="none"/>
        </w:rPr>
        <w:t>种方式解决：</w:t>
      </w:r>
    </w:p>
    <w:p w14:paraId="5C7F1462">
      <w:pPr>
        <w:tabs>
          <w:tab w:val="left" w:pos="630"/>
        </w:tabs>
        <w:spacing w:line="360" w:lineRule="auto"/>
        <w:ind w:firstLine="420" w:firstLineChars="200"/>
        <w:rPr>
          <w:rFonts w:ascii="宋体" w:hAnsi="宋体" w:cs="宋体"/>
          <w:color w:val="auto"/>
          <w:highlight w:val="none"/>
        </w:rPr>
      </w:pPr>
      <w:r>
        <w:rPr>
          <w:rFonts w:hint="eastAsia" w:ascii="宋体" w:hAnsi="宋体" w:cs="宋体"/>
          <w:color w:val="auto"/>
          <w:highlight w:val="none"/>
        </w:rPr>
        <w:t>（1）将争议提交</w:t>
      </w:r>
      <w:r>
        <w:rPr>
          <w:rFonts w:hint="eastAsia" w:ascii="宋体" w:hAnsi="宋体" w:cs="宋体"/>
          <w:color w:val="auto"/>
          <w:highlight w:val="none"/>
          <w:u w:val="single"/>
        </w:rPr>
        <w:t xml:space="preserve">  /  </w:t>
      </w:r>
      <w:r>
        <w:rPr>
          <w:rFonts w:hint="eastAsia" w:ascii="宋体" w:hAnsi="宋体" w:cs="宋体"/>
          <w:color w:val="auto"/>
          <w:highlight w:val="none"/>
        </w:rPr>
        <w:t>仲裁委员会依申请仲裁时其现行有效的仲裁规则裁决；</w:t>
      </w:r>
    </w:p>
    <w:p w14:paraId="123DE39F">
      <w:pPr>
        <w:tabs>
          <w:tab w:val="left" w:pos="630"/>
        </w:tabs>
        <w:spacing w:line="360" w:lineRule="auto"/>
        <w:ind w:firstLine="420" w:firstLineChars="200"/>
        <w:rPr>
          <w:rFonts w:ascii="宋体" w:hAnsi="宋体" w:cs="宋体"/>
          <w:color w:val="auto"/>
          <w:highlight w:val="none"/>
        </w:rPr>
      </w:pPr>
      <w:r>
        <w:rPr>
          <w:rFonts w:hint="eastAsia" w:ascii="宋体" w:hAnsi="宋体" w:cs="宋体"/>
          <w:color w:val="auto"/>
          <w:highlight w:val="none"/>
        </w:rPr>
        <w:t>（2）向</w:t>
      </w:r>
      <w:r>
        <w:rPr>
          <w:rFonts w:hint="eastAsia" w:ascii="宋体" w:hAnsi="宋体" w:cs="宋体"/>
          <w:color w:val="auto"/>
          <w:highlight w:val="none"/>
          <w:u w:val="single"/>
        </w:rPr>
        <w:t>郑州市管城回族区</w:t>
      </w:r>
      <w:r>
        <w:rPr>
          <w:rFonts w:hint="eastAsia" w:ascii="宋体" w:hAnsi="宋体" w:cs="宋体"/>
          <w:color w:val="auto"/>
          <w:highlight w:val="none"/>
        </w:rPr>
        <w:t>人民法院起诉。</w:t>
      </w:r>
    </w:p>
    <w:p w14:paraId="6B521371">
      <w:pPr>
        <w:numPr>
          <w:ilvl w:val="0"/>
          <w:numId w:val="3"/>
        </w:numPr>
        <w:adjustRightInd w:val="0"/>
        <w:snapToGrid w:val="0"/>
        <w:spacing w:line="400" w:lineRule="exact"/>
        <w:ind w:firstLine="422" w:firstLineChars="200"/>
        <w:rPr>
          <w:rFonts w:ascii="宋体" w:hAnsi="宋体"/>
          <w:b/>
          <w:color w:val="auto"/>
          <w:highlight w:val="none"/>
        </w:rPr>
      </w:pPr>
      <w:r>
        <w:rPr>
          <w:rFonts w:hint="eastAsia" w:ascii="宋体" w:hAnsi="宋体"/>
          <w:b/>
          <w:color w:val="auto"/>
          <w:highlight w:val="none"/>
        </w:rPr>
        <w:t>合同生效</w:t>
      </w:r>
    </w:p>
    <w:p w14:paraId="46C0B73C">
      <w:pPr>
        <w:tabs>
          <w:tab w:val="left" w:pos="630"/>
        </w:tabs>
        <w:spacing w:line="360" w:lineRule="auto"/>
        <w:ind w:firstLine="420" w:firstLineChars="200"/>
        <w:rPr>
          <w:rFonts w:ascii="宋体" w:hAnsi="宋体"/>
          <w:b/>
          <w:color w:val="auto"/>
          <w:highlight w:val="none"/>
        </w:rPr>
      </w:pPr>
      <w:r>
        <w:rPr>
          <w:rFonts w:hint="eastAsia" w:ascii="宋体" w:hAnsi="宋体" w:cs="宋体"/>
          <w:color w:val="auto"/>
          <w:highlight w:val="none"/>
        </w:rPr>
        <w:t>本合同自双方当事人签字加盖单位印章并经甲方备案通过后生效（如授权代表代为签字，应将《授权委托书》作为附件）。</w:t>
      </w:r>
    </w:p>
    <w:p w14:paraId="6A4242E6">
      <w:pPr>
        <w:numPr>
          <w:ilvl w:val="0"/>
          <w:numId w:val="3"/>
        </w:numPr>
        <w:adjustRightInd w:val="0"/>
        <w:snapToGrid w:val="0"/>
        <w:spacing w:line="400" w:lineRule="exact"/>
        <w:ind w:firstLine="422" w:firstLineChars="200"/>
        <w:rPr>
          <w:rFonts w:ascii="宋体" w:hAnsi="宋体"/>
          <w:b/>
          <w:color w:val="auto"/>
          <w:highlight w:val="none"/>
        </w:rPr>
      </w:pPr>
      <w:r>
        <w:rPr>
          <w:rFonts w:hint="eastAsia" w:ascii="宋体" w:hAnsi="宋体"/>
          <w:b/>
          <w:color w:val="auto"/>
          <w:highlight w:val="none"/>
        </w:rPr>
        <w:t>合同份数</w:t>
      </w:r>
    </w:p>
    <w:p w14:paraId="0B0D640C">
      <w:pPr>
        <w:pStyle w:val="59"/>
        <w:ind w:firstLine="420"/>
        <w:rPr>
          <w:rFonts w:ascii="宋体" w:hAnsi="宋体" w:eastAsia="宋体" w:cs="宋体"/>
          <w:color w:val="auto"/>
          <w:kern w:val="2"/>
          <w:sz w:val="21"/>
          <w:highlight w:val="none"/>
        </w:rPr>
      </w:pPr>
      <w:r>
        <w:rPr>
          <w:rFonts w:hint="eastAsia" w:ascii="宋体" w:hAnsi="宋体" w:eastAsia="宋体" w:cs="宋体"/>
          <w:color w:val="auto"/>
          <w:kern w:val="2"/>
          <w:sz w:val="21"/>
          <w:highlight w:val="none"/>
        </w:rPr>
        <w:t>本合同一式捌份，甲方执陆份，乙方执贰份，均具有同等法律效力。</w:t>
      </w:r>
    </w:p>
    <w:p w14:paraId="1BC3E8D1">
      <w:pPr>
        <w:pStyle w:val="59"/>
        <w:rPr>
          <w:rFonts w:ascii="宋体" w:hAnsi="宋体"/>
          <w:color w:val="auto"/>
          <w:highlight w:val="none"/>
        </w:rPr>
      </w:pPr>
    </w:p>
    <w:tbl>
      <w:tblPr>
        <w:tblStyle w:val="38"/>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57"/>
        <w:gridCol w:w="2629"/>
        <w:gridCol w:w="2157"/>
        <w:gridCol w:w="2309"/>
      </w:tblGrid>
      <w:tr w14:paraId="1B59478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0" w:type="pct"/>
            <w:gridSpan w:val="2"/>
            <w:tcBorders>
              <w:bottom w:val="single" w:color="auto" w:sz="2" w:space="0"/>
              <w:right w:val="single" w:color="auto" w:sz="2" w:space="0"/>
            </w:tcBorders>
            <w:vAlign w:val="center"/>
          </w:tcPr>
          <w:p w14:paraId="45C76634">
            <w:pPr>
              <w:adjustRightInd w:val="0"/>
              <w:snapToGrid w:val="0"/>
              <w:spacing w:line="300" w:lineRule="exact"/>
              <w:jc w:val="center"/>
              <w:rPr>
                <w:color w:val="auto"/>
                <w:highlight w:val="none"/>
              </w:rPr>
            </w:pPr>
            <w:r>
              <w:rPr>
                <w:color w:val="auto"/>
                <w:highlight w:val="none"/>
              </w:rPr>
              <w:t>甲方</w:t>
            </w:r>
            <w:r>
              <w:rPr>
                <w:rFonts w:hint="eastAsia"/>
                <w:color w:val="auto"/>
                <w:highlight w:val="none"/>
              </w:rPr>
              <w:t>（采购人）</w:t>
            </w:r>
          </w:p>
        </w:tc>
        <w:tc>
          <w:tcPr>
            <w:tcW w:w="2439" w:type="pct"/>
            <w:gridSpan w:val="2"/>
            <w:tcBorders>
              <w:left w:val="single" w:color="auto" w:sz="2" w:space="0"/>
              <w:bottom w:val="single" w:color="auto" w:sz="2" w:space="0"/>
            </w:tcBorders>
            <w:vAlign w:val="center"/>
          </w:tcPr>
          <w:p w14:paraId="0DA8AF49">
            <w:pPr>
              <w:adjustRightInd w:val="0"/>
              <w:snapToGrid w:val="0"/>
              <w:spacing w:line="300" w:lineRule="exact"/>
              <w:jc w:val="center"/>
              <w:rPr>
                <w:color w:val="auto"/>
                <w:highlight w:val="none"/>
              </w:rPr>
            </w:pPr>
            <w:r>
              <w:rPr>
                <w:color w:val="auto"/>
                <w:highlight w:val="none"/>
              </w:rPr>
              <w:t>乙方</w:t>
            </w:r>
            <w:r>
              <w:rPr>
                <w:rFonts w:hint="eastAsia"/>
                <w:color w:val="auto"/>
                <w:highlight w:val="none"/>
              </w:rPr>
              <w:t>（供应商）</w:t>
            </w:r>
          </w:p>
        </w:tc>
      </w:tr>
      <w:tr w14:paraId="53F0E5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4" w:type="pct"/>
            <w:tcBorders>
              <w:top w:val="single" w:color="auto" w:sz="2" w:space="0"/>
              <w:bottom w:val="single" w:color="auto" w:sz="2" w:space="0"/>
              <w:right w:val="single" w:color="auto" w:sz="2" w:space="0"/>
            </w:tcBorders>
            <w:vAlign w:val="center"/>
          </w:tcPr>
          <w:p w14:paraId="4B1AE9BA">
            <w:pPr>
              <w:adjustRightInd w:val="0"/>
              <w:snapToGrid w:val="0"/>
              <w:spacing w:line="300" w:lineRule="exact"/>
              <w:jc w:val="center"/>
              <w:rPr>
                <w:color w:val="auto"/>
                <w:highlight w:val="none"/>
              </w:rPr>
            </w:pPr>
            <w:r>
              <w:rPr>
                <w:color w:val="auto"/>
                <w:highlight w:val="none"/>
              </w:rPr>
              <w:t>单位名称</w:t>
            </w:r>
            <w:r>
              <w:rPr>
                <w:rFonts w:hint="eastAsia"/>
                <w:color w:val="auto"/>
                <w:highlight w:val="none"/>
              </w:rPr>
              <w:t>（公章或合同章）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628567EC">
            <w:pPr>
              <w:adjustRightInd w:val="0"/>
              <w:snapToGrid w:val="0"/>
              <w:spacing w:line="300" w:lineRule="exact"/>
              <w:jc w:val="center"/>
              <w:rPr>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2F0C365">
            <w:pPr>
              <w:adjustRightInd w:val="0"/>
              <w:snapToGrid w:val="0"/>
              <w:spacing w:line="300" w:lineRule="exact"/>
              <w:jc w:val="center"/>
              <w:rPr>
                <w:color w:val="auto"/>
                <w:highlight w:val="none"/>
              </w:rPr>
            </w:pPr>
            <w:r>
              <w:rPr>
                <w:color w:val="auto"/>
                <w:highlight w:val="none"/>
              </w:rPr>
              <w:t>单位名称</w:t>
            </w:r>
            <w:r>
              <w:rPr>
                <w:rFonts w:hint="eastAsia"/>
                <w:color w:val="auto"/>
                <w:highlight w:val="none"/>
              </w:rPr>
              <w:t>（公章或合同章）</w:t>
            </w:r>
          </w:p>
        </w:tc>
        <w:tc>
          <w:tcPr>
            <w:tcW w:w="1261" w:type="pct"/>
            <w:tcBorders>
              <w:top w:val="single" w:color="auto" w:sz="2" w:space="0"/>
              <w:left w:val="single" w:color="auto" w:sz="2" w:space="0"/>
              <w:bottom w:val="single" w:color="auto" w:sz="2" w:space="0"/>
            </w:tcBorders>
            <w:vAlign w:val="center"/>
          </w:tcPr>
          <w:p w14:paraId="5984BA6E">
            <w:pPr>
              <w:adjustRightInd w:val="0"/>
              <w:snapToGrid w:val="0"/>
              <w:spacing w:line="300" w:lineRule="exact"/>
              <w:jc w:val="center"/>
              <w:rPr>
                <w:color w:val="auto"/>
                <w:spacing w:val="20"/>
                <w:highlight w:val="none"/>
              </w:rPr>
            </w:pPr>
          </w:p>
        </w:tc>
      </w:tr>
      <w:tr w14:paraId="5C0C409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4" w:type="pct"/>
            <w:tcBorders>
              <w:top w:val="single" w:color="auto" w:sz="2" w:space="0"/>
              <w:right w:val="single" w:color="auto" w:sz="2" w:space="0"/>
            </w:tcBorders>
            <w:vAlign w:val="center"/>
          </w:tcPr>
          <w:p w14:paraId="5B9D7948">
            <w:pPr>
              <w:adjustRightInd w:val="0"/>
              <w:snapToGrid w:val="0"/>
              <w:spacing w:line="300" w:lineRule="exact"/>
              <w:jc w:val="center"/>
              <w:rPr>
                <w:color w:val="auto"/>
                <w:highlight w:val="none"/>
              </w:rPr>
            </w:pPr>
            <w:r>
              <w:rPr>
                <w:color w:val="auto"/>
                <w:highlight w:val="none"/>
              </w:rPr>
              <w:t>法定代表人</w:t>
            </w:r>
          </w:p>
          <w:p w14:paraId="4342A954">
            <w:pPr>
              <w:adjustRightInd w:val="0"/>
              <w:snapToGrid w:val="0"/>
              <w:spacing w:line="300" w:lineRule="exact"/>
              <w:ind w:firstLine="100" w:firstLineChars="48"/>
              <w:jc w:val="center"/>
              <w:rPr>
                <w:color w:val="auto"/>
                <w:highlight w:val="none"/>
              </w:rPr>
            </w:pPr>
            <w:r>
              <w:rPr>
                <w:rFonts w:hint="eastAsia"/>
                <w:color w:val="auto"/>
                <w:highlight w:val="none"/>
              </w:rPr>
              <w:t>或其</w:t>
            </w:r>
            <w:r>
              <w:rPr>
                <w:color w:val="auto"/>
                <w:highlight w:val="none"/>
              </w:rPr>
              <w:t>委托代理人</w:t>
            </w:r>
            <w:r>
              <w:rPr>
                <w:rFonts w:hint="eastAsia"/>
                <w:color w:val="auto"/>
                <w:highlight w:val="none"/>
              </w:rPr>
              <w:t>（签章）</w:t>
            </w:r>
          </w:p>
        </w:tc>
        <w:tc>
          <w:tcPr>
            <w:tcW w:w="1436" w:type="pct"/>
            <w:tcBorders>
              <w:top w:val="single" w:color="auto" w:sz="2" w:space="0"/>
              <w:left w:val="single" w:color="auto" w:sz="2" w:space="0"/>
              <w:right w:val="single" w:color="auto" w:sz="2" w:space="0"/>
            </w:tcBorders>
            <w:vAlign w:val="center"/>
          </w:tcPr>
          <w:p w14:paraId="6F66E41D">
            <w:pPr>
              <w:adjustRightInd w:val="0"/>
              <w:snapToGrid w:val="0"/>
              <w:spacing w:line="300" w:lineRule="exact"/>
              <w:jc w:val="center"/>
              <w:rPr>
                <w:color w:val="auto"/>
                <w:highlight w:val="none"/>
              </w:rPr>
            </w:pPr>
          </w:p>
        </w:tc>
        <w:tc>
          <w:tcPr>
            <w:tcW w:w="1178" w:type="pct"/>
            <w:tcBorders>
              <w:top w:val="single" w:color="auto" w:sz="2" w:space="0"/>
              <w:left w:val="single" w:color="auto" w:sz="2" w:space="0"/>
              <w:right w:val="single" w:color="auto" w:sz="2" w:space="0"/>
            </w:tcBorders>
            <w:vAlign w:val="center"/>
          </w:tcPr>
          <w:p w14:paraId="594A1C41">
            <w:pPr>
              <w:adjustRightInd w:val="0"/>
              <w:snapToGrid w:val="0"/>
              <w:spacing w:line="300" w:lineRule="exact"/>
              <w:jc w:val="center"/>
              <w:rPr>
                <w:color w:val="auto"/>
                <w:highlight w:val="none"/>
              </w:rPr>
            </w:pPr>
            <w:r>
              <w:rPr>
                <w:color w:val="auto"/>
                <w:highlight w:val="none"/>
              </w:rPr>
              <w:t>法定代表人</w:t>
            </w:r>
          </w:p>
          <w:p w14:paraId="0B2ABCDD">
            <w:pPr>
              <w:adjustRightInd w:val="0"/>
              <w:snapToGrid w:val="0"/>
              <w:spacing w:line="300" w:lineRule="exact"/>
              <w:jc w:val="center"/>
              <w:rPr>
                <w:color w:val="auto"/>
                <w:highlight w:val="none"/>
              </w:rPr>
            </w:pPr>
            <w:r>
              <w:rPr>
                <w:rFonts w:hint="eastAsia"/>
                <w:color w:val="auto"/>
                <w:highlight w:val="none"/>
              </w:rPr>
              <w:t>或其</w:t>
            </w:r>
            <w:r>
              <w:rPr>
                <w:color w:val="auto"/>
                <w:highlight w:val="none"/>
              </w:rPr>
              <w:t>委托代理人</w:t>
            </w:r>
            <w:r>
              <w:rPr>
                <w:rFonts w:hint="eastAsia"/>
                <w:color w:val="auto"/>
                <w:highlight w:val="none"/>
              </w:rPr>
              <w:t>（签章）</w:t>
            </w:r>
          </w:p>
        </w:tc>
        <w:tc>
          <w:tcPr>
            <w:tcW w:w="1261" w:type="pct"/>
            <w:tcBorders>
              <w:top w:val="single" w:color="auto" w:sz="2" w:space="0"/>
              <w:left w:val="single" w:color="auto" w:sz="2" w:space="0"/>
              <w:bottom w:val="single" w:color="auto" w:sz="2" w:space="0"/>
            </w:tcBorders>
            <w:vAlign w:val="center"/>
          </w:tcPr>
          <w:p w14:paraId="019C1633">
            <w:pPr>
              <w:adjustRightInd w:val="0"/>
              <w:snapToGrid w:val="0"/>
              <w:spacing w:line="300" w:lineRule="exact"/>
              <w:jc w:val="center"/>
              <w:rPr>
                <w:color w:val="auto"/>
                <w:highlight w:val="none"/>
              </w:rPr>
            </w:pPr>
          </w:p>
        </w:tc>
      </w:tr>
      <w:tr w14:paraId="6FFB7FB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5D161B06">
            <w:pPr>
              <w:adjustRightInd w:val="0"/>
              <w:snapToGrid w:val="0"/>
              <w:spacing w:line="300" w:lineRule="exact"/>
              <w:jc w:val="center"/>
              <w:rPr>
                <w:color w:val="auto"/>
                <w:highlight w:val="none"/>
              </w:rPr>
            </w:pPr>
            <w:r>
              <w:rPr>
                <w:rFonts w:hint="eastAsia"/>
                <w:color w:val="auto"/>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34178F65">
            <w:pPr>
              <w:adjustRightInd w:val="0"/>
              <w:snapToGrid w:val="0"/>
              <w:spacing w:line="300" w:lineRule="exact"/>
              <w:jc w:val="center"/>
              <w:rPr>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6E4E3D8">
            <w:pPr>
              <w:adjustRightInd w:val="0"/>
              <w:snapToGrid w:val="0"/>
              <w:spacing w:line="300" w:lineRule="exact"/>
              <w:jc w:val="center"/>
              <w:rPr>
                <w:color w:val="auto"/>
                <w:highlight w:val="none"/>
              </w:rPr>
            </w:pPr>
            <w:r>
              <w:rPr>
                <w:rFonts w:hint="eastAsia"/>
                <w:color w:val="auto"/>
                <w:highlight w:val="none"/>
              </w:rPr>
              <w:t>住  所</w:t>
            </w:r>
          </w:p>
        </w:tc>
        <w:tc>
          <w:tcPr>
            <w:tcW w:w="1261" w:type="pct"/>
            <w:tcBorders>
              <w:top w:val="single" w:color="auto" w:sz="2" w:space="0"/>
              <w:left w:val="single" w:color="auto" w:sz="2" w:space="0"/>
              <w:bottom w:val="single" w:color="auto" w:sz="2" w:space="0"/>
            </w:tcBorders>
            <w:vAlign w:val="center"/>
          </w:tcPr>
          <w:p w14:paraId="16059A41">
            <w:pPr>
              <w:adjustRightInd w:val="0"/>
              <w:snapToGrid w:val="0"/>
              <w:spacing w:line="300" w:lineRule="exact"/>
              <w:jc w:val="center"/>
              <w:rPr>
                <w:color w:val="auto"/>
                <w:spacing w:val="20"/>
                <w:highlight w:val="none"/>
              </w:rPr>
            </w:pPr>
          </w:p>
        </w:tc>
      </w:tr>
      <w:tr w14:paraId="5F156B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1E5F49A1">
            <w:pPr>
              <w:adjustRightInd w:val="0"/>
              <w:snapToGrid w:val="0"/>
              <w:spacing w:line="300" w:lineRule="exact"/>
              <w:jc w:val="center"/>
              <w:rPr>
                <w:color w:val="auto"/>
                <w:highlight w:val="none"/>
              </w:rPr>
            </w:pPr>
            <w:r>
              <w:rPr>
                <w:color w:val="auto"/>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898572A">
            <w:pPr>
              <w:adjustRightInd w:val="0"/>
              <w:snapToGrid w:val="0"/>
              <w:spacing w:line="300" w:lineRule="exact"/>
              <w:jc w:val="center"/>
              <w:rPr>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754D082">
            <w:pPr>
              <w:adjustRightInd w:val="0"/>
              <w:snapToGrid w:val="0"/>
              <w:spacing w:line="300" w:lineRule="exact"/>
              <w:jc w:val="center"/>
              <w:rPr>
                <w:color w:val="auto"/>
                <w:highlight w:val="none"/>
              </w:rPr>
            </w:pPr>
            <w:r>
              <w:rPr>
                <w:color w:val="auto"/>
                <w:highlight w:val="none"/>
              </w:rPr>
              <w:t>联 系 人</w:t>
            </w:r>
          </w:p>
        </w:tc>
        <w:tc>
          <w:tcPr>
            <w:tcW w:w="1261" w:type="pct"/>
            <w:tcBorders>
              <w:top w:val="single" w:color="auto" w:sz="2" w:space="0"/>
              <w:left w:val="single" w:color="auto" w:sz="2" w:space="0"/>
              <w:bottom w:val="single" w:color="auto" w:sz="2" w:space="0"/>
            </w:tcBorders>
            <w:vAlign w:val="center"/>
          </w:tcPr>
          <w:p w14:paraId="2BCFD46F">
            <w:pPr>
              <w:adjustRightInd w:val="0"/>
              <w:snapToGrid w:val="0"/>
              <w:spacing w:line="300" w:lineRule="exact"/>
              <w:jc w:val="center"/>
              <w:rPr>
                <w:color w:val="auto"/>
                <w:spacing w:val="20"/>
                <w:highlight w:val="none"/>
              </w:rPr>
            </w:pPr>
          </w:p>
        </w:tc>
      </w:tr>
      <w:tr w14:paraId="2F1494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53CC207E">
            <w:pPr>
              <w:adjustRightInd w:val="0"/>
              <w:snapToGrid w:val="0"/>
              <w:spacing w:line="300" w:lineRule="exact"/>
              <w:jc w:val="center"/>
              <w:rPr>
                <w:color w:val="auto"/>
                <w:highlight w:val="none"/>
              </w:rPr>
            </w:pPr>
            <w:r>
              <w:rPr>
                <w:color w:val="auto"/>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9076FEB">
            <w:pPr>
              <w:adjustRightInd w:val="0"/>
              <w:snapToGrid w:val="0"/>
              <w:spacing w:line="300" w:lineRule="exact"/>
              <w:jc w:val="center"/>
              <w:rPr>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D5D64AA">
            <w:pPr>
              <w:adjustRightInd w:val="0"/>
              <w:snapToGrid w:val="0"/>
              <w:spacing w:line="300" w:lineRule="exact"/>
              <w:jc w:val="center"/>
              <w:rPr>
                <w:color w:val="auto"/>
                <w:highlight w:val="none"/>
              </w:rPr>
            </w:pPr>
            <w:r>
              <w:rPr>
                <w:color w:val="auto"/>
                <w:highlight w:val="none"/>
              </w:rPr>
              <w:t>联系电话</w:t>
            </w:r>
          </w:p>
        </w:tc>
        <w:tc>
          <w:tcPr>
            <w:tcW w:w="1261" w:type="pct"/>
            <w:tcBorders>
              <w:top w:val="single" w:color="auto" w:sz="2" w:space="0"/>
              <w:left w:val="single" w:color="auto" w:sz="2" w:space="0"/>
              <w:bottom w:val="single" w:color="auto" w:sz="2" w:space="0"/>
            </w:tcBorders>
            <w:vAlign w:val="center"/>
          </w:tcPr>
          <w:p w14:paraId="52EB7C83">
            <w:pPr>
              <w:adjustRightInd w:val="0"/>
              <w:snapToGrid w:val="0"/>
              <w:spacing w:line="300" w:lineRule="exact"/>
              <w:jc w:val="center"/>
              <w:rPr>
                <w:color w:val="auto"/>
                <w:spacing w:val="20"/>
                <w:highlight w:val="none"/>
              </w:rPr>
            </w:pPr>
          </w:p>
        </w:tc>
      </w:tr>
      <w:tr w14:paraId="47E41D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439641DF">
            <w:pPr>
              <w:adjustRightInd w:val="0"/>
              <w:snapToGrid w:val="0"/>
              <w:spacing w:line="300" w:lineRule="exact"/>
              <w:jc w:val="center"/>
              <w:rPr>
                <w:color w:val="auto"/>
                <w:highlight w:val="none"/>
              </w:rPr>
            </w:pPr>
            <w:r>
              <w:rPr>
                <w:rFonts w:hint="eastAsia"/>
                <w:color w:val="auto"/>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7669E4FF">
            <w:pPr>
              <w:adjustRightInd w:val="0"/>
              <w:snapToGrid w:val="0"/>
              <w:spacing w:line="300" w:lineRule="exact"/>
              <w:jc w:val="center"/>
              <w:rPr>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782F46F">
            <w:pPr>
              <w:adjustRightInd w:val="0"/>
              <w:snapToGrid w:val="0"/>
              <w:spacing w:line="300" w:lineRule="exact"/>
              <w:jc w:val="center"/>
              <w:rPr>
                <w:color w:val="auto"/>
                <w:highlight w:val="none"/>
              </w:rPr>
            </w:pPr>
            <w:r>
              <w:rPr>
                <w:rFonts w:hint="eastAsia"/>
                <w:color w:val="auto"/>
                <w:highlight w:val="none"/>
              </w:rPr>
              <w:t>通信地址</w:t>
            </w:r>
          </w:p>
        </w:tc>
        <w:tc>
          <w:tcPr>
            <w:tcW w:w="1261" w:type="pct"/>
            <w:tcBorders>
              <w:top w:val="single" w:color="auto" w:sz="2" w:space="0"/>
              <w:left w:val="single" w:color="auto" w:sz="2" w:space="0"/>
              <w:bottom w:val="single" w:color="auto" w:sz="2" w:space="0"/>
            </w:tcBorders>
            <w:vAlign w:val="center"/>
          </w:tcPr>
          <w:p w14:paraId="55E83272">
            <w:pPr>
              <w:adjustRightInd w:val="0"/>
              <w:snapToGrid w:val="0"/>
              <w:spacing w:line="300" w:lineRule="exact"/>
              <w:jc w:val="center"/>
              <w:rPr>
                <w:color w:val="auto"/>
                <w:spacing w:val="20"/>
                <w:highlight w:val="none"/>
              </w:rPr>
            </w:pPr>
          </w:p>
        </w:tc>
      </w:tr>
      <w:tr w14:paraId="273C51E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1547BD2D">
            <w:pPr>
              <w:adjustRightInd w:val="0"/>
              <w:snapToGrid w:val="0"/>
              <w:spacing w:line="300" w:lineRule="exact"/>
              <w:jc w:val="center"/>
              <w:rPr>
                <w:color w:val="auto"/>
                <w:highlight w:val="none"/>
              </w:rPr>
            </w:pPr>
            <w:r>
              <w:rPr>
                <w:color w:val="auto"/>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C311DE4">
            <w:pPr>
              <w:adjustRightInd w:val="0"/>
              <w:snapToGrid w:val="0"/>
              <w:spacing w:line="300" w:lineRule="exact"/>
              <w:jc w:val="center"/>
              <w:rPr>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354BD07">
            <w:pPr>
              <w:adjustRightInd w:val="0"/>
              <w:snapToGrid w:val="0"/>
              <w:spacing w:line="300" w:lineRule="exact"/>
              <w:jc w:val="center"/>
              <w:rPr>
                <w:color w:val="auto"/>
                <w:highlight w:val="none"/>
              </w:rPr>
            </w:pPr>
            <w:r>
              <w:rPr>
                <w:color w:val="auto"/>
                <w:highlight w:val="none"/>
              </w:rPr>
              <w:t>邮政编码</w:t>
            </w:r>
          </w:p>
        </w:tc>
        <w:tc>
          <w:tcPr>
            <w:tcW w:w="1261" w:type="pct"/>
            <w:tcBorders>
              <w:top w:val="single" w:color="auto" w:sz="2" w:space="0"/>
              <w:left w:val="single" w:color="auto" w:sz="2" w:space="0"/>
              <w:bottom w:val="single" w:color="auto" w:sz="2" w:space="0"/>
            </w:tcBorders>
            <w:vAlign w:val="center"/>
          </w:tcPr>
          <w:p w14:paraId="64E45922">
            <w:pPr>
              <w:adjustRightInd w:val="0"/>
              <w:snapToGrid w:val="0"/>
              <w:spacing w:line="300" w:lineRule="exact"/>
              <w:jc w:val="center"/>
              <w:rPr>
                <w:color w:val="auto"/>
                <w:spacing w:val="20"/>
                <w:highlight w:val="none"/>
              </w:rPr>
            </w:pPr>
          </w:p>
        </w:tc>
      </w:tr>
      <w:tr w14:paraId="2CC17F4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501F18FB">
            <w:pPr>
              <w:adjustRightInd w:val="0"/>
              <w:snapToGrid w:val="0"/>
              <w:spacing w:line="300" w:lineRule="exact"/>
              <w:jc w:val="center"/>
              <w:rPr>
                <w:color w:val="auto"/>
                <w:highlight w:val="none"/>
              </w:rPr>
            </w:pPr>
            <w:r>
              <w:rPr>
                <w:rFonts w:hint="eastAsia"/>
                <w:color w:val="auto"/>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540E3E02">
            <w:pPr>
              <w:adjustRightInd w:val="0"/>
              <w:snapToGrid w:val="0"/>
              <w:spacing w:line="300" w:lineRule="exact"/>
              <w:jc w:val="center"/>
              <w:rPr>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16DB0FD">
            <w:pPr>
              <w:adjustRightInd w:val="0"/>
              <w:snapToGrid w:val="0"/>
              <w:spacing w:line="300" w:lineRule="exact"/>
              <w:jc w:val="center"/>
              <w:rPr>
                <w:color w:val="auto"/>
                <w:highlight w:val="none"/>
              </w:rPr>
            </w:pPr>
            <w:r>
              <w:rPr>
                <w:rFonts w:hint="eastAsia"/>
                <w:color w:val="auto"/>
                <w:highlight w:val="none"/>
              </w:rPr>
              <w:t>电子邮箱</w:t>
            </w:r>
          </w:p>
        </w:tc>
        <w:tc>
          <w:tcPr>
            <w:tcW w:w="1261" w:type="pct"/>
            <w:tcBorders>
              <w:top w:val="single" w:color="auto" w:sz="2" w:space="0"/>
              <w:left w:val="single" w:color="auto" w:sz="2" w:space="0"/>
              <w:bottom w:val="single" w:color="auto" w:sz="2" w:space="0"/>
            </w:tcBorders>
            <w:vAlign w:val="center"/>
          </w:tcPr>
          <w:p w14:paraId="282BA0B8">
            <w:pPr>
              <w:adjustRightInd w:val="0"/>
              <w:snapToGrid w:val="0"/>
              <w:spacing w:line="300" w:lineRule="exact"/>
              <w:jc w:val="center"/>
              <w:rPr>
                <w:color w:val="auto"/>
                <w:spacing w:val="20"/>
                <w:highlight w:val="none"/>
              </w:rPr>
            </w:pPr>
          </w:p>
        </w:tc>
      </w:tr>
      <w:tr w14:paraId="5E4CEE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163C5E66">
            <w:pPr>
              <w:adjustRightInd w:val="0"/>
              <w:snapToGrid w:val="0"/>
              <w:spacing w:line="300" w:lineRule="exact"/>
              <w:jc w:val="center"/>
              <w:rPr>
                <w:color w:val="auto"/>
                <w:highlight w:val="none"/>
              </w:rPr>
            </w:pPr>
            <w:r>
              <w:rPr>
                <w:rFonts w:hint="eastAsia"/>
                <w:color w:val="auto"/>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4FE2AD9">
            <w:pPr>
              <w:adjustRightInd w:val="0"/>
              <w:snapToGrid w:val="0"/>
              <w:spacing w:line="300" w:lineRule="exact"/>
              <w:jc w:val="center"/>
              <w:rPr>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5BE9EB9">
            <w:pPr>
              <w:adjustRightInd w:val="0"/>
              <w:snapToGrid w:val="0"/>
              <w:spacing w:line="300" w:lineRule="exact"/>
              <w:jc w:val="center"/>
              <w:rPr>
                <w:color w:val="auto"/>
                <w:highlight w:val="none"/>
              </w:rPr>
            </w:pPr>
            <w:r>
              <w:rPr>
                <w:rFonts w:hint="eastAsia"/>
                <w:color w:val="auto"/>
                <w:highlight w:val="none"/>
              </w:rPr>
              <w:t>统一社会信用代码</w:t>
            </w:r>
          </w:p>
        </w:tc>
        <w:tc>
          <w:tcPr>
            <w:tcW w:w="1261" w:type="pct"/>
            <w:tcBorders>
              <w:top w:val="single" w:color="auto" w:sz="2" w:space="0"/>
              <w:left w:val="single" w:color="auto" w:sz="2" w:space="0"/>
              <w:bottom w:val="single" w:color="auto" w:sz="2" w:space="0"/>
            </w:tcBorders>
            <w:vAlign w:val="center"/>
          </w:tcPr>
          <w:p w14:paraId="3CDBFB85">
            <w:pPr>
              <w:adjustRightInd w:val="0"/>
              <w:snapToGrid w:val="0"/>
              <w:spacing w:line="300" w:lineRule="exact"/>
              <w:jc w:val="center"/>
              <w:rPr>
                <w:color w:val="auto"/>
                <w:spacing w:val="20"/>
                <w:highlight w:val="none"/>
              </w:rPr>
            </w:pPr>
          </w:p>
        </w:tc>
      </w:tr>
      <w:tr w14:paraId="2890DF9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487099B0">
            <w:pPr>
              <w:adjustRightInd w:val="0"/>
              <w:snapToGrid w:val="0"/>
              <w:spacing w:line="300" w:lineRule="exact"/>
              <w:jc w:val="center"/>
              <w:rPr>
                <w:color w:val="auto"/>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22C4CF87">
            <w:pPr>
              <w:adjustRightInd w:val="0"/>
              <w:snapToGrid w:val="0"/>
              <w:spacing w:line="300" w:lineRule="exact"/>
              <w:jc w:val="center"/>
              <w:rPr>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35A38AB">
            <w:pPr>
              <w:adjustRightInd w:val="0"/>
              <w:snapToGrid w:val="0"/>
              <w:spacing w:line="300" w:lineRule="exact"/>
              <w:jc w:val="center"/>
              <w:rPr>
                <w:color w:val="auto"/>
                <w:highlight w:val="none"/>
              </w:rPr>
            </w:pPr>
            <w:r>
              <w:rPr>
                <w:color w:val="auto"/>
                <w:highlight w:val="none"/>
              </w:rPr>
              <w:t>开户名称</w:t>
            </w:r>
          </w:p>
        </w:tc>
        <w:tc>
          <w:tcPr>
            <w:tcW w:w="1261" w:type="pct"/>
            <w:tcBorders>
              <w:top w:val="single" w:color="auto" w:sz="2" w:space="0"/>
              <w:left w:val="single" w:color="auto" w:sz="2" w:space="0"/>
              <w:bottom w:val="single" w:color="auto" w:sz="2" w:space="0"/>
            </w:tcBorders>
            <w:vAlign w:val="center"/>
          </w:tcPr>
          <w:p w14:paraId="673CF506">
            <w:pPr>
              <w:adjustRightInd w:val="0"/>
              <w:snapToGrid w:val="0"/>
              <w:spacing w:line="300" w:lineRule="exact"/>
              <w:jc w:val="center"/>
              <w:rPr>
                <w:color w:val="auto"/>
                <w:spacing w:val="20"/>
                <w:highlight w:val="none"/>
              </w:rPr>
            </w:pPr>
          </w:p>
        </w:tc>
      </w:tr>
      <w:tr w14:paraId="127EF47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58DE79B9">
            <w:pPr>
              <w:adjustRightInd w:val="0"/>
              <w:snapToGrid w:val="0"/>
              <w:spacing w:line="300" w:lineRule="exact"/>
              <w:jc w:val="center"/>
              <w:rPr>
                <w:color w:val="auto"/>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9F08E30">
            <w:pPr>
              <w:adjustRightInd w:val="0"/>
              <w:snapToGrid w:val="0"/>
              <w:spacing w:line="300" w:lineRule="exact"/>
              <w:jc w:val="center"/>
              <w:rPr>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C8BBB6D">
            <w:pPr>
              <w:adjustRightInd w:val="0"/>
              <w:snapToGrid w:val="0"/>
              <w:spacing w:line="300" w:lineRule="exact"/>
              <w:jc w:val="center"/>
              <w:rPr>
                <w:color w:val="auto"/>
                <w:highlight w:val="none"/>
              </w:rPr>
            </w:pPr>
            <w:r>
              <w:rPr>
                <w:color w:val="auto"/>
                <w:highlight w:val="none"/>
              </w:rPr>
              <w:t>开户银行</w:t>
            </w:r>
          </w:p>
        </w:tc>
        <w:tc>
          <w:tcPr>
            <w:tcW w:w="1261" w:type="pct"/>
            <w:tcBorders>
              <w:top w:val="single" w:color="auto" w:sz="2" w:space="0"/>
              <w:left w:val="single" w:color="auto" w:sz="2" w:space="0"/>
              <w:bottom w:val="single" w:color="auto" w:sz="2" w:space="0"/>
            </w:tcBorders>
            <w:vAlign w:val="center"/>
          </w:tcPr>
          <w:p w14:paraId="27A22555">
            <w:pPr>
              <w:adjustRightInd w:val="0"/>
              <w:snapToGrid w:val="0"/>
              <w:spacing w:line="300" w:lineRule="exact"/>
              <w:jc w:val="center"/>
              <w:rPr>
                <w:color w:val="auto"/>
                <w:spacing w:val="20"/>
                <w:highlight w:val="none"/>
              </w:rPr>
            </w:pPr>
          </w:p>
        </w:tc>
      </w:tr>
      <w:tr w14:paraId="0F080F6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4" w:type="pct"/>
            <w:tcBorders>
              <w:top w:val="single" w:color="auto" w:sz="2" w:space="0"/>
              <w:bottom w:val="single" w:color="auto" w:sz="2" w:space="0"/>
              <w:right w:val="single" w:color="auto" w:sz="2" w:space="0"/>
            </w:tcBorders>
            <w:vAlign w:val="center"/>
          </w:tcPr>
          <w:p w14:paraId="2B7530C1">
            <w:pPr>
              <w:adjustRightInd w:val="0"/>
              <w:snapToGrid w:val="0"/>
              <w:spacing w:line="300" w:lineRule="exact"/>
              <w:jc w:val="center"/>
              <w:rPr>
                <w:color w:val="auto"/>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9DC2671">
            <w:pPr>
              <w:adjustRightInd w:val="0"/>
              <w:snapToGrid w:val="0"/>
              <w:spacing w:line="300" w:lineRule="exact"/>
              <w:jc w:val="center"/>
              <w:rPr>
                <w:color w:val="auto"/>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DBB9E16">
            <w:pPr>
              <w:adjustRightInd w:val="0"/>
              <w:snapToGrid w:val="0"/>
              <w:spacing w:line="300" w:lineRule="exact"/>
              <w:jc w:val="center"/>
              <w:rPr>
                <w:color w:val="auto"/>
                <w:highlight w:val="none"/>
              </w:rPr>
            </w:pPr>
            <w:r>
              <w:rPr>
                <w:color w:val="auto"/>
                <w:highlight w:val="none"/>
              </w:rPr>
              <w:t>银行账号</w:t>
            </w:r>
          </w:p>
        </w:tc>
        <w:tc>
          <w:tcPr>
            <w:tcW w:w="1261" w:type="pct"/>
            <w:tcBorders>
              <w:top w:val="single" w:color="auto" w:sz="2" w:space="0"/>
              <w:left w:val="single" w:color="auto" w:sz="2" w:space="0"/>
              <w:bottom w:val="single" w:color="auto" w:sz="2" w:space="0"/>
            </w:tcBorders>
            <w:vAlign w:val="center"/>
          </w:tcPr>
          <w:p w14:paraId="41AC6E16">
            <w:pPr>
              <w:adjustRightInd w:val="0"/>
              <w:snapToGrid w:val="0"/>
              <w:spacing w:line="300" w:lineRule="exact"/>
              <w:jc w:val="center"/>
              <w:rPr>
                <w:color w:val="auto"/>
                <w:spacing w:val="20"/>
                <w:highlight w:val="none"/>
              </w:rPr>
            </w:pPr>
          </w:p>
        </w:tc>
      </w:tr>
    </w:tbl>
    <w:p w14:paraId="43436185">
      <w:pPr>
        <w:pStyle w:val="59"/>
        <w:ind w:left="420" w:leftChars="200" w:firstLine="0" w:firstLineChars="0"/>
        <w:rPr>
          <w:rFonts w:ascii="宋体" w:hAnsi="宋体" w:cs="宋体"/>
          <w:color w:val="auto"/>
          <w:highlight w:val="none"/>
          <w:u w:val="single"/>
        </w:rPr>
        <w:sectPr>
          <w:footerReference r:id="rId7" w:type="default"/>
          <w:pgSz w:w="11906" w:h="16838"/>
          <w:pgMar w:top="1417" w:right="1417" w:bottom="1417" w:left="1417" w:header="851" w:footer="992" w:gutter="0"/>
          <w:cols w:space="425" w:num="1"/>
          <w:docGrid w:type="lines" w:linePitch="312" w:charSpace="0"/>
        </w:sectPr>
      </w:pPr>
    </w:p>
    <w:bookmarkEnd w:id="242"/>
    <w:p w14:paraId="0B00FE44">
      <w:pPr>
        <w:jc w:val="center"/>
        <w:rPr>
          <w:b/>
          <w:bCs/>
          <w:color w:val="auto"/>
          <w:sz w:val="28"/>
          <w:szCs w:val="28"/>
          <w:highlight w:val="none"/>
        </w:rPr>
      </w:pPr>
      <w:r>
        <w:rPr>
          <w:rFonts w:hint="eastAsia"/>
          <w:b/>
          <w:bCs/>
          <w:color w:val="auto"/>
          <w:sz w:val="28"/>
          <w:szCs w:val="28"/>
          <w:highlight w:val="none"/>
        </w:rPr>
        <w:t>第二节 政府采购合同通用条款</w:t>
      </w:r>
    </w:p>
    <w:p w14:paraId="40272D1A">
      <w:pPr>
        <w:tabs>
          <w:tab w:val="left" w:pos="8820"/>
          <w:tab w:val="left" w:pos="9345"/>
          <w:tab w:val="left" w:pos="9765"/>
        </w:tabs>
        <w:adjustRightInd w:val="0"/>
        <w:snapToGrid w:val="0"/>
        <w:spacing w:line="400" w:lineRule="exact"/>
        <w:jc w:val="left"/>
        <w:rPr>
          <w:rFonts w:ascii="宋体" w:hAnsi="宋体"/>
          <w:b/>
          <w:bCs/>
          <w:color w:val="auto"/>
          <w:sz w:val="24"/>
          <w:highlight w:val="none"/>
        </w:rPr>
      </w:pPr>
      <w:r>
        <w:rPr>
          <w:rFonts w:hint="eastAsia" w:ascii="宋体" w:hAnsi="宋体"/>
          <w:b/>
          <w:color w:val="auto"/>
          <w:sz w:val="24"/>
          <w:highlight w:val="none"/>
        </w:rPr>
        <w:t>1.</w:t>
      </w:r>
      <w:r>
        <w:rPr>
          <w:rFonts w:ascii="宋体" w:hAnsi="宋体"/>
          <w:b/>
          <w:color w:val="auto"/>
          <w:sz w:val="24"/>
          <w:highlight w:val="none"/>
        </w:rPr>
        <w:t xml:space="preserve"> </w:t>
      </w:r>
      <w:r>
        <w:rPr>
          <w:rFonts w:hint="eastAsia" w:ascii="宋体" w:hAnsi="宋体"/>
          <w:b/>
          <w:bCs/>
          <w:color w:val="auto"/>
          <w:sz w:val="24"/>
          <w:highlight w:val="none"/>
        </w:rPr>
        <w:t>定义</w:t>
      </w:r>
    </w:p>
    <w:p w14:paraId="39FA1357">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1.1</w:t>
      </w:r>
      <w:r>
        <w:rPr>
          <w:rFonts w:ascii="宋体" w:hAnsi="宋体"/>
          <w:color w:val="auto"/>
          <w:highlight w:val="none"/>
        </w:rPr>
        <w:t xml:space="preserve"> </w:t>
      </w:r>
      <w:r>
        <w:rPr>
          <w:rFonts w:hint="eastAsia" w:ascii="宋体" w:hAnsi="宋体"/>
          <w:color w:val="auto"/>
          <w:highlight w:val="none"/>
        </w:rPr>
        <w:t>合同当事人</w:t>
      </w:r>
    </w:p>
    <w:p w14:paraId="49C4C2BA">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（1）采购人（以下称甲方）是指使用财政性资金，通过政府采购方式向供应商购买货物及其相关服务的国家机关、事业单位、团体组织。</w:t>
      </w:r>
    </w:p>
    <w:p w14:paraId="1C6F3669">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（2）供应商（以下称乙方）是指参加政府采购活动并且中标（成交），向采购人提供合同约定的货物及其相关服务的法人、非法人组织或者自然人。</w:t>
      </w:r>
    </w:p>
    <w:p w14:paraId="71870FA4">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（3）其他合同主体是指除采购人和供应商以外，</w:t>
      </w:r>
      <w:r>
        <w:rPr>
          <w:rFonts w:hint="eastAsia" w:ascii="宋体" w:hAnsi="宋体" w:cs="宋体"/>
          <w:bCs/>
          <w:color w:val="auto"/>
          <w:highlight w:val="none"/>
        </w:rPr>
        <w:t>依法参与合同缔结或履行，享有权利、承担义务的合同当事人</w:t>
      </w:r>
      <w:r>
        <w:rPr>
          <w:rFonts w:hint="eastAsia" w:ascii="宋体" w:hAnsi="宋体"/>
          <w:color w:val="auto"/>
          <w:highlight w:val="none"/>
        </w:rPr>
        <w:t>。</w:t>
      </w:r>
    </w:p>
    <w:p w14:paraId="656FFAF1">
      <w:pPr>
        <w:tabs>
          <w:tab w:val="left" w:pos="570"/>
          <w:tab w:val="left" w:pos="9240"/>
          <w:tab w:val="left" w:pos="9555"/>
        </w:tabs>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1.2</w:t>
      </w:r>
      <w:r>
        <w:rPr>
          <w:rFonts w:ascii="宋体" w:hAnsi="宋体"/>
          <w:color w:val="auto"/>
          <w:highlight w:val="none"/>
        </w:rPr>
        <w:t xml:space="preserve"> </w:t>
      </w:r>
      <w:r>
        <w:rPr>
          <w:rFonts w:hint="eastAsia" w:ascii="宋体" w:hAnsi="宋体"/>
          <w:color w:val="auto"/>
          <w:highlight w:val="none"/>
        </w:rPr>
        <w:t>本合同下列术语应解释为：</w:t>
      </w:r>
    </w:p>
    <w:p w14:paraId="13FACCD7">
      <w:pPr>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（1）“合同”系指</w:t>
      </w:r>
      <w:r>
        <w:rPr>
          <w:rFonts w:hint="eastAsia" w:ascii="宋体" w:hAnsi="宋体" w:cs="宋体"/>
          <w:bCs/>
          <w:color w:val="auto"/>
          <w:highlight w:val="none"/>
        </w:rPr>
        <w:t>合同当事人意思表示达成一致的任何协议，包括签署的</w:t>
      </w:r>
      <w:r>
        <w:rPr>
          <w:rFonts w:hint="eastAsia" w:ascii="宋体" w:hAnsi="宋体"/>
          <w:color w:val="auto"/>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highlight w:val="none"/>
        </w:rPr>
        <w:t>国家法律、行政法规和规章制度规定或合同约定的作为合同组成部分的其他文件</w:t>
      </w:r>
      <w:r>
        <w:rPr>
          <w:rFonts w:hint="eastAsia" w:ascii="宋体" w:hAnsi="宋体"/>
          <w:color w:val="auto"/>
          <w:highlight w:val="none"/>
        </w:rPr>
        <w:t>。</w:t>
      </w:r>
    </w:p>
    <w:p w14:paraId="17910D0E">
      <w:pPr>
        <w:tabs>
          <w:tab w:val="left" w:pos="570"/>
          <w:tab w:val="left" w:pos="9240"/>
          <w:tab w:val="left" w:pos="9555"/>
        </w:tabs>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（2）“合同价款”系指根据本合同规定乙方在全面履行合同义务后甲方应支付给乙方的价款。</w:t>
      </w:r>
    </w:p>
    <w:p w14:paraId="32AE875C">
      <w:pPr>
        <w:tabs>
          <w:tab w:val="left" w:pos="570"/>
          <w:tab w:val="left" w:pos="9240"/>
          <w:tab w:val="left" w:pos="9555"/>
        </w:tabs>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（3）“货物”系指乙方根据本合同规定须向甲方提供的各种形态和种类的物品，包括原材料、设备、产品（包括软件）及相关的其备品备件、工具、手册及</w:t>
      </w:r>
      <w:r>
        <w:rPr>
          <w:rFonts w:ascii="宋体" w:hAnsi="宋体"/>
          <w:color w:val="auto"/>
          <w:highlight w:val="none"/>
          <w:lang w:val="en"/>
        </w:rPr>
        <w:t>其他</w:t>
      </w:r>
      <w:r>
        <w:rPr>
          <w:rFonts w:hint="eastAsia" w:ascii="宋体" w:hAnsi="宋体"/>
          <w:color w:val="auto"/>
          <w:highlight w:val="none"/>
        </w:rPr>
        <w:t>技术资料和材料等。</w:t>
      </w:r>
    </w:p>
    <w:p w14:paraId="6C8BB3E1">
      <w:pPr>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（4）“相关服务”系指根据合同规定，乙方应提供的与货物有关的技术、管理和</w:t>
      </w:r>
      <w:r>
        <w:rPr>
          <w:rFonts w:ascii="宋体" w:hAnsi="宋体"/>
          <w:color w:val="auto"/>
          <w:highlight w:val="none"/>
          <w:lang w:val="en"/>
        </w:rPr>
        <w:t>其他</w:t>
      </w:r>
      <w:r>
        <w:rPr>
          <w:rFonts w:hint="eastAsia" w:ascii="宋体" w:hAnsi="宋体"/>
          <w:color w:val="auto"/>
          <w:highlight w:val="none"/>
        </w:rPr>
        <w:t>服务，包括但不限于：管理和质量保证、运输、保险、检验、现场准备、安装、集成、调试、培训、维修、废弃处置、技术支持等以及合同中规定乙方应承担的</w:t>
      </w:r>
      <w:r>
        <w:rPr>
          <w:rFonts w:ascii="宋体" w:hAnsi="宋体"/>
          <w:color w:val="auto"/>
          <w:highlight w:val="none"/>
          <w:lang w:val="en"/>
        </w:rPr>
        <w:t>其他</w:t>
      </w:r>
      <w:r>
        <w:rPr>
          <w:rFonts w:hint="eastAsia" w:ascii="宋体" w:hAnsi="宋体"/>
          <w:color w:val="auto"/>
          <w:highlight w:val="none"/>
        </w:rPr>
        <w:t>义务。</w:t>
      </w:r>
    </w:p>
    <w:p w14:paraId="4680A850">
      <w:pPr>
        <w:numPr>
          <w:ilvl w:val="0"/>
          <w:numId w:val="7"/>
        </w:num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color w:val="auto"/>
          <w:sz w:val="24"/>
          <w:highlight w:val="none"/>
        </w:rPr>
        <w:t>合同标的及金额</w:t>
      </w:r>
    </w:p>
    <w:p w14:paraId="50C5DC5A">
      <w:pPr>
        <w:adjustRightInd w:val="0"/>
        <w:snapToGrid w:val="0"/>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2.1 合同标的及金额应与中标（成交）结果一致。乙方为履行本合同而发生的所有费用均应包含在合同价款中，甲方不再另行支付</w:t>
      </w:r>
      <w:r>
        <w:rPr>
          <w:rFonts w:ascii="宋体" w:hAnsi="宋体" w:cs="宋体"/>
          <w:color w:val="auto"/>
          <w:highlight w:val="none"/>
          <w:lang w:val="en"/>
        </w:rPr>
        <w:t>其他</w:t>
      </w:r>
      <w:r>
        <w:rPr>
          <w:rFonts w:hint="eastAsia" w:ascii="宋体" w:hAnsi="宋体" w:cs="宋体"/>
          <w:color w:val="auto"/>
          <w:highlight w:val="none"/>
        </w:rPr>
        <w:t>任何费用。</w:t>
      </w:r>
    </w:p>
    <w:p w14:paraId="51A359FC">
      <w:pPr>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3. 履行合同的时间、地点和方式</w:t>
      </w:r>
    </w:p>
    <w:p w14:paraId="02C00AF7">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 xml:space="preserve">3.1 </w:t>
      </w:r>
      <w:r>
        <w:rPr>
          <w:rFonts w:hint="eastAsia" w:ascii="宋体" w:hAnsi="宋体" w:cs="宋体"/>
          <w:color w:val="auto"/>
          <w:highlight w:val="none"/>
        </w:rPr>
        <w:t>乙方应当在约定的时间、地点，按照约定方式履行合同。</w:t>
      </w:r>
    </w:p>
    <w:p w14:paraId="1C716738">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4. 甲方的权利和义务</w:t>
      </w:r>
    </w:p>
    <w:p w14:paraId="45919FBE">
      <w:pPr>
        <w:adjustRightInd w:val="0"/>
        <w:snapToGrid w:val="0"/>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7EAA290A">
      <w:pPr>
        <w:adjustRightInd w:val="0"/>
        <w:snapToGrid w:val="0"/>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4.2 甲方有权要求乙方按时提交各阶段有关安排计划，并有权定期核对乙方提供货物数量、规格、质量等内容。甲方有权督促乙方工作并要求乙方更换不符合要求的货物。</w:t>
      </w:r>
    </w:p>
    <w:p w14:paraId="60F56FD9">
      <w:pPr>
        <w:adjustRightInd w:val="0"/>
        <w:snapToGrid w:val="0"/>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4.3 甲方有权要求乙方对缺陷部分予以修复，并按合同约定享有货物保修及其他合同约定的权利。</w:t>
      </w:r>
    </w:p>
    <w:p w14:paraId="42D0C48E">
      <w:pPr>
        <w:snapToGrid w:val="0"/>
        <w:spacing w:line="400" w:lineRule="exact"/>
        <w:ind w:firstLine="420" w:firstLineChars="200"/>
        <w:rPr>
          <w:rFonts w:eastAsia="华文楷体"/>
          <w:color w:val="auto"/>
          <w:highlight w:val="none"/>
        </w:rPr>
      </w:pPr>
      <w:r>
        <w:rPr>
          <w:rFonts w:ascii="宋体" w:hAnsi="宋体"/>
          <w:color w:val="auto"/>
          <w:highlight w:val="none"/>
        </w:rPr>
        <w:t>4.4 甲方应当按照合同约定及时对交付的货物进行验收</w:t>
      </w:r>
      <w:r>
        <w:rPr>
          <w:rFonts w:hint="eastAsia" w:ascii="宋体" w:hAnsi="宋体"/>
          <w:color w:val="auto"/>
          <w:highlight w:val="none"/>
        </w:rPr>
        <w:t>，</w:t>
      </w:r>
      <w:r>
        <w:rPr>
          <w:rFonts w:hint="eastAsia" w:ascii="宋体" w:hAnsi="宋体" w:cs="宋体"/>
          <w:color w:val="auto"/>
          <w:highlight w:val="none"/>
        </w:rPr>
        <w:t>未</w:t>
      </w:r>
      <w:r>
        <w:rPr>
          <w:rFonts w:hint="eastAsia" w:ascii="宋体" w:hAnsi="宋体"/>
          <w:color w:val="auto"/>
          <w:highlight w:val="none"/>
        </w:rPr>
        <w:t>在</w:t>
      </w:r>
      <w:r>
        <w:rPr>
          <w:rFonts w:hint="eastAsia" w:ascii="宋体" w:hAnsi="宋体" w:cs="宋体"/>
          <w:b/>
          <w:bCs/>
          <w:color w:val="auto"/>
          <w:highlight w:val="none"/>
        </w:rPr>
        <w:t>【政府采购合同专用条款】</w:t>
      </w:r>
      <w:r>
        <w:rPr>
          <w:rFonts w:hint="eastAsia" w:ascii="宋体" w:hAnsi="宋体" w:cs="宋体"/>
          <w:color w:val="auto"/>
          <w:highlight w:val="none"/>
        </w:rPr>
        <w:t>约定的期限内对乙方履约提出任何异议或者向乙方作出任何说明的，</w:t>
      </w:r>
      <w:r>
        <w:rPr>
          <w:rFonts w:hint="eastAsia" w:ascii="宋体" w:hAnsi="宋体"/>
          <w:color w:val="auto"/>
          <w:highlight w:val="none"/>
        </w:rPr>
        <w:t>视为验收通过。</w:t>
      </w:r>
    </w:p>
    <w:p w14:paraId="5E114491">
      <w:pPr>
        <w:autoSpaceDE w:val="0"/>
        <w:autoSpaceDN w:val="0"/>
        <w:adjustRightInd w:val="0"/>
        <w:snapToGrid w:val="0"/>
        <w:spacing w:line="400" w:lineRule="exact"/>
        <w:ind w:firstLine="420" w:firstLineChars="200"/>
        <w:jc w:val="lef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 xml:space="preserve">5 </w:t>
      </w:r>
      <w:r>
        <w:rPr>
          <w:rFonts w:hint="eastAsia" w:ascii="宋体" w:hAnsi="宋体"/>
          <w:color w:val="auto"/>
          <w:highlight w:val="none"/>
        </w:rPr>
        <w:t>甲方应当根据合同约定及时向乙方支付合同价款</w:t>
      </w:r>
      <w:r>
        <w:rPr>
          <w:rFonts w:ascii="宋体" w:hAnsi="宋体"/>
          <w:color w:val="auto"/>
          <w:highlight w:val="none"/>
        </w:rPr>
        <w:t>，不得以内部人员变更、履行内部付款流程等为由，拒绝或迟延支付。</w:t>
      </w:r>
    </w:p>
    <w:p w14:paraId="5780455E">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4.6</w:t>
      </w:r>
      <w:r>
        <w:rPr>
          <w:rFonts w:ascii="宋体" w:hAnsi="宋体"/>
          <w:color w:val="auto"/>
          <w:highlight w:val="none"/>
        </w:rPr>
        <w:t xml:space="preserve"> </w:t>
      </w:r>
      <w:r>
        <w:rPr>
          <w:rFonts w:hint="eastAsia" w:ascii="宋体" w:hAnsi="宋体"/>
          <w:color w:val="auto"/>
          <w:highlight w:val="none"/>
        </w:rPr>
        <w:t>国家法律法规规定及</w:t>
      </w:r>
      <w:r>
        <w:rPr>
          <w:rFonts w:hint="eastAsia" w:ascii="宋体" w:hAnsi="宋体" w:cs="宋体"/>
          <w:b/>
          <w:bCs/>
          <w:color w:val="auto"/>
          <w:highlight w:val="none"/>
        </w:rPr>
        <w:t>【政府采购合同专用条款】</w:t>
      </w:r>
      <w:r>
        <w:rPr>
          <w:rFonts w:hint="eastAsia" w:ascii="宋体" w:hAnsi="宋体"/>
          <w:color w:val="auto"/>
          <w:highlight w:val="none"/>
        </w:rPr>
        <w:t>约定应由甲方承担的其他义务和责任。</w:t>
      </w:r>
    </w:p>
    <w:p w14:paraId="6EF2070E">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5. 乙方的权利和义务</w:t>
      </w:r>
    </w:p>
    <w:p w14:paraId="5605911B">
      <w:pPr>
        <w:adjustRightInd w:val="0"/>
        <w:snapToGrid w:val="0"/>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5.1 签署合同后，乙方应确定项目负责人（或项目联系人），负责与本合同有关的事务。</w:t>
      </w:r>
    </w:p>
    <w:p w14:paraId="2E9C9DBD">
      <w:pPr>
        <w:adjustRightInd w:val="0"/>
        <w:snapToGrid w:val="0"/>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95C28D6">
      <w:pPr>
        <w:adjustRightInd w:val="0"/>
        <w:snapToGrid w:val="0"/>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5.3乙方有权根据合同约定向甲方收取合同价款。</w:t>
      </w:r>
    </w:p>
    <w:p w14:paraId="6F977706">
      <w:pPr>
        <w:adjustRightInd w:val="0"/>
        <w:snapToGrid w:val="0"/>
        <w:spacing w:line="400" w:lineRule="exact"/>
        <w:ind w:firstLine="420" w:firstLineChars="200"/>
        <w:jc w:val="left"/>
        <w:rPr>
          <w:rFonts w:ascii="宋体" w:hAnsi="宋体" w:cs="宋体"/>
          <w:color w:val="auto"/>
          <w:highlight w:val="none"/>
        </w:rPr>
      </w:pPr>
      <w:r>
        <w:rPr>
          <w:rFonts w:hint="eastAsia" w:ascii="宋体" w:hAnsi="宋体" w:cs="宋体"/>
          <w:color w:val="auto"/>
          <w:highlight w:val="none"/>
        </w:rPr>
        <w:t>5.4国家法律法规规定及</w:t>
      </w:r>
      <w:r>
        <w:rPr>
          <w:rFonts w:hint="eastAsia" w:ascii="宋体" w:hAnsi="宋体" w:cs="宋体"/>
          <w:b/>
          <w:bCs/>
          <w:color w:val="auto"/>
          <w:highlight w:val="none"/>
        </w:rPr>
        <w:t>【政府采购合同专用条款】</w:t>
      </w:r>
      <w:r>
        <w:rPr>
          <w:rFonts w:hint="eastAsia" w:ascii="宋体" w:hAnsi="宋体" w:cs="宋体"/>
          <w:color w:val="auto"/>
          <w:highlight w:val="none"/>
        </w:rPr>
        <w:t>约定应由乙方承担的其他义务和责任。</w:t>
      </w:r>
    </w:p>
    <w:p w14:paraId="20BE26DB">
      <w:pPr>
        <w:numPr>
          <w:ilvl w:val="0"/>
          <w:numId w:val="8"/>
        </w:num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合同履行</w:t>
      </w:r>
    </w:p>
    <w:p w14:paraId="39E554D5">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6.1 甲乙双方应当按照</w:t>
      </w:r>
      <w:r>
        <w:rPr>
          <w:rFonts w:hint="eastAsia" w:ascii="宋体" w:hAnsi="宋体" w:cs="宋体"/>
          <w:b/>
          <w:bCs/>
          <w:color w:val="auto"/>
          <w:highlight w:val="none"/>
        </w:rPr>
        <w:t>【政府采购合同专用条款】</w:t>
      </w:r>
      <w:r>
        <w:rPr>
          <w:rFonts w:hint="eastAsia" w:ascii="宋体" w:hAnsi="宋体"/>
          <w:color w:val="auto"/>
          <w:highlight w:val="none"/>
        </w:rPr>
        <w:t>约定顺序履行合同义务；如果没有先后顺序的，应当同时履行。</w:t>
      </w:r>
    </w:p>
    <w:p w14:paraId="2DF44ED7">
      <w:pPr>
        <w:autoSpaceDE w:val="0"/>
        <w:autoSpaceDN w:val="0"/>
        <w:adjustRightInd w:val="0"/>
        <w:snapToGrid w:val="0"/>
        <w:spacing w:line="400" w:lineRule="exact"/>
        <w:ind w:firstLine="420" w:firstLineChars="200"/>
        <w:jc w:val="left"/>
        <w:rPr>
          <w:color w:val="auto"/>
          <w:highlight w:val="none"/>
        </w:rPr>
      </w:pPr>
      <w:r>
        <w:rPr>
          <w:rFonts w:hint="eastAsia" w:ascii="宋体" w:hAnsi="宋体"/>
          <w:color w:val="auto"/>
          <w:highlight w:val="none"/>
        </w:rPr>
        <w:t>6.2 甲乙双方按照合同约定顺序履行合同义务时，应当先履行一方未履行的，后履行一方有权拒绝其履行请求。先履行一方履行不符合约定的，后履行一方有权拒绝其相应的履行请求。</w:t>
      </w:r>
    </w:p>
    <w:p w14:paraId="10815152">
      <w:p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14:paraId="4C1967A4">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7.1 本合同</w:t>
      </w:r>
      <w:r>
        <w:rPr>
          <w:rFonts w:hint="eastAsia" w:ascii="宋体" w:hAnsi="宋体"/>
          <w:bCs/>
          <w:color w:val="auto"/>
          <w:highlight w:val="none"/>
        </w:rPr>
        <w:t>涉及商品包装、快递包装的，</w:t>
      </w:r>
      <w:r>
        <w:rPr>
          <w:rFonts w:hint="eastAsia" w:ascii="宋体" w:hAnsi="宋体"/>
          <w:color w:val="auto"/>
          <w:highlight w:val="none"/>
        </w:rPr>
        <w:t>除</w:t>
      </w:r>
      <w:r>
        <w:rPr>
          <w:rFonts w:hint="eastAsia" w:ascii="宋体" w:hAnsi="宋体"/>
          <w:b/>
          <w:color w:val="auto"/>
          <w:highlight w:val="none"/>
        </w:rPr>
        <w:t>【政府采购合同专用条款】</w:t>
      </w:r>
      <w:r>
        <w:rPr>
          <w:rFonts w:hint="eastAsia" w:ascii="宋体" w:hAnsi="宋体"/>
          <w:bCs/>
          <w:color w:val="auto"/>
          <w:highlight w:val="none"/>
        </w:rPr>
        <w:t>另有约定外，</w:t>
      </w:r>
      <w:r>
        <w:rPr>
          <w:rFonts w:hint="eastAsia" w:ascii="宋体" w:hAnsi="宋体"/>
          <w:color w:val="auto"/>
          <w:highlight w:val="none"/>
        </w:rPr>
        <w:t>包装应适应远距离运输、防潮、防震、防锈和防野蛮装卸等要求，确保货物安全无损地运抵</w:t>
      </w:r>
      <w:r>
        <w:rPr>
          <w:rFonts w:hint="eastAsia" w:ascii="宋体" w:hAnsi="宋体"/>
          <w:b/>
          <w:color w:val="auto"/>
          <w:highlight w:val="none"/>
        </w:rPr>
        <w:t>【政府采购合同专用条款】</w:t>
      </w:r>
      <w:r>
        <w:rPr>
          <w:rFonts w:hint="eastAsia" w:ascii="宋体" w:hAnsi="宋体"/>
          <w:bCs/>
          <w:color w:val="auto"/>
          <w:highlight w:val="none"/>
        </w:rPr>
        <w:t>约定的</w:t>
      </w:r>
      <w:r>
        <w:rPr>
          <w:rFonts w:hint="eastAsia" w:ascii="宋体" w:hAnsi="宋体"/>
          <w:color w:val="auto"/>
          <w:highlight w:val="none"/>
        </w:rPr>
        <w:t>指定现场。</w:t>
      </w:r>
    </w:p>
    <w:p w14:paraId="05A9E8E8">
      <w:pPr>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7.2 除</w:t>
      </w:r>
      <w:r>
        <w:rPr>
          <w:rFonts w:hint="eastAsia" w:ascii="宋体" w:hAnsi="宋体"/>
          <w:b/>
          <w:color w:val="auto"/>
          <w:highlight w:val="none"/>
        </w:rPr>
        <w:t>【政府采购合同专用条款】</w:t>
      </w:r>
      <w:r>
        <w:rPr>
          <w:rFonts w:hint="eastAsia" w:ascii="宋体" w:hAnsi="宋体"/>
          <w:bCs/>
          <w:color w:val="auto"/>
          <w:highlight w:val="none"/>
        </w:rPr>
        <w:t>另有约定外，</w:t>
      </w:r>
      <w:r>
        <w:rPr>
          <w:rFonts w:hint="eastAsia" w:ascii="宋体" w:hAnsi="宋体"/>
          <w:color w:val="auto"/>
          <w:highlight w:val="none"/>
        </w:rPr>
        <w:t>乙方负责办理将货物运抵本合同规定的交货地点，并装卸、交付至甲方的一切运输事项，相关费用应包含在合同价款中。</w:t>
      </w:r>
    </w:p>
    <w:p w14:paraId="6258B617">
      <w:pPr>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7.3 货物保险要求按</w:t>
      </w:r>
      <w:r>
        <w:rPr>
          <w:rFonts w:hint="eastAsia" w:ascii="宋体" w:hAnsi="宋体"/>
          <w:b/>
          <w:color w:val="auto"/>
          <w:highlight w:val="none"/>
        </w:rPr>
        <w:t>【政府采购合同专用条款】</w:t>
      </w:r>
      <w:r>
        <w:rPr>
          <w:rFonts w:hint="eastAsia" w:ascii="宋体" w:hAnsi="宋体"/>
          <w:bCs/>
          <w:color w:val="auto"/>
          <w:highlight w:val="none"/>
        </w:rPr>
        <w:t>规定执行</w:t>
      </w:r>
      <w:r>
        <w:rPr>
          <w:rFonts w:hint="eastAsia" w:ascii="宋体" w:hAnsi="宋体"/>
          <w:color w:val="auto"/>
          <w:highlight w:val="none"/>
        </w:rPr>
        <w:t>。</w:t>
      </w:r>
    </w:p>
    <w:p w14:paraId="004E77D6">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5D57FA4C">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 xml:space="preserve">7.5 </w:t>
      </w:r>
      <w:r>
        <w:rPr>
          <w:rFonts w:hint="eastAsia" w:ascii="宋体" w:hAnsi="宋体" w:cs="宋体"/>
          <w:color w:val="auto"/>
          <w:highlight w:val="none"/>
        </w:rPr>
        <w:t>乙方在运输到达之前应提前通知甲方，并提示货物运输装卸的注意事项，甲方配合乙方做好货物的接收工作。</w:t>
      </w:r>
    </w:p>
    <w:p w14:paraId="132A203D">
      <w:pPr>
        <w:pStyle w:val="59"/>
        <w:ind w:firstLine="420"/>
        <w:rPr>
          <w:color w:val="auto"/>
          <w:sz w:val="21"/>
          <w:highlight w:val="none"/>
        </w:rPr>
      </w:pPr>
      <w:r>
        <w:rPr>
          <w:rFonts w:hint="eastAsia" w:ascii="宋体" w:hAnsi="宋体" w:eastAsia="宋体" w:cs="Times New Roman"/>
          <w:color w:val="auto"/>
          <w:kern w:val="2"/>
          <w:sz w:val="21"/>
          <w:highlight w:val="none"/>
        </w:rPr>
        <w:t>7.6 如因包装、运输问题导致货物损毁、丢失或者品质下降，甲方有权要求降价、换货、拒收部分或整批货物，由此产生的费用和损失，均由乙方承担。</w:t>
      </w:r>
    </w:p>
    <w:p w14:paraId="522371DE">
      <w:pPr>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8. 质量标准和保证</w:t>
      </w:r>
    </w:p>
    <w:p w14:paraId="34D423D9">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8.1 质量标准</w:t>
      </w:r>
    </w:p>
    <w:p w14:paraId="496FF946">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7BACA2B">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（2）采用中华人民共和国法定计量单位。</w:t>
      </w:r>
    </w:p>
    <w:p w14:paraId="03EAC85D">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（3）乙方所提供的货物应符合国家有关安全、环保、卫生的规定。</w:t>
      </w:r>
    </w:p>
    <w:p w14:paraId="61154B1C">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（4）乙方应向甲方提交所提供货物的技术文件，包括相应的中文技术文件，如：产品目录、图纸、操作手册、使用说明、维护手册或服务指南等。上述文件应包装好随货物一同发运。</w:t>
      </w:r>
    </w:p>
    <w:p w14:paraId="08EF5B46">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8.2 保证</w:t>
      </w:r>
    </w:p>
    <w:p w14:paraId="618D47B2">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b/>
          <w:bCs/>
          <w:color w:val="auto"/>
          <w:highlight w:val="none"/>
        </w:rPr>
        <w:t>【政府采购合同专用条款】</w:t>
      </w:r>
      <w:r>
        <w:rPr>
          <w:rFonts w:hint="eastAsia" w:ascii="宋体" w:hAnsi="宋体"/>
          <w:color w:val="auto"/>
          <w:highlight w:val="none"/>
        </w:rPr>
        <w:t>规定或乙方书面承诺（两者以较长的为准）的质量保证期内，本保证保持有效。</w:t>
      </w:r>
    </w:p>
    <w:p w14:paraId="04046B82">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（2）在质量保证期内所发现的缺陷，甲方应尽快以书面形式通知乙方。</w:t>
      </w:r>
    </w:p>
    <w:p w14:paraId="389D06A9">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（3）乙方收到通知后，应在</w:t>
      </w:r>
      <w:r>
        <w:rPr>
          <w:rFonts w:hint="eastAsia" w:ascii="宋体" w:hAnsi="宋体"/>
          <w:b/>
          <w:color w:val="auto"/>
          <w:highlight w:val="none"/>
        </w:rPr>
        <w:t>【政府采购合同专用条款】</w:t>
      </w:r>
      <w:r>
        <w:rPr>
          <w:rFonts w:hint="eastAsia" w:ascii="宋体" w:hAnsi="宋体"/>
          <w:color w:val="auto"/>
          <w:highlight w:val="none"/>
        </w:rPr>
        <w:t>规定的响应时间内以合理的速度免费维修或更换有缺陷的货物或部件。</w:t>
      </w:r>
    </w:p>
    <w:p w14:paraId="7B155037">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（4）在质量保证期内，如果货物的质量或规格与合同不符，或证实货物是有缺陷的，包括潜在的缺陷或使用不符合要求的材料等，甲方可以追究乙方的违约责任。</w:t>
      </w:r>
    </w:p>
    <w:p w14:paraId="7BB3517A">
      <w:pPr>
        <w:adjustRightInd w:val="0"/>
        <w:snapToGrid w:val="0"/>
        <w:spacing w:line="400" w:lineRule="exact"/>
        <w:ind w:firstLine="420" w:firstLineChars="200"/>
        <w:jc w:val="left"/>
        <w:rPr>
          <w:color w:val="auto"/>
          <w:highlight w:val="none"/>
        </w:rPr>
      </w:pPr>
      <w:r>
        <w:rPr>
          <w:rFonts w:hint="eastAsia" w:ascii="宋体" w:hAnsi="宋体"/>
          <w:color w:val="auto"/>
          <w:highlight w:val="none"/>
        </w:rPr>
        <w:t>（5）乙方在约定的时间内未能弥补缺陷，甲方可采取必要的补救措施，但其风险和费用将由乙方承担，甲方根据合同约定对乙方行使的其他权利不受影响。</w:t>
      </w:r>
    </w:p>
    <w:p w14:paraId="2949AD22">
      <w:p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9. 权利瑕疵担保</w:t>
      </w:r>
    </w:p>
    <w:p w14:paraId="0A83B5EA">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9.1 乙方保证对其出售的货物享有合法的权利。</w:t>
      </w:r>
    </w:p>
    <w:p w14:paraId="79E68D33">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 xml:space="preserve">9.2 </w:t>
      </w:r>
      <w:r>
        <w:rPr>
          <w:rFonts w:hint="eastAsia" w:ascii="宋体" w:hAnsi="宋体" w:cs="宋体"/>
          <w:color w:val="auto"/>
          <w:szCs w:val="15"/>
          <w:highlight w:val="none"/>
        </w:rPr>
        <w:t>乙方保证在交付的货物上不存在抵押权等担保物权。</w:t>
      </w:r>
    </w:p>
    <w:p w14:paraId="1CC3CA67">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9.3 如甲方使用上述货物构成对第三人侵权的，则由乙方承担全部责任。</w:t>
      </w:r>
    </w:p>
    <w:p w14:paraId="1E38820C">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10. 知识产权保护</w:t>
      </w:r>
    </w:p>
    <w:p w14:paraId="78E1DBC6">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10.1 乙方对其所销售的货物应当享有知识产权或经权利人合法授权，保证没有侵犯任何第三人的知识产权等权利。</w:t>
      </w:r>
      <w:bookmarkStart w:id="243" w:name="_Hlk163047038"/>
      <w:r>
        <w:rPr>
          <w:rFonts w:hint="eastAsia" w:ascii="宋体" w:hAnsi="宋体" w:cs="宋体"/>
          <w:color w:val="auto"/>
          <w:szCs w:val="15"/>
          <w:highlight w:val="none"/>
        </w:rPr>
        <w:t>因违反前述约定对第三人构成侵权的，应当由乙方向第三人承担法律责任；甲方依法向第三人赔偿后，有权向乙方追偿。甲方有其他损失的，乙方应当赔偿</w:t>
      </w:r>
      <w:bookmarkEnd w:id="243"/>
      <w:r>
        <w:rPr>
          <w:rFonts w:hint="eastAsia" w:ascii="宋体" w:hAnsi="宋体"/>
          <w:color w:val="auto"/>
          <w:highlight w:val="none"/>
        </w:rPr>
        <w:t>。</w:t>
      </w:r>
    </w:p>
    <w:p w14:paraId="0BB93DD5">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11. 保密义务</w:t>
      </w:r>
    </w:p>
    <w:p w14:paraId="5C85D471">
      <w:pPr>
        <w:autoSpaceDE w:val="0"/>
        <w:autoSpaceDN w:val="0"/>
        <w:adjustRightInd w:val="0"/>
        <w:snapToGrid w:val="0"/>
        <w:spacing w:line="400" w:lineRule="exact"/>
        <w:ind w:firstLine="420" w:firstLineChars="200"/>
        <w:jc w:val="left"/>
        <w:rPr>
          <w:rFonts w:ascii="宋体" w:hAnsi="宋体" w:cs="宋体"/>
          <w:color w:val="auto"/>
          <w:szCs w:val="15"/>
          <w:highlight w:val="none"/>
        </w:rPr>
      </w:pPr>
      <w:r>
        <w:rPr>
          <w:rFonts w:hint="eastAsia" w:ascii="宋体" w:hAnsi="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14:paraId="1533D882">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12. 合同价款支付</w:t>
      </w:r>
    </w:p>
    <w:p w14:paraId="0105A475">
      <w:pPr>
        <w:autoSpaceDE w:val="0"/>
        <w:autoSpaceDN w:val="0"/>
        <w:adjustRightInd w:val="0"/>
        <w:snapToGrid w:val="0"/>
        <w:spacing w:line="400" w:lineRule="exact"/>
        <w:ind w:firstLine="420" w:firstLineChars="200"/>
        <w:jc w:val="left"/>
        <w:rPr>
          <w:rFonts w:ascii="宋体" w:hAnsi="宋体" w:cs="宋体"/>
          <w:color w:val="auto"/>
          <w:szCs w:val="15"/>
          <w:highlight w:val="none"/>
        </w:rPr>
      </w:pPr>
      <w:r>
        <w:rPr>
          <w:rFonts w:hint="eastAsia" w:ascii="宋体" w:hAnsi="宋体" w:cs="宋体"/>
          <w:color w:val="auto"/>
          <w:szCs w:val="15"/>
          <w:highlight w:val="none"/>
        </w:rPr>
        <w:t>12.1 合同价款支付按照国库集中支付制度及财政管理相关规定执行。</w:t>
      </w:r>
    </w:p>
    <w:p w14:paraId="5082DCF1">
      <w:pPr>
        <w:autoSpaceDE w:val="0"/>
        <w:autoSpaceDN w:val="0"/>
        <w:adjustRightInd w:val="0"/>
        <w:snapToGrid w:val="0"/>
        <w:spacing w:line="400" w:lineRule="exact"/>
        <w:ind w:firstLine="420" w:firstLineChars="200"/>
        <w:jc w:val="left"/>
        <w:rPr>
          <w:rFonts w:ascii="宋体" w:hAnsi="宋体" w:cs="宋体"/>
          <w:color w:val="auto"/>
          <w:szCs w:val="15"/>
          <w:highlight w:val="none"/>
        </w:rPr>
      </w:pPr>
      <w:r>
        <w:rPr>
          <w:rFonts w:hint="eastAsia" w:ascii="宋体" w:hAnsi="宋体" w:cs="宋体"/>
          <w:color w:val="auto"/>
          <w:szCs w:val="15"/>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14:paraId="4762EB7C">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13. 履约保证金</w:t>
      </w:r>
    </w:p>
    <w:p w14:paraId="38F0C27F">
      <w:pPr>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 xml:space="preserve">13.1 </w:t>
      </w:r>
      <w:r>
        <w:rPr>
          <w:rFonts w:hint="eastAsia" w:ascii="宋体" w:hAnsi="宋体" w:cs="宋体"/>
          <w:color w:val="auto"/>
          <w:szCs w:val="15"/>
          <w:highlight w:val="none"/>
        </w:rPr>
        <w:t>乙方应当以支票、汇票、本票或者金融机构、担保机构出具的保函等非现金形式提交。</w:t>
      </w:r>
    </w:p>
    <w:p w14:paraId="076262CC">
      <w:pPr>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13.2 如果乙方出现</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约定情形的</w:t>
      </w:r>
      <w:r>
        <w:rPr>
          <w:rFonts w:hint="eastAsia" w:ascii="宋体" w:hAnsi="宋体"/>
          <w:color w:val="auto"/>
          <w:highlight w:val="none"/>
        </w:rPr>
        <w:t>，履约保证金不予退还；如果乙方未能按合同约定全面履行义务，甲方有权从履约保证金中取得补偿或赔偿，且不影响甲方要求乙方承担合同约定的超过履约保证金的违约责任的权利。</w:t>
      </w:r>
    </w:p>
    <w:p w14:paraId="6474EBB9">
      <w:pPr>
        <w:spacing w:line="400" w:lineRule="exact"/>
        <w:ind w:firstLine="420"/>
        <w:rPr>
          <w:color w:val="auto"/>
          <w:highlight w:val="none"/>
        </w:rPr>
      </w:pPr>
      <w:r>
        <w:rPr>
          <w:rFonts w:hint="eastAsia" w:ascii="宋体" w:hAnsi="宋体"/>
          <w:color w:val="auto"/>
          <w:highlight w:val="none"/>
        </w:rPr>
        <w:t>13.3 甲方在项目通过验收后按照</w:t>
      </w:r>
      <w:r>
        <w:rPr>
          <w:rFonts w:hint="eastAsia" w:ascii="宋体" w:hAnsi="宋体"/>
          <w:b/>
          <w:color w:val="auto"/>
          <w:highlight w:val="none"/>
        </w:rPr>
        <w:t>【政府采购合同专用条款】</w:t>
      </w:r>
      <w:r>
        <w:rPr>
          <w:rFonts w:hint="eastAsia" w:ascii="宋体" w:hAnsi="宋体"/>
          <w:color w:val="auto"/>
          <w:highlight w:val="none"/>
        </w:rPr>
        <w:t>规定的时间内将履约保证金退还乙方。</w:t>
      </w:r>
    </w:p>
    <w:p w14:paraId="7483FA36">
      <w:p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bCs/>
          <w:color w:val="auto"/>
          <w:sz w:val="24"/>
          <w:highlight w:val="none"/>
        </w:rPr>
        <w:t xml:space="preserve">14. </w:t>
      </w:r>
      <w:r>
        <w:rPr>
          <w:rFonts w:hint="eastAsia"/>
          <w:b/>
          <w:color w:val="auto"/>
          <w:sz w:val="24"/>
          <w:highlight w:val="none"/>
        </w:rPr>
        <w:t>售后</w:t>
      </w:r>
      <w:r>
        <w:rPr>
          <w:rFonts w:hint="eastAsia" w:ascii="宋体" w:hAnsi="宋体"/>
          <w:b/>
          <w:color w:val="auto"/>
          <w:sz w:val="24"/>
          <w:highlight w:val="none"/>
        </w:rPr>
        <w:t>服务</w:t>
      </w:r>
    </w:p>
    <w:p w14:paraId="0622D9F0">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14.1 除项目不涉及或采购活动中明确约定无须承担外，乙方还应提供下列服务：</w:t>
      </w:r>
    </w:p>
    <w:p w14:paraId="020F8A75">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（1）货物的现场移动、安装、调试、启动监督及技术支持；</w:t>
      </w:r>
    </w:p>
    <w:p w14:paraId="293F5BCF">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（2）提供货物组装和维修所需的专用工具和辅助材料；</w:t>
      </w:r>
    </w:p>
    <w:p w14:paraId="7EB1DB9B">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（3）在制造商所在地或指定现场就货物的安装、启动、运营、维护、废弃处置等对甲方操作人员进行培训</w:t>
      </w:r>
      <w:r>
        <w:rPr>
          <w:rFonts w:hint="eastAsia" w:ascii="宋体" w:hAnsi="宋体" w:cs="宋体"/>
          <w:color w:val="auto"/>
          <w:szCs w:val="15"/>
          <w:highlight w:val="none"/>
        </w:rPr>
        <w:t>；</w:t>
      </w:r>
    </w:p>
    <w:p w14:paraId="0842BE20">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（4）</w:t>
      </w:r>
      <w:r>
        <w:rPr>
          <w:rFonts w:hint="eastAsia" w:ascii="宋体" w:hAnsi="宋体"/>
          <w:b/>
          <w:color w:val="auto"/>
          <w:highlight w:val="none"/>
        </w:rPr>
        <w:t>【政府采购合同专用条款】</w:t>
      </w:r>
      <w:r>
        <w:rPr>
          <w:rFonts w:hint="eastAsia" w:ascii="宋体" w:hAnsi="宋体"/>
          <w:color w:val="auto"/>
          <w:highlight w:val="none"/>
        </w:rPr>
        <w:t>规定由乙方提供的其他服务。</w:t>
      </w:r>
    </w:p>
    <w:p w14:paraId="03848C00">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14.2 乙方提供的售后服务的费用已包含在合同价款中，甲方不再另行支付。</w:t>
      </w:r>
    </w:p>
    <w:p w14:paraId="0EFB7C39">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15. 不可抗力</w:t>
      </w:r>
    </w:p>
    <w:p w14:paraId="60D94E3A">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15.1 不可抗力是指合同双方不能预见、不能避免且不能克服的客观情况。</w:t>
      </w:r>
    </w:p>
    <w:p w14:paraId="0B9AF7C4">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15.2 任何一方对由于不可抗力造成的部分或全部不能履行合同不承担违约责任。但迟延履行后发生不可抗力的，不能免除责任。</w:t>
      </w:r>
    </w:p>
    <w:p w14:paraId="531FD4DF">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15.3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7365179">
      <w:pPr>
        <w:autoSpaceDE w:val="0"/>
        <w:autoSpaceDN w:val="0"/>
        <w:adjustRightInd w:val="0"/>
        <w:snapToGrid w:val="0"/>
        <w:spacing w:line="400" w:lineRule="exact"/>
        <w:jc w:val="left"/>
        <w:rPr>
          <w:rFonts w:ascii="宋体" w:hAnsi="宋体"/>
          <w:color w:val="auto"/>
          <w:sz w:val="24"/>
          <w:highlight w:val="none"/>
        </w:rPr>
      </w:pPr>
      <w:r>
        <w:rPr>
          <w:rFonts w:hint="eastAsia" w:ascii="宋体" w:hAnsi="宋体"/>
          <w:b/>
          <w:color w:val="auto"/>
          <w:sz w:val="24"/>
          <w:highlight w:val="none"/>
        </w:rPr>
        <w:t>16. 政府采购政策</w:t>
      </w:r>
    </w:p>
    <w:p w14:paraId="49E035FF">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 xml:space="preserve">16.1 </w:t>
      </w:r>
      <w:r>
        <w:rPr>
          <w:rFonts w:hint="eastAsia" w:ascii="宋体" w:hAnsi="宋体"/>
          <w:color w:val="auto"/>
          <w:highlight w:val="none"/>
          <w:lang w:val="en-GB"/>
        </w:rPr>
        <w:t>本合同应当按照规定执行政府采购政策。</w:t>
      </w:r>
    </w:p>
    <w:p w14:paraId="39844377">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16.2 本合同依法执行政府采购政策的方式和内容，属于合同履约验收的范围。甲乙双方</w:t>
      </w:r>
      <w:r>
        <w:rPr>
          <w:rFonts w:hint="eastAsia" w:ascii="宋体" w:hAnsi="宋体"/>
          <w:color w:val="auto"/>
          <w:highlight w:val="none"/>
          <w:lang w:val="en-GB"/>
        </w:rPr>
        <w:t>未按规定要求执行政府采购政策造成损失的</w:t>
      </w:r>
      <w:r>
        <w:rPr>
          <w:rFonts w:hint="eastAsia" w:ascii="宋体" w:hAnsi="宋体"/>
          <w:color w:val="auto"/>
          <w:highlight w:val="none"/>
        </w:rPr>
        <w:t>，有过错的一方应当承担赔偿责任，双方都有过错的，各自承担相应的责任。</w:t>
      </w:r>
    </w:p>
    <w:p w14:paraId="221CFF2E">
      <w:pPr>
        <w:autoSpaceDE w:val="0"/>
        <w:autoSpaceDN w:val="0"/>
        <w:adjustRightInd w:val="0"/>
        <w:snapToGrid w:val="0"/>
        <w:spacing w:line="400" w:lineRule="exact"/>
        <w:ind w:firstLine="420" w:firstLineChars="200"/>
        <w:jc w:val="left"/>
        <w:rPr>
          <w:rFonts w:ascii="宋体" w:hAnsi="宋体"/>
          <w:color w:val="auto"/>
          <w:highlight w:val="none"/>
        </w:rPr>
      </w:pPr>
      <w:r>
        <w:rPr>
          <w:rFonts w:hint="eastAsia" w:ascii="宋体" w:hAnsi="宋体"/>
          <w:color w:val="auto"/>
          <w:highlight w:val="none"/>
        </w:rPr>
        <w:t>16.3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D763E1C">
      <w:p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17. 法律适用</w:t>
      </w:r>
    </w:p>
    <w:p w14:paraId="4C398D11">
      <w:pPr>
        <w:pStyle w:val="59"/>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17.1 本合同的订立、生效、解释、履行及与本合同有关的争议解决，均适用法律、行政法规。</w:t>
      </w:r>
    </w:p>
    <w:p w14:paraId="56E5974C">
      <w:pPr>
        <w:pStyle w:val="59"/>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17.2 本合同条款与法律、行政法规的强制性规定不一致的，双方当事人应按照法律、行政法规的强制性规定修改本合同的相关条款。</w:t>
      </w:r>
    </w:p>
    <w:p w14:paraId="40EA1B72">
      <w:pPr>
        <w:numPr>
          <w:ilvl w:val="255"/>
          <w:numId w:val="0"/>
        </w:num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18. 通知</w:t>
      </w:r>
    </w:p>
    <w:p w14:paraId="702BC046">
      <w:pPr>
        <w:pStyle w:val="59"/>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18.1 本合同任何一方向对方发出的通知、信件、数据电文等，应当发送至本合同第一部分《政府采购合同协议书》所约定的通讯地址、联系人、联系电话或电子邮箱。</w:t>
      </w:r>
    </w:p>
    <w:p w14:paraId="597C31CB">
      <w:pPr>
        <w:pStyle w:val="59"/>
        <w:ind w:firstLine="0" w:firstLineChars="0"/>
        <w:jc w:val="both"/>
        <w:rPr>
          <w:color w:val="auto"/>
          <w:sz w:val="21"/>
          <w:highlight w:val="none"/>
        </w:rPr>
      </w:pPr>
      <w:r>
        <w:rPr>
          <w:rFonts w:hint="eastAsia" w:ascii="宋体" w:hAnsi="宋体" w:eastAsia="宋体" w:cs="宋体"/>
          <w:color w:val="auto"/>
          <w:sz w:val="21"/>
          <w:highlight w:val="none"/>
        </w:rPr>
        <w:t xml:space="preserve">    18.2 一方当事人变更名称、住所、联系人、联系电话或电子邮箱等信息的，应当在变更后3日内及时书面通知对方，对方实际收到变更通知前的送达仍为有效送达。</w:t>
      </w:r>
    </w:p>
    <w:p w14:paraId="0C8F1609">
      <w:pPr>
        <w:adjustRightInd w:val="0"/>
        <w:snapToGrid w:val="0"/>
        <w:spacing w:line="400" w:lineRule="exact"/>
        <w:ind w:firstLine="420" w:firstLineChars="200"/>
        <w:jc w:val="left"/>
        <w:rPr>
          <w:rFonts w:ascii="宋体" w:hAnsi="宋体"/>
          <w:color w:val="auto"/>
          <w:highlight w:val="none"/>
        </w:rPr>
      </w:pPr>
      <w:r>
        <w:rPr>
          <w:rFonts w:hint="eastAsia" w:ascii="宋体" w:hAnsi="宋体" w:cs="宋体"/>
          <w:color w:val="auto"/>
          <w:highlight w:val="none"/>
        </w:rPr>
        <w:t>18</w:t>
      </w:r>
      <w:r>
        <w:rPr>
          <w:rFonts w:hint="eastAsia" w:ascii="宋体" w:hAnsi="宋体"/>
          <w:color w:val="auto"/>
          <w:highlight w:val="none"/>
        </w:rPr>
        <w:t>.3</w:t>
      </w:r>
      <w:r>
        <w:rPr>
          <w:rFonts w:ascii="宋体" w:hAnsi="宋体"/>
          <w:color w:val="auto"/>
          <w:highlight w:val="none"/>
        </w:rPr>
        <w:t xml:space="preserve"> </w:t>
      </w:r>
      <w:r>
        <w:rPr>
          <w:rFonts w:hint="eastAsia" w:ascii="宋体" w:hAnsi="宋体"/>
          <w:color w:val="auto"/>
          <w:highlight w:val="none"/>
        </w:rPr>
        <w:t>本合同一方给另一方的通知均应采用书面形式，传真或快递送到本合同中规定的对方的地址和办理签收手续。</w:t>
      </w:r>
    </w:p>
    <w:p w14:paraId="684D1037">
      <w:pPr>
        <w:adjustRightInd w:val="0"/>
        <w:snapToGrid w:val="0"/>
        <w:spacing w:line="400" w:lineRule="exact"/>
        <w:ind w:firstLine="420" w:firstLineChars="200"/>
        <w:jc w:val="left"/>
        <w:rPr>
          <w:rFonts w:ascii="宋体" w:hAnsi="宋体"/>
          <w:color w:val="auto"/>
          <w:highlight w:val="none"/>
        </w:rPr>
      </w:pPr>
      <w:r>
        <w:rPr>
          <w:rFonts w:hint="eastAsia" w:ascii="宋体" w:hAnsi="宋体" w:cs="宋体"/>
          <w:color w:val="auto"/>
          <w:highlight w:val="none"/>
        </w:rPr>
        <w:t>18</w:t>
      </w:r>
      <w:r>
        <w:rPr>
          <w:rFonts w:hint="eastAsia" w:ascii="宋体" w:hAnsi="宋体"/>
          <w:color w:val="auto"/>
          <w:highlight w:val="none"/>
        </w:rPr>
        <w:t>.4</w:t>
      </w:r>
      <w:r>
        <w:rPr>
          <w:rFonts w:ascii="宋体" w:hAnsi="宋体"/>
          <w:color w:val="auto"/>
          <w:highlight w:val="none"/>
        </w:rPr>
        <w:t xml:space="preserve"> </w:t>
      </w:r>
      <w:r>
        <w:rPr>
          <w:rFonts w:hint="eastAsia" w:ascii="宋体" w:hAnsi="宋体"/>
          <w:color w:val="auto"/>
          <w:highlight w:val="none"/>
        </w:rPr>
        <w:t>通知以送达之日或通知书中规定的生效之日起生效，两者中以较迟之日为准。</w:t>
      </w:r>
    </w:p>
    <w:p w14:paraId="6F73E99D">
      <w:pPr>
        <w:numPr>
          <w:ilvl w:val="0"/>
          <w:numId w:val="9"/>
        </w:num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4CD631DB">
      <w:pPr>
        <w:adjustRightInd w:val="0"/>
        <w:snapToGrid w:val="0"/>
        <w:spacing w:line="400" w:lineRule="exact"/>
        <w:ind w:firstLine="420" w:firstLineChars="200"/>
        <w:jc w:val="left"/>
        <w:rPr>
          <w:rFonts w:ascii="宋体" w:hAnsi="宋体"/>
          <w:bCs/>
          <w:color w:val="auto"/>
          <w:highlight w:val="none"/>
        </w:rPr>
      </w:pPr>
      <w:r>
        <w:rPr>
          <w:rFonts w:hint="eastAsia" w:ascii="宋体" w:hAnsi="宋体"/>
          <w:bCs/>
          <w:color w:val="auto"/>
          <w:highlight w:val="none"/>
        </w:rPr>
        <w:t>19.1</w:t>
      </w:r>
      <w:r>
        <w:rPr>
          <w:rFonts w:ascii="宋体" w:hAnsi="宋体"/>
          <w:bCs/>
          <w:color w:val="auto"/>
          <w:highlight w:val="none"/>
        </w:rPr>
        <w:t xml:space="preserve"> </w:t>
      </w:r>
      <w:r>
        <w:rPr>
          <w:rFonts w:hint="eastAsia" w:ascii="宋体" w:hAnsi="宋体"/>
          <w:bCs/>
          <w:color w:val="auto"/>
          <w:highlight w:val="none"/>
        </w:rPr>
        <w:t>合同未尽事项见</w:t>
      </w:r>
      <w:r>
        <w:rPr>
          <w:rFonts w:hint="eastAsia" w:ascii="宋体" w:hAnsi="宋体"/>
          <w:b/>
          <w:color w:val="auto"/>
          <w:highlight w:val="none"/>
        </w:rPr>
        <w:t>【政府采购合同专用条款】</w:t>
      </w:r>
      <w:r>
        <w:rPr>
          <w:rFonts w:hint="eastAsia" w:ascii="宋体" w:hAnsi="宋体"/>
          <w:bCs/>
          <w:color w:val="auto"/>
          <w:highlight w:val="none"/>
        </w:rPr>
        <w:t>。</w:t>
      </w:r>
    </w:p>
    <w:p w14:paraId="50438848">
      <w:pPr>
        <w:adjustRightInd w:val="0"/>
        <w:snapToGrid w:val="0"/>
        <w:spacing w:line="400" w:lineRule="exact"/>
        <w:jc w:val="left"/>
        <w:rPr>
          <w:rFonts w:ascii="黑体" w:hAnsi="华文中宋" w:eastAsia="黑体"/>
          <w:color w:val="auto"/>
          <w:sz w:val="28"/>
          <w:szCs w:val="28"/>
          <w:highlight w:val="none"/>
        </w:rPr>
      </w:pPr>
      <w:r>
        <w:rPr>
          <w:rFonts w:hint="eastAsia" w:ascii="宋体" w:hAnsi="宋体"/>
          <w:bCs/>
          <w:color w:val="auto"/>
          <w:highlight w:val="none"/>
        </w:rPr>
        <w:t xml:space="preserve">    19.2 合同附件与合同正文具有同等的法律效力。</w:t>
      </w:r>
    </w:p>
    <w:p w14:paraId="49D0174F">
      <w:pPr>
        <w:adjustRightInd w:val="0"/>
        <w:snapToGrid w:val="0"/>
        <w:jc w:val="center"/>
        <w:rPr>
          <w:rFonts w:ascii="黑体" w:hAnsi="华文中宋" w:eastAsia="黑体"/>
          <w:color w:val="auto"/>
          <w:sz w:val="28"/>
          <w:szCs w:val="28"/>
          <w:highlight w:val="none"/>
        </w:rPr>
      </w:pPr>
      <w:r>
        <w:rPr>
          <w:rFonts w:hint="eastAsia" w:ascii="黑体" w:hAnsi="华文中宋" w:eastAsia="黑体"/>
          <w:color w:val="auto"/>
          <w:sz w:val="28"/>
          <w:szCs w:val="28"/>
          <w:highlight w:val="none"/>
        </w:rPr>
        <w:br w:type="page"/>
      </w:r>
    </w:p>
    <w:p w14:paraId="4F1B13C8">
      <w:pPr>
        <w:pStyle w:val="59"/>
        <w:ind w:left="420" w:leftChars="200" w:firstLine="0" w:firstLineChars="0"/>
        <w:rPr>
          <w:rFonts w:ascii="宋体" w:hAnsi="宋体" w:cs="宋体"/>
          <w:color w:val="auto"/>
          <w:highlight w:val="none"/>
          <w:u w:val="single"/>
        </w:rPr>
        <w:sectPr>
          <w:pgSz w:w="11906" w:h="16838"/>
          <w:pgMar w:top="1417" w:right="1417" w:bottom="1417" w:left="1417" w:header="851" w:footer="992" w:gutter="0"/>
          <w:cols w:space="425" w:num="1"/>
          <w:docGrid w:type="lines" w:linePitch="312" w:charSpace="0"/>
        </w:sectPr>
      </w:pPr>
    </w:p>
    <w:p w14:paraId="5CD2B094">
      <w:pPr>
        <w:numPr>
          <w:ilvl w:val="0"/>
          <w:numId w:val="10"/>
        </w:numPr>
        <w:jc w:val="center"/>
        <w:rPr>
          <w:b/>
          <w:bCs/>
          <w:color w:val="auto"/>
          <w:sz w:val="28"/>
          <w:szCs w:val="28"/>
          <w:highlight w:val="none"/>
        </w:rPr>
      </w:pPr>
      <w:r>
        <w:rPr>
          <w:rFonts w:hint="eastAsia"/>
          <w:b/>
          <w:bCs/>
          <w:color w:val="auto"/>
          <w:sz w:val="28"/>
          <w:szCs w:val="28"/>
          <w:highlight w:val="none"/>
        </w:rPr>
        <w:t>政府采购合同专用条款</w:t>
      </w:r>
    </w:p>
    <w:tbl>
      <w:tblPr>
        <w:tblStyle w:val="38"/>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873D9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9CCFE33">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6840BB99">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第4.4款</w:t>
            </w:r>
          </w:p>
        </w:tc>
        <w:tc>
          <w:tcPr>
            <w:tcW w:w="1742" w:type="dxa"/>
            <w:vAlign w:val="center"/>
          </w:tcPr>
          <w:p w14:paraId="1669CAF4">
            <w:pPr>
              <w:adjustRightInd w:val="0"/>
              <w:snapToGrid w:val="0"/>
              <w:spacing w:line="360" w:lineRule="auto"/>
              <w:jc w:val="left"/>
              <w:rPr>
                <w:rFonts w:ascii="宋体" w:hAnsi="宋体"/>
                <w:color w:val="auto"/>
                <w:highlight w:val="none"/>
              </w:rPr>
            </w:pPr>
            <w:r>
              <w:rPr>
                <w:rFonts w:hint="eastAsia" w:ascii="宋体" w:hAnsi="宋体"/>
                <w:color w:val="auto"/>
                <w:highlight w:val="none"/>
              </w:rPr>
              <w:t>履约验收中甲方提出异议或作出说明的期限</w:t>
            </w:r>
          </w:p>
        </w:tc>
        <w:tc>
          <w:tcPr>
            <w:tcW w:w="5170" w:type="dxa"/>
            <w:vAlign w:val="center"/>
          </w:tcPr>
          <w:p w14:paraId="739BBB78">
            <w:pPr>
              <w:adjustRightInd w:val="0"/>
              <w:snapToGrid w:val="0"/>
              <w:spacing w:line="360" w:lineRule="auto"/>
              <w:jc w:val="left"/>
              <w:rPr>
                <w:rFonts w:ascii="宋体" w:hAnsi="宋体"/>
                <w:color w:val="auto"/>
                <w:highlight w:val="none"/>
              </w:rPr>
            </w:pPr>
            <w:r>
              <w:rPr>
                <w:rFonts w:hint="eastAsia" w:ascii="宋体" w:hAnsi="宋体"/>
                <w:color w:val="auto"/>
                <w:highlight w:val="none"/>
              </w:rPr>
              <w:t>如有异议，甲方在货到一个月内向乙方提出，乙方应在接到甲方异议的7天内做出书面答复，则视为乙方同意甲方提出的异议和处理意见</w:t>
            </w:r>
          </w:p>
        </w:tc>
      </w:tr>
      <w:tr w14:paraId="2F4F64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F740358">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30B113D9">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第4.6款</w:t>
            </w:r>
          </w:p>
        </w:tc>
        <w:tc>
          <w:tcPr>
            <w:tcW w:w="1742" w:type="dxa"/>
            <w:vAlign w:val="center"/>
          </w:tcPr>
          <w:p w14:paraId="14532D3F">
            <w:pPr>
              <w:adjustRightInd w:val="0"/>
              <w:snapToGrid w:val="0"/>
              <w:spacing w:line="360" w:lineRule="auto"/>
              <w:jc w:val="left"/>
              <w:rPr>
                <w:rFonts w:ascii="宋体" w:hAnsi="宋体"/>
                <w:color w:val="auto"/>
                <w:highlight w:val="none"/>
              </w:rPr>
            </w:pPr>
            <w:r>
              <w:rPr>
                <w:rFonts w:hint="eastAsia" w:ascii="宋体" w:hAnsi="宋体"/>
                <w:color w:val="auto"/>
                <w:highlight w:val="none"/>
              </w:rPr>
              <w:t>约定甲方承担的其他义务和责任</w:t>
            </w:r>
          </w:p>
        </w:tc>
        <w:tc>
          <w:tcPr>
            <w:tcW w:w="5170" w:type="dxa"/>
            <w:vAlign w:val="center"/>
          </w:tcPr>
          <w:p w14:paraId="55FB9351">
            <w:pPr>
              <w:adjustRightInd w:val="0"/>
              <w:snapToGrid w:val="0"/>
              <w:spacing w:line="360" w:lineRule="auto"/>
              <w:jc w:val="left"/>
              <w:rPr>
                <w:rFonts w:ascii="宋体" w:hAnsi="宋体"/>
                <w:color w:val="auto"/>
                <w:highlight w:val="none"/>
              </w:rPr>
            </w:pPr>
            <w:r>
              <w:rPr>
                <w:rFonts w:hint="eastAsia" w:ascii="宋体" w:hAnsi="宋体"/>
                <w:color w:val="auto"/>
                <w:highlight w:val="none"/>
              </w:rPr>
              <w:t>/</w:t>
            </w:r>
          </w:p>
        </w:tc>
      </w:tr>
      <w:tr w14:paraId="034EC3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3D1D5DC">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740621D3">
            <w:pPr>
              <w:snapToGrid w:val="0"/>
              <w:spacing w:line="360" w:lineRule="auto"/>
              <w:jc w:val="center"/>
              <w:rPr>
                <w:color w:val="auto"/>
                <w:highlight w:val="none"/>
              </w:rPr>
            </w:pPr>
            <w:r>
              <w:rPr>
                <w:rFonts w:hint="eastAsia" w:ascii="宋体" w:hAnsi="宋体"/>
                <w:color w:val="auto"/>
                <w:highlight w:val="none"/>
              </w:rPr>
              <w:t>第5.4款</w:t>
            </w:r>
          </w:p>
        </w:tc>
        <w:tc>
          <w:tcPr>
            <w:tcW w:w="1742" w:type="dxa"/>
            <w:vAlign w:val="center"/>
          </w:tcPr>
          <w:p w14:paraId="2A4C91BE">
            <w:pPr>
              <w:adjustRightInd w:val="0"/>
              <w:snapToGrid w:val="0"/>
              <w:spacing w:line="360" w:lineRule="auto"/>
              <w:jc w:val="left"/>
              <w:rPr>
                <w:rFonts w:ascii="宋体" w:hAnsi="宋体"/>
                <w:color w:val="auto"/>
                <w:highlight w:val="none"/>
              </w:rPr>
            </w:pPr>
            <w:r>
              <w:rPr>
                <w:rFonts w:hint="eastAsia" w:ascii="宋体" w:hAnsi="宋体"/>
                <w:color w:val="auto"/>
                <w:highlight w:val="none"/>
              </w:rPr>
              <w:t>约定乙方承担的其他义务和责任</w:t>
            </w:r>
          </w:p>
        </w:tc>
        <w:tc>
          <w:tcPr>
            <w:tcW w:w="5170" w:type="dxa"/>
            <w:vAlign w:val="center"/>
          </w:tcPr>
          <w:p w14:paraId="567FE3B0">
            <w:pPr>
              <w:adjustRightInd w:val="0"/>
              <w:snapToGrid w:val="0"/>
              <w:spacing w:line="360" w:lineRule="auto"/>
              <w:jc w:val="left"/>
              <w:rPr>
                <w:rFonts w:ascii="宋体" w:hAnsi="宋体"/>
                <w:color w:val="auto"/>
                <w:highlight w:val="none"/>
              </w:rPr>
            </w:pPr>
            <w:r>
              <w:rPr>
                <w:rFonts w:hint="eastAsia" w:ascii="宋体" w:hAnsi="宋体"/>
                <w:color w:val="auto"/>
                <w:highlight w:val="none"/>
              </w:rPr>
              <w:t>/</w:t>
            </w:r>
          </w:p>
        </w:tc>
      </w:tr>
      <w:tr w14:paraId="0E47A0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FB21380">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6DA316AD">
            <w:pPr>
              <w:snapToGrid w:val="0"/>
              <w:spacing w:line="360" w:lineRule="auto"/>
              <w:jc w:val="center"/>
              <w:rPr>
                <w:rFonts w:ascii="宋体" w:hAnsi="宋体"/>
                <w:color w:val="auto"/>
                <w:highlight w:val="none"/>
              </w:rPr>
            </w:pPr>
            <w:r>
              <w:rPr>
                <w:rFonts w:hint="eastAsia" w:ascii="宋体" w:hAnsi="宋体"/>
                <w:color w:val="auto"/>
                <w:highlight w:val="none"/>
              </w:rPr>
              <w:t>第6.1款</w:t>
            </w:r>
          </w:p>
        </w:tc>
        <w:tc>
          <w:tcPr>
            <w:tcW w:w="1742" w:type="dxa"/>
            <w:vAlign w:val="center"/>
          </w:tcPr>
          <w:p w14:paraId="24A9E176">
            <w:pPr>
              <w:adjustRightInd w:val="0"/>
              <w:snapToGrid w:val="0"/>
              <w:spacing w:line="360" w:lineRule="auto"/>
              <w:jc w:val="left"/>
              <w:rPr>
                <w:rFonts w:ascii="宋体" w:hAnsi="宋体"/>
                <w:color w:val="auto"/>
                <w:highlight w:val="none"/>
              </w:rPr>
            </w:pPr>
            <w:r>
              <w:rPr>
                <w:rFonts w:hint="eastAsia" w:ascii="宋体" w:hAnsi="宋体"/>
                <w:color w:val="auto"/>
                <w:highlight w:val="none"/>
              </w:rPr>
              <w:t>履行合同义务的顺序</w:t>
            </w:r>
          </w:p>
        </w:tc>
        <w:tc>
          <w:tcPr>
            <w:tcW w:w="5170" w:type="dxa"/>
            <w:vAlign w:val="center"/>
          </w:tcPr>
          <w:p w14:paraId="243B3406">
            <w:pPr>
              <w:adjustRightInd w:val="0"/>
              <w:snapToGrid w:val="0"/>
              <w:spacing w:line="360" w:lineRule="auto"/>
              <w:jc w:val="left"/>
              <w:rPr>
                <w:rFonts w:ascii="宋体" w:hAnsi="宋体"/>
                <w:color w:val="auto"/>
                <w:highlight w:val="none"/>
              </w:rPr>
            </w:pPr>
            <w:r>
              <w:rPr>
                <w:rFonts w:hint="eastAsia" w:ascii="宋体" w:hAnsi="宋体"/>
                <w:color w:val="auto"/>
                <w:highlight w:val="none"/>
              </w:rPr>
              <w:t>/</w:t>
            </w:r>
          </w:p>
        </w:tc>
      </w:tr>
      <w:tr w14:paraId="5A27C2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CF64ACA">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3FA01048">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第7.1款</w:t>
            </w:r>
          </w:p>
        </w:tc>
        <w:tc>
          <w:tcPr>
            <w:tcW w:w="1742" w:type="dxa"/>
            <w:vAlign w:val="center"/>
          </w:tcPr>
          <w:p w14:paraId="7A9D7F62">
            <w:pPr>
              <w:adjustRightInd w:val="0"/>
              <w:snapToGrid w:val="0"/>
              <w:spacing w:line="360" w:lineRule="auto"/>
              <w:jc w:val="left"/>
              <w:rPr>
                <w:rFonts w:ascii="宋体" w:hAnsi="宋体"/>
                <w:color w:val="auto"/>
                <w:highlight w:val="none"/>
              </w:rPr>
            </w:pPr>
            <w:r>
              <w:rPr>
                <w:rFonts w:hint="eastAsia" w:ascii="宋体" w:hAnsi="宋体"/>
                <w:color w:val="auto"/>
                <w:highlight w:val="none"/>
              </w:rPr>
              <w:t>包装特殊要求</w:t>
            </w:r>
          </w:p>
        </w:tc>
        <w:tc>
          <w:tcPr>
            <w:tcW w:w="5170" w:type="dxa"/>
            <w:vAlign w:val="center"/>
          </w:tcPr>
          <w:p w14:paraId="072CBBA8">
            <w:pPr>
              <w:spacing w:line="360" w:lineRule="auto"/>
              <w:rPr>
                <w:color w:val="auto"/>
                <w:highlight w:val="none"/>
              </w:rPr>
            </w:pPr>
            <w:r>
              <w:rPr>
                <w:rFonts w:hint="eastAsia"/>
                <w:color w:val="auto"/>
                <w:highlight w:val="none"/>
              </w:rPr>
              <w:t>/</w:t>
            </w:r>
          </w:p>
        </w:tc>
      </w:tr>
      <w:tr w14:paraId="2C8152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42621625">
            <w:pPr>
              <w:adjustRightInd w:val="0"/>
              <w:snapToGrid w:val="0"/>
              <w:spacing w:line="360" w:lineRule="auto"/>
              <w:jc w:val="center"/>
              <w:rPr>
                <w:rFonts w:ascii="宋体" w:hAnsi="宋体"/>
                <w:color w:val="auto"/>
                <w:highlight w:val="none"/>
              </w:rPr>
            </w:pPr>
          </w:p>
        </w:tc>
        <w:tc>
          <w:tcPr>
            <w:tcW w:w="1742" w:type="dxa"/>
            <w:vAlign w:val="center"/>
          </w:tcPr>
          <w:p w14:paraId="47F84EC0">
            <w:pPr>
              <w:adjustRightInd w:val="0"/>
              <w:snapToGrid w:val="0"/>
              <w:spacing w:line="360" w:lineRule="auto"/>
              <w:jc w:val="left"/>
              <w:rPr>
                <w:rFonts w:ascii="宋体" w:hAnsi="宋体"/>
                <w:color w:val="auto"/>
                <w:highlight w:val="none"/>
              </w:rPr>
            </w:pPr>
            <w:r>
              <w:rPr>
                <w:rFonts w:hint="eastAsia" w:ascii="宋体" w:hAnsi="宋体"/>
                <w:color w:val="auto"/>
                <w:highlight w:val="none"/>
              </w:rPr>
              <w:t>指定现场</w:t>
            </w:r>
          </w:p>
        </w:tc>
        <w:tc>
          <w:tcPr>
            <w:tcW w:w="5170" w:type="dxa"/>
            <w:vAlign w:val="center"/>
          </w:tcPr>
          <w:p w14:paraId="1BF1F644">
            <w:pPr>
              <w:spacing w:line="360" w:lineRule="auto"/>
              <w:rPr>
                <w:color w:val="auto"/>
                <w:highlight w:val="none"/>
              </w:rPr>
            </w:pPr>
            <w:r>
              <w:rPr>
                <w:rFonts w:hint="eastAsia"/>
                <w:color w:val="auto"/>
                <w:highlight w:val="none"/>
              </w:rPr>
              <w:t>根据采购人要求</w:t>
            </w:r>
          </w:p>
        </w:tc>
      </w:tr>
      <w:tr w14:paraId="2B72DF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78419472">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06E8D161">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第7.2款</w:t>
            </w:r>
          </w:p>
        </w:tc>
        <w:tc>
          <w:tcPr>
            <w:tcW w:w="1742" w:type="dxa"/>
            <w:vAlign w:val="center"/>
          </w:tcPr>
          <w:p w14:paraId="2CB5225F">
            <w:pPr>
              <w:adjustRightInd w:val="0"/>
              <w:snapToGrid w:val="0"/>
              <w:spacing w:line="360" w:lineRule="auto"/>
              <w:jc w:val="left"/>
              <w:rPr>
                <w:rFonts w:ascii="宋体" w:hAnsi="宋体"/>
                <w:color w:val="auto"/>
                <w:highlight w:val="none"/>
              </w:rPr>
            </w:pPr>
            <w:r>
              <w:rPr>
                <w:rFonts w:hint="eastAsia" w:ascii="宋体" w:hAnsi="宋体"/>
                <w:color w:val="auto"/>
                <w:highlight w:val="none"/>
              </w:rPr>
              <w:t>运输特殊要求</w:t>
            </w:r>
          </w:p>
        </w:tc>
        <w:tc>
          <w:tcPr>
            <w:tcW w:w="5170" w:type="dxa"/>
            <w:vAlign w:val="center"/>
          </w:tcPr>
          <w:p w14:paraId="3BF46FD4">
            <w:pPr>
              <w:spacing w:line="360" w:lineRule="auto"/>
              <w:rPr>
                <w:color w:val="auto"/>
                <w:highlight w:val="none"/>
              </w:rPr>
            </w:pPr>
            <w:r>
              <w:rPr>
                <w:rFonts w:hint="eastAsia"/>
                <w:color w:val="auto"/>
                <w:highlight w:val="none"/>
              </w:rPr>
              <w:t>/</w:t>
            </w:r>
          </w:p>
        </w:tc>
      </w:tr>
      <w:tr w14:paraId="49724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70EC504D">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34D18BF1">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第7.3款</w:t>
            </w:r>
          </w:p>
        </w:tc>
        <w:tc>
          <w:tcPr>
            <w:tcW w:w="1742" w:type="dxa"/>
            <w:vAlign w:val="center"/>
          </w:tcPr>
          <w:p w14:paraId="65F25AAA">
            <w:pPr>
              <w:adjustRightInd w:val="0"/>
              <w:snapToGrid w:val="0"/>
              <w:spacing w:line="360" w:lineRule="auto"/>
              <w:jc w:val="left"/>
              <w:rPr>
                <w:rFonts w:ascii="宋体" w:hAnsi="宋体"/>
                <w:color w:val="auto"/>
                <w:highlight w:val="none"/>
              </w:rPr>
            </w:pPr>
            <w:r>
              <w:rPr>
                <w:rFonts w:hint="eastAsia" w:ascii="宋体" w:hAnsi="宋体"/>
                <w:color w:val="auto"/>
                <w:highlight w:val="none"/>
              </w:rPr>
              <w:t>保险要求</w:t>
            </w:r>
          </w:p>
        </w:tc>
        <w:tc>
          <w:tcPr>
            <w:tcW w:w="5170" w:type="dxa"/>
            <w:vAlign w:val="center"/>
          </w:tcPr>
          <w:p w14:paraId="1D8D1BDA">
            <w:pPr>
              <w:spacing w:line="360" w:lineRule="auto"/>
              <w:rPr>
                <w:color w:val="auto"/>
                <w:highlight w:val="none"/>
              </w:rPr>
            </w:pPr>
            <w:r>
              <w:rPr>
                <w:rFonts w:hint="eastAsia"/>
                <w:color w:val="auto"/>
                <w:highlight w:val="none"/>
              </w:rPr>
              <w:t>/</w:t>
            </w:r>
          </w:p>
        </w:tc>
      </w:tr>
      <w:tr w14:paraId="42B4D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087C088">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32F1EBD0">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第8.2（1）项</w:t>
            </w:r>
          </w:p>
        </w:tc>
        <w:tc>
          <w:tcPr>
            <w:tcW w:w="1742" w:type="dxa"/>
            <w:vAlign w:val="center"/>
          </w:tcPr>
          <w:p w14:paraId="05F04C34">
            <w:pPr>
              <w:adjustRightInd w:val="0"/>
              <w:snapToGrid w:val="0"/>
              <w:spacing w:line="360" w:lineRule="auto"/>
              <w:jc w:val="left"/>
              <w:rPr>
                <w:rFonts w:ascii="宋体" w:hAnsi="宋体"/>
                <w:color w:val="auto"/>
                <w:highlight w:val="none"/>
              </w:rPr>
            </w:pPr>
            <w:r>
              <w:rPr>
                <w:rFonts w:hint="eastAsia" w:ascii="宋体" w:hAnsi="宋体"/>
                <w:color w:val="auto"/>
                <w:highlight w:val="none"/>
              </w:rPr>
              <w:t>质量保证期</w:t>
            </w:r>
          </w:p>
        </w:tc>
        <w:tc>
          <w:tcPr>
            <w:tcW w:w="5170" w:type="dxa"/>
            <w:vAlign w:val="center"/>
          </w:tcPr>
          <w:p w14:paraId="6EA81EDC">
            <w:pPr>
              <w:autoSpaceDE w:val="0"/>
              <w:autoSpaceDN w:val="0"/>
              <w:adjustRightInd w:val="0"/>
              <w:snapToGrid w:val="0"/>
              <w:spacing w:line="360" w:lineRule="auto"/>
              <w:jc w:val="left"/>
              <w:rPr>
                <w:rFonts w:ascii="宋体" w:hAnsi="宋体"/>
                <w:color w:val="auto"/>
                <w:highlight w:val="none"/>
              </w:rPr>
            </w:pPr>
            <w:r>
              <w:rPr>
                <w:rFonts w:hint="eastAsia" w:ascii="宋体" w:hAnsi="宋体"/>
                <w:color w:val="auto"/>
                <w:highlight w:val="none"/>
              </w:rPr>
              <w:t>验收合格后XX年（以最终验收结果单据签订时间为准）</w:t>
            </w:r>
          </w:p>
        </w:tc>
      </w:tr>
      <w:tr w14:paraId="335666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DEB7845">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3D71BB58">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第8.2（3）项</w:t>
            </w:r>
          </w:p>
        </w:tc>
        <w:tc>
          <w:tcPr>
            <w:tcW w:w="1742" w:type="dxa"/>
            <w:vAlign w:val="center"/>
          </w:tcPr>
          <w:p w14:paraId="4F2CF55C">
            <w:pPr>
              <w:adjustRightInd w:val="0"/>
              <w:snapToGrid w:val="0"/>
              <w:spacing w:line="360" w:lineRule="auto"/>
              <w:jc w:val="left"/>
              <w:rPr>
                <w:rFonts w:ascii="宋体" w:hAnsi="宋体"/>
                <w:color w:val="auto"/>
                <w:highlight w:val="none"/>
              </w:rPr>
            </w:pPr>
            <w:r>
              <w:rPr>
                <w:rFonts w:hint="eastAsia" w:ascii="宋体" w:hAnsi="宋体"/>
                <w:color w:val="auto"/>
                <w:highlight w:val="none"/>
              </w:rPr>
              <w:t>货物质量缺陷</w:t>
            </w:r>
          </w:p>
          <w:p w14:paraId="0ACDB4D3">
            <w:pPr>
              <w:adjustRightInd w:val="0"/>
              <w:snapToGrid w:val="0"/>
              <w:spacing w:line="360" w:lineRule="auto"/>
              <w:jc w:val="left"/>
              <w:rPr>
                <w:rFonts w:ascii="宋体" w:hAnsi="宋体"/>
                <w:color w:val="auto"/>
                <w:highlight w:val="none"/>
              </w:rPr>
            </w:pPr>
            <w:r>
              <w:rPr>
                <w:rFonts w:hint="eastAsia" w:ascii="宋体" w:hAnsi="宋体"/>
                <w:color w:val="auto"/>
                <w:highlight w:val="none"/>
              </w:rPr>
              <w:t>响应时间</w:t>
            </w:r>
          </w:p>
        </w:tc>
        <w:tc>
          <w:tcPr>
            <w:tcW w:w="5170" w:type="dxa"/>
            <w:vAlign w:val="center"/>
          </w:tcPr>
          <w:p w14:paraId="109EB36F">
            <w:pPr>
              <w:adjustRightInd w:val="0"/>
              <w:snapToGrid w:val="0"/>
              <w:spacing w:line="360" w:lineRule="auto"/>
              <w:jc w:val="left"/>
              <w:rPr>
                <w:rFonts w:ascii="宋体" w:hAnsi="宋体"/>
                <w:color w:val="auto"/>
                <w:highlight w:val="none"/>
              </w:rPr>
            </w:pPr>
            <w:r>
              <w:rPr>
                <w:rFonts w:hint="eastAsia" w:ascii="宋体" w:hAnsi="宋体"/>
                <w:color w:val="auto"/>
                <w:highlight w:val="none"/>
              </w:rPr>
              <w:t>以成交后签订合同为准</w:t>
            </w:r>
          </w:p>
        </w:tc>
      </w:tr>
      <w:tr w14:paraId="5B879B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4A005B9">
            <w:pPr>
              <w:snapToGrid w:val="0"/>
              <w:spacing w:line="360" w:lineRule="auto"/>
              <w:jc w:val="center"/>
              <w:rPr>
                <w:rFonts w:ascii="宋体" w:hAnsi="宋体" w:cs="宋体"/>
                <w:color w:val="auto"/>
                <w:highlight w:val="none"/>
              </w:rPr>
            </w:pPr>
            <w:r>
              <w:rPr>
                <w:rFonts w:hint="eastAsia" w:ascii="宋体" w:hAnsi="宋体" w:cs="宋体"/>
                <w:color w:val="auto"/>
                <w:highlight w:val="none"/>
              </w:rPr>
              <w:t>第二节</w:t>
            </w:r>
          </w:p>
          <w:p w14:paraId="5A084AF2">
            <w:pPr>
              <w:pStyle w:val="59"/>
              <w:spacing w:line="360" w:lineRule="auto"/>
              <w:ind w:firstLine="0" w:firstLineChars="0"/>
              <w:jc w:val="center"/>
              <w:rPr>
                <w:color w:val="auto"/>
                <w:highlight w:val="none"/>
              </w:rPr>
            </w:pPr>
            <w:r>
              <w:rPr>
                <w:rFonts w:hint="eastAsia" w:ascii="宋体" w:hAnsi="宋体" w:eastAsia="宋体" w:cs="宋体"/>
                <w:color w:val="auto"/>
                <w:highlight w:val="none"/>
              </w:rPr>
              <w:t>第11.1款</w:t>
            </w:r>
          </w:p>
        </w:tc>
        <w:tc>
          <w:tcPr>
            <w:tcW w:w="1742" w:type="dxa"/>
            <w:vAlign w:val="center"/>
          </w:tcPr>
          <w:p w14:paraId="0B2FFD5C">
            <w:pPr>
              <w:adjustRightInd w:val="0"/>
              <w:snapToGrid w:val="0"/>
              <w:spacing w:line="360" w:lineRule="auto"/>
              <w:rPr>
                <w:rFonts w:ascii="宋体" w:hAnsi="宋体"/>
                <w:color w:val="auto"/>
                <w:highlight w:val="none"/>
              </w:rPr>
            </w:pPr>
            <w:r>
              <w:rPr>
                <w:rFonts w:hint="eastAsia" w:ascii="宋体" w:hAnsi="宋体"/>
                <w:color w:val="auto"/>
                <w:highlight w:val="none"/>
              </w:rPr>
              <w:t>其他应当保密的信息</w:t>
            </w:r>
          </w:p>
        </w:tc>
        <w:tc>
          <w:tcPr>
            <w:tcW w:w="5170" w:type="dxa"/>
            <w:vAlign w:val="center"/>
          </w:tcPr>
          <w:p w14:paraId="4B1764EC">
            <w:pPr>
              <w:adjustRightInd w:val="0"/>
              <w:snapToGrid w:val="0"/>
              <w:spacing w:line="360" w:lineRule="auto"/>
              <w:jc w:val="left"/>
              <w:rPr>
                <w:rFonts w:ascii="宋体" w:hAnsi="宋体"/>
                <w:color w:val="auto"/>
                <w:highlight w:val="none"/>
              </w:rPr>
            </w:pPr>
            <w:r>
              <w:rPr>
                <w:rFonts w:hint="eastAsia" w:ascii="宋体" w:hAnsi="宋体"/>
                <w:color w:val="auto"/>
                <w:highlight w:val="none"/>
              </w:rPr>
              <w:t>包括但不限于技术情报、技术资料、商业秘密和商业信息等。</w:t>
            </w:r>
          </w:p>
        </w:tc>
      </w:tr>
      <w:tr w14:paraId="6A9D83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C74FBE1">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2EEFD675">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第12.2款</w:t>
            </w:r>
          </w:p>
        </w:tc>
        <w:tc>
          <w:tcPr>
            <w:tcW w:w="1742" w:type="dxa"/>
            <w:vAlign w:val="center"/>
          </w:tcPr>
          <w:p w14:paraId="420319C0">
            <w:pPr>
              <w:adjustRightInd w:val="0"/>
              <w:snapToGrid w:val="0"/>
              <w:spacing w:line="360" w:lineRule="auto"/>
              <w:jc w:val="left"/>
              <w:rPr>
                <w:rFonts w:ascii="宋体" w:hAnsi="宋体"/>
                <w:color w:val="auto"/>
                <w:highlight w:val="none"/>
              </w:rPr>
            </w:pPr>
            <w:r>
              <w:rPr>
                <w:rFonts w:hint="eastAsia" w:ascii="宋体" w:hAnsi="宋体"/>
                <w:color w:val="auto"/>
                <w:highlight w:val="none"/>
              </w:rPr>
              <w:t>合同价款支付时间</w:t>
            </w:r>
          </w:p>
        </w:tc>
        <w:tc>
          <w:tcPr>
            <w:tcW w:w="5170" w:type="dxa"/>
            <w:vAlign w:val="center"/>
          </w:tcPr>
          <w:p w14:paraId="0BFFAD06">
            <w:pPr>
              <w:adjustRightInd w:val="0"/>
              <w:snapToGrid w:val="0"/>
              <w:spacing w:line="360" w:lineRule="auto"/>
              <w:jc w:val="left"/>
              <w:rPr>
                <w:rFonts w:ascii="宋体" w:hAnsi="宋体"/>
                <w:color w:val="auto"/>
                <w:highlight w:val="none"/>
              </w:rPr>
            </w:pPr>
            <w:r>
              <w:rPr>
                <w:rFonts w:hint="eastAsia" w:ascii="宋体" w:hAnsi="宋体"/>
                <w:color w:val="auto"/>
                <w:highlight w:val="none"/>
              </w:rPr>
              <w:t>以成交后签订合同为准</w:t>
            </w:r>
          </w:p>
        </w:tc>
      </w:tr>
      <w:tr w14:paraId="788231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7CE0B7A">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769B1611">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第13.2款</w:t>
            </w:r>
          </w:p>
        </w:tc>
        <w:tc>
          <w:tcPr>
            <w:tcW w:w="1742" w:type="dxa"/>
            <w:vAlign w:val="center"/>
          </w:tcPr>
          <w:p w14:paraId="36AA86B5">
            <w:pPr>
              <w:adjustRightInd w:val="0"/>
              <w:snapToGrid w:val="0"/>
              <w:spacing w:line="360" w:lineRule="auto"/>
              <w:jc w:val="left"/>
              <w:rPr>
                <w:rFonts w:ascii="宋体" w:hAnsi="宋体"/>
                <w:color w:val="auto"/>
                <w:highlight w:val="none"/>
              </w:rPr>
            </w:pPr>
            <w:r>
              <w:rPr>
                <w:rFonts w:hint="eastAsia" w:ascii="宋体" w:hAnsi="宋体"/>
                <w:color w:val="auto"/>
                <w:highlight w:val="none"/>
              </w:rPr>
              <w:t>履约保证金不予退还的情形</w:t>
            </w:r>
          </w:p>
        </w:tc>
        <w:tc>
          <w:tcPr>
            <w:tcW w:w="5170" w:type="dxa"/>
            <w:vAlign w:val="center"/>
          </w:tcPr>
          <w:p w14:paraId="46FEA366">
            <w:pPr>
              <w:adjustRightInd w:val="0"/>
              <w:snapToGrid w:val="0"/>
              <w:spacing w:line="360" w:lineRule="auto"/>
              <w:jc w:val="left"/>
              <w:rPr>
                <w:rFonts w:ascii="宋体" w:hAnsi="宋体"/>
                <w:color w:val="auto"/>
                <w:highlight w:val="none"/>
              </w:rPr>
            </w:pPr>
            <w:r>
              <w:rPr>
                <w:rFonts w:hint="eastAsia" w:ascii="宋体" w:hAnsi="宋体"/>
                <w:color w:val="auto"/>
                <w:highlight w:val="none"/>
              </w:rPr>
              <w:t>1.乙方不履行合同，履约保证金不予退还；</w:t>
            </w:r>
          </w:p>
          <w:p w14:paraId="31CF4B22">
            <w:pPr>
              <w:adjustRightInd w:val="0"/>
              <w:snapToGrid w:val="0"/>
              <w:spacing w:line="360" w:lineRule="auto"/>
              <w:jc w:val="left"/>
              <w:rPr>
                <w:rFonts w:ascii="宋体" w:hAnsi="宋体"/>
                <w:color w:val="auto"/>
                <w:highlight w:val="none"/>
              </w:rPr>
            </w:pPr>
            <w:r>
              <w:rPr>
                <w:rFonts w:hint="eastAsia" w:ascii="宋体" w:hAnsi="宋体"/>
                <w:color w:val="auto"/>
                <w:highlight w:val="none"/>
              </w:rPr>
              <w:t>2.乙方未能按合同约定全面履行业务，甲方有权从履约保证金中取得补偿或赔偿，给甲方造成的损失超过履约保证金数额的，还应当对超过部分予以赔偿；</w:t>
            </w:r>
          </w:p>
        </w:tc>
      </w:tr>
      <w:tr w14:paraId="7B1E01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5ABB637">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177A2D21">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第13.3款</w:t>
            </w:r>
          </w:p>
        </w:tc>
        <w:tc>
          <w:tcPr>
            <w:tcW w:w="1742" w:type="dxa"/>
            <w:vAlign w:val="center"/>
          </w:tcPr>
          <w:p w14:paraId="452219F6">
            <w:pPr>
              <w:adjustRightInd w:val="0"/>
              <w:snapToGrid w:val="0"/>
              <w:spacing w:line="360" w:lineRule="auto"/>
              <w:jc w:val="left"/>
              <w:rPr>
                <w:rFonts w:ascii="宋体" w:hAnsi="宋体"/>
                <w:color w:val="auto"/>
                <w:highlight w:val="none"/>
              </w:rPr>
            </w:pPr>
            <w:r>
              <w:rPr>
                <w:rFonts w:hint="eastAsia" w:ascii="宋体" w:hAnsi="宋体"/>
                <w:color w:val="auto"/>
                <w:highlight w:val="none"/>
              </w:rPr>
              <w:t>履约保证金退还时间</w:t>
            </w:r>
          </w:p>
        </w:tc>
        <w:tc>
          <w:tcPr>
            <w:tcW w:w="5170" w:type="dxa"/>
            <w:vAlign w:val="center"/>
          </w:tcPr>
          <w:p w14:paraId="484ADD71">
            <w:pPr>
              <w:adjustRightInd w:val="0"/>
              <w:snapToGrid w:val="0"/>
              <w:spacing w:line="360" w:lineRule="auto"/>
              <w:jc w:val="left"/>
              <w:rPr>
                <w:rFonts w:ascii="宋体" w:hAnsi="宋体"/>
                <w:color w:val="auto"/>
                <w:highlight w:val="none"/>
              </w:rPr>
            </w:pPr>
            <w:r>
              <w:rPr>
                <w:rFonts w:hint="eastAsia" w:ascii="宋体" w:hAnsi="宋体"/>
                <w:color w:val="auto"/>
                <w:highlight w:val="none"/>
              </w:rPr>
              <w:t>在成交人投标文件中承诺的质保期满无质量问题退还履约保函。</w:t>
            </w:r>
          </w:p>
        </w:tc>
      </w:tr>
      <w:tr w14:paraId="47DA5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9202657">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716BAF58">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第14.1（6）项</w:t>
            </w:r>
          </w:p>
        </w:tc>
        <w:tc>
          <w:tcPr>
            <w:tcW w:w="1742" w:type="dxa"/>
            <w:vAlign w:val="center"/>
          </w:tcPr>
          <w:p w14:paraId="4B32B7B5">
            <w:pPr>
              <w:adjustRightInd w:val="0"/>
              <w:snapToGrid w:val="0"/>
              <w:spacing w:line="360" w:lineRule="auto"/>
              <w:jc w:val="left"/>
              <w:rPr>
                <w:rFonts w:ascii="宋体" w:hAnsi="宋体"/>
                <w:color w:val="auto"/>
                <w:highlight w:val="none"/>
              </w:rPr>
            </w:pPr>
            <w:r>
              <w:rPr>
                <w:rFonts w:hint="eastAsia" w:ascii="宋体" w:hAnsi="宋体"/>
                <w:color w:val="auto"/>
                <w:highlight w:val="none"/>
              </w:rPr>
              <w:t>乙方提供的其他服务</w:t>
            </w:r>
          </w:p>
        </w:tc>
        <w:tc>
          <w:tcPr>
            <w:tcW w:w="5170" w:type="dxa"/>
            <w:vAlign w:val="center"/>
          </w:tcPr>
          <w:p w14:paraId="73BE7497">
            <w:pPr>
              <w:pStyle w:val="59"/>
              <w:ind w:firstLine="0" w:firstLineChars="0"/>
              <w:rPr>
                <w:rFonts w:ascii="宋体" w:hAnsi="宋体" w:eastAsia="宋体" w:cs="Times New Roman"/>
                <w:color w:val="auto"/>
                <w:kern w:val="2"/>
                <w:sz w:val="21"/>
                <w:highlight w:val="none"/>
              </w:rPr>
            </w:pPr>
            <w:r>
              <w:rPr>
                <w:rFonts w:hint="eastAsia" w:ascii="宋体" w:hAnsi="宋体" w:eastAsia="宋体" w:cs="Times New Roman"/>
                <w:color w:val="auto"/>
                <w:kern w:val="2"/>
                <w:sz w:val="21"/>
                <w:highlight w:val="none"/>
              </w:rPr>
              <w:t>质保期内，乙方应对货物及主要部件、配件维修更换，对货物（人为故意损坏除外）提供全免费保修或免费更换；如出现故障，乙方应在接到通知后2小时内响应，24小时内抵达现场进行维修，若问题、故障在检修48小时内仍无法解决，乙方应在3个工作日内免费提供不低于故障货物规格型号档次的备用货物供甲方使用，直至故障货物修复，期间产生的所有费用均由乙方承担。更换的全新配件在使用期间的质保及售后均按本合同执行。</w:t>
            </w:r>
          </w:p>
          <w:p w14:paraId="6C8BBCE3">
            <w:pPr>
              <w:adjustRightInd w:val="0"/>
              <w:snapToGrid w:val="0"/>
              <w:spacing w:line="360" w:lineRule="auto"/>
              <w:jc w:val="left"/>
              <w:rPr>
                <w:rFonts w:ascii="宋体" w:hAnsi="宋体"/>
                <w:color w:val="auto"/>
                <w:highlight w:val="none"/>
              </w:rPr>
            </w:pPr>
            <w:r>
              <w:rPr>
                <w:rFonts w:hint="eastAsia" w:ascii="宋体" w:hAnsi="宋体"/>
                <w:color w:val="auto"/>
                <w:highlight w:val="none"/>
              </w:rPr>
              <w:t>质保期外，乙方应提供货物（设备）的终身维修服务，服务响应时间与质保期内保持一致，质保期外只收取甲方零配件成本费，其他免费。</w:t>
            </w:r>
          </w:p>
        </w:tc>
      </w:tr>
      <w:tr w14:paraId="1A9A1B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D4A0263">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第二节</w:t>
            </w:r>
          </w:p>
          <w:p w14:paraId="3B4A5A72">
            <w:pPr>
              <w:adjustRightInd w:val="0"/>
              <w:snapToGrid w:val="0"/>
              <w:spacing w:line="360" w:lineRule="auto"/>
              <w:jc w:val="center"/>
              <w:rPr>
                <w:rFonts w:ascii="宋体" w:hAnsi="宋体"/>
                <w:color w:val="auto"/>
                <w:highlight w:val="none"/>
              </w:rPr>
            </w:pPr>
            <w:r>
              <w:rPr>
                <w:rFonts w:hint="eastAsia" w:ascii="宋体" w:hAnsi="宋体"/>
                <w:color w:val="auto"/>
                <w:highlight w:val="none"/>
              </w:rPr>
              <w:t>第19.1款</w:t>
            </w:r>
          </w:p>
        </w:tc>
        <w:tc>
          <w:tcPr>
            <w:tcW w:w="1742" w:type="dxa"/>
            <w:vAlign w:val="center"/>
          </w:tcPr>
          <w:p w14:paraId="2E7C9005">
            <w:pPr>
              <w:adjustRightInd w:val="0"/>
              <w:snapToGrid w:val="0"/>
              <w:spacing w:line="360" w:lineRule="auto"/>
              <w:jc w:val="left"/>
              <w:rPr>
                <w:rFonts w:ascii="宋体" w:hAnsi="宋体"/>
                <w:color w:val="auto"/>
                <w:highlight w:val="none"/>
              </w:rPr>
            </w:pPr>
            <w:r>
              <w:rPr>
                <w:rFonts w:hint="eastAsia" w:ascii="宋体" w:hAnsi="宋体"/>
                <w:bCs/>
                <w:color w:val="auto"/>
                <w:highlight w:val="none"/>
              </w:rPr>
              <w:t>其他专用条款</w:t>
            </w:r>
          </w:p>
        </w:tc>
        <w:tc>
          <w:tcPr>
            <w:tcW w:w="5170" w:type="dxa"/>
            <w:vAlign w:val="center"/>
          </w:tcPr>
          <w:p w14:paraId="7BADEA07">
            <w:pPr>
              <w:adjustRightInd w:val="0"/>
              <w:snapToGrid w:val="0"/>
              <w:spacing w:line="400" w:lineRule="exact"/>
              <w:jc w:val="left"/>
              <w:rPr>
                <w:rFonts w:ascii="宋体" w:hAnsi="宋体"/>
                <w:color w:val="auto"/>
                <w:highlight w:val="none"/>
              </w:rPr>
            </w:pPr>
            <w:r>
              <w:rPr>
                <w:rFonts w:hint="eastAsia" w:ascii="宋体" w:hAnsi="宋体"/>
                <w:color w:val="auto"/>
                <w:highlight w:val="none"/>
              </w:rPr>
              <w:t>项目管理服务：乙方应指定不少于一人全权全程负责本项目的商务服务，以及货物安装、调试、咨询、培训和售后等技术服务工作。（如发生变更应及时书面通知甲方。）</w:t>
            </w:r>
          </w:p>
          <w:p w14:paraId="59F8030E">
            <w:pPr>
              <w:adjustRightInd w:val="0"/>
              <w:snapToGrid w:val="0"/>
              <w:spacing w:line="360" w:lineRule="auto"/>
              <w:jc w:val="left"/>
              <w:rPr>
                <w:rFonts w:ascii="宋体" w:hAnsi="宋体"/>
                <w:color w:val="auto"/>
                <w:highlight w:val="none"/>
              </w:rPr>
            </w:pPr>
            <w:r>
              <w:rPr>
                <w:rFonts w:hint="eastAsia" w:ascii="宋体" w:hAnsi="宋体"/>
                <w:color w:val="auto"/>
                <w:highlight w:val="none"/>
              </w:rPr>
              <w:t>项目负责人：</w:t>
            </w:r>
            <w:r>
              <w:rPr>
                <w:rFonts w:hint="eastAsia" w:ascii="宋体" w:hAnsi="宋体"/>
                <w:color w:val="auto"/>
                <w:highlight w:val="none"/>
                <w:u w:val="single"/>
              </w:rPr>
              <w:t xml:space="preserve">        </w:t>
            </w:r>
            <w:r>
              <w:rPr>
                <w:rFonts w:hint="eastAsia" w:ascii="宋体" w:hAnsi="宋体"/>
                <w:color w:val="auto"/>
                <w:highlight w:val="none"/>
              </w:rPr>
              <w:t>；联系电话：</w:t>
            </w:r>
            <w:r>
              <w:rPr>
                <w:rFonts w:hint="eastAsia" w:ascii="宋体" w:hAnsi="宋体"/>
                <w:color w:val="auto"/>
                <w:highlight w:val="none"/>
                <w:u w:val="single"/>
              </w:rPr>
              <w:t xml:space="preserve">          </w:t>
            </w:r>
          </w:p>
        </w:tc>
      </w:tr>
    </w:tbl>
    <w:p w14:paraId="25167CC5">
      <w:pPr>
        <w:rPr>
          <w:rFonts w:ascii="宋体" w:hAnsi="宋体"/>
          <w:b/>
          <w:bCs/>
          <w:color w:val="auto"/>
          <w:highlight w:val="none"/>
        </w:rPr>
      </w:pPr>
    </w:p>
    <w:p w14:paraId="6ABD4796">
      <w:pPr>
        <w:rPr>
          <w:rFonts w:ascii="宋体" w:hAnsi="宋体"/>
          <w:b/>
          <w:bCs/>
          <w:color w:val="auto"/>
          <w:highlight w:val="none"/>
        </w:rPr>
      </w:pPr>
      <w:r>
        <w:rPr>
          <w:rFonts w:hint="eastAsia" w:ascii="宋体" w:hAnsi="宋体"/>
          <w:b/>
          <w:bCs/>
          <w:color w:val="auto"/>
          <w:highlight w:val="none"/>
        </w:rPr>
        <w:t>附件1：货物分项报价一览表</w:t>
      </w:r>
    </w:p>
    <w:p w14:paraId="7A704445">
      <w:pPr>
        <w:rPr>
          <w:rFonts w:ascii="宋体" w:hAnsi="宋体"/>
          <w:b/>
          <w:bCs/>
          <w:color w:val="auto"/>
          <w:highlight w:val="none"/>
        </w:rPr>
      </w:pPr>
      <w:r>
        <w:rPr>
          <w:rFonts w:hint="eastAsia" w:ascii="宋体" w:hAnsi="宋体"/>
          <w:b/>
          <w:bCs/>
          <w:color w:val="auto"/>
          <w:highlight w:val="none"/>
        </w:rPr>
        <w:t>附件2：配置清单</w:t>
      </w:r>
    </w:p>
    <w:p w14:paraId="3FF7F1CB">
      <w:pPr>
        <w:rPr>
          <w:rFonts w:ascii="宋体" w:hAnsi="宋体"/>
          <w:b/>
          <w:bCs/>
          <w:color w:val="auto"/>
          <w:highlight w:val="none"/>
        </w:rPr>
      </w:pPr>
      <w:r>
        <w:rPr>
          <w:rFonts w:hint="eastAsia" w:ascii="宋体" w:hAnsi="宋体"/>
          <w:b/>
          <w:bCs/>
          <w:color w:val="auto"/>
          <w:highlight w:val="none"/>
        </w:rPr>
        <w:t>附件3：技术参数</w:t>
      </w:r>
    </w:p>
    <w:p w14:paraId="2603D3C9">
      <w:pPr>
        <w:rPr>
          <w:rFonts w:ascii="宋体" w:hAnsi="宋体"/>
          <w:b/>
          <w:bCs/>
          <w:color w:val="auto"/>
          <w:highlight w:val="none"/>
        </w:rPr>
      </w:pPr>
      <w:r>
        <w:rPr>
          <w:rFonts w:hint="eastAsia" w:ascii="宋体" w:hAnsi="宋体"/>
          <w:b/>
          <w:bCs/>
          <w:color w:val="auto"/>
          <w:highlight w:val="none"/>
        </w:rPr>
        <w:t>附件4：售后服务</w:t>
      </w:r>
    </w:p>
    <w:p w14:paraId="7BE09417">
      <w:pPr>
        <w:rPr>
          <w:rFonts w:ascii="宋体" w:hAnsi="宋体"/>
          <w:b/>
          <w:bCs/>
          <w:color w:val="auto"/>
          <w:highlight w:val="none"/>
        </w:rPr>
      </w:pPr>
      <w:r>
        <w:rPr>
          <w:rFonts w:hint="eastAsia" w:ascii="宋体" w:hAnsi="宋体"/>
          <w:b/>
          <w:bCs/>
          <w:color w:val="auto"/>
          <w:highlight w:val="none"/>
        </w:rPr>
        <w:t>附件5：授权委托书等</w:t>
      </w:r>
    </w:p>
    <w:p w14:paraId="719E40E5">
      <w:pPr>
        <w:rPr>
          <w:rFonts w:ascii="宋体" w:hAnsi="宋体"/>
          <w:b/>
          <w:bCs/>
          <w:color w:val="auto"/>
          <w:highlight w:val="none"/>
        </w:rPr>
      </w:pPr>
      <w:r>
        <w:rPr>
          <w:rFonts w:hint="eastAsia" w:ascii="宋体" w:hAnsi="宋体"/>
          <w:b/>
          <w:bCs/>
          <w:color w:val="auto"/>
          <w:highlight w:val="none"/>
        </w:rPr>
        <w:br w:type="page"/>
      </w:r>
    </w:p>
    <w:p w14:paraId="5F2C8BD9">
      <w:pPr>
        <w:rPr>
          <w:rFonts w:ascii="宋体" w:hAnsi="宋体"/>
          <w:b/>
          <w:bCs/>
          <w:color w:val="auto"/>
          <w:highlight w:val="none"/>
        </w:rPr>
      </w:pPr>
    </w:p>
    <w:p w14:paraId="4AFDEB02">
      <w:pPr>
        <w:widowControl/>
        <w:jc w:val="center"/>
        <w:outlineLvl w:val="0"/>
        <w:rPr>
          <w:rFonts w:ascii="宋体" w:hAnsi="宋体" w:cs="宋体"/>
          <w:b/>
          <w:color w:val="auto"/>
          <w:kern w:val="44"/>
          <w:sz w:val="36"/>
          <w:szCs w:val="36"/>
          <w:highlight w:val="none"/>
        </w:rPr>
      </w:pPr>
      <w:bookmarkStart w:id="244" w:name="_Toc16690"/>
      <w:bookmarkStart w:id="245" w:name="_Toc2131528488"/>
      <w:bookmarkStart w:id="246" w:name="_Toc4091"/>
      <w:bookmarkStart w:id="247" w:name="_Toc16887"/>
      <w:bookmarkStart w:id="248" w:name="_Toc11311"/>
      <w:bookmarkStart w:id="249" w:name="_Toc795"/>
      <w:bookmarkStart w:id="250" w:name="_Toc256363560"/>
      <w:r>
        <w:rPr>
          <w:rFonts w:hint="eastAsia" w:ascii="宋体" w:hAnsi="宋体" w:cs="宋体"/>
          <w:b/>
          <w:color w:val="auto"/>
          <w:kern w:val="44"/>
          <w:sz w:val="36"/>
          <w:szCs w:val="36"/>
          <w:highlight w:val="none"/>
        </w:rPr>
        <w:t xml:space="preserve">第五章  </w:t>
      </w:r>
      <w:bookmarkEnd w:id="244"/>
      <w:r>
        <w:rPr>
          <w:rFonts w:hint="eastAsia" w:ascii="宋体" w:hAnsi="宋体" w:cs="宋体"/>
          <w:b/>
          <w:color w:val="auto"/>
          <w:kern w:val="44"/>
          <w:sz w:val="36"/>
          <w:szCs w:val="36"/>
          <w:highlight w:val="none"/>
        </w:rPr>
        <w:t>采购需求</w:t>
      </w:r>
      <w:bookmarkEnd w:id="245"/>
      <w:bookmarkEnd w:id="246"/>
      <w:bookmarkEnd w:id="247"/>
      <w:bookmarkEnd w:id="248"/>
      <w:bookmarkEnd w:id="249"/>
    </w:p>
    <w:p w14:paraId="0A2D8A24">
      <w:pPr>
        <w:widowControl/>
        <w:spacing w:before="240" w:beforeLines="100" w:after="240" w:afterLines="100"/>
        <w:jc w:val="center"/>
        <w:outlineLvl w:val="1"/>
        <w:rPr>
          <w:b/>
          <w:color w:val="auto"/>
          <w:sz w:val="24"/>
          <w:highlight w:val="none"/>
        </w:rPr>
      </w:pPr>
      <w:bookmarkStart w:id="251" w:name="_Toc17012"/>
      <w:r>
        <w:rPr>
          <w:rFonts w:hint="eastAsia"/>
          <w:b/>
          <w:color w:val="auto"/>
          <w:sz w:val="24"/>
          <w:highlight w:val="none"/>
        </w:rPr>
        <w:t>（一）设备采购清单</w:t>
      </w:r>
      <w:bookmarkEnd w:id="251"/>
    </w:p>
    <w:tbl>
      <w:tblPr>
        <w:tblStyle w:val="38"/>
        <w:tblpPr w:leftFromText="180" w:rightFromText="180" w:vertAnchor="text" w:horzAnchor="page" w:tblpX="1515" w:tblpY="242"/>
        <w:tblOverlap w:val="never"/>
        <w:tblW w:w="9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1933"/>
        <w:gridCol w:w="1127"/>
        <w:gridCol w:w="644"/>
        <w:gridCol w:w="4995"/>
      </w:tblGrid>
      <w:tr w14:paraId="6B11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478" w:type="dxa"/>
            <w:tcBorders>
              <w:top w:val="single" w:color="auto" w:sz="4" w:space="0"/>
              <w:left w:val="single" w:color="auto" w:sz="4" w:space="0"/>
            </w:tcBorders>
            <w:vAlign w:val="center"/>
          </w:tcPr>
          <w:p w14:paraId="10193576">
            <w:pPr>
              <w:adjustRightInd w:val="0"/>
              <w:snapToGrid w:val="0"/>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1933" w:type="dxa"/>
            <w:tcBorders>
              <w:top w:val="single" w:color="auto" w:sz="4" w:space="0"/>
              <w:left w:val="single" w:color="auto" w:sz="4" w:space="0"/>
            </w:tcBorders>
            <w:vAlign w:val="center"/>
          </w:tcPr>
          <w:p w14:paraId="3224B40E">
            <w:pPr>
              <w:adjustRightInd w:val="0"/>
              <w:snapToGrid w:val="0"/>
              <w:jc w:val="center"/>
              <w:rPr>
                <w:rFonts w:ascii="宋体" w:hAnsi="宋体" w:cs="宋体"/>
                <w:b/>
                <w:bCs/>
                <w:color w:val="auto"/>
                <w:sz w:val="24"/>
                <w:highlight w:val="none"/>
              </w:rPr>
            </w:pPr>
            <w:r>
              <w:rPr>
                <w:rFonts w:hint="eastAsia" w:ascii="宋体" w:hAnsi="宋体" w:cs="宋体"/>
                <w:b/>
                <w:bCs/>
                <w:color w:val="auto"/>
                <w:sz w:val="24"/>
                <w:highlight w:val="none"/>
              </w:rPr>
              <w:t>仪器设备名称</w:t>
            </w:r>
          </w:p>
        </w:tc>
        <w:tc>
          <w:tcPr>
            <w:tcW w:w="1127" w:type="dxa"/>
            <w:tcBorders>
              <w:top w:val="single" w:color="auto" w:sz="4" w:space="0"/>
              <w:left w:val="single" w:color="auto" w:sz="4" w:space="0"/>
            </w:tcBorders>
            <w:vAlign w:val="center"/>
          </w:tcPr>
          <w:p w14:paraId="451C3BCD">
            <w:pPr>
              <w:adjustRightInd w:val="0"/>
              <w:snapToGrid w:val="0"/>
              <w:jc w:val="center"/>
              <w:rPr>
                <w:rFonts w:ascii="宋体" w:hAnsi="宋体" w:cs="宋体"/>
                <w:b/>
                <w:bCs/>
                <w:color w:val="auto"/>
                <w:sz w:val="24"/>
                <w:highlight w:val="none"/>
              </w:rPr>
            </w:pPr>
            <w:r>
              <w:rPr>
                <w:rFonts w:hint="eastAsia" w:ascii="宋体" w:hAnsi="宋体" w:cs="宋体"/>
                <w:b/>
                <w:bCs/>
                <w:color w:val="auto"/>
                <w:sz w:val="24"/>
                <w:highlight w:val="none"/>
              </w:rPr>
              <w:t>是否接受进口</w:t>
            </w:r>
          </w:p>
        </w:tc>
        <w:tc>
          <w:tcPr>
            <w:tcW w:w="644" w:type="dxa"/>
            <w:tcBorders>
              <w:top w:val="single" w:color="auto" w:sz="4" w:space="0"/>
              <w:left w:val="single" w:color="auto" w:sz="4" w:space="0"/>
            </w:tcBorders>
            <w:vAlign w:val="center"/>
          </w:tcPr>
          <w:p w14:paraId="672F0295">
            <w:pPr>
              <w:adjustRightInd w:val="0"/>
              <w:snapToGrid w:val="0"/>
              <w:jc w:val="center"/>
              <w:rPr>
                <w:rFonts w:ascii="宋体" w:hAnsi="宋体" w:cs="宋体"/>
                <w:b/>
                <w:bCs/>
                <w:color w:val="auto"/>
                <w:sz w:val="24"/>
                <w:highlight w:val="none"/>
              </w:rPr>
            </w:pPr>
            <w:r>
              <w:rPr>
                <w:rFonts w:hint="eastAsia" w:ascii="宋体" w:hAnsi="宋体" w:cs="宋体"/>
                <w:b/>
                <w:bCs/>
                <w:color w:val="auto"/>
                <w:sz w:val="24"/>
                <w:highlight w:val="none"/>
              </w:rPr>
              <w:t>数量</w:t>
            </w:r>
          </w:p>
        </w:tc>
        <w:tc>
          <w:tcPr>
            <w:tcW w:w="4995" w:type="dxa"/>
            <w:tcBorders>
              <w:top w:val="single" w:color="auto" w:sz="4" w:space="0"/>
              <w:left w:val="single" w:color="auto" w:sz="4" w:space="0"/>
            </w:tcBorders>
            <w:vAlign w:val="center"/>
          </w:tcPr>
          <w:p w14:paraId="1183098A">
            <w:pPr>
              <w:adjustRightInd w:val="0"/>
              <w:snapToGrid w:val="0"/>
              <w:jc w:val="center"/>
              <w:rPr>
                <w:rFonts w:ascii="宋体" w:hAnsi="宋体" w:cs="宋体"/>
                <w:b/>
                <w:bCs/>
                <w:color w:val="auto"/>
                <w:sz w:val="24"/>
                <w:highlight w:val="none"/>
              </w:rPr>
            </w:pPr>
            <w:r>
              <w:rPr>
                <w:rFonts w:hint="eastAsia" w:ascii="宋体" w:hAnsi="宋体" w:cs="宋体"/>
                <w:b/>
                <w:bCs/>
                <w:color w:val="auto"/>
                <w:sz w:val="24"/>
                <w:highlight w:val="none"/>
              </w:rPr>
              <w:t>配置要求</w:t>
            </w:r>
          </w:p>
        </w:tc>
      </w:tr>
      <w:tr w14:paraId="7EC3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478" w:type="dxa"/>
            <w:tcBorders>
              <w:left w:val="single" w:color="auto" w:sz="4" w:space="0"/>
            </w:tcBorders>
            <w:vAlign w:val="center"/>
          </w:tcPr>
          <w:p w14:paraId="2020159D">
            <w:pPr>
              <w:jc w:val="center"/>
              <w:rPr>
                <w:rFonts w:ascii="宋体" w:hAnsi="宋体" w:cs="宋体"/>
                <w:color w:val="auto"/>
                <w:sz w:val="24"/>
                <w:highlight w:val="none"/>
              </w:rPr>
            </w:pPr>
            <w:r>
              <w:rPr>
                <w:rFonts w:hint="eastAsia" w:ascii="宋体" w:hAnsi="宋体" w:cs="宋体"/>
                <w:color w:val="auto"/>
                <w:sz w:val="24"/>
                <w:highlight w:val="none"/>
              </w:rPr>
              <w:t>1</w:t>
            </w:r>
          </w:p>
        </w:tc>
        <w:tc>
          <w:tcPr>
            <w:tcW w:w="1933" w:type="dxa"/>
            <w:tcBorders>
              <w:left w:val="single" w:color="auto" w:sz="4" w:space="0"/>
            </w:tcBorders>
            <w:vAlign w:val="center"/>
          </w:tcPr>
          <w:p w14:paraId="09E9DE5D">
            <w:pPr>
              <w:jc w:val="center"/>
              <w:rPr>
                <w:rFonts w:ascii="宋体" w:hAnsi="宋体" w:cs="宋体"/>
                <w:color w:val="auto"/>
                <w:sz w:val="24"/>
                <w:highlight w:val="none"/>
              </w:rPr>
            </w:pPr>
            <w:r>
              <w:rPr>
                <w:rFonts w:hint="eastAsia" w:ascii="宋体" w:hAnsi="宋体" w:cs="宋体"/>
                <w:color w:val="auto"/>
                <w:sz w:val="24"/>
                <w:highlight w:val="none"/>
              </w:rPr>
              <w:t>纳米红外高光谱检测系统</w:t>
            </w:r>
          </w:p>
        </w:tc>
        <w:tc>
          <w:tcPr>
            <w:tcW w:w="1127" w:type="dxa"/>
            <w:tcBorders>
              <w:left w:val="single" w:color="auto" w:sz="4" w:space="0"/>
            </w:tcBorders>
            <w:vAlign w:val="center"/>
          </w:tcPr>
          <w:p w14:paraId="6C043D58">
            <w:pPr>
              <w:adjustRightInd w:val="0"/>
              <w:snapToGrid w:val="0"/>
              <w:jc w:val="center"/>
              <w:rPr>
                <w:rFonts w:ascii="宋体" w:hAnsi="宋体" w:cs="宋体"/>
                <w:color w:val="auto"/>
                <w:sz w:val="24"/>
                <w:highlight w:val="none"/>
              </w:rPr>
            </w:pPr>
            <w:r>
              <w:rPr>
                <w:rFonts w:hint="eastAsia" w:ascii="宋体" w:hAnsi="宋体" w:cs="宋体"/>
                <w:color w:val="auto"/>
                <w:sz w:val="24"/>
                <w:highlight w:val="none"/>
              </w:rPr>
              <w:t>是</w:t>
            </w:r>
          </w:p>
        </w:tc>
        <w:tc>
          <w:tcPr>
            <w:tcW w:w="644" w:type="dxa"/>
            <w:tcBorders>
              <w:left w:val="single" w:color="auto" w:sz="4" w:space="0"/>
            </w:tcBorders>
            <w:vAlign w:val="center"/>
          </w:tcPr>
          <w:p w14:paraId="79B25592">
            <w:pPr>
              <w:adjustRightInd w:val="0"/>
              <w:snapToGrid w:val="0"/>
              <w:jc w:val="center"/>
              <w:rPr>
                <w:rFonts w:ascii="宋体" w:hAnsi="宋体" w:cs="宋体"/>
                <w:color w:val="auto"/>
                <w:sz w:val="24"/>
                <w:highlight w:val="none"/>
              </w:rPr>
            </w:pPr>
            <w:r>
              <w:rPr>
                <w:rFonts w:hint="eastAsia" w:ascii="宋体" w:hAnsi="宋体" w:cs="宋体"/>
                <w:color w:val="auto"/>
                <w:sz w:val="24"/>
                <w:highlight w:val="none"/>
              </w:rPr>
              <w:t>1</w:t>
            </w:r>
          </w:p>
        </w:tc>
        <w:tc>
          <w:tcPr>
            <w:tcW w:w="4995" w:type="dxa"/>
            <w:tcBorders>
              <w:left w:val="single" w:color="auto" w:sz="4" w:space="0"/>
            </w:tcBorders>
            <w:vAlign w:val="center"/>
          </w:tcPr>
          <w:p w14:paraId="4989C4F0">
            <w:pPr>
              <w:spacing w:line="360" w:lineRule="auto"/>
              <w:jc w:val="left"/>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w:t>
            </w:r>
            <w:r>
              <w:rPr>
                <w:rFonts w:hint="eastAsia" w:ascii="宋体" w:hAnsi="宋体" w:cs="宋体"/>
                <w:color w:val="auto"/>
                <w:sz w:val="24"/>
                <w:highlight w:val="none"/>
              </w:rPr>
              <w:t>纳米红外高光谱检测系统主机 1套</w:t>
            </w:r>
          </w:p>
          <w:p w14:paraId="4555119D">
            <w:pPr>
              <w:spacing w:line="360" w:lineRule="auto"/>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中红外量子级联脉冲/连续波激光器 1台</w:t>
            </w:r>
          </w:p>
          <w:p w14:paraId="6B91997C">
            <w:pPr>
              <w:spacing w:line="360" w:lineRule="auto"/>
              <w:jc w:val="left"/>
              <w:rPr>
                <w:rFonts w:ascii="宋体" w:hAns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rPr>
              <w:t>纳米级热分析模块 1个</w:t>
            </w:r>
          </w:p>
          <w:p w14:paraId="4BBA2800">
            <w:pPr>
              <w:spacing w:line="360" w:lineRule="auto"/>
              <w:jc w:val="left"/>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隔音罩 1个</w:t>
            </w:r>
          </w:p>
          <w:p w14:paraId="3F9D6EE0">
            <w:pPr>
              <w:spacing w:line="360" w:lineRule="auto"/>
              <w:jc w:val="left"/>
              <w:rPr>
                <w:rFonts w:ascii="宋体" w:hAnsi="宋体" w:cs="宋体"/>
                <w:color w:val="auto"/>
                <w:sz w:val="24"/>
                <w:highlight w:val="none"/>
              </w:rPr>
            </w:pPr>
            <w:r>
              <w:rPr>
                <w:rFonts w:ascii="宋体" w:hAnsi="宋体" w:cs="宋体"/>
                <w:color w:val="auto"/>
                <w:sz w:val="24"/>
                <w:highlight w:val="none"/>
              </w:rPr>
              <w:t>5.</w:t>
            </w:r>
            <w:r>
              <w:rPr>
                <w:rFonts w:hint="eastAsia" w:ascii="宋体" w:hAnsi="宋体" w:cs="宋体"/>
                <w:color w:val="auto"/>
                <w:sz w:val="24"/>
                <w:highlight w:val="none"/>
              </w:rPr>
              <w:t>近场光学显微镜用探针 50根</w:t>
            </w:r>
          </w:p>
          <w:p w14:paraId="15B37047">
            <w:pPr>
              <w:spacing w:line="360" w:lineRule="auto"/>
              <w:jc w:val="left"/>
              <w:rPr>
                <w:rFonts w:ascii="宋体" w:hAnsi="宋体" w:cs="宋体"/>
                <w:color w:val="auto"/>
                <w:sz w:val="24"/>
                <w:highlight w:val="none"/>
              </w:rPr>
            </w:pPr>
            <w:r>
              <w:rPr>
                <w:rFonts w:ascii="宋体" w:hAnsi="宋体" w:cs="宋体"/>
                <w:color w:val="auto"/>
                <w:sz w:val="24"/>
                <w:highlight w:val="none"/>
              </w:rPr>
              <w:t>6.</w:t>
            </w:r>
            <w:r>
              <w:rPr>
                <w:rFonts w:hint="eastAsia" w:ascii="宋体" w:hAnsi="宋体" w:cs="宋体"/>
                <w:color w:val="auto"/>
                <w:sz w:val="24"/>
                <w:highlight w:val="none"/>
              </w:rPr>
              <w:t>轻敲模式AFM-IR探针 50根</w:t>
            </w:r>
          </w:p>
          <w:p w14:paraId="1FE712A9">
            <w:pPr>
              <w:spacing w:line="360" w:lineRule="auto"/>
              <w:jc w:val="left"/>
              <w:rPr>
                <w:rFonts w:ascii="宋体" w:hAnsi="宋体" w:cs="宋体"/>
                <w:color w:val="auto"/>
                <w:sz w:val="24"/>
                <w:highlight w:val="none"/>
              </w:rPr>
            </w:pPr>
            <w:r>
              <w:rPr>
                <w:rFonts w:ascii="宋体" w:hAnsi="宋体" w:cs="宋体"/>
                <w:color w:val="auto"/>
                <w:sz w:val="24"/>
                <w:highlight w:val="none"/>
              </w:rPr>
              <w:t>7.</w:t>
            </w:r>
            <w:r>
              <w:rPr>
                <w:rFonts w:hint="eastAsia" w:ascii="宋体" w:hAnsi="宋体" w:cs="宋体"/>
                <w:color w:val="auto"/>
                <w:sz w:val="24"/>
                <w:highlight w:val="none"/>
              </w:rPr>
              <w:t>扫描热显微镜用探针 50根</w:t>
            </w:r>
          </w:p>
        </w:tc>
      </w:tr>
    </w:tbl>
    <w:p w14:paraId="31E1126E">
      <w:pPr>
        <w:rPr>
          <w:color w:val="auto"/>
          <w:highlight w:val="none"/>
        </w:rPr>
      </w:pPr>
    </w:p>
    <w:p w14:paraId="228CE6D8">
      <w:pPr>
        <w:widowControl/>
        <w:jc w:val="left"/>
        <w:rPr>
          <w:rFonts w:ascii="宋体" w:hAnsi="宋体" w:cs="宋体"/>
          <w:b/>
          <w:color w:val="auto"/>
          <w:sz w:val="30"/>
          <w:szCs w:val="30"/>
          <w:highlight w:val="none"/>
        </w:rPr>
      </w:pPr>
      <w:r>
        <w:rPr>
          <w:rFonts w:ascii="宋体" w:hAnsi="宋体" w:cs="宋体"/>
          <w:b/>
          <w:color w:val="auto"/>
          <w:sz w:val="30"/>
          <w:szCs w:val="30"/>
          <w:highlight w:val="none"/>
        </w:rPr>
        <w:br w:type="page"/>
      </w:r>
    </w:p>
    <w:p w14:paraId="1280C0FE">
      <w:pPr>
        <w:spacing w:before="240" w:beforeLines="100" w:after="240" w:afterLines="100" w:line="360" w:lineRule="auto"/>
        <w:jc w:val="center"/>
        <w:outlineLvl w:val="1"/>
        <w:rPr>
          <w:b/>
          <w:color w:val="auto"/>
          <w:sz w:val="24"/>
          <w:highlight w:val="none"/>
        </w:rPr>
      </w:pPr>
      <w:bookmarkStart w:id="252" w:name="_Toc277098562"/>
      <w:bookmarkStart w:id="253" w:name="_Toc23712"/>
      <w:bookmarkStart w:id="254" w:name="_Toc1064"/>
      <w:bookmarkStart w:id="255" w:name="_Toc11255"/>
      <w:r>
        <w:rPr>
          <w:rFonts w:hint="eastAsia"/>
          <w:b/>
          <w:color w:val="auto"/>
          <w:sz w:val="24"/>
          <w:highlight w:val="none"/>
        </w:rPr>
        <w:t>（二）</w:t>
      </w:r>
      <w:bookmarkEnd w:id="252"/>
      <w:r>
        <w:rPr>
          <w:b/>
          <w:bCs/>
          <w:color w:val="auto"/>
          <w:sz w:val="24"/>
          <w:highlight w:val="none"/>
        </w:rPr>
        <w:t>纳米红外高光谱检测系统技术参数</w:t>
      </w:r>
      <w:bookmarkEnd w:id="253"/>
      <w:bookmarkEnd w:id="254"/>
      <w:bookmarkEnd w:id="255"/>
    </w:p>
    <w:tbl>
      <w:tblPr>
        <w:tblStyle w:val="38"/>
        <w:tblW w:w="8642" w:type="dxa"/>
        <w:jc w:val="center"/>
        <w:tblLayout w:type="autofit"/>
        <w:tblCellMar>
          <w:top w:w="0" w:type="dxa"/>
          <w:left w:w="108" w:type="dxa"/>
          <w:bottom w:w="0" w:type="dxa"/>
          <w:right w:w="108" w:type="dxa"/>
        </w:tblCellMar>
      </w:tblPr>
      <w:tblGrid>
        <w:gridCol w:w="640"/>
        <w:gridCol w:w="610"/>
        <w:gridCol w:w="5408"/>
        <w:gridCol w:w="1984"/>
      </w:tblGrid>
      <w:tr w14:paraId="3117D591">
        <w:tblPrEx>
          <w:tblCellMar>
            <w:top w:w="0" w:type="dxa"/>
            <w:left w:w="108" w:type="dxa"/>
            <w:bottom w:w="0" w:type="dxa"/>
            <w:right w:w="108" w:type="dxa"/>
          </w:tblCellMar>
        </w:tblPrEx>
        <w:trPr>
          <w:trHeight w:val="1444" w:hRule="atLeast"/>
          <w:jc w:val="center"/>
        </w:trPr>
        <w:tc>
          <w:tcPr>
            <w:tcW w:w="64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0787F8D">
            <w:pPr>
              <w:widowControl/>
              <w:jc w:val="center"/>
              <w:textAlignment w:val="center"/>
              <w:rPr>
                <w:b/>
                <w:bCs/>
                <w:color w:val="auto"/>
                <w:sz w:val="24"/>
                <w:highlight w:val="none"/>
              </w:rPr>
            </w:pPr>
            <w:r>
              <w:rPr>
                <w:b/>
                <w:bCs/>
                <w:color w:val="auto"/>
                <w:kern w:val="0"/>
                <w:sz w:val="24"/>
                <w:highlight w:val="none"/>
                <w:lang w:bidi="ar"/>
              </w:rPr>
              <w:t>序号</w:t>
            </w:r>
          </w:p>
        </w:tc>
        <w:tc>
          <w:tcPr>
            <w:tcW w:w="61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9C235AA">
            <w:pPr>
              <w:widowControl/>
              <w:jc w:val="center"/>
              <w:textAlignment w:val="center"/>
              <w:rPr>
                <w:b/>
                <w:bCs/>
                <w:color w:val="auto"/>
                <w:sz w:val="24"/>
                <w:highlight w:val="none"/>
              </w:rPr>
            </w:pPr>
            <w:r>
              <w:rPr>
                <w:b/>
                <w:bCs/>
                <w:color w:val="auto"/>
                <w:kern w:val="0"/>
                <w:sz w:val="24"/>
                <w:highlight w:val="none"/>
                <w:lang w:bidi="ar"/>
              </w:rPr>
              <w:t>重要性</w:t>
            </w:r>
          </w:p>
        </w:tc>
        <w:tc>
          <w:tcPr>
            <w:tcW w:w="5408"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A9194E6">
            <w:pPr>
              <w:widowControl/>
              <w:jc w:val="center"/>
              <w:textAlignment w:val="center"/>
              <w:rPr>
                <w:b/>
                <w:bCs/>
                <w:color w:val="auto"/>
                <w:sz w:val="24"/>
                <w:highlight w:val="none"/>
              </w:rPr>
            </w:pPr>
            <w:r>
              <w:rPr>
                <w:rFonts w:hint="eastAsia"/>
                <w:b/>
                <w:bCs/>
                <w:color w:val="auto"/>
                <w:kern w:val="0"/>
                <w:sz w:val="24"/>
                <w:highlight w:val="none"/>
                <w:lang w:bidi="ar"/>
              </w:rPr>
              <w:t>技术参数</w:t>
            </w:r>
          </w:p>
        </w:tc>
        <w:tc>
          <w:tcPr>
            <w:tcW w:w="198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E0A02BD">
            <w:pPr>
              <w:widowControl/>
              <w:jc w:val="center"/>
              <w:textAlignment w:val="center"/>
              <w:rPr>
                <w:b/>
                <w:bCs/>
                <w:color w:val="auto"/>
                <w:sz w:val="24"/>
                <w:highlight w:val="none"/>
              </w:rPr>
            </w:pPr>
            <w:r>
              <w:rPr>
                <w:b/>
                <w:bCs/>
                <w:color w:val="auto"/>
                <w:sz w:val="24"/>
                <w:highlight w:val="none"/>
              </w:rPr>
              <w:t>是否需要提供证明材料</w:t>
            </w:r>
            <w:r>
              <w:rPr>
                <w:rFonts w:hint="eastAsia"/>
                <w:b/>
                <w:bCs/>
                <w:color w:val="auto"/>
                <w:sz w:val="24"/>
                <w:highlight w:val="none"/>
              </w:rPr>
              <w:t>及技术证明材料的形式</w:t>
            </w:r>
          </w:p>
        </w:tc>
      </w:tr>
      <w:tr w14:paraId="0CC1B28B">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7A68EB65">
            <w:pPr>
              <w:widowControl/>
              <w:spacing w:line="360" w:lineRule="auto"/>
              <w:jc w:val="center"/>
              <w:textAlignment w:val="center"/>
              <w:rPr>
                <w:rFonts w:eastAsiaTheme="minorEastAsia"/>
                <w:b/>
                <w:bCs/>
                <w:color w:val="auto"/>
                <w:kern w:val="0"/>
                <w:sz w:val="24"/>
                <w:highlight w:val="none"/>
                <w:lang w:bidi="ar"/>
              </w:rPr>
            </w:pPr>
            <w:r>
              <w:rPr>
                <w:rFonts w:eastAsiaTheme="minorEastAsia"/>
                <w:color w:val="auto"/>
                <w:kern w:val="0"/>
                <w:highlight w:val="none"/>
                <w:lang w:bidi="ar"/>
              </w:rPr>
              <w:t>1</w:t>
            </w:r>
          </w:p>
        </w:tc>
        <w:tc>
          <w:tcPr>
            <w:tcW w:w="610" w:type="dxa"/>
            <w:tcBorders>
              <w:top w:val="single" w:color="000000" w:sz="4" w:space="0"/>
              <w:left w:val="single" w:color="000000" w:sz="4" w:space="0"/>
              <w:bottom w:val="single" w:color="000000" w:sz="4" w:space="0"/>
              <w:right w:val="single" w:color="000000" w:sz="4" w:space="0"/>
            </w:tcBorders>
            <w:vAlign w:val="center"/>
          </w:tcPr>
          <w:p w14:paraId="261B8C16">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09D9EE5A">
            <w:pPr>
              <w:widowControl/>
              <w:spacing w:line="360" w:lineRule="auto"/>
              <w:textAlignment w:val="center"/>
              <w:rPr>
                <w:rFonts w:eastAsiaTheme="minorEastAsia"/>
                <w:b/>
                <w:bCs/>
                <w:color w:val="auto"/>
                <w:kern w:val="0"/>
                <w:sz w:val="24"/>
                <w:highlight w:val="none"/>
                <w:lang w:bidi="ar"/>
              </w:rPr>
            </w:pPr>
            <w:r>
              <w:rPr>
                <w:rFonts w:eastAsiaTheme="minorEastAsia"/>
                <w:color w:val="auto"/>
                <w:kern w:val="0"/>
                <w:szCs w:val="21"/>
                <w:highlight w:val="none"/>
                <w:lang w:bidi="ar"/>
              </w:rPr>
              <w:t>本系统应为一体化设计的扫描探针平台，集成纳米红外光谱分析、近场光学成像与表面多物理性能表征功能，避免多模块拼接方案所带来的光路偏差、功能兼容性差及系统稳定性不足等问题，确保纳米尺度测试的空间分辨率与数据一致性。</w:t>
            </w:r>
          </w:p>
        </w:tc>
        <w:tc>
          <w:tcPr>
            <w:tcW w:w="1984" w:type="dxa"/>
            <w:tcBorders>
              <w:top w:val="single" w:color="000000" w:sz="4" w:space="0"/>
              <w:left w:val="single" w:color="000000" w:sz="4" w:space="0"/>
              <w:bottom w:val="single" w:color="000000" w:sz="4" w:space="0"/>
              <w:right w:val="single" w:color="000000" w:sz="4" w:space="0"/>
            </w:tcBorders>
            <w:vAlign w:val="center"/>
          </w:tcPr>
          <w:p w14:paraId="0899BBAE">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293DD8C4">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7DEB380A">
            <w:pPr>
              <w:widowControl/>
              <w:spacing w:line="360" w:lineRule="auto"/>
              <w:jc w:val="center"/>
              <w:textAlignment w:val="center"/>
              <w:rPr>
                <w:rFonts w:eastAsiaTheme="minorEastAsia"/>
                <w:b/>
                <w:bCs/>
                <w:color w:val="auto"/>
                <w:kern w:val="0"/>
                <w:sz w:val="24"/>
                <w:highlight w:val="none"/>
                <w:lang w:bidi="ar"/>
              </w:rPr>
            </w:pPr>
            <w:r>
              <w:rPr>
                <w:rFonts w:eastAsiaTheme="minorEastAsia"/>
                <w:color w:val="auto"/>
                <w:kern w:val="0"/>
                <w:highlight w:val="none"/>
                <w:lang w:bidi="ar"/>
              </w:rPr>
              <w:t>2</w:t>
            </w:r>
          </w:p>
        </w:tc>
        <w:tc>
          <w:tcPr>
            <w:tcW w:w="610" w:type="dxa"/>
            <w:tcBorders>
              <w:top w:val="single" w:color="000000" w:sz="4" w:space="0"/>
              <w:left w:val="single" w:color="000000" w:sz="4" w:space="0"/>
              <w:bottom w:val="single" w:color="000000" w:sz="4" w:space="0"/>
              <w:right w:val="single" w:color="000000" w:sz="4" w:space="0"/>
            </w:tcBorders>
            <w:vAlign w:val="center"/>
          </w:tcPr>
          <w:p w14:paraId="43D1C4A7">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61721F98">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配置高分辨率明场显微镜模块，用于快速识别和定位感兴趣的样品区域，支持与原子力显微镜（AFM）扫描区域的精准对位。</w:t>
            </w:r>
          </w:p>
        </w:tc>
        <w:tc>
          <w:tcPr>
            <w:tcW w:w="1984" w:type="dxa"/>
            <w:tcBorders>
              <w:top w:val="single" w:color="000000" w:sz="4" w:space="0"/>
              <w:left w:val="single" w:color="000000" w:sz="4" w:space="0"/>
              <w:bottom w:val="single" w:color="000000" w:sz="4" w:space="0"/>
              <w:right w:val="single" w:color="000000" w:sz="4" w:space="0"/>
            </w:tcBorders>
            <w:vAlign w:val="center"/>
          </w:tcPr>
          <w:p w14:paraId="7232FDC1">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0B53A9EF">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44B19039">
            <w:pPr>
              <w:widowControl/>
              <w:spacing w:line="360" w:lineRule="auto"/>
              <w:jc w:val="center"/>
              <w:textAlignment w:val="center"/>
              <w:rPr>
                <w:rFonts w:eastAsiaTheme="minorEastAsia"/>
                <w:b/>
                <w:bCs/>
                <w:color w:val="auto"/>
                <w:kern w:val="0"/>
                <w:sz w:val="24"/>
                <w:highlight w:val="none"/>
                <w:lang w:bidi="ar"/>
              </w:rPr>
            </w:pPr>
            <w:r>
              <w:rPr>
                <w:rFonts w:eastAsiaTheme="minorEastAsia"/>
                <w:color w:val="auto"/>
                <w:kern w:val="0"/>
                <w:highlight w:val="none"/>
                <w:lang w:bidi="ar"/>
              </w:rPr>
              <w:t>3</w:t>
            </w:r>
          </w:p>
        </w:tc>
        <w:tc>
          <w:tcPr>
            <w:tcW w:w="610" w:type="dxa"/>
            <w:tcBorders>
              <w:top w:val="single" w:color="000000" w:sz="4" w:space="0"/>
              <w:left w:val="single" w:color="000000" w:sz="4" w:space="0"/>
              <w:bottom w:val="single" w:color="000000" w:sz="4" w:space="0"/>
              <w:right w:val="single" w:color="000000" w:sz="4" w:space="0"/>
            </w:tcBorders>
            <w:vAlign w:val="center"/>
          </w:tcPr>
          <w:p w14:paraId="6AF6BD4F">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16C98167">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显微镜配备高速数字相机，像素 ≥ 500万，分辨率</w:t>
            </w:r>
            <w:r>
              <w:rPr>
                <w:rFonts w:hint="eastAsia" w:eastAsiaTheme="minorEastAsia"/>
                <w:color w:val="auto"/>
                <w:highlight w:val="none"/>
              </w:rPr>
              <w:t xml:space="preserve"> </w:t>
            </w:r>
            <w:r>
              <w:rPr>
                <w:rFonts w:eastAsiaTheme="minorEastAsia"/>
                <w:color w:val="auto"/>
                <w:highlight w:val="none"/>
              </w:rPr>
              <w:t>≤ 1.5 μm，配10倍物镜</w:t>
            </w:r>
            <w:r>
              <w:rPr>
                <w:rFonts w:hint="eastAsia" w:eastAsiaTheme="minorEastAsia"/>
                <w:color w:val="auto"/>
                <w:highlight w:val="none"/>
                <w:lang w:eastAsia="zh-CN"/>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4B761014">
            <w:pPr>
              <w:widowControl/>
              <w:spacing w:before="120" w:beforeLines="50" w:after="120" w:afterLines="50"/>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0C39EDBA">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54D42BE9">
            <w:pPr>
              <w:widowControl/>
              <w:spacing w:line="360" w:lineRule="auto"/>
              <w:jc w:val="center"/>
              <w:textAlignment w:val="center"/>
              <w:rPr>
                <w:rFonts w:hint="eastAsia" w:eastAsiaTheme="minorEastAsia"/>
                <w:color w:val="auto"/>
                <w:kern w:val="0"/>
                <w:highlight w:val="none"/>
                <w:lang w:val="en-US" w:eastAsia="zh-CN" w:bidi="ar"/>
              </w:rPr>
            </w:pPr>
            <w:r>
              <w:rPr>
                <w:rFonts w:hint="eastAsia" w:eastAsiaTheme="minorEastAsia"/>
                <w:color w:val="auto"/>
                <w:kern w:val="0"/>
                <w:highlight w:val="none"/>
                <w:lang w:val="en-US" w:eastAsia="zh-CN" w:bidi="ar"/>
              </w:rPr>
              <w:t>4</w:t>
            </w:r>
          </w:p>
        </w:tc>
        <w:tc>
          <w:tcPr>
            <w:tcW w:w="610" w:type="dxa"/>
            <w:tcBorders>
              <w:top w:val="single" w:color="000000" w:sz="4" w:space="0"/>
              <w:left w:val="single" w:color="000000" w:sz="4" w:space="0"/>
              <w:bottom w:val="single" w:color="000000" w:sz="4" w:space="0"/>
              <w:right w:val="single" w:color="000000" w:sz="4" w:space="0"/>
            </w:tcBorders>
            <w:vAlign w:val="center"/>
          </w:tcPr>
          <w:p w14:paraId="6D1011B0">
            <w:pPr>
              <w:widowControl/>
              <w:spacing w:line="360" w:lineRule="auto"/>
              <w:jc w:val="center"/>
              <w:textAlignment w:val="center"/>
              <w:rPr>
                <w:rFonts w:eastAsiaTheme="minorEastAsia"/>
                <w:color w:val="auto"/>
                <w:highlight w:val="none"/>
              </w:rPr>
            </w:pPr>
            <w:r>
              <w:rPr>
                <w:rFonts w:eastAsiaTheme="minorEastAsia"/>
                <w:color w:val="auto"/>
                <w:highlight w:val="none"/>
              </w:rPr>
              <w:t>*</w:t>
            </w:r>
          </w:p>
        </w:tc>
        <w:tc>
          <w:tcPr>
            <w:tcW w:w="5408" w:type="dxa"/>
            <w:tcBorders>
              <w:top w:val="single" w:color="000000" w:sz="4" w:space="0"/>
              <w:left w:val="single" w:color="000000" w:sz="4" w:space="0"/>
              <w:bottom w:val="single" w:color="000000" w:sz="4" w:space="0"/>
              <w:right w:val="single" w:color="000000" w:sz="4" w:space="0"/>
            </w:tcBorders>
            <w:vAlign w:val="center"/>
          </w:tcPr>
          <w:p w14:paraId="0B518E13">
            <w:pPr>
              <w:widowControl/>
              <w:spacing w:line="360" w:lineRule="auto"/>
              <w:textAlignment w:val="center"/>
              <w:rPr>
                <w:rFonts w:eastAsiaTheme="minorEastAsia"/>
                <w:color w:val="auto"/>
                <w:highlight w:val="none"/>
              </w:rPr>
            </w:pPr>
            <w:r>
              <w:rPr>
                <w:rFonts w:eastAsiaTheme="minorEastAsia"/>
                <w:color w:val="auto"/>
                <w:highlight w:val="none"/>
              </w:rPr>
              <w:t>高速数字相机视野范围</w:t>
            </w:r>
            <w:r>
              <w:rPr>
                <w:rFonts w:hint="eastAsia" w:eastAsiaTheme="minorEastAsia"/>
                <w:color w:val="auto"/>
                <w:highlight w:val="none"/>
                <w:lang w:eastAsia="zh-CN"/>
              </w:rPr>
              <w:t>要求：</w:t>
            </w:r>
            <w:r>
              <w:rPr>
                <w:rFonts w:eastAsiaTheme="minorEastAsia"/>
                <w:color w:val="auto"/>
                <w:highlight w:val="none"/>
              </w:rPr>
              <w:t>大视野</w:t>
            </w:r>
            <w:r>
              <w:rPr>
                <w:rFonts w:hint="eastAsia" w:eastAsiaTheme="minorEastAsia"/>
                <w:color w:val="auto"/>
                <w:highlight w:val="none"/>
              </w:rPr>
              <w:t xml:space="preserve"> </w:t>
            </w:r>
            <w:r>
              <w:rPr>
                <w:rFonts w:eastAsiaTheme="minorEastAsia"/>
                <w:color w:val="auto"/>
                <w:highlight w:val="none"/>
              </w:rPr>
              <w:t>≥ 900 µm × 600 µm，小视野</w:t>
            </w:r>
            <w:r>
              <w:rPr>
                <w:rFonts w:hint="eastAsia" w:eastAsiaTheme="minorEastAsia"/>
                <w:color w:val="auto"/>
                <w:highlight w:val="none"/>
              </w:rPr>
              <w:t xml:space="preserve"> </w:t>
            </w:r>
            <w:r>
              <w:rPr>
                <w:rFonts w:eastAsiaTheme="minorEastAsia"/>
                <w:color w:val="auto"/>
                <w:highlight w:val="none"/>
              </w:rPr>
              <w:t>≤ 450 µm × 300 µm。</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E068">
            <w:pPr>
              <w:widowControl/>
              <w:spacing w:before="120" w:beforeLines="50" w:after="120" w:afterLines="50"/>
              <w:textAlignment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eastAsiaTheme="minorEastAsia"/>
                <w:color w:val="auto"/>
                <w:highlight w:val="none"/>
              </w:rPr>
              <w:t>是，</w:t>
            </w:r>
            <w:r>
              <w:rPr>
                <w:rFonts w:eastAsiaTheme="minorEastAsia"/>
                <w:color w:val="auto"/>
                <w:highlight w:val="none"/>
              </w:rPr>
              <w:t>需</w:t>
            </w:r>
            <w:r>
              <w:rPr>
                <w:rFonts w:hint="eastAsia" w:eastAsiaTheme="minorEastAsia"/>
                <w:color w:val="auto"/>
                <w:highlight w:val="none"/>
              </w:rPr>
              <w:t>要</w:t>
            </w:r>
            <w:r>
              <w:rPr>
                <w:rFonts w:eastAsiaTheme="minorEastAsia"/>
                <w:color w:val="auto"/>
                <w:highlight w:val="none"/>
              </w:rPr>
              <w:t>提供软件</w:t>
            </w:r>
            <w:r>
              <w:rPr>
                <w:rFonts w:hint="eastAsia" w:eastAsiaTheme="minorEastAsia"/>
                <w:color w:val="auto"/>
                <w:highlight w:val="none"/>
              </w:rPr>
              <w:t>操作页面证明</w:t>
            </w:r>
            <w:r>
              <w:rPr>
                <w:rFonts w:eastAsiaTheme="minorEastAsia"/>
                <w:color w:val="auto"/>
                <w:highlight w:val="none"/>
              </w:rPr>
              <w:t>大视野</w:t>
            </w:r>
            <w:r>
              <w:rPr>
                <w:rFonts w:hint="eastAsia" w:eastAsiaTheme="minorEastAsia"/>
                <w:color w:val="auto"/>
                <w:highlight w:val="none"/>
              </w:rPr>
              <w:t xml:space="preserve"> </w:t>
            </w:r>
            <w:r>
              <w:rPr>
                <w:rFonts w:eastAsiaTheme="minorEastAsia"/>
                <w:color w:val="auto"/>
                <w:highlight w:val="none"/>
              </w:rPr>
              <w:t>≥ 900 µm × 600 µm</w:t>
            </w:r>
            <w:r>
              <w:rPr>
                <w:rFonts w:hint="eastAsia" w:eastAsiaTheme="minorEastAsia"/>
                <w:color w:val="auto"/>
                <w:highlight w:val="none"/>
              </w:rPr>
              <w:t>和</w:t>
            </w:r>
            <w:r>
              <w:rPr>
                <w:rFonts w:eastAsiaTheme="minorEastAsia"/>
                <w:color w:val="auto"/>
                <w:highlight w:val="none"/>
              </w:rPr>
              <w:t>小视野</w:t>
            </w:r>
            <w:r>
              <w:rPr>
                <w:rFonts w:hint="eastAsia" w:eastAsiaTheme="minorEastAsia"/>
                <w:color w:val="auto"/>
                <w:highlight w:val="none"/>
              </w:rPr>
              <w:t xml:space="preserve"> </w:t>
            </w:r>
            <w:r>
              <w:rPr>
                <w:rFonts w:eastAsiaTheme="minorEastAsia"/>
                <w:color w:val="auto"/>
                <w:highlight w:val="none"/>
              </w:rPr>
              <w:t>≤ 450 µm × 300 µm</w:t>
            </w:r>
          </w:p>
        </w:tc>
      </w:tr>
      <w:tr w14:paraId="31C116D8">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23AAE10F">
            <w:pPr>
              <w:widowControl/>
              <w:spacing w:line="360" w:lineRule="auto"/>
              <w:jc w:val="center"/>
              <w:textAlignment w:val="center"/>
              <w:rPr>
                <w:rFonts w:hint="eastAsia" w:eastAsiaTheme="minorEastAsia"/>
                <w:b/>
                <w:bCs/>
                <w:color w:val="auto"/>
                <w:kern w:val="0"/>
                <w:sz w:val="24"/>
                <w:highlight w:val="none"/>
                <w:lang w:eastAsia="zh-CN" w:bidi="ar"/>
              </w:rPr>
            </w:pPr>
            <w:r>
              <w:rPr>
                <w:rFonts w:hint="eastAsia" w:eastAsiaTheme="minorEastAsia"/>
                <w:color w:val="auto"/>
                <w:kern w:val="0"/>
                <w:highlight w:val="none"/>
                <w:lang w:val="en-US" w:eastAsia="zh-CN" w:bidi="ar"/>
              </w:rPr>
              <w:t>5</w:t>
            </w:r>
          </w:p>
        </w:tc>
        <w:tc>
          <w:tcPr>
            <w:tcW w:w="610" w:type="dxa"/>
            <w:tcBorders>
              <w:top w:val="single" w:color="000000" w:sz="4" w:space="0"/>
              <w:left w:val="single" w:color="000000" w:sz="4" w:space="0"/>
              <w:bottom w:val="single" w:color="000000" w:sz="4" w:space="0"/>
              <w:right w:val="single" w:color="000000" w:sz="4" w:space="0"/>
            </w:tcBorders>
            <w:vAlign w:val="center"/>
          </w:tcPr>
          <w:p w14:paraId="6D88CEDE">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3475135C">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扫描器要求：三轴独立闭环控制扫描器，XY方向最大扫描范围</w:t>
            </w:r>
            <w:r>
              <w:rPr>
                <w:rFonts w:hint="eastAsia" w:eastAsiaTheme="minorEastAsia"/>
                <w:color w:val="auto"/>
                <w:highlight w:val="none"/>
              </w:rPr>
              <w:t xml:space="preserve"> </w:t>
            </w:r>
            <w:r>
              <w:rPr>
                <w:rFonts w:eastAsiaTheme="minorEastAsia"/>
                <w:color w:val="auto"/>
                <w:highlight w:val="none"/>
              </w:rPr>
              <w:t>≥ 50 μm × 50 μm，Z方向最大扫描范围</w:t>
            </w:r>
            <w:r>
              <w:rPr>
                <w:rFonts w:hint="eastAsia" w:eastAsiaTheme="minorEastAsia"/>
                <w:color w:val="auto"/>
                <w:highlight w:val="none"/>
              </w:rPr>
              <w:t xml:space="preserve"> </w:t>
            </w:r>
            <w:r>
              <w:rPr>
                <w:rFonts w:eastAsiaTheme="minorEastAsia"/>
                <w:color w:val="auto"/>
                <w:highlight w:val="none"/>
              </w:rPr>
              <w:t>≥ 5 μm；XY方向分辨率</w:t>
            </w:r>
            <w:r>
              <w:rPr>
                <w:rFonts w:hint="eastAsia" w:eastAsiaTheme="minorEastAsia"/>
                <w:color w:val="auto"/>
                <w:highlight w:val="none"/>
                <w:lang w:val="en-US" w:eastAsia="zh-CN"/>
              </w:rPr>
              <w:t xml:space="preserve"> </w:t>
            </w:r>
            <w:r>
              <w:rPr>
                <w:rFonts w:eastAsiaTheme="minorEastAsia"/>
                <w:color w:val="auto"/>
                <w:highlight w:val="none"/>
              </w:rPr>
              <w:t>≤ 0.2 nm，Z方向分辨率</w:t>
            </w:r>
            <w:r>
              <w:rPr>
                <w:rFonts w:hint="eastAsia" w:eastAsiaTheme="minorEastAsia"/>
                <w:color w:val="auto"/>
                <w:highlight w:val="none"/>
              </w:rPr>
              <w:t xml:space="preserve"> </w:t>
            </w:r>
            <w:r>
              <w:rPr>
                <w:rFonts w:eastAsiaTheme="minorEastAsia"/>
                <w:color w:val="auto"/>
                <w:highlight w:val="none"/>
              </w:rPr>
              <w:t>≤ 0.1 nm。</w:t>
            </w:r>
          </w:p>
        </w:tc>
        <w:tc>
          <w:tcPr>
            <w:tcW w:w="1984" w:type="dxa"/>
            <w:tcBorders>
              <w:top w:val="single" w:color="000000" w:sz="4" w:space="0"/>
              <w:left w:val="single" w:color="000000" w:sz="4" w:space="0"/>
              <w:bottom w:val="single" w:color="000000" w:sz="4" w:space="0"/>
              <w:right w:val="single" w:color="000000" w:sz="4" w:space="0"/>
            </w:tcBorders>
            <w:vAlign w:val="center"/>
          </w:tcPr>
          <w:p w14:paraId="0A747BE1">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3CE880AB">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36751FFA">
            <w:pPr>
              <w:widowControl/>
              <w:spacing w:line="360" w:lineRule="auto"/>
              <w:jc w:val="center"/>
              <w:textAlignment w:val="center"/>
              <w:rPr>
                <w:rFonts w:hint="eastAsia" w:eastAsiaTheme="minorEastAsia"/>
                <w:b/>
                <w:bCs/>
                <w:color w:val="auto"/>
                <w:kern w:val="0"/>
                <w:sz w:val="24"/>
                <w:highlight w:val="none"/>
                <w:lang w:eastAsia="zh-CN" w:bidi="ar"/>
              </w:rPr>
            </w:pPr>
            <w:r>
              <w:rPr>
                <w:rFonts w:hint="eastAsia" w:eastAsiaTheme="minorEastAsia"/>
                <w:color w:val="auto"/>
                <w:kern w:val="0"/>
                <w:highlight w:val="none"/>
                <w:lang w:val="en-US" w:eastAsia="zh-CN" w:bidi="ar"/>
              </w:rPr>
              <w:t>6</w:t>
            </w:r>
          </w:p>
        </w:tc>
        <w:tc>
          <w:tcPr>
            <w:tcW w:w="610" w:type="dxa"/>
            <w:tcBorders>
              <w:top w:val="single" w:color="000000" w:sz="4" w:space="0"/>
              <w:left w:val="single" w:color="000000" w:sz="4" w:space="0"/>
              <w:bottom w:val="single" w:color="000000" w:sz="4" w:space="0"/>
              <w:right w:val="single" w:color="000000" w:sz="4" w:space="0"/>
            </w:tcBorders>
            <w:vAlign w:val="center"/>
          </w:tcPr>
          <w:p w14:paraId="46589D8D">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50A0FAFF">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样品台支持XY二维移动，移动范围</w:t>
            </w:r>
            <w:r>
              <w:rPr>
                <w:rFonts w:hint="eastAsia" w:eastAsiaTheme="minorEastAsia"/>
                <w:color w:val="auto"/>
                <w:highlight w:val="none"/>
              </w:rPr>
              <w:t xml:space="preserve"> </w:t>
            </w:r>
            <w:r>
              <w:rPr>
                <w:rFonts w:eastAsiaTheme="minorEastAsia"/>
                <w:color w:val="auto"/>
                <w:highlight w:val="none"/>
              </w:rPr>
              <w:t>≥ 7 mm × 7 mm；样品台应为马达驱动控制，支持鼠标点击实现目标位置的快速自动移动，无需手动操作；支持的最大样品尺寸为：直径</w:t>
            </w:r>
            <w:r>
              <w:rPr>
                <w:rFonts w:hint="eastAsia" w:eastAsiaTheme="minorEastAsia"/>
                <w:color w:val="auto"/>
                <w:highlight w:val="none"/>
              </w:rPr>
              <w:t xml:space="preserve"> </w:t>
            </w:r>
            <w:r>
              <w:rPr>
                <w:rFonts w:eastAsiaTheme="minorEastAsia"/>
                <w:color w:val="auto"/>
                <w:highlight w:val="none"/>
              </w:rPr>
              <w:t>≥ 20 mm，高度</w:t>
            </w:r>
            <w:r>
              <w:rPr>
                <w:rFonts w:hint="eastAsia" w:eastAsiaTheme="minorEastAsia"/>
                <w:color w:val="auto"/>
                <w:highlight w:val="none"/>
              </w:rPr>
              <w:t xml:space="preserve"> </w:t>
            </w:r>
            <w:r>
              <w:rPr>
                <w:rFonts w:eastAsiaTheme="minorEastAsia"/>
                <w:color w:val="auto"/>
                <w:highlight w:val="none"/>
              </w:rPr>
              <w:t>≥ 6 mm，适应多种材料样品的安装与测试。</w:t>
            </w:r>
          </w:p>
        </w:tc>
        <w:tc>
          <w:tcPr>
            <w:tcW w:w="1984" w:type="dxa"/>
            <w:tcBorders>
              <w:top w:val="single" w:color="000000" w:sz="4" w:space="0"/>
              <w:left w:val="single" w:color="000000" w:sz="4" w:space="0"/>
              <w:bottom w:val="single" w:color="000000" w:sz="4" w:space="0"/>
              <w:right w:val="single" w:color="000000" w:sz="4" w:space="0"/>
            </w:tcBorders>
            <w:vAlign w:val="center"/>
          </w:tcPr>
          <w:p w14:paraId="4AC9DB22">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44FDB706">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3E9CE761">
            <w:pPr>
              <w:widowControl/>
              <w:spacing w:line="360" w:lineRule="auto"/>
              <w:jc w:val="center"/>
              <w:textAlignment w:val="center"/>
              <w:rPr>
                <w:rFonts w:hint="eastAsia" w:eastAsiaTheme="minorEastAsia"/>
                <w:b/>
                <w:bCs/>
                <w:color w:val="auto"/>
                <w:kern w:val="0"/>
                <w:sz w:val="24"/>
                <w:highlight w:val="none"/>
                <w:lang w:eastAsia="zh-CN" w:bidi="ar"/>
              </w:rPr>
            </w:pPr>
            <w:r>
              <w:rPr>
                <w:rFonts w:hint="eastAsia" w:eastAsiaTheme="minorEastAsia"/>
                <w:color w:val="auto"/>
                <w:kern w:val="0"/>
                <w:highlight w:val="none"/>
                <w:lang w:val="en-US" w:eastAsia="zh-CN" w:bidi="ar"/>
              </w:rPr>
              <w:t>7</w:t>
            </w:r>
          </w:p>
        </w:tc>
        <w:tc>
          <w:tcPr>
            <w:tcW w:w="610" w:type="dxa"/>
            <w:tcBorders>
              <w:top w:val="single" w:color="000000" w:sz="4" w:space="0"/>
              <w:left w:val="single" w:color="000000" w:sz="4" w:space="0"/>
              <w:bottom w:val="single" w:color="000000" w:sz="4" w:space="0"/>
              <w:right w:val="single" w:color="000000" w:sz="4" w:space="0"/>
            </w:tcBorders>
            <w:vAlign w:val="center"/>
          </w:tcPr>
          <w:p w14:paraId="2465441D">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5BF2D823">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具备全功能纳米级多模式成像模块，支持包含但不限于以下成像模式：接触模式、轻敲模式、相位成像、侧向力显微镜、力调制成像、磁力显微镜、纳米级热分析以及扫描热显微镜。</w:t>
            </w:r>
          </w:p>
        </w:tc>
        <w:tc>
          <w:tcPr>
            <w:tcW w:w="1984" w:type="dxa"/>
            <w:tcBorders>
              <w:top w:val="single" w:color="000000" w:sz="4" w:space="0"/>
              <w:left w:val="single" w:color="000000" w:sz="4" w:space="0"/>
              <w:bottom w:val="single" w:color="000000" w:sz="4" w:space="0"/>
              <w:right w:val="single" w:color="000000" w:sz="4" w:space="0"/>
            </w:tcBorders>
            <w:vAlign w:val="center"/>
          </w:tcPr>
          <w:p w14:paraId="0E5A9B1F">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34525BE4">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546334F3">
            <w:pPr>
              <w:widowControl/>
              <w:spacing w:line="360" w:lineRule="auto"/>
              <w:jc w:val="center"/>
              <w:textAlignment w:val="center"/>
              <w:rPr>
                <w:rFonts w:hint="eastAsia" w:eastAsiaTheme="minorEastAsia"/>
                <w:b/>
                <w:bCs/>
                <w:color w:val="auto"/>
                <w:kern w:val="0"/>
                <w:sz w:val="24"/>
                <w:highlight w:val="none"/>
                <w:lang w:eastAsia="zh-CN" w:bidi="ar"/>
              </w:rPr>
            </w:pPr>
            <w:r>
              <w:rPr>
                <w:rFonts w:hint="eastAsia" w:eastAsiaTheme="minorEastAsia"/>
                <w:color w:val="auto"/>
                <w:kern w:val="0"/>
                <w:highlight w:val="none"/>
                <w:lang w:val="en-US" w:eastAsia="zh-CN" w:bidi="ar"/>
              </w:rPr>
              <w:t>8</w:t>
            </w:r>
          </w:p>
        </w:tc>
        <w:tc>
          <w:tcPr>
            <w:tcW w:w="610" w:type="dxa"/>
            <w:tcBorders>
              <w:top w:val="single" w:color="000000" w:sz="4" w:space="0"/>
              <w:left w:val="single" w:color="000000" w:sz="4" w:space="0"/>
              <w:bottom w:val="single" w:color="000000" w:sz="4" w:space="0"/>
              <w:right w:val="single" w:color="000000" w:sz="4" w:space="0"/>
            </w:tcBorders>
            <w:vAlign w:val="center"/>
          </w:tcPr>
          <w:p w14:paraId="7CF32AF6">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17C413A9">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系统支持高速度扫描，成像速度</w:t>
            </w:r>
            <w:r>
              <w:rPr>
                <w:rFonts w:hint="eastAsia" w:eastAsiaTheme="minorEastAsia"/>
                <w:color w:val="auto"/>
                <w:highlight w:val="none"/>
              </w:rPr>
              <w:t xml:space="preserve"> </w:t>
            </w:r>
            <w:r>
              <w:rPr>
                <w:rFonts w:eastAsiaTheme="minorEastAsia"/>
                <w:color w:val="auto"/>
                <w:highlight w:val="none"/>
              </w:rPr>
              <w:t>≥ 5 Hz</w:t>
            </w:r>
            <w:r>
              <w:rPr>
                <w:rFonts w:hint="eastAsia" w:eastAsiaTheme="minorEastAsia"/>
                <w:color w:val="auto"/>
                <w:highlight w:val="none"/>
              </w:rPr>
              <w:t>；</w:t>
            </w:r>
            <w:r>
              <w:rPr>
                <w:rFonts w:eastAsiaTheme="minorEastAsia"/>
                <w:color w:val="auto"/>
                <w:highlight w:val="none"/>
              </w:rPr>
              <w:t>支持高频率探针，最大共振频率</w:t>
            </w:r>
            <w:r>
              <w:rPr>
                <w:rFonts w:hint="eastAsia" w:eastAsiaTheme="minorEastAsia"/>
                <w:color w:val="auto"/>
                <w:highlight w:val="none"/>
              </w:rPr>
              <w:t xml:space="preserve"> </w:t>
            </w:r>
            <w:r>
              <w:rPr>
                <w:rFonts w:eastAsiaTheme="minorEastAsia"/>
                <w:color w:val="auto"/>
                <w:highlight w:val="none"/>
              </w:rPr>
              <w:t>≥ 2 MHz，满足高速动态过程监测和高频响应材料的表征需求。</w:t>
            </w:r>
          </w:p>
        </w:tc>
        <w:tc>
          <w:tcPr>
            <w:tcW w:w="1984" w:type="dxa"/>
            <w:tcBorders>
              <w:top w:val="single" w:color="000000" w:sz="4" w:space="0"/>
              <w:left w:val="single" w:color="000000" w:sz="4" w:space="0"/>
              <w:bottom w:val="single" w:color="000000" w:sz="4" w:space="0"/>
              <w:right w:val="single" w:color="000000" w:sz="4" w:space="0"/>
            </w:tcBorders>
            <w:vAlign w:val="center"/>
          </w:tcPr>
          <w:p w14:paraId="5832EA46">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5F086BC2">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569C1936">
            <w:pPr>
              <w:widowControl/>
              <w:spacing w:line="360" w:lineRule="auto"/>
              <w:jc w:val="center"/>
              <w:textAlignment w:val="center"/>
              <w:rPr>
                <w:rFonts w:hint="eastAsia" w:eastAsiaTheme="minorEastAsia"/>
                <w:b/>
                <w:bCs/>
                <w:color w:val="auto"/>
                <w:kern w:val="0"/>
                <w:sz w:val="24"/>
                <w:highlight w:val="none"/>
                <w:lang w:eastAsia="zh-CN" w:bidi="ar"/>
              </w:rPr>
            </w:pPr>
            <w:r>
              <w:rPr>
                <w:rFonts w:hint="eastAsia" w:eastAsiaTheme="minorEastAsia"/>
                <w:color w:val="auto"/>
                <w:kern w:val="0"/>
                <w:highlight w:val="none"/>
                <w:lang w:val="en-US" w:eastAsia="zh-CN" w:bidi="ar"/>
              </w:rPr>
              <w:t>9</w:t>
            </w:r>
          </w:p>
        </w:tc>
        <w:tc>
          <w:tcPr>
            <w:tcW w:w="610" w:type="dxa"/>
            <w:tcBorders>
              <w:top w:val="single" w:color="000000" w:sz="4" w:space="0"/>
              <w:left w:val="single" w:color="000000" w:sz="4" w:space="0"/>
              <w:bottom w:val="single" w:color="000000" w:sz="4" w:space="0"/>
              <w:right w:val="single" w:color="000000" w:sz="4" w:space="0"/>
            </w:tcBorders>
            <w:vAlign w:val="center"/>
          </w:tcPr>
          <w:p w14:paraId="3D800F39">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74D4D90B">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系统应支持</w:t>
            </w:r>
            <w:r>
              <w:rPr>
                <w:rFonts w:hint="eastAsia" w:eastAsiaTheme="minorEastAsia"/>
                <w:color w:val="auto"/>
                <w:highlight w:val="none"/>
              </w:rPr>
              <w:t xml:space="preserve"> </w:t>
            </w:r>
            <w:r>
              <w:rPr>
                <w:rFonts w:eastAsiaTheme="minorEastAsia"/>
                <w:color w:val="auto"/>
                <w:highlight w:val="none"/>
              </w:rPr>
              <w:t>≥ 8通道同步数据采集，提供</w:t>
            </w:r>
            <w:r>
              <w:rPr>
                <w:rFonts w:hint="eastAsia" w:eastAsiaTheme="minorEastAsia"/>
                <w:color w:val="auto"/>
                <w:highlight w:val="none"/>
              </w:rPr>
              <w:t xml:space="preserve"> </w:t>
            </w:r>
            <w:r>
              <w:rPr>
                <w:rFonts w:eastAsiaTheme="minorEastAsia"/>
                <w:color w:val="auto"/>
                <w:highlight w:val="none"/>
              </w:rPr>
              <w:t>≥ 150根探针，适用于多种成像/功能模式下的测试需求。</w:t>
            </w:r>
          </w:p>
        </w:tc>
        <w:tc>
          <w:tcPr>
            <w:tcW w:w="1984" w:type="dxa"/>
            <w:tcBorders>
              <w:top w:val="single" w:color="000000" w:sz="4" w:space="0"/>
              <w:left w:val="single" w:color="000000" w:sz="4" w:space="0"/>
              <w:bottom w:val="single" w:color="000000" w:sz="4" w:space="0"/>
              <w:right w:val="single" w:color="000000" w:sz="4" w:space="0"/>
            </w:tcBorders>
            <w:vAlign w:val="center"/>
          </w:tcPr>
          <w:p w14:paraId="249764F2">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3DF0182A">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611AD521">
            <w:pPr>
              <w:widowControl/>
              <w:spacing w:line="360" w:lineRule="auto"/>
              <w:jc w:val="center"/>
              <w:textAlignment w:val="center"/>
              <w:rPr>
                <w:rFonts w:hint="eastAsia" w:eastAsiaTheme="minorEastAsia"/>
                <w:b/>
                <w:bCs/>
                <w:color w:val="auto"/>
                <w:kern w:val="0"/>
                <w:sz w:val="24"/>
                <w:highlight w:val="none"/>
                <w:lang w:eastAsia="zh-CN" w:bidi="ar"/>
              </w:rPr>
            </w:pPr>
            <w:r>
              <w:rPr>
                <w:rFonts w:hint="eastAsia" w:eastAsiaTheme="minorEastAsia"/>
                <w:color w:val="auto"/>
                <w:kern w:val="0"/>
                <w:highlight w:val="none"/>
                <w:lang w:val="en-US" w:eastAsia="zh-CN" w:bidi="ar"/>
              </w:rPr>
              <w:t>10</w:t>
            </w:r>
          </w:p>
        </w:tc>
        <w:tc>
          <w:tcPr>
            <w:tcW w:w="610" w:type="dxa"/>
            <w:tcBorders>
              <w:top w:val="single" w:color="000000" w:sz="4" w:space="0"/>
              <w:left w:val="single" w:color="000000" w:sz="4" w:space="0"/>
              <w:bottom w:val="single" w:color="000000" w:sz="4" w:space="0"/>
              <w:right w:val="single" w:color="000000" w:sz="4" w:space="0"/>
            </w:tcBorders>
            <w:vAlign w:val="center"/>
          </w:tcPr>
          <w:p w14:paraId="5D6F4328">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10702C27">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采用上方垂直照射式入射光路，具备包括但不限于以下三种红外测试模式：轻敲红外模式、接触红外模式以及接触共振红外模式，满足不同材料的近场红外测试需求。</w:t>
            </w:r>
          </w:p>
        </w:tc>
        <w:tc>
          <w:tcPr>
            <w:tcW w:w="1984" w:type="dxa"/>
            <w:tcBorders>
              <w:top w:val="single" w:color="000000" w:sz="4" w:space="0"/>
              <w:left w:val="single" w:color="000000" w:sz="4" w:space="0"/>
              <w:bottom w:val="single" w:color="000000" w:sz="4" w:space="0"/>
              <w:right w:val="single" w:color="000000" w:sz="4" w:space="0"/>
            </w:tcBorders>
            <w:vAlign w:val="center"/>
          </w:tcPr>
          <w:p w14:paraId="3A5A86BF">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1CA05582">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3EDBE7BD">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1</w:t>
            </w:r>
            <w:r>
              <w:rPr>
                <w:rFonts w:hint="eastAsia" w:eastAsiaTheme="minorEastAsia"/>
                <w:color w:val="auto"/>
                <w:kern w:val="0"/>
                <w:highlight w:val="none"/>
                <w:lang w:val="en-US" w:eastAsia="zh-CN" w:bidi="ar"/>
              </w:rPr>
              <w:t>1</w:t>
            </w:r>
          </w:p>
        </w:tc>
        <w:tc>
          <w:tcPr>
            <w:tcW w:w="610" w:type="dxa"/>
            <w:tcBorders>
              <w:top w:val="single" w:color="000000" w:sz="4" w:space="0"/>
              <w:left w:val="single" w:color="000000" w:sz="4" w:space="0"/>
              <w:bottom w:val="single" w:color="000000" w:sz="4" w:space="0"/>
              <w:right w:val="single" w:color="000000" w:sz="4" w:space="0"/>
            </w:tcBorders>
            <w:vAlign w:val="center"/>
          </w:tcPr>
          <w:p w14:paraId="15560764">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206656FB">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系统具备原位纳米红外光谱与成像功能，无需退针、切换探头或更换硬件，即可实现红外光谱和成像之间的快速切换；红外光谱分辨率优于1 cm</w:t>
            </w:r>
            <w:r>
              <w:rPr>
                <w:rFonts w:eastAsiaTheme="minorEastAsia"/>
                <w:color w:val="auto"/>
                <w:highlight w:val="none"/>
                <w:vertAlign w:val="superscript"/>
              </w:rPr>
              <w:t>-1</w:t>
            </w:r>
            <w:r>
              <w:rPr>
                <w:rFonts w:eastAsiaTheme="minorEastAsia"/>
                <w:color w:val="auto"/>
                <w:highlight w:val="none"/>
              </w:rPr>
              <w:t xml:space="preserve">，单条光谱采集时间为1 </w:t>
            </w:r>
            <w:r>
              <w:rPr>
                <w:rFonts w:hint="eastAsia" w:eastAsiaTheme="minorEastAsia"/>
                <w:color w:val="auto"/>
                <w:highlight w:val="none"/>
              </w:rPr>
              <w:t>s</w:t>
            </w:r>
            <w:r>
              <w:rPr>
                <w:rFonts w:eastAsiaTheme="minorEastAsia"/>
                <w:color w:val="auto"/>
                <w:highlight w:val="none"/>
              </w:rPr>
              <w:t xml:space="preserve"> ~ 5 s，兼具高灵敏度与高通量测试能力。</w:t>
            </w:r>
          </w:p>
        </w:tc>
        <w:tc>
          <w:tcPr>
            <w:tcW w:w="1984" w:type="dxa"/>
            <w:tcBorders>
              <w:top w:val="single" w:color="000000" w:sz="4" w:space="0"/>
              <w:left w:val="single" w:color="000000" w:sz="4" w:space="0"/>
              <w:bottom w:val="single" w:color="000000" w:sz="4" w:space="0"/>
              <w:right w:val="single" w:color="000000" w:sz="4" w:space="0"/>
            </w:tcBorders>
            <w:vAlign w:val="center"/>
          </w:tcPr>
          <w:p w14:paraId="112391E2">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327EA463">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4DFD1DDD">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1</w:t>
            </w:r>
            <w:r>
              <w:rPr>
                <w:rFonts w:hint="eastAsia" w:eastAsiaTheme="minorEastAsia"/>
                <w:color w:val="auto"/>
                <w:kern w:val="0"/>
                <w:highlight w:val="none"/>
                <w:lang w:val="en-US" w:eastAsia="zh-CN" w:bidi="ar"/>
              </w:rPr>
              <w:t>2</w:t>
            </w:r>
          </w:p>
        </w:tc>
        <w:tc>
          <w:tcPr>
            <w:tcW w:w="610" w:type="dxa"/>
            <w:tcBorders>
              <w:top w:val="single" w:color="000000" w:sz="4" w:space="0"/>
              <w:left w:val="single" w:color="000000" w:sz="4" w:space="0"/>
              <w:bottom w:val="single" w:color="000000" w:sz="4" w:space="0"/>
              <w:right w:val="single" w:color="000000" w:sz="4" w:space="0"/>
            </w:tcBorders>
            <w:vAlign w:val="center"/>
          </w:tcPr>
          <w:p w14:paraId="026F85A0">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0B65F28A">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系统具备纳米尺度的化学与光学成像能力，空间分辨率</w:t>
            </w:r>
            <w:r>
              <w:rPr>
                <w:rFonts w:hint="eastAsia" w:eastAsiaTheme="minorEastAsia"/>
                <w:color w:val="auto"/>
                <w:highlight w:val="none"/>
              </w:rPr>
              <w:t xml:space="preserve"> </w:t>
            </w:r>
            <w:r>
              <w:rPr>
                <w:rFonts w:eastAsiaTheme="minorEastAsia"/>
                <w:color w:val="auto"/>
                <w:highlight w:val="none"/>
              </w:rPr>
              <w:t>≤ 10 nm，支持单分子层厚度样品的红外光谱分析。</w:t>
            </w:r>
          </w:p>
        </w:tc>
        <w:tc>
          <w:tcPr>
            <w:tcW w:w="1984" w:type="dxa"/>
            <w:tcBorders>
              <w:top w:val="single" w:color="000000" w:sz="4" w:space="0"/>
              <w:left w:val="single" w:color="000000" w:sz="4" w:space="0"/>
              <w:bottom w:val="single" w:color="000000" w:sz="4" w:space="0"/>
              <w:right w:val="single" w:color="000000" w:sz="4" w:space="0"/>
            </w:tcBorders>
            <w:vAlign w:val="center"/>
          </w:tcPr>
          <w:p w14:paraId="61166070">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0C1CF8A6">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3F75303F">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1</w:t>
            </w:r>
            <w:r>
              <w:rPr>
                <w:rFonts w:hint="eastAsia" w:eastAsiaTheme="minorEastAsia"/>
                <w:color w:val="auto"/>
                <w:kern w:val="0"/>
                <w:highlight w:val="none"/>
                <w:lang w:val="en-US" w:eastAsia="zh-CN" w:bidi="ar"/>
              </w:rPr>
              <w:t>3</w:t>
            </w:r>
          </w:p>
        </w:tc>
        <w:tc>
          <w:tcPr>
            <w:tcW w:w="610" w:type="dxa"/>
            <w:tcBorders>
              <w:top w:val="single" w:color="000000" w:sz="4" w:space="0"/>
              <w:left w:val="single" w:color="000000" w:sz="4" w:space="0"/>
              <w:bottom w:val="single" w:color="000000" w:sz="4" w:space="0"/>
              <w:right w:val="single" w:color="000000" w:sz="4" w:space="0"/>
            </w:tcBorders>
            <w:vAlign w:val="center"/>
          </w:tcPr>
          <w:p w14:paraId="0DC8C944">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6ADDEA27">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软件应具备自动功能，需包括但不限于激光能量识别、红外光源能量调节、背景光谱自动扣除等功能；无需重复采集参考光谱，实现实时、自动的背景校正。</w:t>
            </w:r>
          </w:p>
        </w:tc>
        <w:tc>
          <w:tcPr>
            <w:tcW w:w="1984" w:type="dxa"/>
            <w:tcBorders>
              <w:top w:val="single" w:color="000000" w:sz="4" w:space="0"/>
              <w:left w:val="single" w:color="000000" w:sz="4" w:space="0"/>
              <w:bottom w:val="single" w:color="000000" w:sz="4" w:space="0"/>
              <w:right w:val="single" w:color="000000" w:sz="4" w:space="0"/>
            </w:tcBorders>
            <w:vAlign w:val="center"/>
          </w:tcPr>
          <w:p w14:paraId="5E6CB9B3">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264B8B17">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4E7BAC01">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highlight w:val="none"/>
              </w:rPr>
              <w:t>1</w:t>
            </w:r>
            <w:r>
              <w:rPr>
                <w:rFonts w:hint="eastAsia" w:eastAsiaTheme="minorEastAsia"/>
                <w:color w:val="auto"/>
                <w:highlight w:val="none"/>
                <w:lang w:val="en-US" w:eastAsia="zh-CN"/>
              </w:rPr>
              <w:t>4</w:t>
            </w:r>
          </w:p>
        </w:tc>
        <w:tc>
          <w:tcPr>
            <w:tcW w:w="610" w:type="dxa"/>
            <w:tcBorders>
              <w:top w:val="single" w:color="000000" w:sz="4" w:space="0"/>
              <w:left w:val="single" w:color="000000" w:sz="4" w:space="0"/>
              <w:bottom w:val="single" w:color="000000" w:sz="4" w:space="0"/>
              <w:right w:val="single" w:color="000000" w:sz="4" w:space="0"/>
            </w:tcBorders>
            <w:vAlign w:val="center"/>
          </w:tcPr>
          <w:p w14:paraId="798288F0">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1FCC5294">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支持全自动一键式红外光路校正，用户仅需鼠标点击即可自动完成光路调整；光路准直过程由马达控制，激光斑点的聚焦与位置可独立调节；校准过程可视化，优化结果可实时呈现。光斑可视化最大扫描范围不小于400 μm × 400 μm。</w:t>
            </w:r>
          </w:p>
        </w:tc>
        <w:tc>
          <w:tcPr>
            <w:tcW w:w="1984" w:type="dxa"/>
            <w:tcBorders>
              <w:top w:val="single" w:color="000000" w:sz="4" w:space="0"/>
              <w:left w:val="single" w:color="000000" w:sz="4" w:space="0"/>
              <w:bottom w:val="single" w:color="000000" w:sz="4" w:space="0"/>
              <w:right w:val="single" w:color="000000" w:sz="4" w:space="0"/>
            </w:tcBorders>
            <w:vAlign w:val="center"/>
          </w:tcPr>
          <w:p w14:paraId="7C88C71C">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26ED0980">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3B23A608">
            <w:pPr>
              <w:widowControl/>
              <w:spacing w:line="360" w:lineRule="auto"/>
              <w:jc w:val="center"/>
              <w:textAlignment w:val="center"/>
              <w:rPr>
                <w:rFonts w:eastAsiaTheme="minorEastAsia"/>
                <w:b/>
                <w:bCs/>
                <w:color w:val="auto"/>
                <w:kern w:val="0"/>
                <w:sz w:val="24"/>
                <w:highlight w:val="none"/>
                <w:lang w:bidi="ar"/>
              </w:rPr>
            </w:pPr>
            <w:r>
              <w:rPr>
                <w:rFonts w:eastAsiaTheme="minorEastAsia"/>
                <w:color w:val="auto"/>
                <w:highlight w:val="none"/>
              </w:rPr>
              <w:t>1</w:t>
            </w:r>
            <w:r>
              <w:rPr>
                <w:rFonts w:hint="eastAsia" w:eastAsiaTheme="minorEastAsia"/>
                <w:color w:val="auto"/>
                <w:highlight w:val="none"/>
                <w:lang w:val="en-US" w:eastAsia="zh-CN"/>
              </w:rPr>
              <w:t>5</w:t>
            </w:r>
          </w:p>
        </w:tc>
        <w:tc>
          <w:tcPr>
            <w:tcW w:w="610" w:type="dxa"/>
            <w:tcBorders>
              <w:top w:val="single" w:color="000000" w:sz="4" w:space="0"/>
              <w:left w:val="single" w:color="000000" w:sz="4" w:space="0"/>
              <w:bottom w:val="single" w:color="000000" w:sz="4" w:space="0"/>
              <w:right w:val="single" w:color="000000" w:sz="4" w:space="0"/>
            </w:tcBorders>
            <w:vAlign w:val="center"/>
          </w:tcPr>
          <w:p w14:paraId="61A54EFB">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1DD3D75D">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软件可实时控制激光能量输出，调节范围为0.1% ~ 100%；在测试过程中，系统可实时监测接触共振频率信号，以辅助判断激光照射水平与样品响应状态。</w:t>
            </w:r>
          </w:p>
        </w:tc>
        <w:tc>
          <w:tcPr>
            <w:tcW w:w="1984" w:type="dxa"/>
            <w:tcBorders>
              <w:top w:val="single" w:color="000000" w:sz="4" w:space="0"/>
              <w:left w:val="single" w:color="000000" w:sz="4" w:space="0"/>
              <w:bottom w:val="single" w:color="000000" w:sz="4" w:space="0"/>
              <w:right w:val="single" w:color="000000" w:sz="4" w:space="0"/>
            </w:tcBorders>
            <w:vAlign w:val="center"/>
          </w:tcPr>
          <w:p w14:paraId="62F9DF01">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06515A20">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6E9228B2">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highlight w:val="none"/>
              </w:rPr>
              <w:t>1</w:t>
            </w:r>
            <w:r>
              <w:rPr>
                <w:rFonts w:hint="eastAsia" w:eastAsiaTheme="minorEastAsia"/>
                <w:color w:val="auto"/>
                <w:highlight w:val="none"/>
                <w:lang w:val="en-US" w:eastAsia="zh-CN"/>
              </w:rPr>
              <w:t>6</w:t>
            </w:r>
          </w:p>
        </w:tc>
        <w:tc>
          <w:tcPr>
            <w:tcW w:w="610" w:type="dxa"/>
            <w:tcBorders>
              <w:top w:val="single" w:color="000000" w:sz="4" w:space="0"/>
              <w:left w:val="single" w:color="000000" w:sz="4" w:space="0"/>
              <w:bottom w:val="single" w:color="000000" w:sz="4" w:space="0"/>
              <w:right w:val="single" w:color="000000" w:sz="4" w:space="0"/>
            </w:tcBorders>
            <w:vAlign w:val="center"/>
          </w:tcPr>
          <w:p w14:paraId="78303384">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6C353CB9">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采用上方入射光路，近场光学成像空间分辨率</w:t>
            </w:r>
            <w:r>
              <w:rPr>
                <w:rFonts w:hint="eastAsia" w:eastAsiaTheme="minorEastAsia"/>
                <w:color w:val="auto"/>
                <w:highlight w:val="none"/>
              </w:rPr>
              <w:t xml:space="preserve"> </w:t>
            </w:r>
            <w:r>
              <w:rPr>
                <w:rFonts w:eastAsiaTheme="minorEastAsia"/>
                <w:color w:val="auto"/>
                <w:highlight w:val="none"/>
              </w:rPr>
              <w:t>≤ 10 nm，实现亚波长尺度的光学信息采集。</w:t>
            </w:r>
          </w:p>
        </w:tc>
        <w:tc>
          <w:tcPr>
            <w:tcW w:w="1984" w:type="dxa"/>
            <w:tcBorders>
              <w:top w:val="single" w:color="000000" w:sz="4" w:space="0"/>
              <w:left w:val="single" w:color="000000" w:sz="4" w:space="0"/>
              <w:bottom w:val="single" w:color="000000" w:sz="4" w:space="0"/>
              <w:right w:val="single" w:color="000000" w:sz="4" w:space="0"/>
            </w:tcBorders>
            <w:vAlign w:val="center"/>
          </w:tcPr>
          <w:p w14:paraId="51676317">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3A6E458E">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79FB3F42">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highlight w:val="none"/>
              </w:rPr>
              <w:t>1</w:t>
            </w:r>
            <w:r>
              <w:rPr>
                <w:rFonts w:hint="eastAsia" w:eastAsiaTheme="minorEastAsia"/>
                <w:color w:val="auto"/>
                <w:highlight w:val="none"/>
                <w:lang w:val="en-US" w:eastAsia="zh-CN"/>
              </w:rPr>
              <w:t>7</w:t>
            </w:r>
          </w:p>
        </w:tc>
        <w:tc>
          <w:tcPr>
            <w:tcW w:w="610" w:type="dxa"/>
            <w:tcBorders>
              <w:top w:val="single" w:color="000000" w:sz="4" w:space="0"/>
              <w:left w:val="single" w:color="000000" w:sz="4" w:space="0"/>
              <w:bottom w:val="single" w:color="000000" w:sz="4" w:space="0"/>
              <w:right w:val="single" w:color="000000" w:sz="4" w:space="0"/>
            </w:tcBorders>
            <w:vAlign w:val="center"/>
          </w:tcPr>
          <w:p w14:paraId="36B6CBAD">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1DB079B3">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配置高数值孔径的照明系统与光采集单元；配备高信噪比的MCT红外探测器，光谱响应范围覆盖2 μm ~ 14 μm，满足中远红外区域的检测要求。</w:t>
            </w:r>
          </w:p>
        </w:tc>
        <w:tc>
          <w:tcPr>
            <w:tcW w:w="1984" w:type="dxa"/>
            <w:tcBorders>
              <w:top w:val="single" w:color="000000" w:sz="4" w:space="0"/>
              <w:left w:val="single" w:color="000000" w:sz="4" w:space="0"/>
              <w:bottom w:val="single" w:color="000000" w:sz="4" w:space="0"/>
              <w:right w:val="single" w:color="000000" w:sz="4" w:space="0"/>
            </w:tcBorders>
            <w:vAlign w:val="center"/>
          </w:tcPr>
          <w:p w14:paraId="1639974E">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60E06125">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336F3799">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highlight w:val="none"/>
              </w:rPr>
              <w:t>1</w:t>
            </w:r>
            <w:r>
              <w:rPr>
                <w:rFonts w:hint="eastAsia" w:eastAsiaTheme="minorEastAsia"/>
                <w:color w:val="auto"/>
                <w:highlight w:val="none"/>
                <w:lang w:val="en-US" w:eastAsia="zh-CN"/>
              </w:rPr>
              <w:t>8</w:t>
            </w:r>
          </w:p>
        </w:tc>
        <w:tc>
          <w:tcPr>
            <w:tcW w:w="610" w:type="dxa"/>
            <w:tcBorders>
              <w:top w:val="single" w:color="000000" w:sz="4" w:space="0"/>
              <w:left w:val="single" w:color="000000" w:sz="4" w:space="0"/>
              <w:bottom w:val="single" w:color="000000" w:sz="4" w:space="0"/>
              <w:right w:val="single" w:color="000000" w:sz="4" w:space="0"/>
            </w:tcBorders>
            <w:vAlign w:val="center"/>
          </w:tcPr>
          <w:p w14:paraId="4CB4A858">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49AB27E9">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系统集成马达控制的抛面镜，可独立调节激发光束的聚焦与位置；支持一键切换纳米红外与近场光学成像工作模式，无需更换硬件部件，提升操作效率。</w:t>
            </w:r>
          </w:p>
        </w:tc>
        <w:tc>
          <w:tcPr>
            <w:tcW w:w="1984" w:type="dxa"/>
            <w:tcBorders>
              <w:top w:val="single" w:color="000000" w:sz="4" w:space="0"/>
              <w:left w:val="single" w:color="000000" w:sz="4" w:space="0"/>
              <w:bottom w:val="single" w:color="000000" w:sz="4" w:space="0"/>
              <w:right w:val="single" w:color="000000" w:sz="4" w:space="0"/>
            </w:tcBorders>
            <w:vAlign w:val="center"/>
          </w:tcPr>
          <w:p w14:paraId="4626FDB8">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3D07C8B4">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1AFBB876">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1</w:t>
            </w:r>
            <w:r>
              <w:rPr>
                <w:rFonts w:hint="eastAsia" w:eastAsiaTheme="minorEastAsia"/>
                <w:color w:val="auto"/>
                <w:kern w:val="0"/>
                <w:highlight w:val="none"/>
                <w:lang w:val="en-US" w:eastAsia="zh-CN" w:bidi="ar"/>
              </w:rPr>
              <w:t>9</w:t>
            </w:r>
          </w:p>
        </w:tc>
        <w:tc>
          <w:tcPr>
            <w:tcW w:w="610" w:type="dxa"/>
            <w:tcBorders>
              <w:top w:val="single" w:color="000000" w:sz="4" w:space="0"/>
              <w:left w:val="single" w:color="000000" w:sz="4" w:space="0"/>
              <w:bottom w:val="single" w:color="000000" w:sz="4" w:space="0"/>
              <w:right w:val="single" w:color="000000" w:sz="4" w:space="0"/>
            </w:tcBorders>
            <w:vAlign w:val="center"/>
          </w:tcPr>
          <w:p w14:paraId="45E04F8C">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49588F0B">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系统集成可见光引导光，与激光光路共线，用于激光路径的预校准与光斑对准，提升实验效率与精度。</w:t>
            </w:r>
          </w:p>
        </w:tc>
        <w:tc>
          <w:tcPr>
            <w:tcW w:w="1984" w:type="dxa"/>
            <w:tcBorders>
              <w:top w:val="single" w:color="000000" w:sz="4" w:space="0"/>
              <w:left w:val="single" w:color="000000" w:sz="4" w:space="0"/>
              <w:bottom w:val="single" w:color="000000" w:sz="4" w:space="0"/>
              <w:right w:val="single" w:color="000000" w:sz="4" w:space="0"/>
            </w:tcBorders>
            <w:vAlign w:val="center"/>
          </w:tcPr>
          <w:p w14:paraId="65746306">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5EDA2871">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6EAB6DF7">
            <w:pPr>
              <w:widowControl/>
              <w:spacing w:line="360" w:lineRule="auto"/>
              <w:jc w:val="center"/>
              <w:textAlignment w:val="center"/>
              <w:rPr>
                <w:rFonts w:hint="default" w:eastAsiaTheme="minorEastAsia"/>
                <w:b/>
                <w:bCs/>
                <w:color w:val="auto"/>
                <w:kern w:val="0"/>
                <w:sz w:val="24"/>
                <w:highlight w:val="none"/>
                <w:lang w:val="en-US" w:eastAsia="zh-CN" w:bidi="ar"/>
              </w:rPr>
            </w:pPr>
            <w:r>
              <w:rPr>
                <w:rFonts w:hint="eastAsia" w:eastAsiaTheme="minorEastAsia"/>
                <w:color w:val="auto"/>
                <w:kern w:val="0"/>
                <w:highlight w:val="none"/>
                <w:lang w:val="en-US" w:eastAsia="zh-CN" w:bidi="ar"/>
              </w:rPr>
              <w:t>20</w:t>
            </w:r>
          </w:p>
        </w:tc>
        <w:tc>
          <w:tcPr>
            <w:tcW w:w="610" w:type="dxa"/>
            <w:tcBorders>
              <w:top w:val="single" w:color="000000" w:sz="4" w:space="0"/>
              <w:left w:val="single" w:color="000000" w:sz="4" w:space="0"/>
              <w:bottom w:val="single" w:color="000000" w:sz="4" w:space="0"/>
              <w:right w:val="single" w:color="000000" w:sz="4" w:space="0"/>
            </w:tcBorders>
            <w:vAlign w:val="center"/>
          </w:tcPr>
          <w:p w14:paraId="41A68EFF">
            <w:pPr>
              <w:widowControl/>
              <w:spacing w:line="360" w:lineRule="auto"/>
              <w:jc w:val="center"/>
              <w:textAlignment w:val="center"/>
              <w:rPr>
                <w:rFonts w:eastAsiaTheme="minorEastAsia"/>
                <w:b/>
                <w:bCs/>
                <w:color w:val="auto"/>
                <w:kern w:val="0"/>
                <w:sz w:val="24"/>
                <w:highlight w:val="none"/>
                <w:lang w:bidi="ar"/>
              </w:rPr>
            </w:pPr>
            <w:r>
              <w:rPr>
                <w:rFonts w:eastAsiaTheme="minorEastAsia"/>
                <w:color w:val="auto"/>
                <w:highlight w:val="none"/>
              </w:rPr>
              <w:t>*</w:t>
            </w:r>
          </w:p>
        </w:tc>
        <w:tc>
          <w:tcPr>
            <w:tcW w:w="5408" w:type="dxa"/>
            <w:tcBorders>
              <w:top w:val="single" w:color="000000" w:sz="4" w:space="0"/>
              <w:left w:val="single" w:color="000000" w:sz="4" w:space="0"/>
              <w:bottom w:val="single" w:color="000000" w:sz="4" w:space="0"/>
              <w:right w:val="single" w:color="000000" w:sz="4" w:space="0"/>
            </w:tcBorders>
            <w:vAlign w:val="center"/>
          </w:tcPr>
          <w:p w14:paraId="2DC8A6A1">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要求扫描头可实现沿固定轴进行水平方向移动，可移动范围</w:t>
            </w:r>
            <w:r>
              <w:rPr>
                <w:rFonts w:hint="eastAsia" w:eastAsiaTheme="minorEastAsia"/>
                <w:color w:val="auto"/>
                <w:highlight w:val="none"/>
                <w:lang w:val="en-US" w:eastAsia="zh-CN"/>
              </w:rPr>
              <w:t xml:space="preserve"> </w:t>
            </w:r>
            <w:r>
              <w:rPr>
                <w:rFonts w:eastAsiaTheme="minorEastAsia"/>
                <w:color w:val="auto"/>
                <w:highlight w:val="none"/>
              </w:rPr>
              <w:t>≥ 10 cm，扫描头可向上翻折，以提供更大空间进行样品放置操作</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05AD27BD">
            <w:pPr>
              <w:widowControl/>
              <w:spacing w:before="120" w:beforeLines="50" w:after="120" w:afterLines="50"/>
              <w:textAlignment w:val="center"/>
              <w:rPr>
                <w:rFonts w:eastAsiaTheme="minorEastAsia"/>
                <w:color w:val="auto"/>
                <w:szCs w:val="21"/>
                <w:highlight w:val="none"/>
              </w:rPr>
            </w:pPr>
            <w:r>
              <w:rPr>
                <w:rFonts w:hint="eastAsia" w:eastAsiaTheme="minorEastAsia"/>
                <w:color w:val="auto"/>
                <w:highlight w:val="none"/>
              </w:rPr>
              <w:t>是，</w:t>
            </w:r>
            <w:r>
              <w:rPr>
                <w:rFonts w:eastAsiaTheme="minorEastAsia"/>
                <w:color w:val="auto"/>
                <w:highlight w:val="none"/>
              </w:rPr>
              <w:t>需要提供</w:t>
            </w:r>
            <w:r>
              <w:rPr>
                <w:rFonts w:hint="eastAsia" w:eastAsiaTheme="minorEastAsia"/>
                <w:color w:val="auto"/>
                <w:highlight w:val="none"/>
              </w:rPr>
              <w:t>设备实物</w:t>
            </w:r>
            <w:r>
              <w:rPr>
                <w:rFonts w:eastAsiaTheme="minorEastAsia"/>
                <w:color w:val="auto"/>
                <w:highlight w:val="none"/>
              </w:rPr>
              <w:t>照片</w:t>
            </w:r>
            <w:r>
              <w:rPr>
                <w:rFonts w:hint="eastAsia" w:eastAsiaTheme="minorEastAsia"/>
                <w:color w:val="auto"/>
                <w:highlight w:val="none"/>
              </w:rPr>
              <w:t xml:space="preserve">证明扫描头可移动可翻折，且可移动范围 </w:t>
            </w:r>
            <w:r>
              <w:rPr>
                <w:rFonts w:eastAsiaTheme="minorEastAsia"/>
                <w:color w:val="auto"/>
                <w:highlight w:val="none"/>
              </w:rPr>
              <w:t>≥ 10 cm</w:t>
            </w:r>
          </w:p>
        </w:tc>
      </w:tr>
      <w:tr w14:paraId="522B3F26">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724E6C63">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2</w:t>
            </w:r>
            <w:r>
              <w:rPr>
                <w:rFonts w:hint="eastAsia" w:eastAsiaTheme="minorEastAsia"/>
                <w:color w:val="auto"/>
                <w:kern w:val="0"/>
                <w:highlight w:val="none"/>
                <w:lang w:val="en-US" w:eastAsia="zh-CN" w:bidi="ar"/>
              </w:rPr>
              <w:t>1</w:t>
            </w:r>
          </w:p>
        </w:tc>
        <w:tc>
          <w:tcPr>
            <w:tcW w:w="610" w:type="dxa"/>
            <w:tcBorders>
              <w:top w:val="single" w:color="000000" w:sz="4" w:space="0"/>
              <w:left w:val="single" w:color="000000" w:sz="4" w:space="0"/>
              <w:bottom w:val="single" w:color="000000" w:sz="4" w:space="0"/>
              <w:right w:val="single" w:color="000000" w:sz="4" w:space="0"/>
            </w:tcBorders>
            <w:vAlign w:val="center"/>
          </w:tcPr>
          <w:p w14:paraId="45A0FD0A">
            <w:pPr>
              <w:widowControl/>
              <w:spacing w:line="360" w:lineRule="auto"/>
              <w:jc w:val="center"/>
              <w:textAlignment w:val="center"/>
              <w:rPr>
                <w:rFonts w:eastAsiaTheme="minorEastAsia"/>
                <w:b/>
                <w:bCs/>
                <w:color w:val="auto"/>
                <w:kern w:val="0"/>
                <w:sz w:val="24"/>
                <w:highlight w:val="none"/>
                <w:lang w:bidi="ar"/>
              </w:rPr>
            </w:pPr>
            <w:r>
              <w:rPr>
                <w:rFonts w:eastAsiaTheme="minorEastAsia"/>
                <w:color w:val="auto"/>
                <w:highlight w:val="none"/>
              </w:rPr>
              <w:t>*</w:t>
            </w:r>
          </w:p>
        </w:tc>
        <w:tc>
          <w:tcPr>
            <w:tcW w:w="5408" w:type="dxa"/>
            <w:tcBorders>
              <w:top w:val="single" w:color="000000" w:sz="4" w:space="0"/>
              <w:left w:val="single" w:color="000000" w:sz="4" w:space="0"/>
              <w:bottom w:val="single" w:color="000000" w:sz="4" w:space="0"/>
              <w:right w:val="single" w:color="000000" w:sz="4" w:space="0"/>
            </w:tcBorders>
            <w:vAlign w:val="center"/>
          </w:tcPr>
          <w:p w14:paraId="4C1831D6">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要求探针预固定在半圆片上，通过磁性吸附扫描头上，以易于操作及原子力显微镜的激光校准</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573CCA57">
            <w:pPr>
              <w:widowControl/>
              <w:spacing w:before="120" w:beforeLines="50" w:after="120" w:afterLines="50"/>
              <w:textAlignment w:val="center"/>
              <w:rPr>
                <w:rFonts w:eastAsiaTheme="minorEastAsia"/>
                <w:color w:val="auto"/>
                <w:szCs w:val="21"/>
                <w:highlight w:val="none"/>
              </w:rPr>
            </w:pPr>
            <w:r>
              <w:rPr>
                <w:rFonts w:hint="eastAsia" w:eastAsiaTheme="minorEastAsia"/>
                <w:color w:val="auto"/>
                <w:highlight w:val="none"/>
              </w:rPr>
              <w:t>是，</w:t>
            </w:r>
            <w:r>
              <w:rPr>
                <w:rFonts w:eastAsiaTheme="minorEastAsia"/>
                <w:color w:val="auto"/>
                <w:highlight w:val="none"/>
              </w:rPr>
              <w:t>需要提供</w:t>
            </w:r>
            <w:r>
              <w:rPr>
                <w:rFonts w:hint="eastAsia" w:eastAsiaTheme="minorEastAsia"/>
                <w:color w:val="auto"/>
                <w:highlight w:val="none"/>
              </w:rPr>
              <w:t>设备实物</w:t>
            </w:r>
            <w:r>
              <w:rPr>
                <w:rFonts w:eastAsiaTheme="minorEastAsia"/>
                <w:color w:val="auto"/>
                <w:highlight w:val="none"/>
              </w:rPr>
              <w:t>照片</w:t>
            </w:r>
            <w:r>
              <w:rPr>
                <w:rFonts w:hint="eastAsia" w:eastAsiaTheme="minorEastAsia"/>
                <w:color w:val="auto"/>
                <w:highlight w:val="none"/>
              </w:rPr>
              <w:t>证明探针预固定在半圆片上</w:t>
            </w:r>
          </w:p>
        </w:tc>
      </w:tr>
      <w:tr w14:paraId="1A590368">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602282F3">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2</w:t>
            </w:r>
            <w:r>
              <w:rPr>
                <w:rFonts w:hint="eastAsia" w:eastAsiaTheme="minorEastAsia"/>
                <w:color w:val="auto"/>
                <w:kern w:val="0"/>
                <w:highlight w:val="none"/>
                <w:lang w:val="en-US" w:eastAsia="zh-CN" w:bidi="ar"/>
              </w:rPr>
              <w:t>2</w:t>
            </w:r>
          </w:p>
        </w:tc>
        <w:tc>
          <w:tcPr>
            <w:tcW w:w="610" w:type="dxa"/>
            <w:tcBorders>
              <w:top w:val="single" w:color="000000" w:sz="4" w:space="0"/>
              <w:left w:val="single" w:color="000000" w:sz="4" w:space="0"/>
              <w:bottom w:val="single" w:color="000000" w:sz="4" w:space="0"/>
              <w:right w:val="single" w:color="000000" w:sz="4" w:space="0"/>
            </w:tcBorders>
            <w:vAlign w:val="center"/>
          </w:tcPr>
          <w:p w14:paraId="27067E91">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3F3255CB">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光谱数据不需要通过模型拟合，同傅里叶红外光谱数据严格匹配</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091233C7">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0024C815">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63E46367">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2</w:t>
            </w:r>
            <w:r>
              <w:rPr>
                <w:rFonts w:hint="eastAsia" w:eastAsiaTheme="minorEastAsia"/>
                <w:color w:val="auto"/>
                <w:kern w:val="0"/>
                <w:highlight w:val="none"/>
                <w:lang w:val="en-US" w:eastAsia="zh-CN" w:bidi="ar"/>
              </w:rPr>
              <w:t>3</w:t>
            </w:r>
          </w:p>
        </w:tc>
        <w:tc>
          <w:tcPr>
            <w:tcW w:w="610" w:type="dxa"/>
            <w:tcBorders>
              <w:top w:val="single" w:color="000000" w:sz="4" w:space="0"/>
              <w:left w:val="single" w:color="000000" w:sz="4" w:space="0"/>
              <w:bottom w:val="single" w:color="000000" w:sz="4" w:space="0"/>
              <w:right w:val="single" w:color="000000" w:sz="4" w:space="0"/>
            </w:tcBorders>
            <w:vAlign w:val="center"/>
          </w:tcPr>
          <w:p w14:paraId="4BC65037">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12003A1B">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提供光谱线扫描，可快速、自动实现界面光谱自动分析</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2DC1D568">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2AFD7BE1">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1E1C842E">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2</w:t>
            </w:r>
            <w:r>
              <w:rPr>
                <w:rFonts w:hint="eastAsia" w:eastAsiaTheme="minorEastAsia"/>
                <w:color w:val="auto"/>
                <w:kern w:val="0"/>
                <w:highlight w:val="none"/>
                <w:lang w:val="en-US" w:eastAsia="zh-CN" w:bidi="ar"/>
              </w:rPr>
              <w:t>4</w:t>
            </w:r>
          </w:p>
        </w:tc>
        <w:tc>
          <w:tcPr>
            <w:tcW w:w="610" w:type="dxa"/>
            <w:tcBorders>
              <w:top w:val="single" w:color="000000" w:sz="4" w:space="0"/>
              <w:left w:val="single" w:color="000000" w:sz="4" w:space="0"/>
              <w:bottom w:val="single" w:color="000000" w:sz="4" w:space="0"/>
              <w:right w:val="single" w:color="000000" w:sz="4" w:space="0"/>
            </w:tcBorders>
            <w:vAlign w:val="center"/>
          </w:tcPr>
          <w:p w14:paraId="4707952E">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08F2DDFB">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提供高光谱成像，可快速获得三维光谱和化学成像</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683A989C">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3C0FD796">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59862D18">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2</w:t>
            </w:r>
            <w:r>
              <w:rPr>
                <w:rFonts w:hint="eastAsia" w:eastAsiaTheme="minorEastAsia"/>
                <w:color w:val="auto"/>
                <w:kern w:val="0"/>
                <w:highlight w:val="none"/>
                <w:lang w:val="en-US" w:eastAsia="zh-CN" w:bidi="ar"/>
              </w:rPr>
              <w:t>5</w:t>
            </w:r>
          </w:p>
        </w:tc>
        <w:tc>
          <w:tcPr>
            <w:tcW w:w="610" w:type="dxa"/>
            <w:tcBorders>
              <w:top w:val="single" w:color="000000" w:sz="4" w:space="0"/>
              <w:left w:val="single" w:color="000000" w:sz="4" w:space="0"/>
              <w:bottom w:val="single" w:color="000000" w:sz="4" w:space="0"/>
              <w:right w:val="single" w:color="000000" w:sz="4" w:space="0"/>
            </w:tcBorders>
            <w:vAlign w:val="center"/>
          </w:tcPr>
          <w:p w14:paraId="0B7CE111">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50D2F981">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激光类型：4芯片可调谐量子级联激光器（QCL）</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48BAA9C5">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59241155">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46CE7A58">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2</w:t>
            </w:r>
            <w:r>
              <w:rPr>
                <w:rFonts w:hint="eastAsia" w:eastAsiaTheme="minorEastAsia"/>
                <w:color w:val="auto"/>
                <w:kern w:val="0"/>
                <w:highlight w:val="none"/>
                <w:lang w:val="en-US" w:eastAsia="zh-CN" w:bidi="ar"/>
              </w:rPr>
              <w:t>6</w:t>
            </w:r>
          </w:p>
        </w:tc>
        <w:tc>
          <w:tcPr>
            <w:tcW w:w="610" w:type="dxa"/>
            <w:tcBorders>
              <w:top w:val="single" w:color="000000" w:sz="4" w:space="0"/>
              <w:left w:val="single" w:color="000000" w:sz="4" w:space="0"/>
              <w:bottom w:val="single" w:color="000000" w:sz="4" w:space="0"/>
              <w:right w:val="single" w:color="000000" w:sz="4" w:space="0"/>
            </w:tcBorders>
            <w:vAlign w:val="center"/>
          </w:tcPr>
          <w:p w14:paraId="7A386E89">
            <w:pPr>
              <w:widowControl/>
              <w:spacing w:line="360" w:lineRule="auto"/>
              <w:jc w:val="center"/>
              <w:textAlignment w:val="center"/>
              <w:rPr>
                <w:rFonts w:eastAsiaTheme="minorEastAsia"/>
                <w:b/>
                <w:bCs/>
                <w:color w:val="auto"/>
                <w:kern w:val="0"/>
                <w:sz w:val="24"/>
                <w:highlight w:val="none"/>
                <w:lang w:bidi="ar"/>
              </w:rPr>
            </w:pPr>
            <w:r>
              <w:rPr>
                <w:rFonts w:eastAsiaTheme="minorEastAsia"/>
                <w:color w:val="auto"/>
                <w:highlight w:val="none"/>
              </w:rPr>
              <w:t>*</w:t>
            </w:r>
          </w:p>
        </w:tc>
        <w:tc>
          <w:tcPr>
            <w:tcW w:w="5408" w:type="dxa"/>
            <w:tcBorders>
              <w:top w:val="single" w:color="000000" w:sz="4" w:space="0"/>
              <w:left w:val="single" w:color="000000" w:sz="4" w:space="0"/>
              <w:bottom w:val="single" w:color="000000" w:sz="4" w:space="0"/>
              <w:right w:val="single" w:color="000000" w:sz="4" w:space="0"/>
            </w:tcBorders>
            <w:vAlign w:val="center"/>
          </w:tcPr>
          <w:p w14:paraId="61F5858A">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激光工作模式：脉冲波和连续波可切换</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2310DE12">
            <w:pPr>
              <w:widowControl/>
              <w:spacing w:before="120" w:beforeLines="50" w:after="120" w:afterLines="50"/>
              <w:textAlignment w:val="center"/>
              <w:rPr>
                <w:rFonts w:eastAsiaTheme="minorEastAsia"/>
                <w:color w:val="auto"/>
                <w:szCs w:val="21"/>
                <w:highlight w:val="none"/>
              </w:rPr>
            </w:pPr>
            <w:r>
              <w:rPr>
                <w:rFonts w:hint="eastAsia" w:eastAsiaTheme="minorEastAsia"/>
                <w:color w:val="auto"/>
                <w:highlight w:val="none"/>
              </w:rPr>
              <w:t>是，</w:t>
            </w:r>
            <w:r>
              <w:rPr>
                <w:rFonts w:eastAsiaTheme="minorEastAsia"/>
                <w:color w:val="auto"/>
                <w:highlight w:val="none"/>
              </w:rPr>
              <w:t>需要提供官方彩页证明</w:t>
            </w:r>
            <w:r>
              <w:rPr>
                <w:rFonts w:hint="eastAsia" w:eastAsiaTheme="minorEastAsia"/>
                <w:color w:val="auto"/>
                <w:szCs w:val="21"/>
                <w:highlight w:val="none"/>
              </w:rPr>
              <w:t>激光</w:t>
            </w:r>
            <w:r>
              <w:rPr>
                <w:rFonts w:hint="eastAsia" w:eastAsiaTheme="minorEastAsia"/>
                <w:color w:val="auto"/>
                <w:highlight w:val="none"/>
              </w:rPr>
              <w:t>工作模式可在脉冲波和连续波之间切换</w:t>
            </w:r>
          </w:p>
        </w:tc>
      </w:tr>
      <w:tr w14:paraId="1FA29311">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57B9DDF1">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2</w:t>
            </w:r>
            <w:r>
              <w:rPr>
                <w:rFonts w:hint="eastAsia" w:eastAsiaTheme="minorEastAsia"/>
                <w:color w:val="auto"/>
                <w:kern w:val="0"/>
                <w:highlight w:val="none"/>
                <w:lang w:val="en-US" w:eastAsia="zh-CN" w:bidi="ar"/>
              </w:rPr>
              <w:t>7</w:t>
            </w:r>
          </w:p>
        </w:tc>
        <w:tc>
          <w:tcPr>
            <w:tcW w:w="610" w:type="dxa"/>
            <w:tcBorders>
              <w:top w:val="single" w:color="000000" w:sz="4" w:space="0"/>
              <w:left w:val="single" w:color="000000" w:sz="4" w:space="0"/>
              <w:bottom w:val="single" w:color="000000" w:sz="4" w:space="0"/>
              <w:right w:val="single" w:color="000000" w:sz="4" w:space="0"/>
            </w:tcBorders>
            <w:vAlign w:val="center"/>
          </w:tcPr>
          <w:p w14:paraId="10844E41">
            <w:pPr>
              <w:widowControl/>
              <w:spacing w:line="360" w:lineRule="auto"/>
              <w:jc w:val="center"/>
              <w:textAlignment w:val="center"/>
              <w:rPr>
                <w:rFonts w:eastAsiaTheme="minorEastAsia"/>
                <w:b/>
                <w:bCs/>
                <w:color w:val="auto"/>
                <w:kern w:val="0"/>
                <w:sz w:val="24"/>
                <w:highlight w:val="none"/>
                <w:lang w:bidi="ar"/>
              </w:rPr>
            </w:pPr>
            <w:r>
              <w:rPr>
                <w:rFonts w:eastAsiaTheme="minorEastAsia"/>
                <w:color w:val="auto"/>
                <w:highlight w:val="none"/>
              </w:rPr>
              <w:t>*</w:t>
            </w:r>
          </w:p>
        </w:tc>
        <w:tc>
          <w:tcPr>
            <w:tcW w:w="5408" w:type="dxa"/>
            <w:tcBorders>
              <w:top w:val="single" w:color="000000" w:sz="4" w:space="0"/>
              <w:left w:val="single" w:color="000000" w:sz="4" w:space="0"/>
              <w:bottom w:val="single" w:color="000000" w:sz="4" w:space="0"/>
              <w:right w:val="single" w:color="000000" w:sz="4" w:space="0"/>
            </w:tcBorders>
            <w:vAlign w:val="center"/>
          </w:tcPr>
          <w:p w14:paraId="3EBAD613">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波段可调谐范围</w:t>
            </w:r>
            <w:r>
              <w:rPr>
                <w:rFonts w:hint="eastAsia" w:eastAsiaTheme="minorEastAsia"/>
                <w:color w:val="auto"/>
                <w:highlight w:val="none"/>
              </w:rPr>
              <w:t>需包含：</w:t>
            </w:r>
            <w:r>
              <w:rPr>
                <w:rFonts w:eastAsiaTheme="minorEastAsia"/>
                <w:color w:val="auto"/>
                <w:highlight w:val="none"/>
              </w:rPr>
              <w:t>940 cm</w:t>
            </w:r>
            <w:r>
              <w:rPr>
                <w:rFonts w:eastAsiaTheme="minorEastAsia"/>
                <w:color w:val="auto"/>
                <w:highlight w:val="none"/>
                <w:vertAlign w:val="superscript"/>
              </w:rPr>
              <w:t>-1</w:t>
            </w:r>
            <w:r>
              <w:rPr>
                <w:rFonts w:eastAsiaTheme="minorEastAsia"/>
                <w:color w:val="auto"/>
                <w:highlight w:val="none"/>
              </w:rPr>
              <w:t xml:space="preserve"> </w:t>
            </w:r>
            <w:r>
              <w:rPr>
                <w:rFonts w:hint="eastAsia" w:eastAsiaTheme="minorEastAsia"/>
                <w:color w:val="auto"/>
                <w:highlight w:val="none"/>
              </w:rPr>
              <w:t>~</w:t>
            </w:r>
            <w:r>
              <w:rPr>
                <w:rFonts w:eastAsiaTheme="minorEastAsia"/>
                <w:color w:val="auto"/>
                <w:highlight w:val="none"/>
              </w:rPr>
              <w:t xml:space="preserve"> 1740 cm</w:t>
            </w:r>
            <w:r>
              <w:rPr>
                <w:rFonts w:eastAsiaTheme="minorEastAsia"/>
                <w:color w:val="auto"/>
                <w:highlight w:val="none"/>
                <w:vertAlign w:val="superscript"/>
              </w:rPr>
              <w:t>-1</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20B3752A">
            <w:pPr>
              <w:widowControl/>
              <w:spacing w:before="120" w:beforeLines="50" w:after="120" w:afterLines="50"/>
              <w:textAlignment w:val="center"/>
              <w:rPr>
                <w:rFonts w:eastAsiaTheme="minorEastAsia"/>
                <w:color w:val="auto"/>
                <w:szCs w:val="21"/>
                <w:highlight w:val="none"/>
              </w:rPr>
            </w:pPr>
            <w:r>
              <w:rPr>
                <w:rFonts w:hint="eastAsia" w:eastAsiaTheme="minorEastAsia"/>
                <w:color w:val="auto"/>
                <w:highlight w:val="none"/>
              </w:rPr>
              <w:t>是，</w:t>
            </w:r>
            <w:r>
              <w:rPr>
                <w:rFonts w:eastAsiaTheme="minorEastAsia"/>
                <w:color w:val="auto"/>
                <w:highlight w:val="none"/>
              </w:rPr>
              <w:t>需要提供官方彩页证明波段调谐范围</w:t>
            </w:r>
            <w:r>
              <w:rPr>
                <w:rFonts w:hint="eastAsia" w:eastAsiaTheme="minorEastAsia"/>
                <w:color w:val="auto"/>
                <w:highlight w:val="none"/>
              </w:rPr>
              <w:t>包含</w:t>
            </w:r>
            <w:r>
              <w:rPr>
                <w:rFonts w:eastAsiaTheme="minorEastAsia"/>
                <w:color w:val="auto"/>
                <w:highlight w:val="none"/>
              </w:rPr>
              <w:t>940 cm</w:t>
            </w:r>
            <w:r>
              <w:rPr>
                <w:rFonts w:eastAsiaTheme="minorEastAsia"/>
                <w:color w:val="auto"/>
                <w:highlight w:val="none"/>
                <w:vertAlign w:val="superscript"/>
              </w:rPr>
              <w:t>-1</w:t>
            </w:r>
            <w:r>
              <w:rPr>
                <w:rFonts w:eastAsiaTheme="minorEastAsia"/>
                <w:color w:val="auto"/>
                <w:highlight w:val="none"/>
              </w:rPr>
              <w:t xml:space="preserve"> </w:t>
            </w:r>
            <w:r>
              <w:rPr>
                <w:rFonts w:hint="eastAsia" w:eastAsiaTheme="minorEastAsia"/>
                <w:color w:val="auto"/>
                <w:highlight w:val="none"/>
              </w:rPr>
              <w:t>~</w:t>
            </w:r>
            <w:r>
              <w:rPr>
                <w:rFonts w:eastAsiaTheme="minorEastAsia"/>
                <w:color w:val="auto"/>
                <w:highlight w:val="none"/>
              </w:rPr>
              <w:t xml:space="preserve"> 1740 cm</w:t>
            </w:r>
            <w:r>
              <w:rPr>
                <w:rFonts w:eastAsiaTheme="minorEastAsia"/>
                <w:color w:val="auto"/>
                <w:highlight w:val="none"/>
                <w:vertAlign w:val="superscript"/>
              </w:rPr>
              <w:t>-1</w:t>
            </w:r>
          </w:p>
        </w:tc>
      </w:tr>
      <w:tr w14:paraId="0171B3EB">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3AF0BF9A">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2</w:t>
            </w:r>
            <w:r>
              <w:rPr>
                <w:rFonts w:hint="eastAsia" w:eastAsiaTheme="minorEastAsia"/>
                <w:color w:val="auto"/>
                <w:kern w:val="0"/>
                <w:highlight w:val="none"/>
                <w:lang w:val="en-US" w:eastAsia="zh-CN" w:bidi="ar"/>
              </w:rPr>
              <w:t>8</w:t>
            </w:r>
          </w:p>
        </w:tc>
        <w:tc>
          <w:tcPr>
            <w:tcW w:w="610" w:type="dxa"/>
            <w:tcBorders>
              <w:top w:val="single" w:color="000000" w:sz="4" w:space="0"/>
              <w:left w:val="single" w:color="000000" w:sz="4" w:space="0"/>
              <w:bottom w:val="single" w:color="000000" w:sz="4" w:space="0"/>
              <w:right w:val="single" w:color="000000" w:sz="4" w:space="0"/>
            </w:tcBorders>
            <w:vAlign w:val="center"/>
          </w:tcPr>
          <w:p w14:paraId="40F35B46">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53016E96">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光斑尺寸</w:t>
            </w:r>
            <w:r>
              <w:rPr>
                <w:rFonts w:hint="eastAsia" w:eastAsiaTheme="minorEastAsia"/>
                <w:color w:val="auto"/>
                <w:highlight w:val="none"/>
              </w:rPr>
              <w:t xml:space="preserve"> </w:t>
            </w:r>
            <w:r>
              <w:rPr>
                <w:rFonts w:eastAsiaTheme="minorEastAsia"/>
                <w:color w:val="auto"/>
                <w:highlight w:val="none"/>
              </w:rPr>
              <w:t>≤ 2.5 mm</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78FC4861">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707BEFD5">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020FE975">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2</w:t>
            </w:r>
            <w:r>
              <w:rPr>
                <w:rFonts w:hint="eastAsia" w:eastAsiaTheme="minorEastAsia"/>
                <w:color w:val="auto"/>
                <w:kern w:val="0"/>
                <w:highlight w:val="none"/>
                <w:lang w:val="en-US" w:eastAsia="zh-CN" w:bidi="ar"/>
              </w:rPr>
              <w:t>9</w:t>
            </w:r>
          </w:p>
        </w:tc>
        <w:tc>
          <w:tcPr>
            <w:tcW w:w="610" w:type="dxa"/>
            <w:tcBorders>
              <w:top w:val="single" w:color="000000" w:sz="4" w:space="0"/>
              <w:left w:val="single" w:color="000000" w:sz="4" w:space="0"/>
              <w:bottom w:val="single" w:color="000000" w:sz="4" w:space="0"/>
              <w:right w:val="single" w:color="000000" w:sz="4" w:space="0"/>
            </w:tcBorders>
            <w:vAlign w:val="center"/>
          </w:tcPr>
          <w:p w14:paraId="377BF1FE">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28FF5D00">
            <w:pPr>
              <w:widowControl/>
              <w:spacing w:line="360" w:lineRule="auto"/>
              <w:textAlignment w:val="center"/>
              <w:rPr>
                <w:rFonts w:eastAsiaTheme="minorEastAsia"/>
                <w:color w:val="auto"/>
                <w:highlight w:val="none"/>
              </w:rPr>
            </w:pPr>
            <w:r>
              <w:rPr>
                <w:rFonts w:eastAsiaTheme="minorEastAsia"/>
                <w:color w:val="auto"/>
                <w:highlight w:val="none"/>
              </w:rPr>
              <w:t>脉冲波工作模式时：</w:t>
            </w:r>
          </w:p>
          <w:p w14:paraId="679F8B4F">
            <w:pPr>
              <w:widowControl/>
              <w:spacing w:line="360" w:lineRule="auto"/>
              <w:textAlignment w:val="center"/>
              <w:rPr>
                <w:rFonts w:eastAsiaTheme="minorEastAsia"/>
                <w:color w:val="auto"/>
                <w:highlight w:val="none"/>
              </w:rPr>
            </w:pPr>
            <w:r>
              <w:rPr>
                <w:rFonts w:eastAsiaTheme="minorEastAsia"/>
                <w:color w:val="auto"/>
                <w:highlight w:val="none"/>
              </w:rPr>
              <w:t>28.1线宽</w:t>
            </w:r>
            <w:r>
              <w:rPr>
                <w:rFonts w:hint="eastAsia" w:eastAsiaTheme="minorEastAsia"/>
                <w:color w:val="auto"/>
                <w:highlight w:val="none"/>
              </w:rPr>
              <w:t xml:space="preserve"> </w:t>
            </w:r>
            <w:r>
              <w:rPr>
                <w:rFonts w:eastAsiaTheme="minorEastAsia"/>
                <w:color w:val="auto"/>
                <w:highlight w:val="none"/>
              </w:rPr>
              <w:t>≤ 1 cm</w:t>
            </w:r>
            <w:r>
              <w:rPr>
                <w:rFonts w:eastAsiaTheme="minorEastAsia"/>
                <w:color w:val="auto"/>
                <w:highlight w:val="none"/>
                <w:vertAlign w:val="superscript"/>
              </w:rPr>
              <w:t>-1</w:t>
            </w:r>
            <w:r>
              <w:rPr>
                <w:rFonts w:eastAsiaTheme="minorEastAsia"/>
                <w:color w:val="auto"/>
                <w:highlight w:val="none"/>
              </w:rPr>
              <w:t>；</w:t>
            </w:r>
          </w:p>
          <w:p w14:paraId="6EB04C62">
            <w:pPr>
              <w:widowControl/>
              <w:spacing w:line="360" w:lineRule="auto"/>
              <w:textAlignment w:val="center"/>
              <w:rPr>
                <w:rFonts w:eastAsiaTheme="minorEastAsia"/>
                <w:color w:val="auto"/>
                <w:highlight w:val="none"/>
              </w:rPr>
            </w:pPr>
            <w:r>
              <w:rPr>
                <w:rFonts w:eastAsiaTheme="minorEastAsia"/>
                <w:color w:val="auto"/>
                <w:highlight w:val="none"/>
              </w:rPr>
              <w:t>28.2峰值能量</w:t>
            </w:r>
            <w:r>
              <w:rPr>
                <w:rFonts w:hint="eastAsia" w:eastAsiaTheme="minorEastAsia"/>
                <w:color w:val="auto"/>
                <w:highlight w:val="none"/>
              </w:rPr>
              <w:t xml:space="preserve"> </w:t>
            </w:r>
            <w:r>
              <w:rPr>
                <w:rFonts w:eastAsiaTheme="minorEastAsia"/>
                <w:color w:val="auto"/>
                <w:highlight w:val="none"/>
              </w:rPr>
              <w:t>≥</w:t>
            </w:r>
            <w:r>
              <w:rPr>
                <w:rFonts w:hint="eastAsia" w:eastAsiaTheme="minorEastAsia"/>
                <w:color w:val="auto"/>
                <w:highlight w:val="none"/>
              </w:rPr>
              <w:t xml:space="preserve"> </w:t>
            </w:r>
            <w:r>
              <w:rPr>
                <w:rFonts w:eastAsiaTheme="minorEastAsia"/>
                <w:color w:val="auto"/>
                <w:highlight w:val="none"/>
              </w:rPr>
              <w:t>1 W；</w:t>
            </w:r>
          </w:p>
          <w:p w14:paraId="7C6F4103">
            <w:pPr>
              <w:widowControl/>
              <w:spacing w:line="360" w:lineRule="auto"/>
              <w:textAlignment w:val="center"/>
              <w:rPr>
                <w:rFonts w:eastAsiaTheme="minorEastAsia"/>
                <w:color w:val="auto"/>
                <w:highlight w:val="none"/>
              </w:rPr>
            </w:pPr>
            <w:r>
              <w:rPr>
                <w:rFonts w:eastAsiaTheme="minorEastAsia"/>
                <w:color w:val="auto"/>
                <w:highlight w:val="none"/>
              </w:rPr>
              <w:t>28.3能量稳定性</w:t>
            </w:r>
            <w:r>
              <w:rPr>
                <w:rFonts w:hint="eastAsia" w:eastAsiaTheme="minorEastAsia"/>
                <w:color w:val="auto"/>
                <w:highlight w:val="none"/>
              </w:rPr>
              <w:t xml:space="preserve"> </w:t>
            </w:r>
            <w:r>
              <w:rPr>
                <w:rFonts w:eastAsiaTheme="minorEastAsia"/>
                <w:color w:val="auto"/>
                <w:highlight w:val="none"/>
              </w:rPr>
              <w:t>≤ 3%；</w:t>
            </w:r>
          </w:p>
          <w:p w14:paraId="531E0234">
            <w:pPr>
              <w:widowControl/>
              <w:spacing w:line="360" w:lineRule="auto"/>
              <w:textAlignment w:val="center"/>
              <w:rPr>
                <w:rFonts w:eastAsiaTheme="minorEastAsia"/>
                <w:color w:val="auto"/>
                <w:highlight w:val="none"/>
              </w:rPr>
            </w:pPr>
            <w:r>
              <w:rPr>
                <w:rFonts w:eastAsiaTheme="minorEastAsia"/>
                <w:color w:val="auto"/>
                <w:highlight w:val="none"/>
              </w:rPr>
              <w:t xml:space="preserve">28.4脉冲宽度：40 </w:t>
            </w:r>
            <w:r>
              <w:rPr>
                <w:rFonts w:hint="eastAsia" w:eastAsiaTheme="minorEastAsia"/>
                <w:color w:val="auto"/>
                <w:highlight w:val="none"/>
              </w:rPr>
              <w:t>ns至</w:t>
            </w:r>
            <w:r>
              <w:rPr>
                <w:rFonts w:eastAsiaTheme="minorEastAsia"/>
                <w:color w:val="auto"/>
                <w:highlight w:val="none"/>
              </w:rPr>
              <w:t>1 μs，</w:t>
            </w:r>
            <w:r>
              <w:rPr>
                <w:rFonts w:hint="eastAsia" w:eastAsiaTheme="minorEastAsia"/>
                <w:color w:val="auto"/>
                <w:highlight w:val="none"/>
              </w:rPr>
              <w:t>以</w:t>
            </w:r>
            <w:r>
              <w:rPr>
                <w:rFonts w:eastAsiaTheme="minorEastAsia"/>
                <w:color w:val="auto"/>
                <w:highlight w:val="none"/>
              </w:rPr>
              <w:t>20 ns步进；</w:t>
            </w:r>
          </w:p>
          <w:p w14:paraId="4147774E">
            <w:pPr>
              <w:widowControl/>
              <w:spacing w:line="360" w:lineRule="auto"/>
              <w:textAlignment w:val="center"/>
              <w:rPr>
                <w:rFonts w:eastAsiaTheme="minorEastAsia"/>
                <w:color w:val="auto"/>
                <w:highlight w:val="none"/>
              </w:rPr>
            </w:pPr>
            <w:r>
              <w:rPr>
                <w:rFonts w:eastAsiaTheme="minorEastAsia"/>
                <w:color w:val="auto"/>
                <w:highlight w:val="none"/>
              </w:rPr>
              <w:t>28.5脉冲重复频率：0.1 KHz</w:t>
            </w:r>
            <w:r>
              <w:rPr>
                <w:rFonts w:hint="eastAsia" w:eastAsiaTheme="minorEastAsia"/>
                <w:color w:val="auto"/>
                <w:highlight w:val="none"/>
              </w:rPr>
              <w:t>至</w:t>
            </w:r>
            <w:r>
              <w:rPr>
                <w:rFonts w:eastAsiaTheme="minorEastAsia"/>
                <w:color w:val="auto"/>
                <w:highlight w:val="none"/>
              </w:rPr>
              <w:t>3 MHz，步进为0.1 KHz；</w:t>
            </w:r>
          </w:p>
          <w:p w14:paraId="6DB8D32F">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28.6最大占空比：20%</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668AA8D5">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40FCC75D">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5DACB344">
            <w:pPr>
              <w:widowControl/>
              <w:spacing w:line="360" w:lineRule="auto"/>
              <w:jc w:val="center"/>
              <w:textAlignment w:val="center"/>
              <w:rPr>
                <w:rFonts w:hint="default" w:eastAsiaTheme="minorEastAsia"/>
                <w:b/>
                <w:bCs/>
                <w:color w:val="auto"/>
                <w:kern w:val="0"/>
                <w:sz w:val="24"/>
                <w:highlight w:val="none"/>
                <w:lang w:val="en-US" w:eastAsia="zh-CN" w:bidi="ar"/>
              </w:rPr>
            </w:pPr>
            <w:r>
              <w:rPr>
                <w:rFonts w:hint="eastAsia" w:eastAsiaTheme="minorEastAsia"/>
                <w:color w:val="auto"/>
                <w:kern w:val="0"/>
                <w:highlight w:val="none"/>
                <w:lang w:val="en-US" w:eastAsia="zh-CN" w:bidi="ar"/>
              </w:rPr>
              <w:t>30</w:t>
            </w:r>
          </w:p>
        </w:tc>
        <w:tc>
          <w:tcPr>
            <w:tcW w:w="610" w:type="dxa"/>
            <w:tcBorders>
              <w:top w:val="single" w:color="000000" w:sz="4" w:space="0"/>
              <w:left w:val="single" w:color="000000" w:sz="4" w:space="0"/>
              <w:bottom w:val="single" w:color="000000" w:sz="4" w:space="0"/>
              <w:right w:val="single" w:color="000000" w:sz="4" w:space="0"/>
            </w:tcBorders>
            <w:vAlign w:val="center"/>
          </w:tcPr>
          <w:p w14:paraId="45661F54">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79CCBB5E">
            <w:pPr>
              <w:widowControl/>
              <w:spacing w:line="360" w:lineRule="auto"/>
              <w:textAlignment w:val="center"/>
              <w:rPr>
                <w:rFonts w:eastAsiaTheme="minorEastAsia"/>
                <w:color w:val="auto"/>
                <w:highlight w:val="none"/>
              </w:rPr>
            </w:pPr>
            <w:r>
              <w:rPr>
                <w:rFonts w:eastAsiaTheme="minorEastAsia"/>
                <w:color w:val="auto"/>
                <w:highlight w:val="none"/>
              </w:rPr>
              <w:t>连续波工作模式时：</w:t>
            </w:r>
          </w:p>
          <w:p w14:paraId="3E3D0DE5">
            <w:pPr>
              <w:widowControl/>
              <w:spacing w:line="360" w:lineRule="auto"/>
              <w:textAlignment w:val="center"/>
              <w:rPr>
                <w:rFonts w:eastAsiaTheme="minorEastAsia"/>
                <w:color w:val="auto"/>
                <w:highlight w:val="none"/>
              </w:rPr>
            </w:pPr>
            <w:r>
              <w:rPr>
                <w:rFonts w:eastAsiaTheme="minorEastAsia"/>
                <w:color w:val="auto"/>
                <w:highlight w:val="none"/>
              </w:rPr>
              <w:t>29.1平均能量</w:t>
            </w:r>
            <w:r>
              <w:rPr>
                <w:rFonts w:hint="eastAsia" w:eastAsiaTheme="minorEastAsia"/>
                <w:color w:val="auto"/>
                <w:highlight w:val="none"/>
              </w:rPr>
              <w:t xml:space="preserve"> </w:t>
            </w:r>
            <w:r>
              <w:rPr>
                <w:rFonts w:eastAsiaTheme="minorEastAsia"/>
                <w:color w:val="auto"/>
                <w:highlight w:val="none"/>
              </w:rPr>
              <w:t>≥</w:t>
            </w:r>
            <w:r>
              <w:rPr>
                <w:rFonts w:hint="eastAsia" w:eastAsiaTheme="minorEastAsia"/>
                <w:color w:val="auto"/>
                <w:highlight w:val="none"/>
              </w:rPr>
              <w:t xml:space="preserve"> </w:t>
            </w:r>
            <w:r>
              <w:rPr>
                <w:rFonts w:eastAsiaTheme="minorEastAsia"/>
                <w:color w:val="auto"/>
                <w:highlight w:val="none"/>
              </w:rPr>
              <w:t>500 mW；</w:t>
            </w:r>
          </w:p>
          <w:p w14:paraId="474AD0B3">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29.2线宽：半高宽</w:t>
            </w:r>
            <w:r>
              <w:rPr>
                <w:rFonts w:hint="eastAsia" w:eastAsiaTheme="minorEastAsia"/>
                <w:color w:val="auto"/>
                <w:highlight w:val="none"/>
              </w:rPr>
              <w:t xml:space="preserve"> </w:t>
            </w:r>
            <w:r>
              <w:rPr>
                <w:rFonts w:eastAsiaTheme="minorEastAsia"/>
                <w:color w:val="auto"/>
                <w:highlight w:val="none"/>
              </w:rPr>
              <w:t>≤ 100 MHz（</w:t>
            </w:r>
            <w:r>
              <w:rPr>
                <w:rFonts w:hint="eastAsia" w:eastAsiaTheme="minorEastAsia"/>
                <w:color w:val="auto"/>
                <w:highlight w:val="none"/>
              </w:rPr>
              <w:t>在</w:t>
            </w:r>
            <w:r>
              <w:rPr>
                <w:rFonts w:eastAsiaTheme="minorEastAsia"/>
                <w:color w:val="auto"/>
                <w:highlight w:val="none"/>
              </w:rPr>
              <w:t>1秒钟的测量积分时间内）</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1C3539F2">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75A713F9">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3C791B71">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3</w:t>
            </w:r>
            <w:r>
              <w:rPr>
                <w:rFonts w:hint="eastAsia" w:eastAsiaTheme="minorEastAsia"/>
                <w:color w:val="auto"/>
                <w:kern w:val="0"/>
                <w:highlight w:val="none"/>
                <w:lang w:val="en-US" w:eastAsia="zh-CN" w:bidi="ar"/>
              </w:rPr>
              <w:t>1</w:t>
            </w:r>
          </w:p>
        </w:tc>
        <w:tc>
          <w:tcPr>
            <w:tcW w:w="610" w:type="dxa"/>
            <w:tcBorders>
              <w:top w:val="single" w:color="000000" w:sz="4" w:space="0"/>
              <w:left w:val="single" w:color="000000" w:sz="4" w:space="0"/>
              <w:bottom w:val="single" w:color="000000" w:sz="4" w:space="0"/>
              <w:right w:val="single" w:color="000000" w:sz="4" w:space="0"/>
            </w:tcBorders>
            <w:vAlign w:val="center"/>
          </w:tcPr>
          <w:p w14:paraId="0D1EA408">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6B87828C">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激光器使用寿命：10年以上</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48A8252D">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227CF961">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25B6357D">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3</w:t>
            </w:r>
            <w:r>
              <w:rPr>
                <w:rFonts w:hint="eastAsia" w:eastAsiaTheme="minorEastAsia"/>
                <w:color w:val="auto"/>
                <w:kern w:val="0"/>
                <w:highlight w:val="none"/>
                <w:lang w:val="en-US" w:eastAsia="zh-CN" w:bidi="ar"/>
              </w:rPr>
              <w:t>2</w:t>
            </w:r>
          </w:p>
        </w:tc>
        <w:tc>
          <w:tcPr>
            <w:tcW w:w="610" w:type="dxa"/>
            <w:tcBorders>
              <w:top w:val="single" w:color="000000" w:sz="4" w:space="0"/>
              <w:left w:val="single" w:color="000000" w:sz="4" w:space="0"/>
              <w:bottom w:val="single" w:color="000000" w:sz="4" w:space="0"/>
              <w:right w:val="single" w:color="000000" w:sz="4" w:space="0"/>
            </w:tcBorders>
            <w:vAlign w:val="center"/>
          </w:tcPr>
          <w:p w14:paraId="5A2EC3F7">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4F20C67A">
            <w:pPr>
              <w:widowControl/>
              <w:spacing w:line="360" w:lineRule="auto"/>
              <w:textAlignment w:val="center"/>
              <w:rPr>
                <w:rFonts w:eastAsiaTheme="minorEastAsia"/>
                <w:b/>
                <w:bCs/>
                <w:color w:val="auto"/>
                <w:kern w:val="0"/>
                <w:sz w:val="24"/>
                <w:highlight w:val="none"/>
                <w:lang w:bidi="ar"/>
              </w:rPr>
            </w:pPr>
            <w:r>
              <w:rPr>
                <w:rFonts w:hint="eastAsia" w:eastAsiaTheme="minorEastAsia"/>
                <w:color w:val="auto"/>
                <w:highlight w:val="none"/>
              </w:rPr>
              <w:t>包含纳米热学模块，</w:t>
            </w:r>
            <w:r>
              <w:rPr>
                <w:rFonts w:eastAsiaTheme="minorEastAsia"/>
                <w:color w:val="auto"/>
                <w:highlight w:val="none"/>
              </w:rPr>
              <w:t>可对探针进行针尖加热，进行微区的点/线/面的热加工</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376B17CE">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2DFA7C01">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2F77B2EA">
            <w:pPr>
              <w:widowControl/>
              <w:spacing w:line="360" w:lineRule="auto"/>
              <w:jc w:val="center"/>
              <w:textAlignment w:val="center"/>
              <w:rPr>
                <w:rFonts w:hint="eastAsia" w:eastAsiaTheme="minorEastAsia"/>
                <w:b/>
                <w:bCs/>
                <w:color w:val="auto"/>
                <w:kern w:val="0"/>
                <w:sz w:val="24"/>
                <w:highlight w:val="none"/>
                <w:lang w:eastAsia="zh-CN" w:bidi="ar"/>
              </w:rPr>
            </w:pPr>
            <w:r>
              <w:rPr>
                <w:rFonts w:eastAsiaTheme="minorEastAsia"/>
                <w:color w:val="auto"/>
                <w:kern w:val="0"/>
                <w:highlight w:val="none"/>
                <w:lang w:bidi="ar"/>
              </w:rPr>
              <w:t>3</w:t>
            </w:r>
            <w:r>
              <w:rPr>
                <w:rFonts w:hint="eastAsia" w:eastAsiaTheme="minorEastAsia"/>
                <w:color w:val="auto"/>
                <w:kern w:val="0"/>
                <w:highlight w:val="none"/>
                <w:lang w:val="en-US" w:eastAsia="zh-CN" w:bidi="ar"/>
              </w:rPr>
              <w:t>3</w:t>
            </w:r>
          </w:p>
        </w:tc>
        <w:tc>
          <w:tcPr>
            <w:tcW w:w="610" w:type="dxa"/>
            <w:tcBorders>
              <w:top w:val="single" w:color="000000" w:sz="4" w:space="0"/>
              <w:left w:val="single" w:color="000000" w:sz="4" w:space="0"/>
              <w:bottom w:val="single" w:color="000000" w:sz="4" w:space="0"/>
              <w:right w:val="single" w:color="000000" w:sz="4" w:space="0"/>
            </w:tcBorders>
            <w:vAlign w:val="center"/>
          </w:tcPr>
          <w:p w14:paraId="1E178916">
            <w:pPr>
              <w:widowControl/>
              <w:spacing w:line="360" w:lineRule="auto"/>
              <w:jc w:val="center"/>
              <w:textAlignment w:val="center"/>
              <w:rPr>
                <w:rFonts w:eastAsiaTheme="minorEastAsia"/>
                <w:b/>
                <w:bCs/>
                <w:color w:val="auto"/>
                <w:kern w:val="0"/>
                <w:sz w:val="24"/>
                <w:highlight w:val="none"/>
                <w:lang w:bidi="ar"/>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07F2CED0">
            <w:pPr>
              <w:widowControl/>
              <w:spacing w:line="360" w:lineRule="auto"/>
              <w:textAlignment w:val="center"/>
              <w:rPr>
                <w:rFonts w:eastAsiaTheme="minorEastAsia"/>
                <w:b/>
                <w:bCs/>
                <w:color w:val="auto"/>
                <w:kern w:val="0"/>
                <w:sz w:val="24"/>
                <w:highlight w:val="none"/>
                <w:lang w:bidi="ar"/>
              </w:rPr>
            </w:pPr>
            <w:r>
              <w:rPr>
                <w:rFonts w:eastAsiaTheme="minorEastAsia"/>
                <w:color w:val="auto"/>
                <w:highlight w:val="none"/>
              </w:rPr>
              <w:t>可对材料微区纳米尺度熔点或相变温度测量</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08F4AF6C">
            <w:pPr>
              <w:widowControl/>
              <w:spacing w:line="360" w:lineRule="auto"/>
              <w:jc w:val="center"/>
              <w:textAlignment w:val="center"/>
              <w:rPr>
                <w:rFonts w:eastAsiaTheme="minorEastAsia"/>
                <w:color w:val="auto"/>
                <w:szCs w:val="21"/>
                <w:highlight w:val="none"/>
              </w:rPr>
            </w:pPr>
            <w:r>
              <w:rPr>
                <w:rFonts w:hint="eastAsia" w:eastAsiaTheme="minorEastAsia"/>
                <w:color w:val="auto"/>
                <w:szCs w:val="21"/>
                <w:highlight w:val="none"/>
              </w:rPr>
              <w:t>否</w:t>
            </w:r>
          </w:p>
        </w:tc>
      </w:tr>
      <w:tr w14:paraId="4434F487">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7D740DEC">
            <w:pPr>
              <w:widowControl/>
              <w:spacing w:line="360" w:lineRule="auto"/>
              <w:jc w:val="center"/>
              <w:textAlignment w:val="center"/>
              <w:rPr>
                <w:rFonts w:hint="eastAsia" w:eastAsiaTheme="minorEastAsia"/>
                <w:color w:val="auto"/>
                <w:kern w:val="0"/>
                <w:highlight w:val="none"/>
                <w:lang w:eastAsia="zh-CN" w:bidi="ar"/>
              </w:rPr>
            </w:pPr>
            <w:r>
              <w:rPr>
                <w:rFonts w:eastAsiaTheme="minorEastAsia"/>
                <w:color w:val="auto"/>
                <w:kern w:val="0"/>
                <w:highlight w:val="none"/>
                <w:lang w:bidi="ar"/>
              </w:rPr>
              <w:t>3</w:t>
            </w:r>
            <w:r>
              <w:rPr>
                <w:rFonts w:hint="eastAsia" w:eastAsiaTheme="minorEastAsia"/>
                <w:color w:val="auto"/>
                <w:kern w:val="0"/>
                <w:highlight w:val="none"/>
                <w:lang w:val="en-US" w:eastAsia="zh-CN" w:bidi="ar"/>
              </w:rPr>
              <w:t>4</w:t>
            </w:r>
          </w:p>
        </w:tc>
        <w:tc>
          <w:tcPr>
            <w:tcW w:w="610" w:type="dxa"/>
            <w:tcBorders>
              <w:top w:val="single" w:color="000000" w:sz="4" w:space="0"/>
              <w:left w:val="single" w:color="000000" w:sz="4" w:space="0"/>
              <w:bottom w:val="single" w:color="000000" w:sz="4" w:space="0"/>
              <w:right w:val="single" w:color="000000" w:sz="4" w:space="0"/>
            </w:tcBorders>
            <w:vAlign w:val="center"/>
          </w:tcPr>
          <w:p w14:paraId="68471596">
            <w:pPr>
              <w:widowControl/>
              <w:spacing w:line="360" w:lineRule="auto"/>
              <w:jc w:val="center"/>
              <w:textAlignment w:val="center"/>
              <w:rPr>
                <w:rFonts w:eastAsiaTheme="minorEastAsia"/>
                <w:color w:val="auto"/>
                <w:highlight w:val="none"/>
              </w:rPr>
            </w:pPr>
            <w:r>
              <w:rPr>
                <w:rFonts w:eastAsiaTheme="minorEastAsia"/>
                <w:color w:val="auto"/>
                <w:highlight w:val="none"/>
              </w:rPr>
              <w:t>*</w:t>
            </w:r>
          </w:p>
        </w:tc>
        <w:tc>
          <w:tcPr>
            <w:tcW w:w="5408" w:type="dxa"/>
            <w:tcBorders>
              <w:top w:val="single" w:color="000000" w:sz="4" w:space="0"/>
              <w:left w:val="single" w:color="000000" w:sz="4" w:space="0"/>
              <w:bottom w:val="single" w:color="000000" w:sz="4" w:space="0"/>
              <w:right w:val="single" w:color="000000" w:sz="4" w:space="0"/>
            </w:tcBorders>
            <w:vAlign w:val="center"/>
          </w:tcPr>
          <w:p w14:paraId="0A140944">
            <w:pPr>
              <w:widowControl/>
              <w:spacing w:line="360" w:lineRule="auto"/>
              <w:textAlignment w:val="center"/>
              <w:rPr>
                <w:rFonts w:eastAsiaTheme="minorEastAsia"/>
                <w:color w:val="auto"/>
                <w:highlight w:val="none"/>
              </w:rPr>
            </w:pPr>
            <w:r>
              <w:rPr>
                <w:rFonts w:eastAsiaTheme="minorEastAsia"/>
                <w:color w:val="auto"/>
                <w:highlight w:val="none"/>
              </w:rPr>
              <w:t>探针加热温度：</w:t>
            </w:r>
            <w:r>
              <w:rPr>
                <w:rFonts w:hint="eastAsia" w:eastAsiaTheme="minorEastAsia"/>
                <w:color w:val="auto"/>
                <w:highlight w:val="none"/>
              </w:rPr>
              <w:t>由</w:t>
            </w:r>
            <w:r>
              <w:rPr>
                <w:rFonts w:eastAsiaTheme="minorEastAsia"/>
                <w:color w:val="auto"/>
                <w:highlight w:val="none"/>
              </w:rPr>
              <w:t>室温至400°C，升温速率不低于10000°C/秒</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3DB42D27">
            <w:pPr>
              <w:widowControl/>
              <w:spacing w:before="120" w:beforeLines="50" w:after="120" w:afterLines="50"/>
              <w:textAlignment w:val="center"/>
              <w:rPr>
                <w:rFonts w:eastAsiaTheme="minorEastAsia"/>
                <w:color w:val="auto"/>
                <w:szCs w:val="21"/>
                <w:highlight w:val="none"/>
              </w:rPr>
            </w:pPr>
            <w:r>
              <w:rPr>
                <w:rFonts w:hint="eastAsia" w:eastAsiaTheme="minorEastAsia"/>
                <w:color w:val="auto"/>
                <w:highlight w:val="none"/>
              </w:rPr>
              <w:t>是，</w:t>
            </w:r>
            <w:r>
              <w:rPr>
                <w:rFonts w:eastAsiaTheme="minorEastAsia"/>
                <w:color w:val="auto"/>
                <w:highlight w:val="none"/>
              </w:rPr>
              <w:t>需要提供官方彩页证明</w:t>
            </w:r>
            <w:r>
              <w:rPr>
                <w:rFonts w:hint="eastAsia" w:eastAsiaTheme="minorEastAsia"/>
                <w:color w:val="auto"/>
                <w:highlight w:val="none"/>
              </w:rPr>
              <w:t>探针加热温度可由</w:t>
            </w:r>
            <w:r>
              <w:rPr>
                <w:rFonts w:eastAsiaTheme="minorEastAsia"/>
                <w:color w:val="auto"/>
                <w:highlight w:val="none"/>
              </w:rPr>
              <w:t>室温至400°C</w:t>
            </w:r>
            <w:r>
              <w:rPr>
                <w:rFonts w:hint="eastAsia" w:eastAsiaTheme="minorEastAsia"/>
                <w:color w:val="auto"/>
                <w:highlight w:val="none"/>
              </w:rPr>
              <w:t>，升温速率</w:t>
            </w:r>
            <w:r>
              <w:rPr>
                <w:rFonts w:eastAsiaTheme="minorEastAsia"/>
                <w:color w:val="auto"/>
                <w:highlight w:val="none"/>
              </w:rPr>
              <w:t>不低于10000°C/秒</w:t>
            </w:r>
          </w:p>
        </w:tc>
      </w:tr>
      <w:tr w14:paraId="1C1235ED">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3E95C432">
            <w:pPr>
              <w:widowControl/>
              <w:spacing w:line="360" w:lineRule="auto"/>
              <w:jc w:val="center"/>
              <w:textAlignment w:val="center"/>
              <w:rPr>
                <w:rFonts w:hint="eastAsia" w:eastAsiaTheme="minorEastAsia"/>
                <w:color w:val="auto"/>
                <w:kern w:val="0"/>
                <w:highlight w:val="none"/>
                <w:lang w:eastAsia="zh-CN" w:bidi="ar"/>
              </w:rPr>
            </w:pPr>
            <w:r>
              <w:rPr>
                <w:rFonts w:eastAsiaTheme="minorEastAsia"/>
                <w:color w:val="auto"/>
                <w:kern w:val="0"/>
                <w:highlight w:val="none"/>
                <w:lang w:bidi="ar"/>
              </w:rPr>
              <w:t>3</w:t>
            </w:r>
            <w:r>
              <w:rPr>
                <w:rFonts w:hint="eastAsia" w:eastAsiaTheme="minorEastAsia"/>
                <w:color w:val="auto"/>
                <w:kern w:val="0"/>
                <w:highlight w:val="none"/>
                <w:lang w:val="en-US" w:eastAsia="zh-CN" w:bidi="ar"/>
              </w:rPr>
              <w:t>5</w:t>
            </w:r>
          </w:p>
        </w:tc>
        <w:tc>
          <w:tcPr>
            <w:tcW w:w="610" w:type="dxa"/>
            <w:tcBorders>
              <w:top w:val="single" w:color="000000" w:sz="4" w:space="0"/>
              <w:left w:val="single" w:color="000000" w:sz="4" w:space="0"/>
              <w:bottom w:val="single" w:color="000000" w:sz="4" w:space="0"/>
              <w:right w:val="single" w:color="000000" w:sz="4" w:space="0"/>
            </w:tcBorders>
            <w:vAlign w:val="center"/>
          </w:tcPr>
          <w:p w14:paraId="12949440">
            <w:pPr>
              <w:widowControl/>
              <w:spacing w:line="360" w:lineRule="auto"/>
              <w:jc w:val="center"/>
              <w:textAlignment w:val="center"/>
              <w:rPr>
                <w:rFonts w:eastAsiaTheme="minorEastAsia"/>
                <w:color w:val="auto"/>
                <w:highlight w:val="none"/>
              </w:rPr>
            </w:pPr>
            <w:r>
              <w:rPr>
                <w:rFonts w:eastAsiaTheme="minorEastAsia"/>
                <w:color w:val="auto"/>
                <w:highlight w:val="none"/>
              </w:rPr>
              <w:t>*</w:t>
            </w:r>
          </w:p>
        </w:tc>
        <w:tc>
          <w:tcPr>
            <w:tcW w:w="5408" w:type="dxa"/>
            <w:tcBorders>
              <w:top w:val="single" w:color="000000" w:sz="4" w:space="0"/>
              <w:left w:val="single" w:color="000000" w:sz="4" w:space="0"/>
              <w:bottom w:val="single" w:color="000000" w:sz="4" w:space="0"/>
              <w:right w:val="single" w:color="000000" w:sz="4" w:space="0"/>
            </w:tcBorders>
            <w:vAlign w:val="center"/>
          </w:tcPr>
          <w:p w14:paraId="690805CF">
            <w:pPr>
              <w:widowControl/>
              <w:spacing w:line="360" w:lineRule="auto"/>
              <w:textAlignment w:val="center"/>
              <w:rPr>
                <w:rFonts w:eastAsiaTheme="minorEastAsia"/>
                <w:color w:val="auto"/>
                <w:highlight w:val="none"/>
              </w:rPr>
            </w:pPr>
            <w:r>
              <w:rPr>
                <w:rFonts w:eastAsiaTheme="minorEastAsia"/>
                <w:color w:val="auto"/>
                <w:highlight w:val="none"/>
              </w:rPr>
              <w:t>提供</w:t>
            </w:r>
            <w:r>
              <w:rPr>
                <w:rFonts w:hint="eastAsia" w:eastAsiaTheme="minorEastAsia"/>
                <w:color w:val="auto"/>
                <w:highlight w:val="none"/>
              </w:rPr>
              <w:t>相变温度显微镜（</w:t>
            </w:r>
            <w:r>
              <w:rPr>
                <w:rFonts w:eastAsiaTheme="minorEastAsia"/>
                <w:color w:val="auto"/>
                <w:highlight w:val="none"/>
              </w:rPr>
              <w:t>TTM</w:t>
            </w:r>
            <w:r>
              <w:rPr>
                <w:rFonts w:hint="eastAsia" w:eastAsiaTheme="minorEastAsia"/>
                <w:color w:val="auto"/>
                <w:highlight w:val="none"/>
              </w:rPr>
              <w:t>）</w:t>
            </w:r>
            <w:r>
              <w:rPr>
                <w:rFonts w:eastAsiaTheme="minorEastAsia"/>
                <w:color w:val="auto"/>
                <w:highlight w:val="none"/>
              </w:rPr>
              <w:t>模式，通过快速加热功能，实现</w:t>
            </w:r>
            <w:r>
              <w:rPr>
                <w:rFonts w:hint="eastAsia" w:eastAsiaTheme="minorEastAsia"/>
                <w:color w:val="auto"/>
                <w:highlight w:val="none"/>
              </w:rPr>
              <w:t>优于</w:t>
            </w:r>
            <w:r>
              <w:rPr>
                <w:rFonts w:eastAsiaTheme="minorEastAsia"/>
                <w:color w:val="auto"/>
                <w:highlight w:val="none"/>
              </w:rPr>
              <w:t>100 nm空间分辨率的微区熔点、玻璃化温度等热转变温度的扫描成像图像</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73D3B6A1">
            <w:pPr>
              <w:widowControl/>
              <w:spacing w:before="120" w:beforeLines="50" w:after="120" w:afterLines="50"/>
              <w:textAlignment w:val="center"/>
              <w:rPr>
                <w:rFonts w:eastAsiaTheme="minorEastAsia"/>
                <w:color w:val="auto"/>
                <w:szCs w:val="21"/>
                <w:highlight w:val="none"/>
              </w:rPr>
            </w:pPr>
            <w:r>
              <w:rPr>
                <w:rFonts w:hint="eastAsia" w:eastAsiaTheme="minorEastAsia"/>
                <w:color w:val="auto"/>
                <w:highlight w:val="none"/>
              </w:rPr>
              <w:t>是，</w:t>
            </w:r>
            <w:r>
              <w:rPr>
                <w:rFonts w:eastAsiaTheme="minorEastAsia"/>
                <w:color w:val="auto"/>
                <w:highlight w:val="none"/>
              </w:rPr>
              <w:t>需要提供软件</w:t>
            </w:r>
            <w:r>
              <w:rPr>
                <w:rFonts w:hint="eastAsia" w:eastAsiaTheme="minorEastAsia"/>
                <w:color w:val="auto"/>
                <w:highlight w:val="none"/>
              </w:rPr>
              <w:t>操作页面</w:t>
            </w:r>
            <w:r>
              <w:rPr>
                <w:rFonts w:eastAsiaTheme="minorEastAsia"/>
                <w:color w:val="auto"/>
                <w:highlight w:val="none"/>
              </w:rPr>
              <w:t>证明能</w:t>
            </w:r>
            <w:r>
              <w:rPr>
                <w:rFonts w:hint="eastAsia" w:eastAsiaTheme="minorEastAsia"/>
                <w:color w:val="auto"/>
                <w:highlight w:val="none"/>
              </w:rPr>
              <w:t>够</w:t>
            </w:r>
            <w:r>
              <w:rPr>
                <w:rFonts w:eastAsiaTheme="minorEastAsia"/>
                <w:color w:val="auto"/>
                <w:highlight w:val="none"/>
              </w:rPr>
              <w:t>提供TTM模式</w:t>
            </w:r>
          </w:p>
        </w:tc>
      </w:tr>
      <w:tr w14:paraId="478F8DED">
        <w:tblPrEx>
          <w:tblCellMar>
            <w:top w:w="0" w:type="dxa"/>
            <w:left w:w="108" w:type="dxa"/>
            <w:bottom w:w="0" w:type="dxa"/>
            <w:right w:w="108" w:type="dxa"/>
          </w:tblCellMar>
        </w:tblPrEx>
        <w:trPr>
          <w:trHeight w:val="567" w:hRule="atLeast"/>
          <w:jc w:val="center"/>
        </w:trPr>
        <w:tc>
          <w:tcPr>
            <w:tcW w:w="640" w:type="dxa"/>
            <w:tcBorders>
              <w:top w:val="single" w:color="000000" w:sz="4" w:space="0"/>
              <w:left w:val="single" w:color="000000" w:sz="4" w:space="0"/>
              <w:bottom w:val="single" w:color="000000" w:sz="4" w:space="0"/>
              <w:right w:val="single" w:color="000000" w:sz="4" w:space="0"/>
            </w:tcBorders>
            <w:vAlign w:val="center"/>
          </w:tcPr>
          <w:p w14:paraId="01AB8D42">
            <w:pPr>
              <w:widowControl/>
              <w:spacing w:line="360" w:lineRule="auto"/>
              <w:jc w:val="center"/>
              <w:textAlignment w:val="center"/>
              <w:rPr>
                <w:rFonts w:hint="eastAsia" w:eastAsiaTheme="minorEastAsia"/>
                <w:color w:val="auto"/>
                <w:kern w:val="0"/>
                <w:highlight w:val="none"/>
                <w:lang w:eastAsia="zh-CN" w:bidi="ar"/>
              </w:rPr>
            </w:pPr>
            <w:r>
              <w:rPr>
                <w:rFonts w:eastAsiaTheme="minorEastAsia"/>
                <w:color w:val="auto"/>
                <w:kern w:val="0"/>
                <w:highlight w:val="none"/>
                <w:lang w:bidi="ar"/>
              </w:rPr>
              <w:t>3</w:t>
            </w:r>
            <w:r>
              <w:rPr>
                <w:rFonts w:hint="eastAsia" w:eastAsiaTheme="minorEastAsia"/>
                <w:color w:val="auto"/>
                <w:kern w:val="0"/>
                <w:highlight w:val="none"/>
                <w:lang w:val="en-US" w:eastAsia="zh-CN" w:bidi="ar"/>
              </w:rPr>
              <w:t>6</w:t>
            </w:r>
          </w:p>
        </w:tc>
        <w:tc>
          <w:tcPr>
            <w:tcW w:w="610" w:type="dxa"/>
            <w:tcBorders>
              <w:top w:val="single" w:color="000000" w:sz="4" w:space="0"/>
              <w:left w:val="single" w:color="000000" w:sz="4" w:space="0"/>
              <w:bottom w:val="single" w:color="000000" w:sz="4" w:space="0"/>
              <w:right w:val="single" w:color="000000" w:sz="4" w:space="0"/>
            </w:tcBorders>
            <w:vAlign w:val="center"/>
          </w:tcPr>
          <w:p w14:paraId="2D56CD62">
            <w:pPr>
              <w:widowControl/>
              <w:spacing w:line="360" w:lineRule="auto"/>
              <w:jc w:val="center"/>
              <w:textAlignment w:val="center"/>
              <w:rPr>
                <w:rFonts w:eastAsiaTheme="minorEastAsia"/>
                <w:color w:val="auto"/>
                <w:highlight w:val="none"/>
              </w:rPr>
            </w:pPr>
          </w:p>
        </w:tc>
        <w:tc>
          <w:tcPr>
            <w:tcW w:w="5408" w:type="dxa"/>
            <w:tcBorders>
              <w:top w:val="single" w:color="000000" w:sz="4" w:space="0"/>
              <w:left w:val="single" w:color="000000" w:sz="4" w:space="0"/>
              <w:bottom w:val="single" w:color="000000" w:sz="4" w:space="0"/>
              <w:right w:val="single" w:color="000000" w:sz="4" w:space="0"/>
            </w:tcBorders>
            <w:vAlign w:val="center"/>
          </w:tcPr>
          <w:p w14:paraId="7611E91D">
            <w:pPr>
              <w:widowControl/>
              <w:spacing w:line="360" w:lineRule="auto"/>
              <w:textAlignment w:val="center"/>
              <w:rPr>
                <w:rFonts w:eastAsiaTheme="minorEastAsia"/>
                <w:color w:val="auto"/>
                <w:highlight w:val="none"/>
              </w:rPr>
            </w:pPr>
            <w:r>
              <w:rPr>
                <w:rFonts w:eastAsiaTheme="minorEastAsia"/>
                <w:color w:val="auto"/>
                <w:highlight w:val="none"/>
              </w:rPr>
              <w:t>提供扫描热显微镜</w:t>
            </w:r>
            <w:r>
              <w:rPr>
                <w:rFonts w:hint="eastAsia" w:eastAsiaTheme="minorEastAsia"/>
                <w:color w:val="auto"/>
                <w:highlight w:val="none"/>
              </w:rPr>
              <w:t>（</w:t>
            </w:r>
            <w:r>
              <w:rPr>
                <w:rFonts w:eastAsiaTheme="minorEastAsia"/>
                <w:color w:val="auto"/>
                <w:highlight w:val="none"/>
              </w:rPr>
              <w:t>SThM</w:t>
            </w:r>
            <w:r>
              <w:rPr>
                <w:rFonts w:hint="eastAsia" w:eastAsiaTheme="minorEastAsia"/>
                <w:color w:val="auto"/>
                <w:highlight w:val="none"/>
              </w:rPr>
              <w:t>）</w:t>
            </w:r>
            <w:r>
              <w:rPr>
                <w:rFonts w:eastAsiaTheme="minorEastAsia"/>
                <w:color w:val="auto"/>
                <w:highlight w:val="none"/>
              </w:rPr>
              <w:t>功能，可对样品微区的热导率和温度分布进行成像</w:t>
            </w:r>
            <w:r>
              <w:rPr>
                <w:rFonts w:hint="eastAsia" w:eastAsiaTheme="minorEastAsia"/>
                <w:color w:val="auto"/>
                <w:highlight w:val="none"/>
              </w:rPr>
              <w:t>。</w:t>
            </w:r>
          </w:p>
        </w:tc>
        <w:tc>
          <w:tcPr>
            <w:tcW w:w="1984" w:type="dxa"/>
            <w:tcBorders>
              <w:top w:val="single" w:color="000000" w:sz="4" w:space="0"/>
              <w:left w:val="single" w:color="000000" w:sz="4" w:space="0"/>
              <w:bottom w:val="single" w:color="000000" w:sz="4" w:space="0"/>
              <w:right w:val="single" w:color="000000" w:sz="4" w:space="0"/>
            </w:tcBorders>
            <w:vAlign w:val="center"/>
          </w:tcPr>
          <w:p w14:paraId="2828FD71">
            <w:pPr>
              <w:widowControl/>
              <w:spacing w:line="360" w:lineRule="auto"/>
              <w:jc w:val="center"/>
              <w:textAlignment w:val="center"/>
              <w:rPr>
                <w:rFonts w:eastAsiaTheme="minorEastAsia"/>
                <w:color w:val="auto"/>
                <w:highlight w:val="none"/>
              </w:rPr>
            </w:pPr>
            <w:r>
              <w:rPr>
                <w:rFonts w:hint="eastAsia" w:eastAsiaTheme="minorEastAsia"/>
                <w:color w:val="auto"/>
                <w:szCs w:val="21"/>
                <w:highlight w:val="none"/>
              </w:rPr>
              <w:t>否</w:t>
            </w:r>
          </w:p>
        </w:tc>
      </w:tr>
    </w:tbl>
    <w:p w14:paraId="0A811758">
      <w:pPr>
        <w:pStyle w:val="55"/>
        <w:ind w:firstLine="420"/>
        <w:rPr>
          <w:color w:val="auto"/>
          <w:highlight w:val="none"/>
        </w:rPr>
      </w:pPr>
    </w:p>
    <w:p w14:paraId="05120160">
      <w:pPr>
        <w:rPr>
          <w:b/>
          <w:color w:val="auto"/>
          <w:sz w:val="24"/>
          <w:highlight w:val="none"/>
        </w:rPr>
      </w:pPr>
      <w:r>
        <w:rPr>
          <w:rFonts w:hint="eastAsia"/>
          <w:b/>
          <w:color w:val="auto"/>
          <w:sz w:val="24"/>
          <w:highlight w:val="none"/>
        </w:rPr>
        <w:br w:type="page"/>
      </w:r>
    </w:p>
    <w:p w14:paraId="1ECB73BA">
      <w:pPr>
        <w:spacing w:before="240" w:beforeLines="100" w:after="240" w:afterLines="100" w:line="360" w:lineRule="auto"/>
        <w:jc w:val="center"/>
        <w:outlineLvl w:val="1"/>
        <w:rPr>
          <w:b/>
          <w:color w:val="auto"/>
          <w:sz w:val="24"/>
          <w:highlight w:val="none"/>
        </w:rPr>
      </w:pPr>
      <w:bookmarkStart w:id="256" w:name="_Toc1796903344"/>
      <w:bookmarkStart w:id="257" w:name="_Toc8514"/>
      <w:bookmarkStart w:id="258" w:name="_Toc10945"/>
      <w:bookmarkStart w:id="259" w:name="_Toc21518"/>
      <w:r>
        <w:rPr>
          <w:rFonts w:hint="eastAsia"/>
          <w:b/>
          <w:color w:val="auto"/>
          <w:sz w:val="24"/>
          <w:highlight w:val="none"/>
        </w:rPr>
        <w:t>（三）商务服务要求</w:t>
      </w:r>
      <w:bookmarkEnd w:id="256"/>
      <w:bookmarkEnd w:id="257"/>
      <w:bookmarkEnd w:id="258"/>
      <w:bookmarkEnd w:id="259"/>
    </w:p>
    <w:p w14:paraId="7E2374B8">
      <w:pPr>
        <w:adjustRightInd w:val="0"/>
        <w:snapToGrid w:val="0"/>
        <w:spacing w:line="440" w:lineRule="exact"/>
        <w:ind w:firstLine="482" w:firstLineChars="200"/>
        <w:rPr>
          <w:rFonts w:ascii="宋体" w:hAnsi="宋体" w:cs="宋体"/>
          <w:b/>
          <w:bCs/>
          <w:color w:val="auto"/>
          <w:sz w:val="24"/>
          <w:highlight w:val="none"/>
        </w:rPr>
      </w:pPr>
      <w:r>
        <w:rPr>
          <w:b/>
          <w:bCs/>
          <w:color w:val="auto"/>
          <w:sz w:val="24"/>
          <w:highlight w:val="none"/>
        </w:rPr>
        <w:t>一、</w:t>
      </w:r>
      <w:r>
        <w:rPr>
          <w:rFonts w:hint="eastAsia" w:ascii="宋体" w:hAnsi="宋体" w:cs="宋体"/>
          <w:b/>
          <w:bCs/>
          <w:color w:val="auto"/>
          <w:sz w:val="24"/>
          <w:highlight w:val="none"/>
        </w:rPr>
        <w:t>供货、安装、调试、验收要求</w:t>
      </w:r>
    </w:p>
    <w:p w14:paraId="3141A1FE">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须提供符合国家质量标准、部颁标准、行业标准或本公开招标规定标准、供货渠道合法的全新原装合格正品（包括零部件），如安装或配置软件的，须为正版软件。所提供的货物应当同时符合国家有关安全、卫生、环保规定。</w:t>
      </w:r>
    </w:p>
    <w:p w14:paraId="3DF05D86">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采购人使用供应商中标的货物、技术、资料、服务或其他任何一部分时，享有无偿使用权。免受第三方提出的侵犯其专利权、著作权、商标权或其它知识产权的起诉。如果第三方提出侵权指控，中标供应商应承担由此而引起的一切法律责任和费用。</w:t>
      </w:r>
    </w:p>
    <w:p w14:paraId="4940A5C3">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3、包装和发运</w:t>
      </w:r>
    </w:p>
    <w:p w14:paraId="5023F9A3">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（1）货物的包装和运输须符合货物特性要求。</w:t>
      </w:r>
    </w:p>
    <w:p w14:paraId="0F2CCD37">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（2）为了保证货物在长途运输、多次搬运和装卸过程中的安全，货物包装应符合国家或行业标准规定。由于包装、运输、搬运和装卸不当导致货物锈蚀、缺失或损坏，由供应商承担一切责任。</w:t>
      </w:r>
    </w:p>
    <w:p w14:paraId="44C97924">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4、供应商技术工程师负责统筹安排现场的免费安装、调试工作；如需特殊安装条件的，供应商应当发货前30天内与采购人进行场地安装事宜的确认。</w:t>
      </w:r>
    </w:p>
    <w:p w14:paraId="003942D5">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5、货物运抵安装现场后，采购人应当与供应商共同开箱进行初步验收；验收结果以双方签署的验收报告为准，验收时发现短缺、破损,采购人有权要求供应商立即补发和负责更换。</w:t>
      </w:r>
    </w:p>
    <w:p w14:paraId="2FC5964F">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6、供应商应提出设备测试的内容、项目、指标和方法,供应商有责任对采购人的技术人员提出的问题做出解答。测试应进行详细记录,仪器设备测试结束后,由供应商技术人员签字后交给采购人验收。</w:t>
      </w:r>
    </w:p>
    <w:p w14:paraId="4A241FA1">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供应商应提前一周将发货信息提供给采购人。货物到达后，采购人应将到货信息立即通知供应商。供应商应协助采购人于到货后一周（7天）内在设备基础上安装就位，并做好现场安装调试、验收的各项准备工作，包括必要的试件、刀具及检具等。</w:t>
      </w:r>
    </w:p>
    <w:p w14:paraId="66DE3DED">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8、同时满足以下条件，采购人将向供应商签发货物验收报告：</w:t>
      </w:r>
    </w:p>
    <w:p w14:paraId="76FA9026">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1）供应商已按照合同规定提供了全部产品及完整的技术资料。</w:t>
      </w:r>
    </w:p>
    <w:p w14:paraId="057906F5">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2）采购人确定最终验收方案，并根据该验收方案验收所有的配置、功能和技术指标。</w:t>
      </w:r>
    </w:p>
    <w:p w14:paraId="0F0C8FF1">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3）最终验收在采购人授权代表在场和供应商授权代表在场的情况下按照现场验收方案逐项进行。验收报告由双方签署后完成设备最终验收。</w:t>
      </w:r>
    </w:p>
    <w:p w14:paraId="6FFAC719">
      <w:pPr>
        <w:widowControl/>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采购人根据国家有关规定、公开招标文件、供应商的投标文件以及合同约定的内容和验收标准进行验收，采购人可以视项目情况邀请第三方机构或者参加本项目投标的其他供应商参与验收。验收情况作为支付货款的依据。如有异议，以相关质量技术检验检测机构的检验结果为准，如产生检验检测费用，则该费用由过失方承担。</w:t>
      </w:r>
    </w:p>
    <w:p w14:paraId="02B4ECEB">
      <w:pPr>
        <w:adjustRightInd w:val="0"/>
        <w:snapToGrid w:val="0"/>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二、售后服务要求</w:t>
      </w:r>
    </w:p>
    <w:p w14:paraId="71F196F6">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1、成交后提供所投产品供应商或制造商售后服务机构情况，包括地址、技术人员及联系方式，售后技术人员力量、设备实力等。</w:t>
      </w:r>
    </w:p>
    <w:p w14:paraId="5C393FEC">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2、提供质保期内免费上门保修服务。</w:t>
      </w:r>
    </w:p>
    <w:p w14:paraId="1B562883">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3、质保期内（自验收合格之日起计算）应当为采购人提供以下技术支持和服务：</w:t>
      </w:r>
    </w:p>
    <w:p w14:paraId="535CF305">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（1）电话咨询。供应商或制造商应当为采购人提供技术援助电话，解答采购人在使用中遇到的问题，及时为采购人提出解决问题的建议和办法。</w:t>
      </w:r>
    </w:p>
    <w:p w14:paraId="2FE3E0F5">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现场响应。质保期内出现设备故障，乙方2小时内电话响应，24小时内抵达现场，在双方协商期限内处理完毕，乙方在协商期限内未安排处理售后服务的，甲方有权委托第三方进行维修，产生的费用全部由乙方承担。</w:t>
      </w:r>
    </w:p>
    <w:p w14:paraId="5439DE2F">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（3）供应商应当定期对所供设备系统运行情况进行检测，消除故障隐患，以保证设备的正常运行。</w:t>
      </w:r>
    </w:p>
    <w:p w14:paraId="4B0DA058">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（4）技术升级。在质保期内，如果制造商的产品技术升级，供应商应及时通知采购人，如采购人有相应要求，供应商和制造商应对采购人购买的产品进行免费升级服务或优惠价格的有偿升级服务。</w:t>
      </w:r>
    </w:p>
    <w:p w14:paraId="64CD1FB1">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4、质保期外应当为采购人提供以下技术支持和服务：</w:t>
      </w:r>
    </w:p>
    <w:p w14:paraId="2C45AD55">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（1）提供免费电话咨询服务，并提供产品上门维护服务。</w:t>
      </w:r>
    </w:p>
    <w:p w14:paraId="08175C2A">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（2）以优惠价格继续提供售后服务。</w:t>
      </w:r>
    </w:p>
    <w:p w14:paraId="03377946">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（3）超过免费保修期，乙方提供该设备终身维修服务，服务响应时间与质保期内保持一致，维修费用另行协商。</w:t>
      </w:r>
    </w:p>
    <w:p w14:paraId="023426E2">
      <w:pPr>
        <w:adjustRightInd w:val="0"/>
        <w:snapToGrid w:val="0"/>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四、备品备件及易损件</w:t>
      </w:r>
    </w:p>
    <w:p w14:paraId="25C46547">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供应商或制造商售后服务过程中，维修使用的备品备件及易损件应为原厂配件，未经采购人同意不得使用非原厂配件。</w:t>
      </w:r>
    </w:p>
    <w:p w14:paraId="7A6E0F9B">
      <w:pPr>
        <w:adjustRightInd w:val="0"/>
        <w:snapToGrid w:val="0"/>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五、培训要求</w:t>
      </w:r>
    </w:p>
    <w:p w14:paraId="6B59960E">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通过培训使采购人相关人员掌握有关使用、维护和管理方法，达到能独立进行管理、一般故障处理、日常检测和维护等工作的目标。培训过程中产生的费用由供应商承担。</w:t>
      </w:r>
    </w:p>
    <w:p w14:paraId="66DE94E3">
      <w:pPr>
        <w:adjustRightInd w:val="0"/>
        <w:snapToGrid w:val="0"/>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六、其他</w:t>
      </w:r>
    </w:p>
    <w:p w14:paraId="0402C7C6">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1、供应商资格要求见供应商须知前附表。如资格证明文件遇年检、换证，则必须提供法定年检、换证单位出具的有效证明原件。</w:t>
      </w:r>
    </w:p>
    <w:p w14:paraId="79B69B57">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投标报价均为人民币报价。应包括本招标项目所包含的货物、软件、标准附件、备品备件、专用工具、图纸资料、技术服务，包装、仓储、运输、装卸、保险、税金，货到就位以及安装、调试、培训、保修等一切税金和费用。</w:t>
      </w:r>
    </w:p>
    <w:p w14:paraId="6D726372">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3、采购人在授予供应商合同时，保留对货物数量予以增减的权利。供应商不得在此情况下对投标文件做出修改，如单价、交货期、售后服务等。</w:t>
      </w:r>
    </w:p>
    <w:p w14:paraId="585DFC95">
      <w:pPr>
        <w:adjustRightInd w:val="0"/>
        <w:snapToGrid w:val="0"/>
        <w:spacing w:line="440" w:lineRule="exact"/>
        <w:ind w:firstLine="480" w:firstLineChars="200"/>
        <w:rPr>
          <w:color w:val="auto"/>
          <w:sz w:val="24"/>
          <w:highlight w:val="none"/>
        </w:rPr>
      </w:pPr>
      <w:r>
        <w:rPr>
          <w:rFonts w:hint="eastAsia" w:ascii="宋体" w:hAnsi="宋体" w:cs="宋体"/>
          <w:color w:val="auto"/>
          <w:sz w:val="24"/>
          <w:highlight w:val="none"/>
        </w:rPr>
        <w:t>4、为保证履约能力，优先选择具有体系证书、具有同类项目供货经验、提供人员配备方案的供应商。</w:t>
      </w:r>
    </w:p>
    <w:p w14:paraId="28AFB6D3">
      <w:pPr>
        <w:adjustRightInd w:val="0"/>
        <w:snapToGrid w:val="0"/>
        <w:spacing w:line="440" w:lineRule="exact"/>
        <w:ind w:firstLine="482" w:firstLineChars="200"/>
        <w:rPr>
          <w:rFonts w:ascii="宋体" w:hAnsi="宋体" w:cs="宋体"/>
          <w:b/>
          <w:bCs/>
          <w:color w:val="auto"/>
          <w:sz w:val="24"/>
          <w:highlight w:val="none"/>
        </w:rPr>
      </w:pPr>
    </w:p>
    <w:p w14:paraId="78057632">
      <w:pPr>
        <w:adjustRightInd w:val="0"/>
        <w:snapToGrid w:val="0"/>
        <w:spacing w:line="440" w:lineRule="exact"/>
        <w:ind w:firstLine="482" w:firstLineChars="200"/>
        <w:rPr>
          <w:rFonts w:ascii="宋体" w:hAnsi="宋体" w:cs="宋体"/>
          <w:b/>
          <w:bCs/>
          <w:color w:val="auto"/>
          <w:szCs w:val="21"/>
          <w:highlight w:val="none"/>
        </w:rPr>
      </w:pPr>
      <w:r>
        <w:rPr>
          <w:rFonts w:hint="eastAsia" w:ascii="宋体" w:hAnsi="宋体" w:cs="宋体"/>
          <w:b/>
          <w:bCs/>
          <w:color w:val="auto"/>
          <w:sz w:val="24"/>
          <w:highlight w:val="none"/>
        </w:rPr>
        <w:t>注：以上商务服务要求供应商无需响应，投标即视为全部满足，但可根据自身实力在投标文件中提出更有利于采购人的承诺。</w:t>
      </w:r>
    </w:p>
    <w:p w14:paraId="04944930">
      <w:pPr>
        <w:rPr>
          <w:color w:val="auto"/>
          <w:highlight w:val="none"/>
        </w:rPr>
      </w:pPr>
    </w:p>
    <w:p w14:paraId="47C87501">
      <w:pPr>
        <w:rPr>
          <w:color w:val="auto"/>
          <w:highlight w:val="none"/>
        </w:rPr>
      </w:pPr>
      <w:r>
        <w:rPr>
          <w:rFonts w:hint="eastAsia"/>
          <w:color w:val="auto"/>
          <w:highlight w:val="none"/>
        </w:rPr>
        <w:br w:type="page"/>
      </w:r>
    </w:p>
    <w:bookmarkEnd w:id="250"/>
    <w:p w14:paraId="703D7489">
      <w:pPr>
        <w:pageBreakBefore/>
        <w:adjustRightInd w:val="0"/>
        <w:snapToGrid w:val="0"/>
        <w:spacing w:line="400" w:lineRule="exact"/>
        <w:jc w:val="center"/>
        <w:outlineLvl w:val="0"/>
        <w:rPr>
          <w:rFonts w:ascii="宋体" w:hAnsi="宋体" w:cs="宋体"/>
          <w:b/>
          <w:color w:val="auto"/>
          <w:kern w:val="44"/>
          <w:sz w:val="36"/>
          <w:szCs w:val="36"/>
          <w:highlight w:val="none"/>
        </w:rPr>
      </w:pPr>
      <w:bookmarkStart w:id="260" w:name="_Toc809212579"/>
      <w:bookmarkStart w:id="261" w:name="_Toc17392"/>
      <w:bookmarkStart w:id="262" w:name="_Toc256363562"/>
      <w:bookmarkStart w:id="263" w:name="_Toc129"/>
      <w:bookmarkStart w:id="264" w:name="_Toc13711"/>
      <w:bookmarkStart w:id="265" w:name="_Toc10248"/>
      <w:bookmarkStart w:id="266" w:name="_Toc29445"/>
      <w:r>
        <w:rPr>
          <w:rFonts w:hint="eastAsia" w:ascii="宋体" w:hAnsi="宋体" w:cs="宋体"/>
          <w:b/>
          <w:color w:val="auto"/>
          <w:kern w:val="44"/>
          <w:sz w:val="36"/>
          <w:szCs w:val="36"/>
          <w:highlight w:val="none"/>
        </w:rPr>
        <w:t xml:space="preserve">第六章 </w:t>
      </w:r>
      <w:r>
        <w:rPr>
          <w:rFonts w:ascii="宋体" w:hAnsi="宋体" w:cs="宋体"/>
          <w:b/>
          <w:color w:val="auto"/>
          <w:kern w:val="44"/>
          <w:sz w:val="36"/>
          <w:szCs w:val="36"/>
          <w:highlight w:val="none"/>
        </w:rPr>
        <w:t xml:space="preserve"> </w:t>
      </w:r>
      <w:r>
        <w:rPr>
          <w:rFonts w:hint="eastAsia" w:ascii="宋体" w:hAnsi="宋体" w:cs="宋体"/>
          <w:b/>
          <w:color w:val="auto"/>
          <w:kern w:val="44"/>
          <w:sz w:val="36"/>
          <w:szCs w:val="36"/>
          <w:highlight w:val="none"/>
        </w:rPr>
        <w:t>投标文件格式</w:t>
      </w:r>
      <w:bookmarkEnd w:id="260"/>
      <w:bookmarkEnd w:id="261"/>
      <w:bookmarkEnd w:id="262"/>
      <w:bookmarkEnd w:id="263"/>
      <w:bookmarkEnd w:id="264"/>
      <w:bookmarkEnd w:id="265"/>
      <w:bookmarkEnd w:id="266"/>
    </w:p>
    <w:p w14:paraId="00ACAF6C">
      <w:pPr>
        <w:spacing w:line="400" w:lineRule="exact"/>
        <w:jc w:val="center"/>
        <w:rPr>
          <w:rFonts w:ascii="宋体" w:hAnsi="宋体" w:cs="宋体"/>
          <w:b/>
          <w:color w:val="auto"/>
          <w:sz w:val="30"/>
          <w:szCs w:val="30"/>
          <w:highlight w:val="none"/>
        </w:rPr>
      </w:pPr>
    </w:p>
    <w:p w14:paraId="7BD27B40">
      <w:pPr>
        <w:spacing w:line="400" w:lineRule="exact"/>
        <w:ind w:right="440"/>
        <w:jc w:val="right"/>
        <w:rPr>
          <w:rFonts w:ascii="宋体" w:hAnsi="宋体" w:cs="宋体"/>
          <w:color w:val="auto"/>
          <w:sz w:val="28"/>
          <w:szCs w:val="28"/>
          <w:highlight w:val="none"/>
        </w:rPr>
      </w:pPr>
      <w:r>
        <w:rPr>
          <w:rFonts w:hint="eastAsia" w:ascii="宋体" w:hAnsi="宋体" w:cs="宋体"/>
          <w:color w:val="auto"/>
          <w:sz w:val="28"/>
          <w:szCs w:val="28"/>
          <w:highlight w:val="none"/>
        </w:rPr>
        <w:t>封面</w:t>
      </w:r>
    </w:p>
    <w:p w14:paraId="54CF4F38">
      <w:pPr>
        <w:spacing w:line="400" w:lineRule="exact"/>
        <w:ind w:right="440"/>
        <w:jc w:val="right"/>
        <w:rPr>
          <w:rFonts w:ascii="宋体" w:hAnsi="宋体" w:cs="宋体"/>
          <w:color w:val="auto"/>
          <w:sz w:val="28"/>
          <w:szCs w:val="28"/>
          <w:highlight w:val="none"/>
        </w:rPr>
      </w:pPr>
    </w:p>
    <w:p w14:paraId="301EFE39">
      <w:pPr>
        <w:pStyle w:val="17"/>
        <w:spacing w:line="360" w:lineRule="auto"/>
        <w:ind w:left="0" w:leftChars="0"/>
        <w:jc w:val="center"/>
        <w:rPr>
          <w:rFonts w:ascii="宋体" w:hAnsi="宋体" w:cs="宋体"/>
          <w:b/>
          <w:color w:val="auto"/>
          <w:sz w:val="36"/>
          <w:szCs w:val="36"/>
          <w:highlight w:val="none"/>
        </w:rPr>
      </w:pPr>
      <w:r>
        <w:rPr>
          <w:rFonts w:hint="eastAsia" w:ascii="宋体" w:hAnsi="宋体" w:cs="宋体"/>
          <w:b/>
          <w:color w:val="auto"/>
          <w:sz w:val="36"/>
          <w:szCs w:val="36"/>
          <w:highlight w:val="none"/>
        </w:rPr>
        <w:t>河南省科学院光资源与环境科学研究所</w:t>
      </w:r>
    </w:p>
    <w:p w14:paraId="300B933F">
      <w:pPr>
        <w:pStyle w:val="17"/>
        <w:spacing w:line="360" w:lineRule="auto"/>
        <w:ind w:left="0" w:leftChars="0"/>
        <w:jc w:val="center"/>
        <w:rPr>
          <w:rFonts w:ascii="宋体" w:hAnsi="宋体" w:cs="宋体"/>
          <w:b/>
          <w:color w:val="auto"/>
          <w:sz w:val="36"/>
          <w:szCs w:val="36"/>
          <w:highlight w:val="none"/>
        </w:rPr>
      </w:pPr>
      <w:r>
        <w:rPr>
          <w:rFonts w:hint="eastAsia" w:ascii="宋体" w:hAnsi="宋体" w:cs="宋体"/>
          <w:b/>
          <w:color w:val="auto"/>
          <w:sz w:val="36"/>
          <w:szCs w:val="36"/>
          <w:highlight w:val="none"/>
        </w:rPr>
        <w:t>红外检测实验平台（二期）项目</w:t>
      </w:r>
    </w:p>
    <w:p w14:paraId="471C96C0">
      <w:pPr>
        <w:adjustRightInd w:val="0"/>
        <w:snapToGrid w:val="0"/>
        <w:spacing w:line="360" w:lineRule="auto"/>
        <w:rPr>
          <w:rFonts w:ascii="宋体" w:hAnsi="宋体" w:cs="宋体"/>
          <w:b/>
          <w:color w:val="auto"/>
          <w:sz w:val="36"/>
          <w:szCs w:val="36"/>
          <w:highlight w:val="none"/>
        </w:rPr>
      </w:pPr>
    </w:p>
    <w:p w14:paraId="2ED02CCD">
      <w:pPr>
        <w:widowControl/>
        <w:adjustRightInd w:val="0"/>
        <w:snapToGrid w:val="0"/>
        <w:spacing w:after="200"/>
        <w:jc w:val="center"/>
        <w:rPr>
          <w:rFonts w:ascii="宋体" w:hAnsi="宋体"/>
          <w:b/>
          <w:color w:val="auto"/>
          <w:sz w:val="100"/>
          <w:szCs w:val="100"/>
          <w:highlight w:val="none"/>
        </w:rPr>
      </w:pPr>
      <w:r>
        <w:rPr>
          <w:rFonts w:hint="eastAsia" w:ascii="宋体" w:hAnsi="宋体"/>
          <w:b/>
          <w:color w:val="auto"/>
          <w:sz w:val="100"/>
          <w:szCs w:val="100"/>
          <w:highlight w:val="none"/>
        </w:rPr>
        <w:t>投 标</w:t>
      </w:r>
      <w:r>
        <w:rPr>
          <w:rFonts w:ascii="宋体" w:hAnsi="宋体"/>
          <w:b/>
          <w:color w:val="auto"/>
          <w:sz w:val="100"/>
          <w:szCs w:val="100"/>
          <w:highlight w:val="none"/>
        </w:rPr>
        <w:t xml:space="preserve"> </w:t>
      </w:r>
      <w:r>
        <w:rPr>
          <w:rFonts w:hint="eastAsia" w:ascii="宋体" w:hAnsi="宋体"/>
          <w:b/>
          <w:color w:val="auto"/>
          <w:sz w:val="100"/>
          <w:szCs w:val="100"/>
          <w:highlight w:val="none"/>
        </w:rPr>
        <w:t>文</w:t>
      </w:r>
      <w:r>
        <w:rPr>
          <w:rFonts w:ascii="宋体" w:hAnsi="宋体"/>
          <w:b/>
          <w:color w:val="auto"/>
          <w:sz w:val="100"/>
          <w:szCs w:val="100"/>
          <w:highlight w:val="none"/>
        </w:rPr>
        <w:t xml:space="preserve"> </w:t>
      </w:r>
      <w:r>
        <w:rPr>
          <w:rFonts w:hint="eastAsia" w:ascii="宋体" w:hAnsi="宋体"/>
          <w:b/>
          <w:color w:val="auto"/>
          <w:sz w:val="100"/>
          <w:szCs w:val="100"/>
          <w:highlight w:val="none"/>
        </w:rPr>
        <w:t>件</w:t>
      </w:r>
    </w:p>
    <w:p w14:paraId="03538147">
      <w:pPr>
        <w:spacing w:line="500" w:lineRule="exact"/>
        <w:jc w:val="center"/>
        <w:rPr>
          <w:rFonts w:ascii="宋体"/>
          <w:b/>
          <w:bCs/>
          <w:color w:val="auto"/>
          <w:sz w:val="28"/>
          <w:szCs w:val="28"/>
          <w:highlight w:val="none"/>
        </w:rPr>
      </w:pPr>
    </w:p>
    <w:p w14:paraId="35933B3D">
      <w:pPr>
        <w:spacing w:line="500" w:lineRule="exact"/>
        <w:jc w:val="center"/>
        <w:rPr>
          <w:rFonts w:ascii="宋体"/>
          <w:b/>
          <w:bCs/>
          <w:color w:val="auto"/>
          <w:sz w:val="28"/>
          <w:szCs w:val="28"/>
          <w:highlight w:val="none"/>
        </w:rPr>
      </w:pPr>
      <w:r>
        <w:rPr>
          <w:rFonts w:hint="eastAsia" w:ascii="宋体"/>
          <w:b/>
          <w:bCs/>
          <w:color w:val="auto"/>
          <w:sz w:val="28"/>
          <w:szCs w:val="28"/>
          <w:highlight w:val="none"/>
        </w:rPr>
        <w:t>项目</w:t>
      </w:r>
      <w:r>
        <w:rPr>
          <w:rFonts w:ascii="宋体"/>
          <w:b/>
          <w:bCs/>
          <w:color w:val="auto"/>
          <w:sz w:val="28"/>
          <w:szCs w:val="28"/>
          <w:highlight w:val="none"/>
        </w:rPr>
        <w:t>编号：</w:t>
      </w:r>
      <w:r>
        <w:rPr>
          <w:rFonts w:hint="eastAsia" w:ascii="宋体"/>
          <w:b/>
          <w:bCs/>
          <w:color w:val="auto"/>
          <w:sz w:val="28"/>
          <w:szCs w:val="28"/>
          <w:highlight w:val="none"/>
        </w:rPr>
        <w:t xml:space="preserve">豫财招标采购-2026-744 </w:t>
      </w:r>
    </w:p>
    <w:p w14:paraId="6C5460B6">
      <w:pPr>
        <w:pStyle w:val="36"/>
        <w:ind w:firstLine="211"/>
        <w:rPr>
          <w:color w:val="auto"/>
          <w:highlight w:val="none"/>
        </w:rPr>
      </w:pPr>
    </w:p>
    <w:p w14:paraId="7C0F16E2">
      <w:pPr>
        <w:pStyle w:val="37"/>
        <w:ind w:firstLine="883"/>
        <w:rPr>
          <w:color w:val="auto"/>
          <w:highlight w:val="none"/>
        </w:rPr>
      </w:pPr>
    </w:p>
    <w:p w14:paraId="69EDC42D">
      <w:pPr>
        <w:pStyle w:val="11"/>
        <w:rPr>
          <w:color w:val="auto"/>
          <w:highlight w:val="none"/>
        </w:rPr>
      </w:pPr>
    </w:p>
    <w:p w14:paraId="618BD7B9">
      <w:pPr>
        <w:pStyle w:val="12"/>
        <w:rPr>
          <w:color w:val="auto"/>
          <w:highlight w:val="none"/>
        </w:rPr>
      </w:pPr>
    </w:p>
    <w:p w14:paraId="4CDFCB31">
      <w:pPr>
        <w:pStyle w:val="12"/>
        <w:rPr>
          <w:color w:val="auto"/>
          <w:highlight w:val="none"/>
        </w:rPr>
      </w:pPr>
    </w:p>
    <w:p w14:paraId="408301B9">
      <w:pPr>
        <w:pStyle w:val="12"/>
        <w:rPr>
          <w:color w:val="auto"/>
          <w:highlight w:val="none"/>
        </w:rPr>
      </w:pPr>
    </w:p>
    <w:p w14:paraId="7CE5F7C3">
      <w:pPr>
        <w:rPr>
          <w:color w:val="auto"/>
          <w:highlight w:val="none"/>
        </w:rPr>
      </w:pPr>
    </w:p>
    <w:p w14:paraId="1D5EE0B7">
      <w:pPr>
        <w:pStyle w:val="36"/>
        <w:ind w:firstLine="211"/>
        <w:rPr>
          <w:color w:val="auto"/>
          <w:highlight w:val="none"/>
        </w:rPr>
      </w:pPr>
    </w:p>
    <w:p w14:paraId="5BDF7D1C">
      <w:pPr>
        <w:rPr>
          <w:rFonts w:ascii="宋体" w:hAnsi="宋体" w:eastAsia="黑体" w:cs="宋体"/>
          <w:color w:val="auto"/>
          <w:sz w:val="30"/>
          <w:szCs w:val="28"/>
          <w:highlight w:val="none"/>
        </w:rPr>
      </w:pPr>
    </w:p>
    <w:p w14:paraId="27CF7098">
      <w:pPr>
        <w:rPr>
          <w:rFonts w:ascii="宋体" w:hAnsi="宋体" w:eastAsia="黑体" w:cs="宋体"/>
          <w:color w:val="auto"/>
          <w:sz w:val="30"/>
          <w:szCs w:val="28"/>
          <w:highlight w:val="none"/>
        </w:rPr>
      </w:pPr>
    </w:p>
    <w:p w14:paraId="5C1F2D64">
      <w:pPr>
        <w:spacing w:line="360" w:lineRule="auto"/>
        <w:jc w:val="center"/>
        <w:rPr>
          <w:rFonts w:ascii="宋体" w:hAnsi="宋体" w:cs="宋体"/>
          <w:color w:val="auto"/>
          <w:sz w:val="28"/>
          <w:highlight w:val="none"/>
          <w:u w:val="single"/>
        </w:rPr>
      </w:pPr>
      <w:r>
        <w:rPr>
          <w:rFonts w:hint="eastAsia" w:ascii="宋体" w:hAnsi="宋体" w:cs="宋体"/>
          <w:color w:val="auto"/>
          <w:sz w:val="28"/>
          <w:highlight w:val="none"/>
        </w:rPr>
        <w:t>投标人：</w:t>
      </w:r>
      <w:r>
        <w:rPr>
          <w:rFonts w:hint="eastAsia" w:ascii="宋体" w:hAnsi="宋体" w:cs="宋体"/>
          <w:color w:val="auto"/>
          <w:sz w:val="28"/>
          <w:highlight w:val="none"/>
          <w:u w:val="single"/>
        </w:rPr>
        <w:t xml:space="preserve">                            </w:t>
      </w:r>
      <w:r>
        <w:rPr>
          <w:rFonts w:hint="eastAsia" w:ascii="宋体" w:hAnsi="宋体" w:cs="宋体"/>
          <w:color w:val="auto"/>
          <w:sz w:val="28"/>
          <w:highlight w:val="none"/>
        </w:rPr>
        <w:t>（单位电子印章）</w:t>
      </w:r>
    </w:p>
    <w:p w14:paraId="331D3BAE">
      <w:pPr>
        <w:spacing w:line="360" w:lineRule="auto"/>
        <w:jc w:val="center"/>
        <w:rPr>
          <w:rFonts w:ascii="宋体" w:hAnsi="宋体" w:cs="宋体"/>
          <w:color w:val="auto"/>
          <w:sz w:val="28"/>
          <w:highlight w:val="none"/>
        </w:rPr>
      </w:pPr>
      <w:r>
        <w:rPr>
          <w:rFonts w:hint="eastAsia" w:ascii="宋体" w:hAnsi="宋体" w:cs="宋体"/>
          <w:color w:val="auto"/>
          <w:sz w:val="28"/>
          <w:highlight w:val="none"/>
        </w:rPr>
        <w:t>法定代表人或其委托代理人：</w:t>
      </w:r>
      <w:r>
        <w:rPr>
          <w:rFonts w:hint="eastAsia" w:ascii="宋体" w:hAnsi="宋体" w:cs="宋体"/>
          <w:color w:val="auto"/>
          <w:sz w:val="28"/>
          <w:highlight w:val="none"/>
          <w:u w:val="single"/>
        </w:rPr>
        <w:t xml:space="preserve">               </w:t>
      </w:r>
      <w:r>
        <w:rPr>
          <w:rFonts w:hint="eastAsia" w:ascii="宋体" w:hAnsi="宋体" w:cs="宋体"/>
          <w:color w:val="auto"/>
          <w:sz w:val="28"/>
          <w:highlight w:val="none"/>
        </w:rPr>
        <w:t>（电子签章或签字）</w:t>
      </w:r>
    </w:p>
    <w:p w14:paraId="038760B3">
      <w:pPr>
        <w:jc w:val="center"/>
        <w:rPr>
          <w:rFonts w:ascii="宋体" w:hAnsi="宋体" w:eastAsia="黑体" w:cs="宋体"/>
          <w:color w:val="auto"/>
          <w:sz w:val="30"/>
          <w:szCs w:val="28"/>
          <w:highlight w:val="none"/>
        </w:rPr>
      </w:pPr>
      <w:r>
        <w:rPr>
          <w:rFonts w:hint="eastAsia" w:ascii="宋体" w:hAnsi="宋体" w:cs="宋体"/>
          <w:color w:val="auto"/>
          <w:sz w:val="30"/>
          <w:szCs w:val="28"/>
          <w:highlight w:val="none"/>
          <w:u w:val="single"/>
        </w:rPr>
        <w:t xml:space="preserve">        </w:t>
      </w:r>
      <w:r>
        <w:rPr>
          <w:rFonts w:hint="eastAsia" w:ascii="宋体" w:hAnsi="宋体" w:cs="宋体"/>
          <w:color w:val="auto"/>
          <w:sz w:val="30"/>
          <w:szCs w:val="28"/>
          <w:highlight w:val="none"/>
        </w:rPr>
        <w:t>年</w:t>
      </w:r>
      <w:r>
        <w:rPr>
          <w:rFonts w:hint="eastAsia" w:ascii="宋体" w:hAnsi="宋体" w:cs="宋体"/>
          <w:color w:val="auto"/>
          <w:sz w:val="30"/>
          <w:szCs w:val="28"/>
          <w:highlight w:val="none"/>
          <w:u w:val="single"/>
        </w:rPr>
        <w:t xml:space="preserve">        </w:t>
      </w:r>
      <w:r>
        <w:rPr>
          <w:rFonts w:hint="eastAsia" w:ascii="宋体" w:hAnsi="宋体" w:cs="宋体"/>
          <w:color w:val="auto"/>
          <w:sz w:val="30"/>
          <w:szCs w:val="28"/>
          <w:highlight w:val="none"/>
        </w:rPr>
        <w:t>月</w:t>
      </w:r>
      <w:r>
        <w:rPr>
          <w:rFonts w:hint="eastAsia" w:ascii="宋体" w:hAnsi="宋体" w:cs="宋体"/>
          <w:color w:val="auto"/>
          <w:sz w:val="30"/>
          <w:szCs w:val="28"/>
          <w:highlight w:val="none"/>
          <w:u w:val="single"/>
        </w:rPr>
        <w:t xml:space="preserve">        </w:t>
      </w:r>
      <w:r>
        <w:rPr>
          <w:rFonts w:hint="eastAsia" w:ascii="宋体" w:hAnsi="宋体" w:cs="宋体"/>
          <w:color w:val="auto"/>
          <w:sz w:val="30"/>
          <w:szCs w:val="28"/>
          <w:highlight w:val="none"/>
        </w:rPr>
        <w:t>日</w:t>
      </w:r>
    </w:p>
    <w:p w14:paraId="7B95685F">
      <w:pPr>
        <w:ind w:firstLine="1680" w:firstLineChars="600"/>
        <w:jc w:val="left"/>
        <w:rPr>
          <w:rFonts w:ascii="宋体" w:hAnsi="宋体" w:cs="宋体"/>
          <w:color w:val="auto"/>
          <w:sz w:val="28"/>
          <w:szCs w:val="28"/>
          <w:highlight w:val="none"/>
        </w:rPr>
      </w:pPr>
    </w:p>
    <w:p w14:paraId="2DD2114E">
      <w:pPr>
        <w:rPr>
          <w:rFonts w:ascii="宋体" w:hAnsi="宋体" w:cs="宋体"/>
          <w:color w:val="auto"/>
          <w:sz w:val="28"/>
          <w:szCs w:val="28"/>
          <w:highlight w:val="none"/>
        </w:rPr>
      </w:pPr>
      <w:r>
        <w:rPr>
          <w:rFonts w:ascii="宋体" w:hAnsi="宋体" w:cs="宋体"/>
          <w:color w:val="auto"/>
          <w:sz w:val="28"/>
          <w:szCs w:val="28"/>
          <w:highlight w:val="none"/>
        </w:rPr>
        <w:br w:type="page"/>
      </w:r>
    </w:p>
    <w:p w14:paraId="6EEE9C7F">
      <w:pPr>
        <w:tabs>
          <w:tab w:val="left" w:pos="3280"/>
          <w:tab w:val="left" w:pos="4680"/>
          <w:tab w:val="left" w:pos="6080"/>
        </w:tabs>
        <w:autoSpaceDE w:val="0"/>
        <w:autoSpaceDN w:val="0"/>
        <w:adjustRightInd w:val="0"/>
        <w:spacing w:line="480" w:lineRule="exact"/>
        <w:ind w:right="-20"/>
        <w:jc w:val="center"/>
        <w:rPr>
          <w:rFonts w:ascii="宋体" w:hAnsi="宋体" w:cs="宋体"/>
          <w:b/>
          <w:color w:val="auto"/>
          <w:kern w:val="0"/>
          <w:sz w:val="28"/>
          <w:szCs w:val="28"/>
          <w:highlight w:val="none"/>
        </w:rPr>
      </w:pPr>
      <w:r>
        <w:rPr>
          <w:rFonts w:hint="eastAsia" w:ascii="宋体" w:hAnsi="宋体" w:cs="宋体"/>
          <w:b/>
          <w:color w:val="auto"/>
          <w:kern w:val="0"/>
          <w:sz w:val="36"/>
          <w:szCs w:val="36"/>
          <w:highlight w:val="none"/>
        </w:rPr>
        <w:t>目  录</w:t>
      </w:r>
    </w:p>
    <w:p w14:paraId="52F6B90F">
      <w:pPr>
        <w:tabs>
          <w:tab w:val="left" w:pos="3280"/>
          <w:tab w:val="left" w:pos="4680"/>
          <w:tab w:val="left" w:pos="6080"/>
        </w:tabs>
        <w:autoSpaceDE w:val="0"/>
        <w:autoSpaceDN w:val="0"/>
        <w:adjustRightInd w:val="0"/>
        <w:spacing w:line="480" w:lineRule="exact"/>
        <w:ind w:right="-20"/>
        <w:jc w:val="center"/>
        <w:rPr>
          <w:rFonts w:ascii="宋体" w:hAnsi="宋体" w:cs="宋体"/>
          <w:color w:val="auto"/>
          <w:kern w:val="0"/>
          <w:sz w:val="28"/>
          <w:szCs w:val="28"/>
          <w:highlight w:val="none"/>
        </w:rPr>
      </w:pPr>
    </w:p>
    <w:p w14:paraId="5E265747">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一、投标函及开标一览表</w:t>
      </w:r>
    </w:p>
    <w:p w14:paraId="7FEF2F08">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二、法定代表人身份证明及法定代表人授权委托书</w:t>
      </w:r>
    </w:p>
    <w:p w14:paraId="15EC49DC">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三、投标货物分项报价明细表</w:t>
      </w:r>
    </w:p>
    <w:p w14:paraId="24DA2B74">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四、随机配件、附件、耗材明细表</w:t>
      </w:r>
    </w:p>
    <w:p w14:paraId="60C1D343">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五、响应偏离表</w:t>
      </w:r>
    </w:p>
    <w:p w14:paraId="06D28E2E">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六、资格审查资料</w:t>
      </w:r>
    </w:p>
    <w:p w14:paraId="56A53035">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七、业绩</w:t>
      </w:r>
    </w:p>
    <w:p w14:paraId="1A37559F">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八、商务部分其他资料</w:t>
      </w:r>
    </w:p>
    <w:p w14:paraId="57DC6B9C">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九、技术部分其他资料</w:t>
      </w:r>
    </w:p>
    <w:p w14:paraId="3E191803">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十、反商业贿赂承诺书</w:t>
      </w:r>
    </w:p>
    <w:p w14:paraId="63BB0AD9">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十一、中小微企业、残疾人福利企业、监狱企业</w:t>
      </w:r>
    </w:p>
    <w:p w14:paraId="199C05EB">
      <w:pPr>
        <w:spacing w:line="48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十二、投标人认为需要提供的其他资料</w:t>
      </w:r>
    </w:p>
    <w:p w14:paraId="119BCF1B">
      <w:pPr>
        <w:spacing w:line="400" w:lineRule="exact"/>
        <w:jc w:val="center"/>
        <w:rPr>
          <w:rFonts w:ascii="宋体" w:hAnsi="宋体" w:cs="宋体"/>
          <w:b/>
          <w:color w:val="auto"/>
          <w:sz w:val="30"/>
          <w:szCs w:val="30"/>
          <w:highlight w:val="none"/>
        </w:rPr>
      </w:pPr>
    </w:p>
    <w:p w14:paraId="21650445">
      <w:pPr>
        <w:spacing w:line="400" w:lineRule="exact"/>
        <w:jc w:val="center"/>
        <w:rPr>
          <w:rFonts w:ascii="宋体" w:hAnsi="宋体" w:cs="宋体"/>
          <w:b/>
          <w:color w:val="auto"/>
          <w:sz w:val="30"/>
          <w:szCs w:val="30"/>
          <w:highlight w:val="none"/>
        </w:rPr>
      </w:pPr>
    </w:p>
    <w:p w14:paraId="3B618D27">
      <w:pPr>
        <w:spacing w:line="400" w:lineRule="exact"/>
        <w:jc w:val="center"/>
        <w:rPr>
          <w:rFonts w:ascii="宋体" w:hAnsi="宋体" w:cs="宋体"/>
          <w:b/>
          <w:color w:val="auto"/>
          <w:sz w:val="30"/>
          <w:szCs w:val="30"/>
          <w:highlight w:val="none"/>
        </w:rPr>
      </w:pPr>
    </w:p>
    <w:p w14:paraId="2870F2F3">
      <w:pPr>
        <w:spacing w:line="400" w:lineRule="exact"/>
        <w:jc w:val="center"/>
        <w:rPr>
          <w:rFonts w:ascii="宋体" w:hAnsi="宋体" w:cs="宋体"/>
          <w:b/>
          <w:color w:val="auto"/>
          <w:sz w:val="30"/>
          <w:szCs w:val="30"/>
          <w:highlight w:val="none"/>
        </w:rPr>
      </w:pPr>
    </w:p>
    <w:p w14:paraId="10252FB1">
      <w:pPr>
        <w:spacing w:line="400" w:lineRule="exact"/>
        <w:jc w:val="center"/>
        <w:rPr>
          <w:rFonts w:ascii="宋体" w:hAnsi="宋体" w:cs="宋体"/>
          <w:b/>
          <w:color w:val="auto"/>
          <w:sz w:val="30"/>
          <w:szCs w:val="30"/>
          <w:highlight w:val="none"/>
        </w:rPr>
      </w:pPr>
    </w:p>
    <w:p w14:paraId="7DA363DA">
      <w:pPr>
        <w:spacing w:line="400" w:lineRule="exact"/>
        <w:jc w:val="center"/>
        <w:rPr>
          <w:rFonts w:ascii="宋体" w:hAnsi="宋体" w:cs="宋体"/>
          <w:b/>
          <w:color w:val="auto"/>
          <w:sz w:val="30"/>
          <w:szCs w:val="30"/>
          <w:highlight w:val="none"/>
        </w:rPr>
      </w:pPr>
    </w:p>
    <w:p w14:paraId="003A9823">
      <w:pPr>
        <w:rPr>
          <w:rFonts w:ascii="宋体" w:hAnsi="宋体" w:cs="宋体"/>
          <w:bCs/>
          <w:color w:val="auto"/>
          <w:sz w:val="30"/>
          <w:szCs w:val="30"/>
          <w:highlight w:val="none"/>
        </w:rPr>
      </w:pPr>
      <w:r>
        <w:rPr>
          <w:rFonts w:hint="eastAsia" w:ascii="宋体" w:hAnsi="宋体" w:cs="宋体"/>
          <w:bCs/>
          <w:color w:val="auto"/>
          <w:sz w:val="30"/>
          <w:szCs w:val="30"/>
          <w:highlight w:val="none"/>
        </w:rPr>
        <w:br w:type="page"/>
      </w:r>
    </w:p>
    <w:p w14:paraId="62EB2698">
      <w:pPr>
        <w:pStyle w:val="3"/>
        <w:rPr>
          <w:color w:val="auto"/>
          <w:highlight w:val="none"/>
        </w:rPr>
      </w:pPr>
      <w:bookmarkStart w:id="267" w:name="_Toc22848"/>
      <w:bookmarkStart w:id="268" w:name="_Toc2144"/>
      <w:bookmarkStart w:id="269" w:name="_Toc10367"/>
      <w:bookmarkStart w:id="270" w:name="_Toc24694"/>
      <w:bookmarkStart w:id="271" w:name="_Toc421878802"/>
      <w:bookmarkStart w:id="272" w:name="_Toc17192"/>
      <w:bookmarkStart w:id="273" w:name="_Toc29685"/>
      <w:bookmarkStart w:id="274" w:name="_Toc3008"/>
      <w:bookmarkStart w:id="275" w:name="_Toc10763"/>
      <w:r>
        <w:rPr>
          <w:rFonts w:hint="eastAsia"/>
          <w:color w:val="auto"/>
          <w:highlight w:val="none"/>
        </w:rPr>
        <w:t>一、</w:t>
      </w:r>
      <w:bookmarkStart w:id="276" w:name="_Toc277685508"/>
      <w:r>
        <w:rPr>
          <w:rFonts w:hint="eastAsia"/>
          <w:color w:val="auto"/>
          <w:highlight w:val="none"/>
        </w:rPr>
        <w:t>投标函及开标一览表</w:t>
      </w:r>
      <w:bookmarkEnd w:id="267"/>
      <w:bookmarkEnd w:id="268"/>
      <w:bookmarkEnd w:id="269"/>
      <w:bookmarkEnd w:id="270"/>
      <w:bookmarkEnd w:id="271"/>
    </w:p>
    <w:p w14:paraId="723471AE">
      <w:pPr>
        <w:pStyle w:val="4"/>
        <w:jc w:val="center"/>
        <w:rPr>
          <w:color w:val="auto"/>
          <w:highlight w:val="none"/>
        </w:rPr>
      </w:pPr>
      <w:bookmarkStart w:id="277" w:name="_Toc26561"/>
      <w:bookmarkStart w:id="278" w:name="_Toc1673506467"/>
      <w:bookmarkStart w:id="279" w:name="_Toc8414"/>
      <w:r>
        <w:rPr>
          <w:rFonts w:hint="eastAsia"/>
          <w:color w:val="auto"/>
          <w:highlight w:val="none"/>
        </w:rPr>
        <w:t>1、投标函</w:t>
      </w:r>
      <w:bookmarkEnd w:id="272"/>
      <w:bookmarkEnd w:id="273"/>
      <w:bookmarkEnd w:id="274"/>
      <w:bookmarkEnd w:id="275"/>
      <w:bookmarkEnd w:id="276"/>
      <w:bookmarkEnd w:id="277"/>
      <w:bookmarkEnd w:id="278"/>
      <w:bookmarkEnd w:id="279"/>
    </w:p>
    <w:p w14:paraId="60FA0DFB">
      <w:pPr>
        <w:widowControl/>
        <w:spacing w:line="360" w:lineRule="auto"/>
        <w:jc w:val="left"/>
        <w:rPr>
          <w:rFonts w:ascii="宋体" w:hAnsi="宋体" w:cs="宋体"/>
          <w:b/>
          <w:color w:val="auto"/>
          <w:kern w:val="0"/>
          <w:szCs w:val="21"/>
          <w:highlight w:val="none"/>
        </w:rPr>
      </w:pPr>
      <w:r>
        <w:rPr>
          <w:rFonts w:hint="eastAsia" w:ascii="宋体" w:hAnsi="宋体" w:cs="宋体"/>
          <w:bCs/>
          <w:color w:val="auto"/>
          <w:kern w:val="0"/>
          <w:szCs w:val="21"/>
          <w:highlight w:val="none"/>
        </w:rPr>
        <w:t>致（招标人）：</w:t>
      </w:r>
      <w:r>
        <w:rPr>
          <w:rFonts w:hint="eastAsia" w:ascii="宋体" w:hAnsi="宋体" w:cs="宋体"/>
          <w:bCs/>
          <w:color w:val="auto"/>
          <w:kern w:val="0"/>
          <w:szCs w:val="21"/>
          <w:highlight w:val="none"/>
          <w:u w:val="single"/>
        </w:rPr>
        <w:t>河南省科学院光资源与环境科学研究所</w:t>
      </w:r>
    </w:p>
    <w:p w14:paraId="73F73411">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我方收到了贵单位采购编号为</w:t>
      </w:r>
      <w:r>
        <w:rPr>
          <w:rFonts w:hint="eastAsia" w:hAnsi="宋体" w:cs="宋体"/>
          <w:color w:val="auto"/>
          <w:szCs w:val="21"/>
          <w:highlight w:val="none"/>
          <w:u w:val="single"/>
        </w:rPr>
        <w:t xml:space="preserve">       </w:t>
      </w:r>
      <w:r>
        <w:rPr>
          <w:rFonts w:hint="eastAsia" w:hAnsi="宋体" w:cs="宋体"/>
          <w:color w:val="auto"/>
          <w:szCs w:val="21"/>
          <w:highlight w:val="none"/>
        </w:rPr>
        <w:t>的</w:t>
      </w:r>
      <w:r>
        <w:rPr>
          <w:rFonts w:hint="eastAsia" w:hAnsi="宋体" w:cs="宋体"/>
          <w:color w:val="auto"/>
          <w:szCs w:val="21"/>
          <w:highlight w:val="none"/>
          <w:u w:val="single"/>
        </w:rPr>
        <w:t xml:space="preserve">   （项目名称）   </w:t>
      </w:r>
      <w:r>
        <w:rPr>
          <w:rFonts w:hint="eastAsia" w:hAnsi="宋体" w:cs="宋体"/>
          <w:color w:val="auto"/>
          <w:szCs w:val="21"/>
          <w:highlight w:val="none"/>
        </w:rPr>
        <w:t>招标文件，经研究，我公司决定参加该项目的投标活动，并按要求提交投标文件。我们郑重声明以下内容并负法律责任：</w:t>
      </w:r>
    </w:p>
    <w:p w14:paraId="6D9560DE">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 xml:space="preserve">根据贵方的投标邀请,我方签字代表 </w:t>
      </w:r>
      <w:r>
        <w:rPr>
          <w:rFonts w:hint="eastAsia" w:hAnsi="宋体" w:cs="宋体"/>
          <w:color w:val="auto"/>
          <w:szCs w:val="21"/>
          <w:highlight w:val="none"/>
          <w:u w:val="single"/>
        </w:rPr>
        <w:t xml:space="preserve">  (姓名、职务</w:t>
      </w:r>
      <w:r>
        <w:rPr>
          <w:rFonts w:hint="eastAsia" w:hAnsi="宋体" w:cs="宋体"/>
          <w:color w:val="auto"/>
          <w:szCs w:val="21"/>
          <w:highlight w:val="none"/>
        </w:rPr>
        <w:t>)经正式授权，代表投标人</w:t>
      </w:r>
      <w:r>
        <w:rPr>
          <w:rFonts w:hint="eastAsia" w:hAnsi="宋体" w:cs="宋体"/>
          <w:color w:val="auto"/>
          <w:szCs w:val="21"/>
          <w:highlight w:val="none"/>
          <w:u w:val="single"/>
        </w:rPr>
        <w:t xml:space="preserve">    （名称、地址</w:t>
      </w:r>
      <w:r>
        <w:rPr>
          <w:rFonts w:hint="eastAsia" w:hAnsi="宋体" w:cs="宋体"/>
          <w:color w:val="auto"/>
          <w:szCs w:val="21"/>
          <w:highlight w:val="none"/>
        </w:rPr>
        <w:t>）提交投标文件。</w:t>
      </w:r>
    </w:p>
    <w:p w14:paraId="16B205AF">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据此，签字代表宣布同意如下：</w:t>
      </w:r>
    </w:p>
    <w:p w14:paraId="4690C6BE">
      <w:pPr>
        <w:pStyle w:val="18"/>
        <w:spacing w:line="360" w:lineRule="auto"/>
        <w:ind w:firstLine="420" w:firstLineChars="200"/>
        <w:jc w:val="left"/>
        <w:rPr>
          <w:rFonts w:hAnsi="宋体" w:cs="宋体"/>
          <w:color w:val="auto"/>
          <w:szCs w:val="21"/>
          <w:highlight w:val="none"/>
          <w:u w:val="single"/>
        </w:rPr>
      </w:pPr>
      <w:r>
        <w:rPr>
          <w:rFonts w:hint="eastAsia" w:hAnsi="宋体" w:cs="宋体"/>
          <w:color w:val="auto"/>
          <w:szCs w:val="21"/>
          <w:highlight w:val="none"/>
        </w:rPr>
        <w:t>（1）愿按照招标文件中规定的条款和要求，提供完成招标文件规定的全部工作，投标总报价为（大写）人民币</w:t>
      </w:r>
      <w:r>
        <w:rPr>
          <w:rFonts w:hint="eastAsia" w:hAnsi="宋体" w:cs="宋体"/>
          <w:color w:val="auto"/>
          <w:szCs w:val="21"/>
          <w:highlight w:val="none"/>
          <w:u w:val="single"/>
        </w:rPr>
        <w:t xml:space="preserve">       </w:t>
      </w:r>
      <w:r>
        <w:rPr>
          <w:rFonts w:hint="eastAsia" w:hAnsi="宋体" w:cs="宋体"/>
          <w:color w:val="auto"/>
          <w:szCs w:val="21"/>
          <w:highlight w:val="none"/>
        </w:rPr>
        <w:t>（¥：</w:t>
      </w:r>
      <w:r>
        <w:rPr>
          <w:rFonts w:hint="eastAsia" w:hAnsi="宋体" w:cs="宋体"/>
          <w:color w:val="auto"/>
          <w:szCs w:val="21"/>
          <w:highlight w:val="none"/>
          <w:u w:val="single"/>
        </w:rPr>
        <w:t xml:space="preserve">         </w:t>
      </w:r>
      <w:r>
        <w:rPr>
          <w:rFonts w:hint="eastAsia" w:hAnsi="宋体" w:cs="宋体"/>
          <w:color w:val="auto"/>
          <w:szCs w:val="21"/>
          <w:highlight w:val="none"/>
        </w:rPr>
        <w:t>元），交货期为</w:t>
      </w:r>
      <w:r>
        <w:rPr>
          <w:rFonts w:hint="eastAsia" w:hAnsi="宋体" w:cs="宋体"/>
          <w:color w:val="auto"/>
          <w:szCs w:val="21"/>
          <w:highlight w:val="none"/>
          <w:u w:val="single"/>
        </w:rPr>
        <w:t xml:space="preserve">        </w:t>
      </w:r>
      <w:r>
        <w:rPr>
          <w:rFonts w:hint="eastAsia" w:hAnsi="宋体" w:cs="宋体"/>
          <w:color w:val="auto"/>
          <w:szCs w:val="21"/>
          <w:highlight w:val="none"/>
        </w:rPr>
        <w:t>，质保期为</w:t>
      </w:r>
      <w:r>
        <w:rPr>
          <w:rFonts w:hint="eastAsia" w:hAnsi="宋体" w:cs="宋体"/>
          <w:color w:val="auto"/>
          <w:szCs w:val="21"/>
          <w:highlight w:val="none"/>
          <w:u w:val="single"/>
        </w:rPr>
        <w:t xml:space="preserve">       </w:t>
      </w:r>
      <w:r>
        <w:rPr>
          <w:rFonts w:hint="eastAsia" w:hAnsi="宋体" w:cs="宋体"/>
          <w:color w:val="auto"/>
          <w:szCs w:val="21"/>
          <w:highlight w:val="none"/>
        </w:rPr>
        <w:t>。</w:t>
      </w:r>
    </w:p>
    <w:p w14:paraId="3B253B65">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（2）本投标有效期为递交投标文件截止时间起</w:t>
      </w:r>
      <w:r>
        <w:rPr>
          <w:rFonts w:hint="eastAsia" w:hAnsi="宋体" w:cs="宋体"/>
          <w:color w:val="auto"/>
          <w:szCs w:val="21"/>
          <w:highlight w:val="none"/>
          <w:u w:val="single"/>
        </w:rPr>
        <w:t xml:space="preserve">  90  </w:t>
      </w:r>
      <w:r>
        <w:rPr>
          <w:rFonts w:hint="eastAsia" w:hAnsi="宋体" w:cs="宋体"/>
          <w:color w:val="auto"/>
          <w:szCs w:val="21"/>
          <w:highlight w:val="none"/>
        </w:rPr>
        <w:t>日历</w:t>
      </w:r>
      <w:r>
        <w:rPr>
          <w:rFonts w:hint="eastAsia" w:hAnsi="宋体" w:cs="宋体"/>
          <w:color w:val="auto"/>
          <w:kern w:val="0"/>
          <w:szCs w:val="21"/>
          <w:highlight w:val="none"/>
        </w:rPr>
        <w:t>天</w:t>
      </w:r>
      <w:r>
        <w:rPr>
          <w:rFonts w:hint="eastAsia" w:hAnsi="宋体" w:cs="宋体"/>
          <w:color w:val="auto"/>
          <w:szCs w:val="21"/>
          <w:highlight w:val="none"/>
        </w:rPr>
        <w:t>。</w:t>
      </w:r>
    </w:p>
    <w:p w14:paraId="1E645966">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（3）已详细审查全部招标文件，包括所有补充文件、更正公告、澄清、答疑文件（如有），完全理解并同意放弃对这方面有不明、误解的权利。</w:t>
      </w:r>
    </w:p>
    <w:p w14:paraId="0AC67161">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（4）我方不是为本项目提供整体设计、规范编制或者项目管理、检测等服务的供应商，我方与招标代理机构不存在附属关系。</w:t>
      </w:r>
    </w:p>
    <w:p w14:paraId="79F8491D">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（5）若我方中标，同意按招标文件的规定的收费标准和方式，一次性支付招标代理服务费。</w:t>
      </w:r>
    </w:p>
    <w:p w14:paraId="4519C430">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（6）按照贵方可能的要求，提供与投标有关的一切真实数据或资料，完全理解贵方不一定接受最低价的投标或收到的任何投标。</w:t>
      </w:r>
    </w:p>
    <w:p w14:paraId="08883996">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（7）按照招标文件的规定履行合同责任和义务。</w:t>
      </w:r>
    </w:p>
    <w:p w14:paraId="6D15E24B">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（8）完全理解并无条件承担中标后不依法与招标人签订合同的法律后果。</w:t>
      </w:r>
    </w:p>
    <w:p w14:paraId="7B9736ED">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（9）与本次投标有关的一切正式往来请寄：</w:t>
      </w:r>
    </w:p>
    <w:p w14:paraId="732320A6">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地  址：</w:t>
      </w:r>
      <w:r>
        <w:rPr>
          <w:rFonts w:hint="eastAsia" w:hAnsi="宋体" w:cs="宋体"/>
          <w:color w:val="auto"/>
          <w:szCs w:val="21"/>
          <w:highlight w:val="none"/>
          <w:u w:val="single"/>
        </w:rPr>
        <w:t xml:space="preserve">              </w:t>
      </w:r>
    </w:p>
    <w:p w14:paraId="25A87891">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联系人：</w:t>
      </w:r>
      <w:r>
        <w:rPr>
          <w:rFonts w:hint="eastAsia" w:hAnsi="宋体" w:cs="宋体"/>
          <w:color w:val="auto"/>
          <w:szCs w:val="21"/>
          <w:highlight w:val="none"/>
          <w:u w:val="single"/>
        </w:rPr>
        <w:t xml:space="preserve">              </w:t>
      </w:r>
      <w:r>
        <w:rPr>
          <w:rFonts w:hint="eastAsia" w:hAnsi="宋体" w:cs="宋体"/>
          <w:color w:val="auto"/>
          <w:szCs w:val="21"/>
          <w:highlight w:val="none"/>
        </w:rPr>
        <w:t xml:space="preserve">               </w:t>
      </w:r>
    </w:p>
    <w:p w14:paraId="4B261AAE">
      <w:pPr>
        <w:pStyle w:val="18"/>
        <w:spacing w:line="360" w:lineRule="auto"/>
        <w:ind w:firstLine="420" w:firstLineChars="200"/>
        <w:jc w:val="left"/>
        <w:rPr>
          <w:rFonts w:hAnsi="宋体" w:cs="宋体"/>
          <w:color w:val="auto"/>
          <w:szCs w:val="21"/>
          <w:highlight w:val="none"/>
        </w:rPr>
      </w:pPr>
      <w:r>
        <w:rPr>
          <w:rFonts w:hint="eastAsia" w:hAnsi="宋体" w:cs="宋体"/>
          <w:color w:val="auto"/>
          <w:szCs w:val="21"/>
          <w:highlight w:val="none"/>
        </w:rPr>
        <w:t>电  话：</w:t>
      </w:r>
      <w:r>
        <w:rPr>
          <w:rFonts w:hint="eastAsia" w:hAnsi="宋体" w:cs="宋体"/>
          <w:color w:val="auto"/>
          <w:szCs w:val="21"/>
          <w:highlight w:val="none"/>
          <w:u w:val="single"/>
        </w:rPr>
        <w:t xml:space="preserve">              </w:t>
      </w:r>
    </w:p>
    <w:p w14:paraId="0FDA7468">
      <w:pPr>
        <w:spacing w:line="520" w:lineRule="exact"/>
        <w:jc w:val="right"/>
        <w:rPr>
          <w:rFonts w:ascii="宋体" w:hAnsi="宋体" w:cs="宋体"/>
          <w:color w:val="auto"/>
          <w:szCs w:val="21"/>
          <w:highlight w:val="none"/>
        </w:rPr>
      </w:pPr>
      <w:r>
        <w:rPr>
          <w:rFonts w:hint="eastAsia" w:ascii="宋体" w:hAnsi="宋体" w:cs="宋体"/>
          <w:color w:val="auto"/>
          <w:szCs w:val="21"/>
          <w:highlight w:val="none"/>
        </w:rPr>
        <w:t xml:space="preserve">                           </w:t>
      </w:r>
    </w:p>
    <w:p w14:paraId="4AB08289">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（单位电子印章）</w:t>
      </w:r>
    </w:p>
    <w:p w14:paraId="708CA9EB">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（电子签章或签字）</w:t>
      </w:r>
    </w:p>
    <w:p w14:paraId="5F5F88A4">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F09E78C">
      <w:pPr>
        <w:rPr>
          <w:rFonts w:ascii="宋体" w:hAnsi="宋体" w:cs="宋体"/>
          <w:color w:val="auto"/>
          <w:highlight w:val="none"/>
        </w:rPr>
      </w:pPr>
    </w:p>
    <w:p w14:paraId="6A04DC3E">
      <w:pPr>
        <w:spacing w:line="520" w:lineRule="exact"/>
        <w:ind w:firstLine="480" w:firstLineChars="200"/>
        <w:rPr>
          <w:rFonts w:ascii="宋体" w:hAnsi="宋体" w:cs="宋体"/>
          <w:color w:val="auto"/>
          <w:sz w:val="24"/>
          <w:highlight w:val="none"/>
        </w:rPr>
      </w:pPr>
    </w:p>
    <w:p w14:paraId="5782366D">
      <w:pPr>
        <w:autoSpaceDE w:val="0"/>
        <w:autoSpaceDN w:val="0"/>
        <w:adjustRightInd w:val="0"/>
        <w:spacing w:line="360" w:lineRule="auto"/>
        <w:rPr>
          <w:rFonts w:ascii="宋体" w:hAnsi="宋体" w:cs="宋体"/>
          <w:b/>
          <w:color w:val="auto"/>
          <w:sz w:val="32"/>
          <w:szCs w:val="32"/>
          <w:highlight w:val="none"/>
        </w:rPr>
      </w:pPr>
      <w:r>
        <w:rPr>
          <w:rFonts w:hint="eastAsia" w:ascii="宋体" w:hAnsi="宋体" w:cs="宋体"/>
          <w:b/>
          <w:color w:val="auto"/>
          <w:sz w:val="32"/>
          <w:szCs w:val="32"/>
          <w:highlight w:val="none"/>
        </w:rPr>
        <w:br w:type="page"/>
      </w:r>
    </w:p>
    <w:p w14:paraId="396ECFC3">
      <w:pPr>
        <w:jc w:val="center"/>
        <w:outlineLvl w:val="2"/>
        <w:rPr>
          <w:rFonts w:ascii="宋体" w:hAnsi="宋体" w:cs="宋体"/>
          <w:b/>
          <w:color w:val="auto"/>
          <w:kern w:val="0"/>
          <w:sz w:val="30"/>
          <w:szCs w:val="20"/>
          <w:highlight w:val="none"/>
        </w:rPr>
      </w:pPr>
      <w:bookmarkStart w:id="280" w:name="_Toc28743"/>
      <w:bookmarkStart w:id="281" w:name="_Toc1029866110"/>
      <w:bookmarkStart w:id="282" w:name="_Toc7141"/>
      <w:r>
        <w:rPr>
          <w:rFonts w:hint="eastAsia" w:ascii="宋体" w:hAnsi="宋体" w:cs="宋体"/>
          <w:b/>
          <w:color w:val="auto"/>
          <w:kern w:val="0"/>
          <w:sz w:val="30"/>
          <w:szCs w:val="20"/>
          <w:highlight w:val="none"/>
        </w:rPr>
        <w:t>2</w:t>
      </w:r>
      <w:bookmarkStart w:id="283" w:name="_Toc30355"/>
      <w:bookmarkStart w:id="284" w:name="_Toc10808"/>
      <w:bookmarkStart w:id="285" w:name="_Toc1074"/>
      <w:bookmarkStart w:id="286" w:name="_Toc1085"/>
      <w:r>
        <w:rPr>
          <w:rFonts w:hint="eastAsia" w:ascii="宋体" w:hAnsi="宋体" w:cs="宋体"/>
          <w:b/>
          <w:color w:val="auto"/>
          <w:kern w:val="0"/>
          <w:sz w:val="30"/>
          <w:szCs w:val="20"/>
          <w:highlight w:val="none"/>
        </w:rPr>
        <w:t>、开标一览表</w:t>
      </w:r>
      <w:bookmarkEnd w:id="280"/>
      <w:bookmarkEnd w:id="281"/>
      <w:bookmarkEnd w:id="282"/>
      <w:bookmarkEnd w:id="283"/>
      <w:bookmarkEnd w:id="284"/>
      <w:bookmarkEnd w:id="285"/>
      <w:bookmarkEnd w:id="286"/>
    </w:p>
    <w:tbl>
      <w:tblPr>
        <w:tblStyle w:val="38"/>
        <w:tblW w:w="8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0"/>
        <w:gridCol w:w="6216"/>
      </w:tblGrid>
      <w:tr w14:paraId="7F64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6B252F59">
            <w:pPr>
              <w:pStyle w:val="70"/>
              <w:spacing w:line="240" w:lineRule="auto"/>
              <w:ind w:firstLine="0"/>
              <w:jc w:val="center"/>
              <w:rPr>
                <w:rFonts w:ascii="宋体" w:hAnsi="宋体" w:eastAsia="宋体"/>
                <w:color w:val="auto"/>
                <w:sz w:val="21"/>
                <w:szCs w:val="21"/>
                <w:highlight w:val="none"/>
              </w:rPr>
            </w:pPr>
            <w:bookmarkStart w:id="287" w:name="_Toc10771"/>
            <w:bookmarkStart w:id="288" w:name="_Toc4328"/>
            <w:bookmarkStart w:id="289" w:name="_Toc79579478"/>
            <w:bookmarkStart w:id="290" w:name="_Toc13480"/>
            <w:bookmarkStart w:id="291" w:name="_Toc7338"/>
            <w:bookmarkStart w:id="292" w:name="_Toc31158"/>
            <w:bookmarkStart w:id="293" w:name="_Toc27452"/>
            <w:bookmarkStart w:id="294" w:name="_Toc16938"/>
            <w:bookmarkStart w:id="295" w:name="_Toc24299"/>
            <w:r>
              <w:rPr>
                <w:rFonts w:hint="eastAsia" w:ascii="宋体" w:hAnsi="宋体" w:eastAsia="宋体"/>
                <w:color w:val="auto"/>
                <w:sz w:val="21"/>
                <w:szCs w:val="21"/>
                <w:highlight w:val="none"/>
              </w:rPr>
              <w:t>项目名称</w:t>
            </w:r>
          </w:p>
        </w:tc>
        <w:tc>
          <w:tcPr>
            <w:tcW w:w="6216" w:type="dxa"/>
            <w:vAlign w:val="center"/>
          </w:tcPr>
          <w:p w14:paraId="0C965C6D">
            <w:pPr>
              <w:pStyle w:val="18"/>
              <w:jc w:val="center"/>
              <w:rPr>
                <w:rFonts w:hAnsi="宋体"/>
                <w:color w:val="auto"/>
                <w:szCs w:val="21"/>
                <w:highlight w:val="none"/>
                <w:u w:val="single"/>
              </w:rPr>
            </w:pPr>
            <w:r>
              <w:rPr>
                <w:rFonts w:hint="eastAsia" w:hAnsi="宋体"/>
                <w:color w:val="auto"/>
                <w:szCs w:val="21"/>
                <w:highlight w:val="none"/>
              </w:rPr>
              <w:t>河南省科学院光资源与环境科学研究所红外检测实验平台（二期）项目</w:t>
            </w:r>
          </w:p>
        </w:tc>
      </w:tr>
      <w:tr w14:paraId="3149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4BEC2B93">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项目编号</w:t>
            </w:r>
          </w:p>
        </w:tc>
        <w:tc>
          <w:tcPr>
            <w:tcW w:w="6216" w:type="dxa"/>
            <w:vAlign w:val="center"/>
          </w:tcPr>
          <w:p w14:paraId="3E507FF1">
            <w:pPr>
              <w:pStyle w:val="18"/>
              <w:jc w:val="left"/>
              <w:rPr>
                <w:rFonts w:hAnsi="宋体"/>
                <w:color w:val="auto"/>
                <w:szCs w:val="21"/>
                <w:highlight w:val="none"/>
                <w:u w:val="single"/>
              </w:rPr>
            </w:pPr>
          </w:p>
        </w:tc>
      </w:tr>
      <w:tr w14:paraId="3FE2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5CDF5BFD">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投标人名称</w:t>
            </w:r>
          </w:p>
        </w:tc>
        <w:tc>
          <w:tcPr>
            <w:tcW w:w="6216" w:type="dxa"/>
            <w:vAlign w:val="center"/>
          </w:tcPr>
          <w:p w14:paraId="7FD8EBFF">
            <w:pPr>
              <w:pStyle w:val="70"/>
              <w:spacing w:line="240" w:lineRule="auto"/>
              <w:ind w:firstLine="0"/>
              <w:jc w:val="center"/>
              <w:rPr>
                <w:rFonts w:ascii="宋体" w:hAnsi="宋体" w:eastAsia="宋体"/>
                <w:color w:val="auto"/>
                <w:sz w:val="21"/>
                <w:szCs w:val="21"/>
                <w:highlight w:val="none"/>
              </w:rPr>
            </w:pPr>
          </w:p>
        </w:tc>
      </w:tr>
      <w:tr w14:paraId="444C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2480" w:type="dxa"/>
            <w:vAlign w:val="center"/>
          </w:tcPr>
          <w:p w14:paraId="729B2AD9">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投标报价（元）</w:t>
            </w:r>
          </w:p>
        </w:tc>
        <w:tc>
          <w:tcPr>
            <w:tcW w:w="6216" w:type="dxa"/>
            <w:vAlign w:val="center"/>
          </w:tcPr>
          <w:p w14:paraId="45C7CD8E">
            <w:pPr>
              <w:pStyle w:val="70"/>
              <w:spacing w:line="240" w:lineRule="auto"/>
              <w:ind w:firstLine="0"/>
              <w:jc w:val="left"/>
              <w:rPr>
                <w:rFonts w:ascii="宋体" w:hAnsi="宋体" w:eastAsia="宋体"/>
                <w:color w:val="auto"/>
                <w:sz w:val="21"/>
                <w:szCs w:val="21"/>
                <w:highlight w:val="none"/>
                <w:u w:val="single"/>
              </w:rPr>
            </w:pPr>
            <w:r>
              <w:rPr>
                <w:rFonts w:hint="eastAsia" w:ascii="宋体" w:hAnsi="宋体" w:eastAsia="宋体"/>
                <w:color w:val="auto"/>
                <w:sz w:val="21"/>
                <w:szCs w:val="21"/>
                <w:highlight w:val="none"/>
              </w:rPr>
              <w:t>大写：</w:t>
            </w:r>
          </w:p>
          <w:p w14:paraId="1D258AD8">
            <w:pPr>
              <w:pStyle w:val="70"/>
              <w:spacing w:line="240" w:lineRule="auto"/>
              <w:ind w:firstLine="0"/>
              <w:jc w:val="left"/>
              <w:rPr>
                <w:rFonts w:ascii="宋体" w:hAnsi="宋体" w:eastAsia="宋体"/>
                <w:color w:val="auto"/>
                <w:sz w:val="21"/>
                <w:szCs w:val="21"/>
                <w:highlight w:val="none"/>
              </w:rPr>
            </w:pPr>
            <w:r>
              <w:rPr>
                <w:rFonts w:hint="eastAsia" w:ascii="宋体" w:hAnsi="宋体" w:eastAsia="宋体"/>
                <w:color w:val="auto"/>
                <w:sz w:val="21"/>
                <w:szCs w:val="21"/>
                <w:highlight w:val="none"/>
              </w:rPr>
              <w:t>小写：</w:t>
            </w:r>
          </w:p>
        </w:tc>
      </w:tr>
      <w:tr w14:paraId="669A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3A7A3C33">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投标内容</w:t>
            </w:r>
          </w:p>
        </w:tc>
        <w:tc>
          <w:tcPr>
            <w:tcW w:w="6216" w:type="dxa"/>
            <w:vAlign w:val="center"/>
          </w:tcPr>
          <w:p w14:paraId="7E643D8D">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采购一套纳米红外高光谱检测系统，包含但不限于软硬件及附属设备的供货、运输、保险、装卸、安装、检测、调试、试运行、验收交付、培训、技术支持、软件升级、售后保修及相关伴随服务。</w:t>
            </w:r>
          </w:p>
        </w:tc>
      </w:tr>
      <w:tr w14:paraId="75B7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46939B73">
            <w:pPr>
              <w:pStyle w:val="70"/>
              <w:spacing w:line="240" w:lineRule="auto"/>
              <w:ind w:firstLine="0"/>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品牌、型号</w:t>
            </w:r>
          </w:p>
        </w:tc>
        <w:tc>
          <w:tcPr>
            <w:tcW w:w="6216" w:type="dxa"/>
            <w:vAlign w:val="center"/>
          </w:tcPr>
          <w:p w14:paraId="27BF6CA3">
            <w:pPr>
              <w:pStyle w:val="70"/>
              <w:spacing w:line="240" w:lineRule="auto"/>
              <w:ind w:firstLine="0"/>
              <w:jc w:val="center"/>
              <w:rPr>
                <w:rFonts w:ascii="宋体" w:hAnsi="宋体" w:eastAsia="宋体"/>
                <w:color w:val="auto"/>
                <w:sz w:val="21"/>
                <w:szCs w:val="21"/>
                <w:highlight w:val="none"/>
              </w:rPr>
            </w:pPr>
          </w:p>
        </w:tc>
      </w:tr>
      <w:tr w14:paraId="0D0B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17B3753B">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交货期</w:t>
            </w:r>
          </w:p>
        </w:tc>
        <w:tc>
          <w:tcPr>
            <w:tcW w:w="6216" w:type="dxa"/>
            <w:vAlign w:val="center"/>
          </w:tcPr>
          <w:p w14:paraId="5AA52861">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自签订合同之日起6个月内完成供货、安装、验收合格、交付使用。</w:t>
            </w:r>
          </w:p>
        </w:tc>
      </w:tr>
      <w:tr w14:paraId="293D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7B921A44">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交货地点</w:t>
            </w:r>
          </w:p>
        </w:tc>
        <w:tc>
          <w:tcPr>
            <w:tcW w:w="6216" w:type="dxa"/>
            <w:vAlign w:val="center"/>
          </w:tcPr>
          <w:p w14:paraId="2F068C34">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河南省郑州市管城回族区汉月街26号中原量子谷。</w:t>
            </w:r>
          </w:p>
        </w:tc>
      </w:tr>
      <w:tr w14:paraId="68EB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2480" w:type="dxa"/>
            <w:vAlign w:val="center"/>
          </w:tcPr>
          <w:p w14:paraId="36106829">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质量标准</w:t>
            </w:r>
          </w:p>
        </w:tc>
        <w:tc>
          <w:tcPr>
            <w:tcW w:w="6216" w:type="dxa"/>
            <w:vAlign w:val="center"/>
          </w:tcPr>
          <w:p w14:paraId="2E78BCB2">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符合国家、行业现行验收规范和标准，满足招标人的相关要求。</w:t>
            </w:r>
          </w:p>
        </w:tc>
      </w:tr>
      <w:tr w14:paraId="0633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36C9F523">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质保期</w:t>
            </w:r>
          </w:p>
        </w:tc>
        <w:tc>
          <w:tcPr>
            <w:tcW w:w="6216" w:type="dxa"/>
            <w:vAlign w:val="center"/>
          </w:tcPr>
          <w:p w14:paraId="7CCE0219">
            <w:pPr>
              <w:pStyle w:val="70"/>
              <w:spacing w:line="240" w:lineRule="auto"/>
              <w:ind w:firstLine="0"/>
              <w:jc w:val="center"/>
              <w:rPr>
                <w:rFonts w:ascii="宋体" w:hAnsi="宋体" w:eastAsia="宋体"/>
                <w:color w:val="auto"/>
                <w:sz w:val="21"/>
                <w:szCs w:val="21"/>
                <w:highlight w:val="none"/>
              </w:rPr>
            </w:pPr>
          </w:p>
        </w:tc>
      </w:tr>
      <w:tr w14:paraId="0D3E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7F5EFBA9">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联合体投标</w:t>
            </w:r>
          </w:p>
        </w:tc>
        <w:tc>
          <w:tcPr>
            <w:tcW w:w="6216" w:type="dxa"/>
            <w:vAlign w:val="center"/>
          </w:tcPr>
          <w:p w14:paraId="79E97BC6">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我单位非联合体投标。</w:t>
            </w:r>
          </w:p>
        </w:tc>
      </w:tr>
      <w:tr w14:paraId="263D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2DB66807">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投标有效期</w:t>
            </w:r>
          </w:p>
        </w:tc>
        <w:tc>
          <w:tcPr>
            <w:tcW w:w="6216" w:type="dxa"/>
            <w:vAlign w:val="center"/>
          </w:tcPr>
          <w:p w14:paraId="49C1AE02">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递交投标文件截止时间起90日历天。</w:t>
            </w:r>
          </w:p>
        </w:tc>
      </w:tr>
      <w:tr w14:paraId="50B8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1A62C05E">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付款方式</w:t>
            </w:r>
          </w:p>
        </w:tc>
        <w:tc>
          <w:tcPr>
            <w:tcW w:w="6216" w:type="dxa"/>
            <w:vAlign w:val="center"/>
          </w:tcPr>
          <w:p w14:paraId="597AA280">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符合第二章投标人须知前附表10.1及第四章合同格式及合同条款要求。</w:t>
            </w:r>
          </w:p>
        </w:tc>
      </w:tr>
      <w:tr w14:paraId="1755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80" w:type="dxa"/>
            <w:vAlign w:val="center"/>
          </w:tcPr>
          <w:p w14:paraId="60570F33">
            <w:pPr>
              <w:pStyle w:val="70"/>
              <w:spacing w:line="240" w:lineRule="auto"/>
              <w:ind w:firstLine="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其他声明</w:t>
            </w:r>
          </w:p>
        </w:tc>
        <w:tc>
          <w:tcPr>
            <w:tcW w:w="6216" w:type="dxa"/>
            <w:vAlign w:val="center"/>
          </w:tcPr>
          <w:p w14:paraId="06EEEF0C">
            <w:pPr>
              <w:pStyle w:val="70"/>
              <w:spacing w:line="240" w:lineRule="auto"/>
              <w:ind w:firstLine="0"/>
              <w:jc w:val="center"/>
              <w:rPr>
                <w:rFonts w:ascii="宋体" w:hAnsi="宋体" w:eastAsia="宋体"/>
                <w:color w:val="auto"/>
                <w:sz w:val="21"/>
                <w:szCs w:val="21"/>
                <w:highlight w:val="none"/>
              </w:rPr>
            </w:pPr>
          </w:p>
        </w:tc>
      </w:tr>
    </w:tbl>
    <w:p w14:paraId="403DA311">
      <w:pPr>
        <w:jc w:val="left"/>
        <w:rPr>
          <w:color w:val="auto"/>
          <w:szCs w:val="21"/>
          <w:highlight w:val="none"/>
        </w:rPr>
      </w:pPr>
    </w:p>
    <w:bookmarkEnd w:id="287"/>
    <w:bookmarkEnd w:id="288"/>
    <w:bookmarkEnd w:id="289"/>
    <w:bookmarkEnd w:id="290"/>
    <w:bookmarkEnd w:id="291"/>
    <w:bookmarkEnd w:id="292"/>
    <w:bookmarkEnd w:id="293"/>
    <w:bookmarkEnd w:id="294"/>
    <w:bookmarkEnd w:id="295"/>
    <w:p w14:paraId="17A5AC27">
      <w:pPr>
        <w:spacing w:line="520" w:lineRule="exact"/>
        <w:ind w:firstLine="420" w:firstLineChars="200"/>
        <w:rPr>
          <w:rFonts w:ascii="宋体" w:hAnsi="宋体" w:cs="宋体"/>
          <w:color w:val="auto"/>
          <w:szCs w:val="21"/>
          <w:highlight w:val="none"/>
        </w:rPr>
      </w:pPr>
      <w:bookmarkStart w:id="296" w:name="_Toc14271"/>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（单位电子印章）</w:t>
      </w:r>
    </w:p>
    <w:p w14:paraId="49CA1A00">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（电子签章或签字）</w:t>
      </w:r>
    </w:p>
    <w:p w14:paraId="695456ED">
      <w:pPr>
        <w:spacing w:line="520" w:lineRule="exact"/>
        <w:ind w:firstLine="420" w:firstLineChars="200"/>
        <w:rPr>
          <w:rStyle w:val="96"/>
          <w:color w:val="auto"/>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bookmarkStart w:id="297" w:name="_Toc18973"/>
      <w:bookmarkStart w:id="298" w:name="_Toc16304"/>
      <w:bookmarkStart w:id="299" w:name="_Toc30099"/>
      <w:bookmarkStart w:id="300" w:name="_Toc7482"/>
    </w:p>
    <w:p w14:paraId="6397B5A3">
      <w:pPr>
        <w:jc w:val="left"/>
        <w:rPr>
          <w:rStyle w:val="96"/>
          <w:color w:val="auto"/>
          <w:highlight w:val="none"/>
        </w:rPr>
      </w:pPr>
      <w:bookmarkStart w:id="301" w:name="_Toc241515950"/>
      <w:r>
        <w:rPr>
          <w:rStyle w:val="96"/>
          <w:rFonts w:hint="eastAsia"/>
          <w:color w:val="auto"/>
          <w:highlight w:val="none"/>
        </w:rPr>
        <w:br w:type="page"/>
      </w:r>
    </w:p>
    <w:p w14:paraId="4E200B80">
      <w:pPr>
        <w:spacing w:before="120" w:beforeLines="50" w:after="120" w:afterLines="50"/>
        <w:jc w:val="center"/>
        <w:outlineLvl w:val="1"/>
        <w:rPr>
          <w:rFonts w:ascii="宋体" w:hAnsi="宋体" w:cs="宋体"/>
          <w:color w:val="auto"/>
          <w:highlight w:val="none"/>
        </w:rPr>
      </w:pPr>
      <w:bookmarkStart w:id="302" w:name="_Toc19295"/>
      <w:bookmarkStart w:id="303" w:name="_Toc14929"/>
      <w:bookmarkStart w:id="304" w:name="_Toc21998"/>
      <w:r>
        <w:rPr>
          <w:rStyle w:val="96"/>
          <w:rFonts w:hint="eastAsia"/>
          <w:color w:val="auto"/>
          <w:highlight w:val="none"/>
        </w:rPr>
        <w:t>二、法定代表人身份证明及法定代表人授权委托书</w:t>
      </w:r>
      <w:bookmarkEnd w:id="297"/>
      <w:bookmarkEnd w:id="301"/>
      <w:bookmarkEnd w:id="302"/>
      <w:bookmarkEnd w:id="303"/>
      <w:bookmarkEnd w:id="304"/>
    </w:p>
    <w:p w14:paraId="3E660CCF">
      <w:pPr>
        <w:spacing w:line="440" w:lineRule="exact"/>
        <w:rPr>
          <w:rFonts w:ascii="宋体" w:hAnsi="宋体" w:cs="宋体"/>
          <w:color w:val="auto"/>
          <w:sz w:val="20"/>
          <w:szCs w:val="20"/>
          <w:highlight w:val="none"/>
        </w:rPr>
      </w:pPr>
    </w:p>
    <w:p w14:paraId="6C063CD6">
      <w:pPr>
        <w:spacing w:line="440" w:lineRule="exact"/>
        <w:jc w:val="center"/>
        <w:outlineLvl w:val="2"/>
        <w:rPr>
          <w:rFonts w:ascii="宋体" w:hAnsi="宋体" w:cs="宋体"/>
          <w:b/>
          <w:bCs/>
          <w:color w:val="auto"/>
          <w:szCs w:val="21"/>
          <w:highlight w:val="none"/>
        </w:rPr>
      </w:pPr>
      <w:bookmarkStart w:id="305" w:name="_Toc10779"/>
      <w:bookmarkStart w:id="306" w:name="_Toc414478820"/>
      <w:bookmarkStart w:id="307" w:name="_Toc25274"/>
      <w:r>
        <w:rPr>
          <w:rFonts w:hint="eastAsia" w:ascii="宋体" w:hAnsi="宋体" w:cs="宋体"/>
          <w:b/>
          <w:bCs/>
          <w:color w:val="auto"/>
          <w:szCs w:val="21"/>
          <w:highlight w:val="none"/>
        </w:rPr>
        <w:t>1、法定代表人身份证明</w:t>
      </w:r>
      <w:bookmarkEnd w:id="305"/>
      <w:bookmarkEnd w:id="306"/>
      <w:bookmarkEnd w:id="307"/>
    </w:p>
    <w:p w14:paraId="4658BD33">
      <w:pPr>
        <w:spacing w:line="440" w:lineRule="exact"/>
        <w:jc w:val="center"/>
        <w:rPr>
          <w:rFonts w:ascii="宋体" w:hAnsi="宋体" w:cs="宋体"/>
          <w:color w:val="auto"/>
          <w:szCs w:val="21"/>
          <w:highlight w:val="none"/>
        </w:rPr>
      </w:pPr>
    </w:p>
    <w:p w14:paraId="555F3740">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0D77767">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50C8C80">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6D76DB6C">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14:paraId="03CC9EAC">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5BEFD744">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B22410B">
      <w:pPr>
        <w:spacing w:line="4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（投标人名称）的法定代表人。</w:t>
      </w:r>
    </w:p>
    <w:p w14:paraId="0C2607B5">
      <w:pPr>
        <w:spacing w:line="44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特此证明。</w:t>
      </w:r>
    </w:p>
    <w:p w14:paraId="2A0273E3">
      <w:pPr>
        <w:spacing w:line="440" w:lineRule="exact"/>
        <w:rPr>
          <w:rFonts w:ascii="宋体" w:hAnsi="宋体" w:cs="宋体"/>
          <w:color w:val="auto"/>
          <w:szCs w:val="21"/>
          <w:highlight w:val="none"/>
        </w:rPr>
      </w:pPr>
    </w:p>
    <w:p w14:paraId="3B2489BB">
      <w:pPr>
        <w:spacing w:line="440" w:lineRule="exact"/>
        <w:rPr>
          <w:rFonts w:ascii="宋体" w:hAnsi="宋体" w:cs="宋体"/>
          <w:color w:val="auto"/>
          <w:szCs w:val="21"/>
          <w:highlight w:val="none"/>
        </w:rPr>
      </w:pPr>
    </w:p>
    <w:p w14:paraId="03C4A29B">
      <w:pPr>
        <w:spacing w:line="440" w:lineRule="exact"/>
        <w:ind w:firstLine="3979" w:firstLineChars="1895"/>
        <w:jc w:val="left"/>
        <w:rPr>
          <w:rFonts w:ascii="宋体" w:hAnsi="宋体" w:cs="宋体"/>
          <w:color w:val="auto"/>
          <w:kern w:val="0"/>
          <w:szCs w:val="21"/>
          <w:highlight w:val="none"/>
        </w:rPr>
      </w:pPr>
      <w:r>
        <w:rPr>
          <w:rFonts w:hint="eastAsia" w:ascii="宋体" w:hAnsi="宋体" w:cs="宋体"/>
          <w:color w:val="auto"/>
          <w:kern w:val="0"/>
          <w:szCs w:val="21"/>
          <w:highlight w:val="none"/>
        </w:rPr>
        <w:t>投标人名称：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（单位电子印章）</w:t>
      </w:r>
    </w:p>
    <w:p w14:paraId="299EB55B">
      <w:pPr>
        <w:spacing w:line="440" w:lineRule="exact"/>
        <w:ind w:firstLine="3979" w:firstLineChars="1895"/>
        <w:jc w:val="left"/>
        <w:rPr>
          <w:rFonts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w:t>
      </w:r>
    </w:p>
    <w:p w14:paraId="48A01B81">
      <w:pPr>
        <w:spacing w:line="440" w:lineRule="exact"/>
        <w:ind w:firstLine="3979" w:firstLineChars="1895"/>
        <w:jc w:val="left"/>
        <w:rPr>
          <w:rFonts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414C0D96">
      <w:pPr>
        <w:spacing w:line="440" w:lineRule="exact"/>
        <w:rPr>
          <w:rFonts w:ascii="宋体" w:hAnsi="宋体" w:cs="宋体"/>
          <w:color w:val="auto"/>
          <w:szCs w:val="21"/>
          <w:highlight w:val="none"/>
        </w:rPr>
      </w:pPr>
    </w:p>
    <w:p w14:paraId="1DB218A6">
      <w:pPr>
        <w:spacing w:line="440" w:lineRule="exact"/>
        <w:rPr>
          <w:rFonts w:ascii="宋体" w:hAnsi="宋体" w:cs="宋体"/>
          <w:color w:val="auto"/>
          <w:szCs w:val="21"/>
          <w:highlight w:val="none"/>
        </w:rPr>
      </w:pPr>
    </w:p>
    <w:tbl>
      <w:tblPr>
        <w:tblStyle w:val="38"/>
        <w:tblW w:w="8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9"/>
      </w:tblGrid>
      <w:tr w14:paraId="7024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9" w:hRule="atLeast"/>
          <w:jc w:val="center"/>
        </w:trPr>
        <w:tc>
          <w:tcPr>
            <w:tcW w:w="8629" w:type="dxa"/>
            <w:vAlign w:val="center"/>
          </w:tcPr>
          <w:p w14:paraId="54685406">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法定代表人身份证正反面扫描件</w:t>
            </w:r>
          </w:p>
          <w:p w14:paraId="416C3B1A">
            <w:pPr>
              <w:spacing w:line="440" w:lineRule="exact"/>
              <w:jc w:val="center"/>
              <w:rPr>
                <w:rFonts w:ascii="宋体" w:hAnsi="宋体" w:cs="宋体"/>
                <w:color w:val="auto"/>
                <w:szCs w:val="21"/>
                <w:highlight w:val="none"/>
              </w:rPr>
            </w:pPr>
          </w:p>
        </w:tc>
      </w:tr>
    </w:tbl>
    <w:p w14:paraId="380D6CD0">
      <w:pPr>
        <w:spacing w:line="440" w:lineRule="exact"/>
        <w:rPr>
          <w:rFonts w:ascii="宋体" w:hAnsi="宋体" w:cs="宋体"/>
          <w:color w:val="auto"/>
          <w:szCs w:val="21"/>
          <w:highlight w:val="none"/>
        </w:rPr>
      </w:pPr>
    </w:p>
    <w:p w14:paraId="76142FB7">
      <w:pPr>
        <w:spacing w:line="440" w:lineRule="exact"/>
        <w:rPr>
          <w:rFonts w:ascii="宋体" w:hAnsi="宋体" w:cs="宋体"/>
          <w:color w:val="auto"/>
          <w:szCs w:val="21"/>
          <w:highlight w:val="none"/>
        </w:rPr>
      </w:pPr>
    </w:p>
    <w:p w14:paraId="7F777C9B">
      <w:pPr>
        <w:spacing w:line="440" w:lineRule="exact"/>
        <w:rPr>
          <w:rFonts w:ascii="宋体" w:hAnsi="宋体" w:cs="宋体"/>
          <w:color w:val="auto"/>
          <w:szCs w:val="21"/>
          <w:highlight w:val="none"/>
        </w:rPr>
      </w:pPr>
    </w:p>
    <w:p w14:paraId="25F453B3">
      <w:pPr>
        <w:spacing w:line="440" w:lineRule="exact"/>
        <w:rPr>
          <w:rFonts w:ascii="宋体" w:hAnsi="宋体" w:cs="宋体"/>
          <w:color w:val="auto"/>
          <w:szCs w:val="21"/>
          <w:highlight w:val="none"/>
        </w:rPr>
      </w:pPr>
    </w:p>
    <w:p w14:paraId="293BCA94">
      <w:pPr>
        <w:spacing w:line="440" w:lineRule="exact"/>
        <w:jc w:val="center"/>
        <w:outlineLvl w:val="2"/>
        <w:rPr>
          <w:rFonts w:ascii="宋体" w:hAnsi="宋体" w:cs="宋体"/>
          <w:b/>
          <w:bCs/>
          <w:color w:val="auto"/>
          <w:szCs w:val="21"/>
          <w:highlight w:val="none"/>
        </w:rPr>
      </w:pPr>
      <w:bookmarkStart w:id="308" w:name="_Toc27527"/>
      <w:bookmarkStart w:id="309" w:name="_Toc1856060519"/>
      <w:bookmarkStart w:id="310" w:name="_Toc31180"/>
      <w:r>
        <w:rPr>
          <w:rFonts w:hint="eastAsia" w:ascii="宋体" w:hAnsi="宋体" w:cs="宋体"/>
          <w:b/>
          <w:bCs/>
          <w:color w:val="auto"/>
          <w:szCs w:val="21"/>
          <w:highlight w:val="none"/>
        </w:rPr>
        <w:t>2、法定代表人授权委托书</w:t>
      </w:r>
      <w:bookmarkEnd w:id="308"/>
      <w:bookmarkEnd w:id="309"/>
      <w:bookmarkEnd w:id="310"/>
    </w:p>
    <w:p w14:paraId="75D74D5B">
      <w:pPr>
        <w:spacing w:line="440" w:lineRule="exact"/>
        <w:rPr>
          <w:rFonts w:ascii="宋体" w:hAnsi="宋体" w:cs="宋体"/>
          <w:color w:val="auto"/>
          <w:szCs w:val="21"/>
          <w:highlight w:val="none"/>
        </w:rPr>
      </w:pPr>
    </w:p>
    <w:p w14:paraId="5FBF81BC">
      <w:pPr>
        <w:topLinePunct/>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（姓名）联系方式：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为我方代理人。代理人根据授权，以我方名义签署、澄清、说明、补正、递交、撤回、修改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投标文件、签订合同和处理有关事宜，其法律后果由我方承担。</w:t>
      </w:r>
    </w:p>
    <w:p w14:paraId="50E0F5DE">
      <w:pPr>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    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145270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w:t>
      </w:r>
    </w:p>
    <w:p w14:paraId="34F8230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附：法定代表人及授权委托人身份证正反面扫描件</w:t>
      </w:r>
    </w:p>
    <w:p w14:paraId="2E6455FA">
      <w:pPr>
        <w:spacing w:line="440" w:lineRule="exact"/>
        <w:rPr>
          <w:rFonts w:ascii="宋体" w:hAnsi="宋体" w:cs="宋体"/>
          <w:color w:val="auto"/>
          <w:szCs w:val="21"/>
          <w:highlight w:val="none"/>
        </w:rPr>
      </w:pPr>
    </w:p>
    <w:p w14:paraId="5A432585">
      <w:pPr>
        <w:spacing w:line="440" w:lineRule="exact"/>
        <w:rPr>
          <w:rFonts w:ascii="宋体" w:hAnsi="宋体" w:cs="宋体"/>
          <w:color w:val="auto"/>
          <w:szCs w:val="21"/>
          <w:highlight w:val="none"/>
        </w:rPr>
      </w:pPr>
    </w:p>
    <w:p w14:paraId="5D034704">
      <w:pPr>
        <w:spacing w:line="440" w:lineRule="exact"/>
        <w:ind w:firstLine="2310" w:firstLineChars="1100"/>
        <w:rPr>
          <w:rFonts w:ascii="宋体" w:hAnsi="宋体" w:cs="宋体"/>
          <w:color w:val="auto"/>
          <w:kern w:val="0"/>
          <w:szCs w:val="21"/>
          <w:highlight w:val="none"/>
        </w:rPr>
      </w:pPr>
      <w:r>
        <w:rPr>
          <w:rFonts w:hint="eastAsia" w:ascii="宋体" w:hAnsi="宋体" w:cs="宋体"/>
          <w:color w:val="auto"/>
          <w:kern w:val="0"/>
          <w:szCs w:val="21"/>
          <w:highlight w:val="none"/>
        </w:rPr>
        <w:t>投标人名称：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（单位电子印章）</w:t>
      </w:r>
    </w:p>
    <w:p w14:paraId="61C84D47">
      <w:pPr>
        <w:spacing w:line="440" w:lineRule="exact"/>
        <w:ind w:firstLine="2310" w:firstLineChars="1100"/>
        <w:rPr>
          <w:rFonts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w:t>
      </w:r>
    </w:p>
    <w:p w14:paraId="5C497B0D">
      <w:pPr>
        <w:spacing w:line="440" w:lineRule="exact"/>
        <w:ind w:firstLine="2310" w:firstLineChars="11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0A028EE6">
      <w:pPr>
        <w:wordWrap w:val="0"/>
        <w:spacing w:line="440" w:lineRule="exact"/>
        <w:ind w:right="840"/>
        <w:jc w:val="center"/>
        <w:rPr>
          <w:rFonts w:ascii="宋体" w:hAnsi="宋体" w:cs="宋体"/>
          <w:color w:val="auto"/>
          <w:szCs w:val="21"/>
          <w:highlight w:val="none"/>
        </w:rPr>
      </w:pPr>
      <w:r>
        <w:rPr>
          <w:rFonts w:hint="eastAsia" w:ascii="宋体" w:hAnsi="宋体" w:cs="宋体"/>
          <w:color w:val="auto"/>
          <w:szCs w:val="21"/>
          <w:highlight w:val="none"/>
        </w:rPr>
        <w:t xml:space="preserve">                      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1F30B39F">
      <w:pPr>
        <w:spacing w:line="440" w:lineRule="exact"/>
        <w:ind w:firstLine="2310" w:firstLineChars="1100"/>
        <w:rPr>
          <w:rFonts w:ascii="宋体" w:hAnsi="宋体" w:cs="宋体"/>
          <w:color w:val="auto"/>
          <w:szCs w:val="21"/>
          <w:highlight w:val="none"/>
          <w:u w:val="singl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2A6798BB">
      <w:pPr>
        <w:spacing w:line="440" w:lineRule="exact"/>
        <w:ind w:firstLine="2310" w:firstLineChars="1100"/>
        <w:rPr>
          <w:rFonts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35AF9B9">
      <w:pPr>
        <w:spacing w:line="440" w:lineRule="exact"/>
        <w:rPr>
          <w:rFonts w:ascii="宋体" w:hAnsi="宋体" w:cs="宋体"/>
          <w:color w:val="auto"/>
          <w:szCs w:val="21"/>
          <w:highlight w:val="none"/>
        </w:rPr>
      </w:pPr>
    </w:p>
    <w:tbl>
      <w:tblPr>
        <w:tblStyle w:val="38"/>
        <w:tblW w:w="8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8"/>
      </w:tblGrid>
      <w:tr w14:paraId="272F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8648" w:type="dxa"/>
            <w:vAlign w:val="center"/>
          </w:tcPr>
          <w:p w14:paraId="342B2C76">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法定代表人及委托代理人身份证正反面扫描件</w:t>
            </w:r>
          </w:p>
          <w:p w14:paraId="7755872D">
            <w:pPr>
              <w:spacing w:line="440" w:lineRule="exact"/>
              <w:jc w:val="center"/>
              <w:rPr>
                <w:rFonts w:ascii="宋体" w:hAnsi="宋体" w:cs="宋体"/>
                <w:color w:val="auto"/>
                <w:szCs w:val="21"/>
                <w:highlight w:val="none"/>
              </w:rPr>
            </w:pPr>
          </w:p>
        </w:tc>
      </w:tr>
    </w:tbl>
    <w:p w14:paraId="6E120674">
      <w:pPr>
        <w:spacing w:line="440" w:lineRule="exact"/>
        <w:rPr>
          <w:rFonts w:ascii="宋体" w:hAnsi="宋体" w:cs="宋体"/>
          <w:color w:val="auto"/>
          <w:szCs w:val="21"/>
          <w:highlight w:val="none"/>
        </w:rPr>
      </w:pPr>
    </w:p>
    <w:p w14:paraId="448E71B3">
      <w:pPr>
        <w:adjustRightInd w:val="0"/>
        <w:snapToGrid w:val="0"/>
        <w:spacing w:line="400" w:lineRule="exact"/>
        <w:rPr>
          <w:rFonts w:ascii="宋体" w:hAnsi="宋体" w:cs="宋体"/>
          <w:b/>
          <w:color w:val="auto"/>
          <w:kern w:val="44"/>
          <w:sz w:val="36"/>
          <w:szCs w:val="36"/>
          <w:highlight w:val="none"/>
        </w:rPr>
      </w:pPr>
    </w:p>
    <w:p w14:paraId="27ACA6B0">
      <w:pPr>
        <w:rPr>
          <w:color w:val="auto"/>
          <w:highlight w:val="none"/>
        </w:rPr>
      </w:pPr>
    </w:p>
    <w:p w14:paraId="25836C6E">
      <w:pPr>
        <w:rPr>
          <w:color w:val="auto"/>
          <w:highlight w:val="none"/>
        </w:rPr>
      </w:pPr>
      <w:r>
        <w:rPr>
          <w:rFonts w:hint="eastAsia"/>
          <w:color w:val="auto"/>
          <w:highlight w:val="none"/>
        </w:rPr>
        <w:br w:type="page"/>
      </w:r>
    </w:p>
    <w:p w14:paraId="3DE37E2B">
      <w:pPr>
        <w:pStyle w:val="3"/>
        <w:rPr>
          <w:color w:val="auto"/>
          <w:highlight w:val="none"/>
        </w:rPr>
      </w:pPr>
      <w:bookmarkStart w:id="311" w:name="_Toc25575"/>
      <w:bookmarkStart w:id="312" w:name="_Toc461686511"/>
      <w:bookmarkStart w:id="313" w:name="_Toc20542"/>
      <w:bookmarkStart w:id="314" w:name="_Toc686"/>
      <w:bookmarkStart w:id="315" w:name="_Toc14843"/>
      <w:r>
        <w:rPr>
          <w:rFonts w:hint="eastAsia"/>
          <w:color w:val="auto"/>
          <w:highlight w:val="none"/>
        </w:rPr>
        <w:t>三、投标货物分项报价明细表</w:t>
      </w:r>
      <w:bookmarkEnd w:id="296"/>
      <w:bookmarkEnd w:id="298"/>
      <w:bookmarkEnd w:id="299"/>
      <w:bookmarkEnd w:id="300"/>
      <w:bookmarkEnd w:id="311"/>
      <w:bookmarkEnd w:id="312"/>
      <w:bookmarkEnd w:id="313"/>
      <w:bookmarkEnd w:id="314"/>
      <w:bookmarkEnd w:id="315"/>
    </w:p>
    <w:p w14:paraId="5B6C1907">
      <w:pPr>
        <w:spacing w:line="400" w:lineRule="exact"/>
        <w:jc w:val="right"/>
        <w:rPr>
          <w:rFonts w:ascii="宋体" w:hAnsi="宋体" w:cs="宋体"/>
          <w:bCs/>
          <w:color w:val="auto"/>
          <w:szCs w:val="21"/>
          <w:highlight w:val="none"/>
        </w:rPr>
      </w:pPr>
      <w:r>
        <w:rPr>
          <w:rFonts w:hint="eastAsia" w:ascii="宋体" w:hAnsi="宋体" w:cs="宋体"/>
          <w:bCs/>
          <w:color w:val="auto"/>
          <w:sz w:val="24"/>
          <w:szCs w:val="20"/>
          <w:highlight w:val="none"/>
        </w:rPr>
        <w:t>单</w:t>
      </w:r>
      <w:r>
        <w:rPr>
          <w:rFonts w:hint="eastAsia" w:ascii="宋体" w:hAnsi="宋体" w:cs="宋体"/>
          <w:bCs/>
          <w:color w:val="auto"/>
          <w:szCs w:val="21"/>
          <w:highlight w:val="none"/>
        </w:rPr>
        <w:t>位：人民币元</w:t>
      </w:r>
    </w:p>
    <w:tbl>
      <w:tblPr>
        <w:tblStyle w:val="38"/>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68"/>
        <w:gridCol w:w="1038"/>
        <w:gridCol w:w="909"/>
        <w:gridCol w:w="1002"/>
        <w:gridCol w:w="750"/>
        <w:gridCol w:w="912"/>
        <w:gridCol w:w="650"/>
        <w:gridCol w:w="725"/>
        <w:gridCol w:w="690"/>
        <w:gridCol w:w="864"/>
      </w:tblGrid>
      <w:tr w14:paraId="0DB7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31" w:type="dxa"/>
            <w:vAlign w:val="center"/>
          </w:tcPr>
          <w:p w14:paraId="5D09007A">
            <w:pPr>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168" w:type="dxa"/>
            <w:vAlign w:val="center"/>
          </w:tcPr>
          <w:p w14:paraId="3D64277B">
            <w:pPr>
              <w:jc w:val="center"/>
              <w:rPr>
                <w:rFonts w:ascii="宋体" w:hAnsi="宋体" w:cs="宋体"/>
                <w:b/>
                <w:bCs/>
                <w:color w:val="auto"/>
                <w:szCs w:val="21"/>
                <w:highlight w:val="none"/>
              </w:rPr>
            </w:pPr>
            <w:r>
              <w:rPr>
                <w:rFonts w:hint="eastAsia" w:ascii="宋体" w:hAnsi="宋体" w:cs="宋体"/>
                <w:b/>
                <w:bCs/>
                <w:color w:val="auto"/>
                <w:szCs w:val="21"/>
                <w:highlight w:val="none"/>
              </w:rPr>
              <w:t>货物名称</w:t>
            </w:r>
          </w:p>
        </w:tc>
        <w:tc>
          <w:tcPr>
            <w:tcW w:w="1038" w:type="dxa"/>
            <w:vAlign w:val="center"/>
          </w:tcPr>
          <w:p w14:paraId="464B6762">
            <w:pPr>
              <w:jc w:val="center"/>
              <w:rPr>
                <w:rFonts w:ascii="宋体" w:hAnsi="宋体" w:cs="宋体"/>
                <w:b/>
                <w:bCs/>
                <w:color w:val="auto"/>
                <w:szCs w:val="21"/>
                <w:highlight w:val="none"/>
              </w:rPr>
            </w:pPr>
            <w:r>
              <w:rPr>
                <w:rFonts w:hint="eastAsia" w:ascii="宋体" w:hAnsi="宋体" w:cs="宋体"/>
                <w:b/>
                <w:bCs/>
                <w:color w:val="auto"/>
                <w:szCs w:val="21"/>
                <w:highlight w:val="none"/>
              </w:rPr>
              <w:t>品牌</w:t>
            </w:r>
          </w:p>
        </w:tc>
        <w:tc>
          <w:tcPr>
            <w:tcW w:w="909" w:type="dxa"/>
            <w:vAlign w:val="center"/>
          </w:tcPr>
          <w:p w14:paraId="55CA024D">
            <w:pPr>
              <w:jc w:val="center"/>
              <w:rPr>
                <w:rFonts w:ascii="宋体" w:hAnsi="宋体" w:cs="宋体"/>
                <w:b/>
                <w:bCs/>
                <w:color w:val="auto"/>
                <w:szCs w:val="21"/>
                <w:highlight w:val="none"/>
              </w:rPr>
            </w:pPr>
            <w:r>
              <w:rPr>
                <w:rFonts w:hint="eastAsia" w:ascii="宋体" w:hAnsi="宋体" w:cs="宋体"/>
                <w:b/>
                <w:bCs/>
                <w:color w:val="auto"/>
                <w:szCs w:val="21"/>
                <w:highlight w:val="none"/>
              </w:rPr>
              <w:t>产地</w:t>
            </w:r>
          </w:p>
        </w:tc>
        <w:tc>
          <w:tcPr>
            <w:tcW w:w="1002" w:type="dxa"/>
            <w:vAlign w:val="center"/>
          </w:tcPr>
          <w:p w14:paraId="41C72CCC">
            <w:pPr>
              <w:jc w:val="center"/>
              <w:rPr>
                <w:rFonts w:ascii="宋体" w:hAnsi="宋体" w:cs="宋体"/>
                <w:b/>
                <w:bCs/>
                <w:color w:val="auto"/>
                <w:szCs w:val="21"/>
                <w:highlight w:val="none"/>
              </w:rPr>
            </w:pPr>
            <w:r>
              <w:rPr>
                <w:rFonts w:hint="eastAsia" w:ascii="宋体" w:hAnsi="宋体" w:cs="宋体"/>
                <w:b/>
                <w:bCs/>
                <w:color w:val="auto"/>
                <w:szCs w:val="21"/>
                <w:highlight w:val="none"/>
              </w:rPr>
              <w:t>制造商</w:t>
            </w:r>
          </w:p>
        </w:tc>
        <w:tc>
          <w:tcPr>
            <w:tcW w:w="750" w:type="dxa"/>
            <w:vAlign w:val="center"/>
          </w:tcPr>
          <w:p w14:paraId="110E6C5F">
            <w:pPr>
              <w:jc w:val="center"/>
              <w:rPr>
                <w:rFonts w:ascii="宋体" w:hAnsi="宋体" w:cs="宋体"/>
                <w:b/>
                <w:bCs/>
                <w:color w:val="auto"/>
                <w:szCs w:val="21"/>
                <w:highlight w:val="none"/>
              </w:rPr>
            </w:pPr>
            <w:r>
              <w:rPr>
                <w:rFonts w:hint="eastAsia" w:ascii="宋体" w:hAnsi="宋体" w:cs="宋体"/>
                <w:b/>
                <w:bCs/>
                <w:color w:val="auto"/>
                <w:szCs w:val="21"/>
                <w:highlight w:val="none"/>
              </w:rPr>
              <w:t>规格型号</w:t>
            </w:r>
          </w:p>
        </w:tc>
        <w:tc>
          <w:tcPr>
            <w:tcW w:w="912" w:type="dxa"/>
            <w:vAlign w:val="center"/>
          </w:tcPr>
          <w:p w14:paraId="71603F51">
            <w:pPr>
              <w:jc w:val="center"/>
              <w:rPr>
                <w:rFonts w:ascii="宋体" w:hAnsi="宋体" w:cs="宋体"/>
                <w:b/>
                <w:bCs/>
                <w:color w:val="auto"/>
                <w:szCs w:val="21"/>
                <w:highlight w:val="none"/>
              </w:rPr>
            </w:pPr>
            <w:r>
              <w:rPr>
                <w:rFonts w:hint="eastAsia" w:ascii="宋体" w:hAnsi="宋体" w:cs="宋体"/>
                <w:b/>
                <w:bCs/>
                <w:color w:val="auto"/>
                <w:szCs w:val="21"/>
                <w:highlight w:val="none"/>
              </w:rPr>
              <w:t>质保期</w:t>
            </w:r>
          </w:p>
        </w:tc>
        <w:tc>
          <w:tcPr>
            <w:tcW w:w="650" w:type="dxa"/>
            <w:vAlign w:val="center"/>
          </w:tcPr>
          <w:p w14:paraId="1469F938">
            <w:pPr>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725" w:type="dxa"/>
            <w:vAlign w:val="center"/>
          </w:tcPr>
          <w:p w14:paraId="408A974F">
            <w:pPr>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690" w:type="dxa"/>
            <w:vAlign w:val="center"/>
          </w:tcPr>
          <w:p w14:paraId="1FDB93DC">
            <w:pPr>
              <w:jc w:val="center"/>
              <w:rPr>
                <w:rFonts w:ascii="宋体" w:hAnsi="宋体" w:cs="宋体"/>
                <w:b/>
                <w:bCs/>
                <w:color w:val="auto"/>
                <w:szCs w:val="21"/>
                <w:highlight w:val="none"/>
              </w:rPr>
            </w:pPr>
            <w:r>
              <w:rPr>
                <w:rFonts w:hint="eastAsia" w:ascii="宋体" w:hAnsi="宋体" w:cs="宋体"/>
                <w:b/>
                <w:bCs/>
                <w:color w:val="auto"/>
                <w:szCs w:val="21"/>
                <w:highlight w:val="none"/>
              </w:rPr>
              <w:t>单价</w:t>
            </w:r>
          </w:p>
        </w:tc>
        <w:tc>
          <w:tcPr>
            <w:tcW w:w="864" w:type="dxa"/>
            <w:vAlign w:val="center"/>
          </w:tcPr>
          <w:p w14:paraId="45C41073">
            <w:pPr>
              <w:jc w:val="center"/>
              <w:rPr>
                <w:rFonts w:ascii="宋体" w:hAnsi="宋体" w:cs="宋体"/>
                <w:b/>
                <w:bCs/>
                <w:color w:val="auto"/>
                <w:szCs w:val="21"/>
                <w:highlight w:val="none"/>
              </w:rPr>
            </w:pPr>
            <w:r>
              <w:rPr>
                <w:rFonts w:hint="eastAsia" w:ascii="宋体" w:hAnsi="宋体" w:cs="宋体"/>
                <w:b/>
                <w:bCs/>
                <w:color w:val="auto"/>
                <w:szCs w:val="21"/>
                <w:highlight w:val="none"/>
              </w:rPr>
              <w:t>合计</w:t>
            </w:r>
          </w:p>
        </w:tc>
      </w:tr>
      <w:tr w14:paraId="442A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31" w:type="dxa"/>
          </w:tcPr>
          <w:p w14:paraId="634F8BCD">
            <w:pPr>
              <w:jc w:val="center"/>
              <w:rPr>
                <w:rFonts w:ascii="宋体" w:hAnsi="宋体" w:cs="宋体"/>
                <w:color w:val="auto"/>
                <w:szCs w:val="21"/>
                <w:highlight w:val="none"/>
              </w:rPr>
            </w:pPr>
          </w:p>
        </w:tc>
        <w:tc>
          <w:tcPr>
            <w:tcW w:w="1168" w:type="dxa"/>
          </w:tcPr>
          <w:p w14:paraId="7DB32251">
            <w:pPr>
              <w:jc w:val="center"/>
              <w:rPr>
                <w:rFonts w:ascii="宋体" w:hAnsi="宋体" w:cs="宋体"/>
                <w:color w:val="auto"/>
                <w:szCs w:val="21"/>
                <w:highlight w:val="none"/>
              </w:rPr>
            </w:pPr>
          </w:p>
        </w:tc>
        <w:tc>
          <w:tcPr>
            <w:tcW w:w="1038" w:type="dxa"/>
          </w:tcPr>
          <w:p w14:paraId="5C387E60">
            <w:pPr>
              <w:jc w:val="center"/>
              <w:rPr>
                <w:rFonts w:ascii="宋体" w:hAnsi="宋体" w:cs="宋体"/>
                <w:color w:val="auto"/>
                <w:szCs w:val="21"/>
                <w:highlight w:val="none"/>
              </w:rPr>
            </w:pPr>
          </w:p>
        </w:tc>
        <w:tc>
          <w:tcPr>
            <w:tcW w:w="909" w:type="dxa"/>
          </w:tcPr>
          <w:p w14:paraId="7E5519F0">
            <w:pPr>
              <w:jc w:val="center"/>
              <w:rPr>
                <w:rFonts w:ascii="宋体" w:hAnsi="宋体" w:cs="宋体"/>
                <w:color w:val="auto"/>
                <w:szCs w:val="21"/>
                <w:highlight w:val="none"/>
              </w:rPr>
            </w:pPr>
          </w:p>
        </w:tc>
        <w:tc>
          <w:tcPr>
            <w:tcW w:w="1002" w:type="dxa"/>
          </w:tcPr>
          <w:p w14:paraId="21D11010">
            <w:pPr>
              <w:jc w:val="center"/>
              <w:rPr>
                <w:rFonts w:ascii="宋体" w:hAnsi="宋体" w:cs="宋体"/>
                <w:color w:val="auto"/>
                <w:szCs w:val="21"/>
                <w:highlight w:val="none"/>
              </w:rPr>
            </w:pPr>
          </w:p>
        </w:tc>
        <w:tc>
          <w:tcPr>
            <w:tcW w:w="750" w:type="dxa"/>
          </w:tcPr>
          <w:p w14:paraId="6C6203A9">
            <w:pPr>
              <w:jc w:val="center"/>
              <w:rPr>
                <w:rFonts w:ascii="宋体" w:hAnsi="宋体" w:cs="宋体"/>
                <w:color w:val="auto"/>
                <w:szCs w:val="21"/>
                <w:highlight w:val="none"/>
              </w:rPr>
            </w:pPr>
          </w:p>
        </w:tc>
        <w:tc>
          <w:tcPr>
            <w:tcW w:w="912" w:type="dxa"/>
          </w:tcPr>
          <w:p w14:paraId="07336009">
            <w:pPr>
              <w:jc w:val="center"/>
              <w:rPr>
                <w:rFonts w:ascii="宋体" w:hAnsi="宋体" w:cs="宋体"/>
                <w:color w:val="auto"/>
                <w:szCs w:val="21"/>
                <w:highlight w:val="none"/>
              </w:rPr>
            </w:pPr>
          </w:p>
        </w:tc>
        <w:tc>
          <w:tcPr>
            <w:tcW w:w="650" w:type="dxa"/>
          </w:tcPr>
          <w:p w14:paraId="58F7F3A3">
            <w:pPr>
              <w:jc w:val="center"/>
              <w:rPr>
                <w:rFonts w:ascii="宋体" w:hAnsi="宋体" w:cs="宋体"/>
                <w:color w:val="auto"/>
                <w:szCs w:val="21"/>
                <w:highlight w:val="none"/>
              </w:rPr>
            </w:pPr>
          </w:p>
        </w:tc>
        <w:tc>
          <w:tcPr>
            <w:tcW w:w="725" w:type="dxa"/>
          </w:tcPr>
          <w:p w14:paraId="3B4AA129">
            <w:pPr>
              <w:jc w:val="center"/>
              <w:rPr>
                <w:rFonts w:ascii="宋体" w:hAnsi="宋体" w:cs="宋体"/>
                <w:color w:val="auto"/>
                <w:szCs w:val="21"/>
                <w:highlight w:val="none"/>
              </w:rPr>
            </w:pPr>
          </w:p>
        </w:tc>
        <w:tc>
          <w:tcPr>
            <w:tcW w:w="690" w:type="dxa"/>
          </w:tcPr>
          <w:p w14:paraId="39157FC8">
            <w:pPr>
              <w:jc w:val="center"/>
              <w:rPr>
                <w:rFonts w:ascii="宋体" w:hAnsi="宋体" w:cs="宋体"/>
                <w:color w:val="auto"/>
                <w:szCs w:val="21"/>
                <w:highlight w:val="none"/>
              </w:rPr>
            </w:pPr>
          </w:p>
        </w:tc>
        <w:tc>
          <w:tcPr>
            <w:tcW w:w="864" w:type="dxa"/>
          </w:tcPr>
          <w:p w14:paraId="08D3E5FD">
            <w:pPr>
              <w:jc w:val="center"/>
              <w:rPr>
                <w:rFonts w:ascii="宋体" w:hAnsi="宋体" w:cs="宋体"/>
                <w:color w:val="auto"/>
                <w:szCs w:val="21"/>
                <w:highlight w:val="none"/>
              </w:rPr>
            </w:pPr>
          </w:p>
        </w:tc>
      </w:tr>
      <w:tr w14:paraId="5C0E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31" w:type="dxa"/>
          </w:tcPr>
          <w:p w14:paraId="3A507139">
            <w:pPr>
              <w:jc w:val="center"/>
              <w:rPr>
                <w:rFonts w:ascii="宋体" w:hAnsi="宋体" w:cs="宋体"/>
                <w:color w:val="auto"/>
                <w:szCs w:val="21"/>
                <w:highlight w:val="none"/>
              </w:rPr>
            </w:pPr>
          </w:p>
        </w:tc>
        <w:tc>
          <w:tcPr>
            <w:tcW w:w="1168" w:type="dxa"/>
          </w:tcPr>
          <w:p w14:paraId="3B14651C">
            <w:pPr>
              <w:jc w:val="center"/>
              <w:rPr>
                <w:rFonts w:ascii="宋体" w:hAnsi="宋体" w:cs="宋体"/>
                <w:color w:val="auto"/>
                <w:szCs w:val="21"/>
                <w:highlight w:val="none"/>
              </w:rPr>
            </w:pPr>
          </w:p>
        </w:tc>
        <w:tc>
          <w:tcPr>
            <w:tcW w:w="1038" w:type="dxa"/>
          </w:tcPr>
          <w:p w14:paraId="1877AF01">
            <w:pPr>
              <w:jc w:val="center"/>
              <w:rPr>
                <w:rFonts w:ascii="宋体" w:hAnsi="宋体" w:cs="宋体"/>
                <w:color w:val="auto"/>
                <w:szCs w:val="21"/>
                <w:highlight w:val="none"/>
              </w:rPr>
            </w:pPr>
          </w:p>
        </w:tc>
        <w:tc>
          <w:tcPr>
            <w:tcW w:w="909" w:type="dxa"/>
          </w:tcPr>
          <w:p w14:paraId="428165F2">
            <w:pPr>
              <w:jc w:val="center"/>
              <w:rPr>
                <w:rFonts w:ascii="宋体" w:hAnsi="宋体" w:cs="宋体"/>
                <w:color w:val="auto"/>
                <w:szCs w:val="21"/>
                <w:highlight w:val="none"/>
              </w:rPr>
            </w:pPr>
          </w:p>
        </w:tc>
        <w:tc>
          <w:tcPr>
            <w:tcW w:w="1002" w:type="dxa"/>
          </w:tcPr>
          <w:p w14:paraId="7930D1AC">
            <w:pPr>
              <w:jc w:val="center"/>
              <w:rPr>
                <w:rFonts w:ascii="宋体" w:hAnsi="宋体" w:cs="宋体"/>
                <w:color w:val="auto"/>
                <w:szCs w:val="21"/>
                <w:highlight w:val="none"/>
              </w:rPr>
            </w:pPr>
          </w:p>
        </w:tc>
        <w:tc>
          <w:tcPr>
            <w:tcW w:w="750" w:type="dxa"/>
          </w:tcPr>
          <w:p w14:paraId="60E8AEBD">
            <w:pPr>
              <w:jc w:val="center"/>
              <w:rPr>
                <w:rFonts w:ascii="宋体" w:hAnsi="宋体" w:cs="宋体"/>
                <w:color w:val="auto"/>
                <w:szCs w:val="21"/>
                <w:highlight w:val="none"/>
              </w:rPr>
            </w:pPr>
          </w:p>
        </w:tc>
        <w:tc>
          <w:tcPr>
            <w:tcW w:w="912" w:type="dxa"/>
          </w:tcPr>
          <w:p w14:paraId="59848138">
            <w:pPr>
              <w:jc w:val="center"/>
              <w:rPr>
                <w:rFonts w:ascii="宋体" w:hAnsi="宋体" w:cs="宋体"/>
                <w:color w:val="auto"/>
                <w:szCs w:val="21"/>
                <w:highlight w:val="none"/>
              </w:rPr>
            </w:pPr>
          </w:p>
        </w:tc>
        <w:tc>
          <w:tcPr>
            <w:tcW w:w="650" w:type="dxa"/>
          </w:tcPr>
          <w:p w14:paraId="4B5E2526">
            <w:pPr>
              <w:jc w:val="center"/>
              <w:rPr>
                <w:rFonts w:ascii="宋体" w:hAnsi="宋体" w:cs="宋体"/>
                <w:color w:val="auto"/>
                <w:szCs w:val="21"/>
                <w:highlight w:val="none"/>
              </w:rPr>
            </w:pPr>
          </w:p>
        </w:tc>
        <w:tc>
          <w:tcPr>
            <w:tcW w:w="725" w:type="dxa"/>
          </w:tcPr>
          <w:p w14:paraId="75C3FA8B">
            <w:pPr>
              <w:jc w:val="center"/>
              <w:rPr>
                <w:rFonts w:ascii="宋体" w:hAnsi="宋体" w:cs="宋体"/>
                <w:color w:val="auto"/>
                <w:szCs w:val="21"/>
                <w:highlight w:val="none"/>
              </w:rPr>
            </w:pPr>
          </w:p>
        </w:tc>
        <w:tc>
          <w:tcPr>
            <w:tcW w:w="690" w:type="dxa"/>
          </w:tcPr>
          <w:p w14:paraId="7A6F9B3B">
            <w:pPr>
              <w:jc w:val="center"/>
              <w:rPr>
                <w:rFonts w:ascii="宋体" w:hAnsi="宋体" w:cs="宋体"/>
                <w:color w:val="auto"/>
                <w:szCs w:val="21"/>
                <w:highlight w:val="none"/>
              </w:rPr>
            </w:pPr>
          </w:p>
        </w:tc>
        <w:tc>
          <w:tcPr>
            <w:tcW w:w="864" w:type="dxa"/>
          </w:tcPr>
          <w:p w14:paraId="26A326A3">
            <w:pPr>
              <w:jc w:val="center"/>
              <w:rPr>
                <w:rFonts w:ascii="宋体" w:hAnsi="宋体" w:cs="宋体"/>
                <w:color w:val="auto"/>
                <w:szCs w:val="21"/>
                <w:highlight w:val="none"/>
              </w:rPr>
            </w:pPr>
          </w:p>
        </w:tc>
      </w:tr>
      <w:tr w14:paraId="0D4E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31" w:type="dxa"/>
          </w:tcPr>
          <w:p w14:paraId="221419BA">
            <w:pPr>
              <w:jc w:val="center"/>
              <w:rPr>
                <w:rFonts w:ascii="宋体" w:hAnsi="宋体" w:cs="宋体"/>
                <w:color w:val="auto"/>
                <w:szCs w:val="21"/>
                <w:highlight w:val="none"/>
              </w:rPr>
            </w:pPr>
          </w:p>
        </w:tc>
        <w:tc>
          <w:tcPr>
            <w:tcW w:w="1168" w:type="dxa"/>
          </w:tcPr>
          <w:p w14:paraId="782BBEAC">
            <w:pPr>
              <w:jc w:val="center"/>
              <w:rPr>
                <w:rFonts w:ascii="宋体" w:hAnsi="宋体" w:cs="宋体"/>
                <w:color w:val="auto"/>
                <w:szCs w:val="21"/>
                <w:highlight w:val="none"/>
              </w:rPr>
            </w:pPr>
          </w:p>
        </w:tc>
        <w:tc>
          <w:tcPr>
            <w:tcW w:w="1038" w:type="dxa"/>
          </w:tcPr>
          <w:p w14:paraId="413EBEFA">
            <w:pPr>
              <w:jc w:val="center"/>
              <w:rPr>
                <w:rFonts w:ascii="宋体" w:hAnsi="宋体" w:cs="宋体"/>
                <w:color w:val="auto"/>
                <w:szCs w:val="21"/>
                <w:highlight w:val="none"/>
              </w:rPr>
            </w:pPr>
          </w:p>
        </w:tc>
        <w:tc>
          <w:tcPr>
            <w:tcW w:w="909" w:type="dxa"/>
          </w:tcPr>
          <w:p w14:paraId="1F314547">
            <w:pPr>
              <w:jc w:val="center"/>
              <w:rPr>
                <w:rFonts w:ascii="宋体" w:hAnsi="宋体" w:cs="宋体"/>
                <w:color w:val="auto"/>
                <w:szCs w:val="21"/>
                <w:highlight w:val="none"/>
              </w:rPr>
            </w:pPr>
          </w:p>
        </w:tc>
        <w:tc>
          <w:tcPr>
            <w:tcW w:w="1002" w:type="dxa"/>
          </w:tcPr>
          <w:p w14:paraId="403B8112">
            <w:pPr>
              <w:jc w:val="center"/>
              <w:rPr>
                <w:rFonts w:ascii="宋体" w:hAnsi="宋体" w:cs="宋体"/>
                <w:color w:val="auto"/>
                <w:szCs w:val="21"/>
                <w:highlight w:val="none"/>
              </w:rPr>
            </w:pPr>
          </w:p>
        </w:tc>
        <w:tc>
          <w:tcPr>
            <w:tcW w:w="750" w:type="dxa"/>
          </w:tcPr>
          <w:p w14:paraId="45D365EE">
            <w:pPr>
              <w:jc w:val="center"/>
              <w:rPr>
                <w:rFonts w:ascii="宋体" w:hAnsi="宋体" w:cs="宋体"/>
                <w:color w:val="auto"/>
                <w:szCs w:val="21"/>
                <w:highlight w:val="none"/>
              </w:rPr>
            </w:pPr>
          </w:p>
        </w:tc>
        <w:tc>
          <w:tcPr>
            <w:tcW w:w="912" w:type="dxa"/>
          </w:tcPr>
          <w:p w14:paraId="59FA45DC">
            <w:pPr>
              <w:jc w:val="center"/>
              <w:rPr>
                <w:rFonts w:ascii="宋体" w:hAnsi="宋体" w:cs="宋体"/>
                <w:color w:val="auto"/>
                <w:szCs w:val="21"/>
                <w:highlight w:val="none"/>
              </w:rPr>
            </w:pPr>
          </w:p>
        </w:tc>
        <w:tc>
          <w:tcPr>
            <w:tcW w:w="650" w:type="dxa"/>
          </w:tcPr>
          <w:p w14:paraId="7156E010">
            <w:pPr>
              <w:jc w:val="center"/>
              <w:rPr>
                <w:rFonts w:ascii="宋体" w:hAnsi="宋体" w:cs="宋体"/>
                <w:color w:val="auto"/>
                <w:szCs w:val="21"/>
                <w:highlight w:val="none"/>
              </w:rPr>
            </w:pPr>
          </w:p>
        </w:tc>
        <w:tc>
          <w:tcPr>
            <w:tcW w:w="725" w:type="dxa"/>
          </w:tcPr>
          <w:p w14:paraId="2CDEA92B">
            <w:pPr>
              <w:jc w:val="center"/>
              <w:rPr>
                <w:rFonts w:ascii="宋体" w:hAnsi="宋体" w:cs="宋体"/>
                <w:color w:val="auto"/>
                <w:szCs w:val="21"/>
                <w:highlight w:val="none"/>
              </w:rPr>
            </w:pPr>
          </w:p>
        </w:tc>
        <w:tc>
          <w:tcPr>
            <w:tcW w:w="690" w:type="dxa"/>
          </w:tcPr>
          <w:p w14:paraId="750CAB10">
            <w:pPr>
              <w:jc w:val="center"/>
              <w:rPr>
                <w:rFonts w:ascii="宋体" w:hAnsi="宋体" w:cs="宋体"/>
                <w:color w:val="auto"/>
                <w:szCs w:val="21"/>
                <w:highlight w:val="none"/>
              </w:rPr>
            </w:pPr>
          </w:p>
        </w:tc>
        <w:tc>
          <w:tcPr>
            <w:tcW w:w="864" w:type="dxa"/>
          </w:tcPr>
          <w:p w14:paraId="020B79DB">
            <w:pPr>
              <w:jc w:val="center"/>
              <w:rPr>
                <w:rFonts w:ascii="宋体" w:hAnsi="宋体" w:cs="宋体"/>
                <w:color w:val="auto"/>
                <w:szCs w:val="21"/>
                <w:highlight w:val="none"/>
              </w:rPr>
            </w:pPr>
          </w:p>
        </w:tc>
      </w:tr>
      <w:tr w14:paraId="5AE2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31" w:type="dxa"/>
          </w:tcPr>
          <w:p w14:paraId="151A0F0D">
            <w:pPr>
              <w:jc w:val="center"/>
              <w:rPr>
                <w:rFonts w:ascii="宋体" w:hAnsi="宋体" w:cs="宋体"/>
                <w:color w:val="auto"/>
                <w:szCs w:val="21"/>
                <w:highlight w:val="none"/>
              </w:rPr>
            </w:pPr>
          </w:p>
          <w:p w14:paraId="23C0313E">
            <w:pPr>
              <w:jc w:val="center"/>
              <w:rPr>
                <w:rFonts w:ascii="宋体" w:hAnsi="宋体" w:cs="宋体"/>
                <w:color w:val="auto"/>
                <w:szCs w:val="21"/>
                <w:highlight w:val="none"/>
              </w:rPr>
            </w:pPr>
          </w:p>
        </w:tc>
        <w:tc>
          <w:tcPr>
            <w:tcW w:w="1168" w:type="dxa"/>
          </w:tcPr>
          <w:p w14:paraId="1F2DE5B7">
            <w:pPr>
              <w:jc w:val="center"/>
              <w:rPr>
                <w:rFonts w:ascii="宋体" w:hAnsi="宋体" w:cs="宋体"/>
                <w:color w:val="auto"/>
                <w:szCs w:val="21"/>
                <w:highlight w:val="none"/>
              </w:rPr>
            </w:pPr>
          </w:p>
        </w:tc>
        <w:tc>
          <w:tcPr>
            <w:tcW w:w="1038" w:type="dxa"/>
          </w:tcPr>
          <w:p w14:paraId="3ED25291">
            <w:pPr>
              <w:jc w:val="center"/>
              <w:rPr>
                <w:rFonts w:ascii="宋体" w:hAnsi="宋体" w:cs="宋体"/>
                <w:color w:val="auto"/>
                <w:szCs w:val="21"/>
                <w:highlight w:val="none"/>
              </w:rPr>
            </w:pPr>
          </w:p>
        </w:tc>
        <w:tc>
          <w:tcPr>
            <w:tcW w:w="909" w:type="dxa"/>
          </w:tcPr>
          <w:p w14:paraId="25B665E6">
            <w:pPr>
              <w:jc w:val="center"/>
              <w:rPr>
                <w:rFonts w:ascii="宋体" w:hAnsi="宋体" w:cs="宋体"/>
                <w:color w:val="auto"/>
                <w:szCs w:val="21"/>
                <w:highlight w:val="none"/>
              </w:rPr>
            </w:pPr>
          </w:p>
        </w:tc>
        <w:tc>
          <w:tcPr>
            <w:tcW w:w="1002" w:type="dxa"/>
          </w:tcPr>
          <w:p w14:paraId="616FE2D9">
            <w:pPr>
              <w:jc w:val="center"/>
              <w:rPr>
                <w:rFonts w:ascii="宋体" w:hAnsi="宋体" w:cs="宋体"/>
                <w:color w:val="auto"/>
                <w:szCs w:val="21"/>
                <w:highlight w:val="none"/>
              </w:rPr>
            </w:pPr>
          </w:p>
        </w:tc>
        <w:tc>
          <w:tcPr>
            <w:tcW w:w="750" w:type="dxa"/>
          </w:tcPr>
          <w:p w14:paraId="1C5E84D0">
            <w:pPr>
              <w:jc w:val="center"/>
              <w:rPr>
                <w:rFonts w:ascii="宋体" w:hAnsi="宋体" w:cs="宋体"/>
                <w:color w:val="auto"/>
                <w:szCs w:val="21"/>
                <w:highlight w:val="none"/>
              </w:rPr>
            </w:pPr>
          </w:p>
        </w:tc>
        <w:tc>
          <w:tcPr>
            <w:tcW w:w="912" w:type="dxa"/>
          </w:tcPr>
          <w:p w14:paraId="7119DB34">
            <w:pPr>
              <w:jc w:val="center"/>
              <w:rPr>
                <w:rFonts w:ascii="宋体" w:hAnsi="宋体" w:cs="宋体"/>
                <w:color w:val="auto"/>
                <w:szCs w:val="21"/>
                <w:highlight w:val="none"/>
              </w:rPr>
            </w:pPr>
          </w:p>
        </w:tc>
        <w:tc>
          <w:tcPr>
            <w:tcW w:w="650" w:type="dxa"/>
          </w:tcPr>
          <w:p w14:paraId="07FB4A36">
            <w:pPr>
              <w:jc w:val="center"/>
              <w:rPr>
                <w:rFonts w:ascii="宋体" w:hAnsi="宋体" w:cs="宋体"/>
                <w:color w:val="auto"/>
                <w:szCs w:val="21"/>
                <w:highlight w:val="none"/>
              </w:rPr>
            </w:pPr>
          </w:p>
        </w:tc>
        <w:tc>
          <w:tcPr>
            <w:tcW w:w="725" w:type="dxa"/>
          </w:tcPr>
          <w:p w14:paraId="4E5AB7E2">
            <w:pPr>
              <w:jc w:val="center"/>
              <w:rPr>
                <w:rFonts w:ascii="宋体" w:hAnsi="宋体" w:cs="宋体"/>
                <w:color w:val="auto"/>
                <w:szCs w:val="21"/>
                <w:highlight w:val="none"/>
              </w:rPr>
            </w:pPr>
          </w:p>
        </w:tc>
        <w:tc>
          <w:tcPr>
            <w:tcW w:w="690" w:type="dxa"/>
          </w:tcPr>
          <w:p w14:paraId="094D30C5">
            <w:pPr>
              <w:jc w:val="center"/>
              <w:rPr>
                <w:rFonts w:ascii="宋体" w:hAnsi="宋体" w:cs="宋体"/>
                <w:color w:val="auto"/>
                <w:szCs w:val="21"/>
                <w:highlight w:val="none"/>
              </w:rPr>
            </w:pPr>
          </w:p>
        </w:tc>
        <w:tc>
          <w:tcPr>
            <w:tcW w:w="864" w:type="dxa"/>
          </w:tcPr>
          <w:p w14:paraId="7154BCF8">
            <w:pPr>
              <w:jc w:val="center"/>
              <w:rPr>
                <w:rFonts w:ascii="宋体" w:hAnsi="宋体" w:cs="宋体"/>
                <w:color w:val="auto"/>
                <w:szCs w:val="21"/>
                <w:highlight w:val="none"/>
              </w:rPr>
            </w:pPr>
          </w:p>
        </w:tc>
      </w:tr>
      <w:tr w14:paraId="055E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31" w:type="dxa"/>
          </w:tcPr>
          <w:p w14:paraId="3D796C6D">
            <w:pPr>
              <w:jc w:val="center"/>
              <w:rPr>
                <w:rFonts w:ascii="宋体" w:hAnsi="宋体" w:cs="宋体"/>
                <w:color w:val="auto"/>
                <w:szCs w:val="21"/>
                <w:highlight w:val="none"/>
              </w:rPr>
            </w:pPr>
          </w:p>
        </w:tc>
        <w:tc>
          <w:tcPr>
            <w:tcW w:w="1168" w:type="dxa"/>
          </w:tcPr>
          <w:p w14:paraId="764176BF">
            <w:pPr>
              <w:jc w:val="center"/>
              <w:rPr>
                <w:rFonts w:ascii="宋体" w:hAnsi="宋体" w:cs="宋体"/>
                <w:color w:val="auto"/>
                <w:szCs w:val="21"/>
                <w:highlight w:val="none"/>
              </w:rPr>
            </w:pPr>
          </w:p>
        </w:tc>
        <w:tc>
          <w:tcPr>
            <w:tcW w:w="1038" w:type="dxa"/>
          </w:tcPr>
          <w:p w14:paraId="487585D5">
            <w:pPr>
              <w:jc w:val="center"/>
              <w:rPr>
                <w:rFonts w:ascii="宋体" w:hAnsi="宋体" w:cs="宋体"/>
                <w:color w:val="auto"/>
                <w:szCs w:val="21"/>
                <w:highlight w:val="none"/>
              </w:rPr>
            </w:pPr>
          </w:p>
        </w:tc>
        <w:tc>
          <w:tcPr>
            <w:tcW w:w="909" w:type="dxa"/>
          </w:tcPr>
          <w:p w14:paraId="5F9C0D60">
            <w:pPr>
              <w:jc w:val="center"/>
              <w:rPr>
                <w:rFonts w:ascii="宋体" w:hAnsi="宋体" w:cs="宋体"/>
                <w:color w:val="auto"/>
                <w:szCs w:val="21"/>
                <w:highlight w:val="none"/>
              </w:rPr>
            </w:pPr>
          </w:p>
        </w:tc>
        <w:tc>
          <w:tcPr>
            <w:tcW w:w="1002" w:type="dxa"/>
          </w:tcPr>
          <w:p w14:paraId="00BA0348">
            <w:pPr>
              <w:jc w:val="center"/>
              <w:rPr>
                <w:rFonts w:ascii="宋体" w:hAnsi="宋体" w:cs="宋体"/>
                <w:color w:val="auto"/>
                <w:szCs w:val="21"/>
                <w:highlight w:val="none"/>
              </w:rPr>
            </w:pPr>
          </w:p>
        </w:tc>
        <w:tc>
          <w:tcPr>
            <w:tcW w:w="750" w:type="dxa"/>
          </w:tcPr>
          <w:p w14:paraId="7B1C87BE">
            <w:pPr>
              <w:jc w:val="center"/>
              <w:rPr>
                <w:rFonts w:ascii="宋体" w:hAnsi="宋体" w:cs="宋体"/>
                <w:color w:val="auto"/>
                <w:szCs w:val="21"/>
                <w:highlight w:val="none"/>
              </w:rPr>
            </w:pPr>
          </w:p>
        </w:tc>
        <w:tc>
          <w:tcPr>
            <w:tcW w:w="912" w:type="dxa"/>
          </w:tcPr>
          <w:p w14:paraId="109072C6">
            <w:pPr>
              <w:jc w:val="center"/>
              <w:rPr>
                <w:rFonts w:ascii="宋体" w:hAnsi="宋体" w:cs="宋体"/>
                <w:color w:val="auto"/>
                <w:szCs w:val="21"/>
                <w:highlight w:val="none"/>
              </w:rPr>
            </w:pPr>
          </w:p>
        </w:tc>
        <w:tc>
          <w:tcPr>
            <w:tcW w:w="650" w:type="dxa"/>
          </w:tcPr>
          <w:p w14:paraId="108FC06B">
            <w:pPr>
              <w:jc w:val="center"/>
              <w:rPr>
                <w:rFonts w:ascii="宋体" w:hAnsi="宋体" w:cs="宋体"/>
                <w:color w:val="auto"/>
                <w:szCs w:val="21"/>
                <w:highlight w:val="none"/>
              </w:rPr>
            </w:pPr>
          </w:p>
        </w:tc>
        <w:tc>
          <w:tcPr>
            <w:tcW w:w="725" w:type="dxa"/>
          </w:tcPr>
          <w:p w14:paraId="75D57BF8">
            <w:pPr>
              <w:jc w:val="center"/>
              <w:rPr>
                <w:rFonts w:ascii="宋体" w:hAnsi="宋体" w:cs="宋体"/>
                <w:color w:val="auto"/>
                <w:szCs w:val="21"/>
                <w:highlight w:val="none"/>
              </w:rPr>
            </w:pPr>
          </w:p>
        </w:tc>
        <w:tc>
          <w:tcPr>
            <w:tcW w:w="690" w:type="dxa"/>
          </w:tcPr>
          <w:p w14:paraId="1A01D4A7">
            <w:pPr>
              <w:jc w:val="center"/>
              <w:rPr>
                <w:rFonts w:ascii="宋体" w:hAnsi="宋体" w:cs="宋体"/>
                <w:color w:val="auto"/>
                <w:szCs w:val="21"/>
                <w:highlight w:val="none"/>
              </w:rPr>
            </w:pPr>
          </w:p>
        </w:tc>
        <w:tc>
          <w:tcPr>
            <w:tcW w:w="864" w:type="dxa"/>
          </w:tcPr>
          <w:p w14:paraId="5347D260">
            <w:pPr>
              <w:jc w:val="center"/>
              <w:rPr>
                <w:rFonts w:ascii="宋体" w:hAnsi="宋体" w:cs="宋体"/>
                <w:color w:val="auto"/>
                <w:szCs w:val="21"/>
                <w:highlight w:val="none"/>
              </w:rPr>
            </w:pPr>
          </w:p>
        </w:tc>
      </w:tr>
      <w:tr w14:paraId="114E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31" w:type="dxa"/>
          </w:tcPr>
          <w:p w14:paraId="1568D768">
            <w:pPr>
              <w:jc w:val="center"/>
              <w:rPr>
                <w:rFonts w:ascii="宋体" w:hAnsi="宋体" w:cs="宋体"/>
                <w:color w:val="auto"/>
                <w:szCs w:val="21"/>
                <w:highlight w:val="none"/>
              </w:rPr>
            </w:pPr>
          </w:p>
          <w:p w14:paraId="721C7111">
            <w:pPr>
              <w:jc w:val="center"/>
              <w:rPr>
                <w:rFonts w:ascii="宋体" w:hAnsi="宋体" w:cs="宋体"/>
                <w:color w:val="auto"/>
                <w:szCs w:val="21"/>
                <w:highlight w:val="none"/>
              </w:rPr>
            </w:pPr>
          </w:p>
        </w:tc>
        <w:tc>
          <w:tcPr>
            <w:tcW w:w="1168" w:type="dxa"/>
          </w:tcPr>
          <w:p w14:paraId="482A9389">
            <w:pPr>
              <w:jc w:val="center"/>
              <w:rPr>
                <w:rFonts w:ascii="宋体" w:hAnsi="宋体" w:cs="宋体"/>
                <w:color w:val="auto"/>
                <w:szCs w:val="21"/>
                <w:highlight w:val="none"/>
              </w:rPr>
            </w:pPr>
          </w:p>
        </w:tc>
        <w:tc>
          <w:tcPr>
            <w:tcW w:w="1038" w:type="dxa"/>
          </w:tcPr>
          <w:p w14:paraId="246ABA13">
            <w:pPr>
              <w:jc w:val="center"/>
              <w:rPr>
                <w:rFonts w:ascii="宋体" w:hAnsi="宋体" w:cs="宋体"/>
                <w:color w:val="auto"/>
                <w:szCs w:val="21"/>
                <w:highlight w:val="none"/>
              </w:rPr>
            </w:pPr>
          </w:p>
        </w:tc>
        <w:tc>
          <w:tcPr>
            <w:tcW w:w="909" w:type="dxa"/>
          </w:tcPr>
          <w:p w14:paraId="2D71336F">
            <w:pPr>
              <w:jc w:val="center"/>
              <w:rPr>
                <w:rFonts w:ascii="宋体" w:hAnsi="宋体" w:cs="宋体"/>
                <w:color w:val="auto"/>
                <w:szCs w:val="21"/>
                <w:highlight w:val="none"/>
              </w:rPr>
            </w:pPr>
          </w:p>
        </w:tc>
        <w:tc>
          <w:tcPr>
            <w:tcW w:w="1002" w:type="dxa"/>
          </w:tcPr>
          <w:p w14:paraId="6ACEFC91">
            <w:pPr>
              <w:jc w:val="center"/>
              <w:rPr>
                <w:rFonts w:ascii="宋体" w:hAnsi="宋体" w:cs="宋体"/>
                <w:color w:val="auto"/>
                <w:szCs w:val="21"/>
                <w:highlight w:val="none"/>
              </w:rPr>
            </w:pPr>
          </w:p>
        </w:tc>
        <w:tc>
          <w:tcPr>
            <w:tcW w:w="750" w:type="dxa"/>
          </w:tcPr>
          <w:p w14:paraId="21BC3F50">
            <w:pPr>
              <w:jc w:val="center"/>
              <w:rPr>
                <w:rFonts w:ascii="宋体" w:hAnsi="宋体" w:cs="宋体"/>
                <w:color w:val="auto"/>
                <w:szCs w:val="21"/>
                <w:highlight w:val="none"/>
              </w:rPr>
            </w:pPr>
          </w:p>
        </w:tc>
        <w:tc>
          <w:tcPr>
            <w:tcW w:w="912" w:type="dxa"/>
          </w:tcPr>
          <w:p w14:paraId="4DD5A49F">
            <w:pPr>
              <w:jc w:val="center"/>
              <w:rPr>
                <w:rFonts w:ascii="宋体" w:hAnsi="宋体" w:cs="宋体"/>
                <w:color w:val="auto"/>
                <w:szCs w:val="21"/>
                <w:highlight w:val="none"/>
              </w:rPr>
            </w:pPr>
          </w:p>
        </w:tc>
        <w:tc>
          <w:tcPr>
            <w:tcW w:w="650" w:type="dxa"/>
          </w:tcPr>
          <w:p w14:paraId="18194952">
            <w:pPr>
              <w:jc w:val="center"/>
              <w:rPr>
                <w:rFonts w:ascii="宋体" w:hAnsi="宋体" w:cs="宋体"/>
                <w:color w:val="auto"/>
                <w:szCs w:val="21"/>
                <w:highlight w:val="none"/>
              </w:rPr>
            </w:pPr>
          </w:p>
        </w:tc>
        <w:tc>
          <w:tcPr>
            <w:tcW w:w="725" w:type="dxa"/>
          </w:tcPr>
          <w:p w14:paraId="1D1E954D">
            <w:pPr>
              <w:jc w:val="center"/>
              <w:rPr>
                <w:rFonts w:ascii="宋体" w:hAnsi="宋体" w:cs="宋体"/>
                <w:color w:val="auto"/>
                <w:szCs w:val="21"/>
                <w:highlight w:val="none"/>
              </w:rPr>
            </w:pPr>
          </w:p>
        </w:tc>
        <w:tc>
          <w:tcPr>
            <w:tcW w:w="690" w:type="dxa"/>
          </w:tcPr>
          <w:p w14:paraId="39525B87">
            <w:pPr>
              <w:jc w:val="center"/>
              <w:rPr>
                <w:rFonts w:ascii="宋体" w:hAnsi="宋体" w:cs="宋体"/>
                <w:color w:val="auto"/>
                <w:szCs w:val="21"/>
                <w:highlight w:val="none"/>
              </w:rPr>
            </w:pPr>
          </w:p>
        </w:tc>
        <w:tc>
          <w:tcPr>
            <w:tcW w:w="864" w:type="dxa"/>
          </w:tcPr>
          <w:p w14:paraId="278E187F">
            <w:pPr>
              <w:jc w:val="center"/>
              <w:rPr>
                <w:rFonts w:ascii="宋体" w:hAnsi="宋体" w:cs="宋体"/>
                <w:color w:val="auto"/>
                <w:szCs w:val="21"/>
                <w:highlight w:val="none"/>
              </w:rPr>
            </w:pPr>
          </w:p>
        </w:tc>
      </w:tr>
      <w:tr w14:paraId="5E51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31" w:type="dxa"/>
          </w:tcPr>
          <w:p w14:paraId="0ABBB3F1">
            <w:pPr>
              <w:jc w:val="center"/>
              <w:rPr>
                <w:rFonts w:ascii="宋体" w:hAnsi="宋体" w:cs="宋体"/>
                <w:color w:val="auto"/>
                <w:szCs w:val="21"/>
                <w:highlight w:val="none"/>
              </w:rPr>
            </w:pPr>
          </w:p>
        </w:tc>
        <w:tc>
          <w:tcPr>
            <w:tcW w:w="1168" w:type="dxa"/>
          </w:tcPr>
          <w:p w14:paraId="5DF2E031">
            <w:pPr>
              <w:jc w:val="center"/>
              <w:rPr>
                <w:rFonts w:ascii="宋体" w:hAnsi="宋体" w:cs="宋体"/>
                <w:color w:val="auto"/>
                <w:szCs w:val="21"/>
                <w:highlight w:val="none"/>
              </w:rPr>
            </w:pPr>
          </w:p>
        </w:tc>
        <w:tc>
          <w:tcPr>
            <w:tcW w:w="1038" w:type="dxa"/>
          </w:tcPr>
          <w:p w14:paraId="498FA81E">
            <w:pPr>
              <w:jc w:val="center"/>
              <w:rPr>
                <w:rFonts w:ascii="宋体" w:hAnsi="宋体" w:cs="宋体"/>
                <w:color w:val="auto"/>
                <w:szCs w:val="21"/>
                <w:highlight w:val="none"/>
              </w:rPr>
            </w:pPr>
          </w:p>
        </w:tc>
        <w:tc>
          <w:tcPr>
            <w:tcW w:w="909" w:type="dxa"/>
          </w:tcPr>
          <w:p w14:paraId="27316B74">
            <w:pPr>
              <w:jc w:val="center"/>
              <w:rPr>
                <w:rFonts w:ascii="宋体" w:hAnsi="宋体" w:cs="宋体"/>
                <w:color w:val="auto"/>
                <w:szCs w:val="21"/>
                <w:highlight w:val="none"/>
              </w:rPr>
            </w:pPr>
          </w:p>
        </w:tc>
        <w:tc>
          <w:tcPr>
            <w:tcW w:w="1002" w:type="dxa"/>
          </w:tcPr>
          <w:p w14:paraId="2DF411D7">
            <w:pPr>
              <w:jc w:val="center"/>
              <w:rPr>
                <w:rFonts w:ascii="宋体" w:hAnsi="宋体" w:cs="宋体"/>
                <w:color w:val="auto"/>
                <w:szCs w:val="21"/>
                <w:highlight w:val="none"/>
              </w:rPr>
            </w:pPr>
          </w:p>
        </w:tc>
        <w:tc>
          <w:tcPr>
            <w:tcW w:w="750" w:type="dxa"/>
          </w:tcPr>
          <w:p w14:paraId="075D30A3">
            <w:pPr>
              <w:jc w:val="center"/>
              <w:rPr>
                <w:rFonts w:ascii="宋体" w:hAnsi="宋体" w:cs="宋体"/>
                <w:color w:val="auto"/>
                <w:szCs w:val="21"/>
                <w:highlight w:val="none"/>
              </w:rPr>
            </w:pPr>
          </w:p>
        </w:tc>
        <w:tc>
          <w:tcPr>
            <w:tcW w:w="912" w:type="dxa"/>
          </w:tcPr>
          <w:p w14:paraId="1D1F944A">
            <w:pPr>
              <w:jc w:val="center"/>
              <w:rPr>
                <w:rFonts w:ascii="宋体" w:hAnsi="宋体" w:cs="宋体"/>
                <w:color w:val="auto"/>
                <w:szCs w:val="21"/>
                <w:highlight w:val="none"/>
              </w:rPr>
            </w:pPr>
          </w:p>
        </w:tc>
        <w:tc>
          <w:tcPr>
            <w:tcW w:w="650" w:type="dxa"/>
          </w:tcPr>
          <w:p w14:paraId="5F88A1C3">
            <w:pPr>
              <w:jc w:val="center"/>
              <w:rPr>
                <w:rFonts w:ascii="宋体" w:hAnsi="宋体" w:cs="宋体"/>
                <w:color w:val="auto"/>
                <w:szCs w:val="21"/>
                <w:highlight w:val="none"/>
              </w:rPr>
            </w:pPr>
          </w:p>
        </w:tc>
        <w:tc>
          <w:tcPr>
            <w:tcW w:w="725" w:type="dxa"/>
          </w:tcPr>
          <w:p w14:paraId="17B2AF9A">
            <w:pPr>
              <w:jc w:val="center"/>
              <w:rPr>
                <w:rFonts w:ascii="宋体" w:hAnsi="宋体" w:cs="宋体"/>
                <w:color w:val="auto"/>
                <w:szCs w:val="21"/>
                <w:highlight w:val="none"/>
              </w:rPr>
            </w:pPr>
          </w:p>
        </w:tc>
        <w:tc>
          <w:tcPr>
            <w:tcW w:w="690" w:type="dxa"/>
          </w:tcPr>
          <w:p w14:paraId="3D0760CA">
            <w:pPr>
              <w:jc w:val="center"/>
              <w:rPr>
                <w:rFonts w:ascii="宋体" w:hAnsi="宋体" w:cs="宋体"/>
                <w:color w:val="auto"/>
                <w:szCs w:val="21"/>
                <w:highlight w:val="none"/>
              </w:rPr>
            </w:pPr>
          </w:p>
        </w:tc>
        <w:tc>
          <w:tcPr>
            <w:tcW w:w="864" w:type="dxa"/>
          </w:tcPr>
          <w:p w14:paraId="5F1907E9">
            <w:pPr>
              <w:jc w:val="center"/>
              <w:rPr>
                <w:rFonts w:ascii="宋体" w:hAnsi="宋体" w:cs="宋体"/>
                <w:color w:val="auto"/>
                <w:szCs w:val="21"/>
                <w:highlight w:val="none"/>
              </w:rPr>
            </w:pPr>
          </w:p>
        </w:tc>
      </w:tr>
      <w:tr w14:paraId="2EEE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475" w:type="dxa"/>
            <w:gridSpan w:val="10"/>
            <w:vAlign w:val="center"/>
          </w:tcPr>
          <w:p w14:paraId="755100F1">
            <w:pPr>
              <w:jc w:val="center"/>
              <w:rPr>
                <w:rFonts w:ascii="宋体" w:hAnsi="宋体" w:cs="宋体"/>
                <w:color w:val="auto"/>
                <w:szCs w:val="21"/>
                <w:highlight w:val="none"/>
              </w:rPr>
            </w:pPr>
            <w:r>
              <w:rPr>
                <w:rFonts w:hint="eastAsia" w:ascii="宋体" w:hAnsi="宋体" w:cs="宋体"/>
                <w:color w:val="auto"/>
                <w:szCs w:val="21"/>
                <w:highlight w:val="none"/>
              </w:rPr>
              <w:t>总计:</w:t>
            </w:r>
          </w:p>
        </w:tc>
        <w:tc>
          <w:tcPr>
            <w:tcW w:w="864" w:type="dxa"/>
          </w:tcPr>
          <w:p w14:paraId="3F9E173C">
            <w:pPr>
              <w:jc w:val="center"/>
              <w:rPr>
                <w:rFonts w:ascii="宋体" w:hAnsi="宋体" w:cs="宋体"/>
                <w:color w:val="auto"/>
                <w:szCs w:val="21"/>
                <w:highlight w:val="none"/>
              </w:rPr>
            </w:pPr>
          </w:p>
        </w:tc>
      </w:tr>
    </w:tbl>
    <w:p w14:paraId="030269ED">
      <w:pPr>
        <w:spacing w:line="360" w:lineRule="auto"/>
        <w:jc w:val="left"/>
        <w:rPr>
          <w:rFonts w:ascii="宋体" w:hAnsi="宋体" w:cs="宋体"/>
          <w:color w:val="auto"/>
          <w:szCs w:val="21"/>
          <w:highlight w:val="none"/>
        </w:rPr>
      </w:pPr>
    </w:p>
    <w:p w14:paraId="0EA656BB">
      <w:pPr>
        <w:spacing w:line="360" w:lineRule="auto"/>
        <w:jc w:val="left"/>
        <w:rPr>
          <w:rFonts w:ascii="宋体" w:hAnsi="宋体" w:cs="宋体"/>
          <w:color w:val="auto"/>
          <w:szCs w:val="21"/>
          <w:highlight w:val="none"/>
        </w:rPr>
      </w:pPr>
      <w:r>
        <w:rPr>
          <w:rFonts w:ascii="宋体" w:hAnsi="宋体" w:cs="宋体"/>
          <w:color w:val="auto"/>
          <w:szCs w:val="21"/>
          <w:highlight w:val="none"/>
        </w:rPr>
        <w:t>说明：</w:t>
      </w:r>
    </w:p>
    <w:p w14:paraId="1E5A0F2B">
      <w:pPr>
        <w:spacing w:line="360" w:lineRule="auto"/>
        <w:jc w:val="left"/>
        <w:rPr>
          <w:rFonts w:ascii="宋体" w:hAnsi="宋体" w:cs="宋体"/>
          <w:color w:val="auto"/>
          <w:szCs w:val="21"/>
          <w:highlight w:val="none"/>
        </w:rPr>
      </w:pPr>
      <w:r>
        <w:rPr>
          <w:rFonts w:ascii="宋体" w:hAnsi="宋体" w:cs="宋体"/>
          <w:color w:val="auto"/>
          <w:szCs w:val="21"/>
          <w:highlight w:val="none"/>
        </w:rPr>
        <w:t>1、产品名称需与第五章“采购需求”相对应。</w:t>
      </w:r>
    </w:p>
    <w:p w14:paraId="000496D4">
      <w:pPr>
        <w:spacing w:line="360" w:lineRule="auto"/>
        <w:jc w:val="left"/>
        <w:rPr>
          <w:rFonts w:ascii="宋体" w:hAnsi="宋体" w:cs="宋体"/>
          <w:color w:val="auto"/>
          <w:szCs w:val="21"/>
          <w:highlight w:val="none"/>
        </w:rPr>
      </w:pPr>
      <w:r>
        <w:rPr>
          <w:rFonts w:ascii="宋体" w:hAnsi="宋体" w:cs="宋体"/>
          <w:color w:val="auto"/>
          <w:szCs w:val="21"/>
          <w:highlight w:val="none"/>
        </w:rPr>
        <w:t>2、供应商可根据实际情况对表格进行修改。</w:t>
      </w:r>
    </w:p>
    <w:p w14:paraId="4B1AEAF4">
      <w:pPr>
        <w:spacing w:line="360" w:lineRule="auto"/>
        <w:jc w:val="left"/>
        <w:rPr>
          <w:rFonts w:ascii="宋体" w:hAnsi="宋体" w:cs="宋体"/>
          <w:b/>
          <w:bCs/>
          <w:color w:val="auto"/>
          <w:szCs w:val="21"/>
          <w:highlight w:val="none"/>
        </w:rPr>
      </w:pPr>
      <w:r>
        <w:rPr>
          <w:rFonts w:ascii="宋体" w:hAnsi="宋体" w:cs="宋体"/>
          <w:b/>
          <w:bCs/>
          <w:color w:val="auto"/>
          <w:szCs w:val="21"/>
          <w:highlight w:val="none"/>
        </w:rPr>
        <w:t>3、投标产品品牌、规格型号、制造商等信息必须详细如实填写，否则视为无效投标；若为定制产品，可不填写品牌、规格型号，但至少需明确制造厂家且其他信息应填写完整。</w:t>
      </w:r>
    </w:p>
    <w:p w14:paraId="62B4655C">
      <w:pPr>
        <w:spacing w:line="620" w:lineRule="exact"/>
        <w:rPr>
          <w:rFonts w:ascii="宋体" w:hAnsi="宋体" w:cs="宋体"/>
          <w:color w:val="auto"/>
          <w:sz w:val="24"/>
          <w:szCs w:val="20"/>
          <w:highlight w:val="none"/>
        </w:rPr>
      </w:pPr>
    </w:p>
    <w:p w14:paraId="3DA17681">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（单位电子印章）</w:t>
      </w:r>
    </w:p>
    <w:p w14:paraId="764C04E8">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（电子签章或签字）</w:t>
      </w:r>
    </w:p>
    <w:p w14:paraId="5D653483">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E9C65BA">
      <w:pPr>
        <w:spacing w:line="620" w:lineRule="exact"/>
        <w:rPr>
          <w:rFonts w:ascii="宋体" w:hAnsi="宋体" w:cs="宋体"/>
          <w:b/>
          <w:color w:val="auto"/>
          <w:sz w:val="32"/>
          <w:szCs w:val="32"/>
          <w:highlight w:val="none"/>
        </w:rPr>
      </w:pPr>
    </w:p>
    <w:p w14:paraId="20F745C6">
      <w:pPr>
        <w:spacing w:line="360" w:lineRule="auto"/>
        <w:jc w:val="center"/>
        <w:rPr>
          <w:rFonts w:ascii="宋体" w:hAnsi="宋体" w:cs="宋体"/>
          <w:b/>
          <w:color w:val="auto"/>
          <w:sz w:val="32"/>
          <w:szCs w:val="32"/>
          <w:highlight w:val="none"/>
        </w:rPr>
      </w:pPr>
      <w:bookmarkStart w:id="316" w:name="_Toc6628"/>
    </w:p>
    <w:bookmarkEnd w:id="316"/>
    <w:p w14:paraId="493C6F0E">
      <w:pPr>
        <w:rPr>
          <w:color w:val="auto"/>
          <w:highlight w:val="none"/>
        </w:rPr>
      </w:pPr>
      <w:bookmarkStart w:id="317" w:name="_Toc25186"/>
      <w:r>
        <w:rPr>
          <w:rFonts w:hint="eastAsia"/>
          <w:color w:val="auto"/>
          <w:highlight w:val="none"/>
        </w:rPr>
        <w:br w:type="page"/>
      </w:r>
    </w:p>
    <w:p w14:paraId="2E7D59C8">
      <w:pPr>
        <w:pStyle w:val="3"/>
        <w:rPr>
          <w:bCs/>
          <w:color w:val="auto"/>
          <w:szCs w:val="21"/>
          <w:highlight w:val="none"/>
        </w:rPr>
      </w:pPr>
      <w:bookmarkStart w:id="318" w:name="_Toc706773766"/>
      <w:bookmarkStart w:id="319" w:name="_Toc32507"/>
      <w:bookmarkStart w:id="320" w:name="_Toc15165"/>
      <w:bookmarkStart w:id="321" w:name="_Toc1782"/>
      <w:r>
        <w:rPr>
          <w:rFonts w:hint="eastAsia"/>
          <w:color w:val="auto"/>
          <w:highlight w:val="none"/>
        </w:rPr>
        <w:t>四、随机配件、附件、耗材明细表</w:t>
      </w:r>
      <w:bookmarkEnd w:id="317"/>
      <w:bookmarkEnd w:id="318"/>
      <w:bookmarkEnd w:id="319"/>
      <w:bookmarkEnd w:id="320"/>
      <w:bookmarkEnd w:id="321"/>
    </w:p>
    <w:p w14:paraId="19EA2480">
      <w:pPr>
        <w:spacing w:line="400" w:lineRule="exact"/>
        <w:jc w:val="right"/>
        <w:rPr>
          <w:rFonts w:ascii="宋体" w:hAnsi="宋体" w:cs="宋体"/>
          <w:bCs/>
          <w:color w:val="auto"/>
          <w:szCs w:val="21"/>
          <w:highlight w:val="none"/>
        </w:rPr>
      </w:pPr>
      <w:r>
        <w:rPr>
          <w:rFonts w:hint="eastAsia" w:ascii="宋体" w:hAnsi="宋体" w:cs="宋体"/>
          <w:bCs/>
          <w:color w:val="auto"/>
          <w:szCs w:val="21"/>
          <w:highlight w:val="none"/>
        </w:rPr>
        <w:t>单位：人民币元</w:t>
      </w:r>
    </w:p>
    <w:tbl>
      <w:tblPr>
        <w:tblStyle w:val="38"/>
        <w:tblW w:w="8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843"/>
        <w:gridCol w:w="992"/>
        <w:gridCol w:w="1276"/>
        <w:gridCol w:w="709"/>
        <w:gridCol w:w="1275"/>
        <w:gridCol w:w="916"/>
        <w:gridCol w:w="780"/>
      </w:tblGrid>
      <w:tr w14:paraId="5B44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704" w:type="dxa"/>
            <w:vAlign w:val="center"/>
          </w:tcPr>
          <w:p w14:paraId="468709FB">
            <w:pPr>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843" w:type="dxa"/>
            <w:vAlign w:val="center"/>
          </w:tcPr>
          <w:p w14:paraId="4596C6F6">
            <w:pPr>
              <w:jc w:val="center"/>
              <w:rPr>
                <w:rFonts w:ascii="宋体" w:hAnsi="宋体" w:cs="宋体"/>
                <w:b/>
                <w:color w:val="auto"/>
                <w:szCs w:val="21"/>
                <w:highlight w:val="none"/>
              </w:rPr>
            </w:pPr>
            <w:r>
              <w:rPr>
                <w:rFonts w:hint="eastAsia" w:ascii="宋体" w:hAnsi="宋体" w:cs="宋体"/>
                <w:b/>
                <w:color w:val="auto"/>
                <w:szCs w:val="21"/>
                <w:highlight w:val="none"/>
              </w:rPr>
              <w:t>随机配件、附件、耗材名称</w:t>
            </w:r>
          </w:p>
        </w:tc>
        <w:tc>
          <w:tcPr>
            <w:tcW w:w="992" w:type="dxa"/>
            <w:vAlign w:val="center"/>
          </w:tcPr>
          <w:p w14:paraId="445BB0F8">
            <w:pPr>
              <w:jc w:val="center"/>
              <w:rPr>
                <w:rFonts w:ascii="宋体" w:hAnsi="宋体" w:cs="宋体"/>
                <w:b/>
                <w:color w:val="auto"/>
                <w:szCs w:val="21"/>
                <w:highlight w:val="none"/>
              </w:rPr>
            </w:pPr>
            <w:r>
              <w:rPr>
                <w:rFonts w:hint="eastAsia" w:ascii="宋体" w:hAnsi="宋体" w:cs="宋体"/>
                <w:b/>
                <w:color w:val="auto"/>
                <w:szCs w:val="21"/>
                <w:highlight w:val="none"/>
              </w:rPr>
              <w:t>品牌</w:t>
            </w:r>
          </w:p>
        </w:tc>
        <w:tc>
          <w:tcPr>
            <w:tcW w:w="1276" w:type="dxa"/>
            <w:vAlign w:val="center"/>
          </w:tcPr>
          <w:p w14:paraId="0CA0FFA0">
            <w:pPr>
              <w:jc w:val="center"/>
              <w:rPr>
                <w:rFonts w:ascii="宋体" w:hAnsi="宋体" w:cs="宋体"/>
                <w:b/>
                <w:color w:val="auto"/>
                <w:szCs w:val="21"/>
                <w:highlight w:val="none"/>
              </w:rPr>
            </w:pPr>
            <w:r>
              <w:rPr>
                <w:rFonts w:hint="eastAsia" w:ascii="宋体" w:hAnsi="宋体" w:cs="宋体"/>
                <w:b/>
                <w:color w:val="auto"/>
                <w:szCs w:val="21"/>
                <w:highlight w:val="none"/>
              </w:rPr>
              <w:t>规格型号</w:t>
            </w:r>
          </w:p>
        </w:tc>
        <w:tc>
          <w:tcPr>
            <w:tcW w:w="709" w:type="dxa"/>
            <w:vAlign w:val="center"/>
          </w:tcPr>
          <w:p w14:paraId="177B5553">
            <w:pPr>
              <w:jc w:val="center"/>
              <w:rPr>
                <w:rFonts w:ascii="宋体" w:hAnsi="宋体" w:cs="宋体"/>
                <w:b/>
                <w:color w:val="auto"/>
                <w:szCs w:val="21"/>
                <w:highlight w:val="none"/>
              </w:rPr>
            </w:pPr>
            <w:r>
              <w:rPr>
                <w:rFonts w:hint="eastAsia" w:ascii="宋体" w:hAnsi="宋体" w:cs="宋体"/>
                <w:b/>
                <w:color w:val="auto"/>
                <w:szCs w:val="21"/>
                <w:highlight w:val="none"/>
              </w:rPr>
              <w:t>单位</w:t>
            </w:r>
          </w:p>
        </w:tc>
        <w:tc>
          <w:tcPr>
            <w:tcW w:w="1275" w:type="dxa"/>
            <w:vAlign w:val="center"/>
          </w:tcPr>
          <w:p w14:paraId="71850D78">
            <w:pPr>
              <w:jc w:val="center"/>
              <w:rPr>
                <w:rFonts w:ascii="宋体" w:hAnsi="宋体" w:cs="宋体"/>
                <w:b/>
                <w:color w:val="auto"/>
                <w:szCs w:val="21"/>
                <w:highlight w:val="none"/>
              </w:rPr>
            </w:pPr>
            <w:r>
              <w:rPr>
                <w:rFonts w:hint="eastAsia" w:ascii="宋体" w:hAnsi="宋体" w:cs="宋体"/>
                <w:b/>
                <w:color w:val="auto"/>
                <w:szCs w:val="21"/>
                <w:highlight w:val="none"/>
              </w:rPr>
              <w:t>单价（元）</w:t>
            </w:r>
          </w:p>
        </w:tc>
        <w:tc>
          <w:tcPr>
            <w:tcW w:w="916" w:type="dxa"/>
            <w:vAlign w:val="center"/>
          </w:tcPr>
          <w:p w14:paraId="186296E7">
            <w:pPr>
              <w:jc w:val="center"/>
              <w:rPr>
                <w:rFonts w:ascii="宋体" w:hAnsi="宋体" w:cs="宋体"/>
                <w:b/>
                <w:color w:val="auto"/>
                <w:szCs w:val="21"/>
                <w:highlight w:val="none"/>
              </w:rPr>
            </w:pPr>
            <w:r>
              <w:rPr>
                <w:rFonts w:hint="eastAsia" w:ascii="宋体" w:hAnsi="宋体" w:cs="宋体"/>
                <w:b/>
                <w:color w:val="auto"/>
                <w:szCs w:val="21"/>
                <w:highlight w:val="none"/>
              </w:rPr>
              <w:t>制造商</w:t>
            </w:r>
          </w:p>
        </w:tc>
        <w:tc>
          <w:tcPr>
            <w:tcW w:w="780" w:type="dxa"/>
            <w:vAlign w:val="center"/>
          </w:tcPr>
          <w:p w14:paraId="1943DB63">
            <w:pPr>
              <w:jc w:val="center"/>
              <w:rPr>
                <w:rFonts w:ascii="宋体" w:hAnsi="宋体" w:cs="宋体"/>
                <w:b/>
                <w:color w:val="auto"/>
                <w:szCs w:val="21"/>
                <w:highlight w:val="none"/>
              </w:rPr>
            </w:pPr>
            <w:r>
              <w:rPr>
                <w:rFonts w:hint="eastAsia" w:ascii="宋体" w:hAnsi="宋体" w:cs="宋体"/>
                <w:b/>
                <w:color w:val="auto"/>
                <w:szCs w:val="21"/>
                <w:highlight w:val="none"/>
              </w:rPr>
              <w:t>产地</w:t>
            </w:r>
          </w:p>
        </w:tc>
      </w:tr>
      <w:tr w14:paraId="6E5F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04" w:type="dxa"/>
          </w:tcPr>
          <w:p w14:paraId="5D8D22AE">
            <w:pPr>
              <w:adjustRightInd w:val="0"/>
              <w:snapToGrid w:val="0"/>
              <w:spacing w:line="360" w:lineRule="auto"/>
              <w:rPr>
                <w:rFonts w:ascii="宋体" w:hAnsi="宋体" w:cs="宋体"/>
                <w:b/>
                <w:bCs/>
                <w:color w:val="auto"/>
                <w:szCs w:val="21"/>
                <w:highlight w:val="none"/>
              </w:rPr>
            </w:pPr>
          </w:p>
        </w:tc>
        <w:tc>
          <w:tcPr>
            <w:tcW w:w="1843" w:type="dxa"/>
          </w:tcPr>
          <w:p w14:paraId="0A785105">
            <w:pPr>
              <w:adjustRightInd w:val="0"/>
              <w:snapToGrid w:val="0"/>
              <w:spacing w:line="360" w:lineRule="auto"/>
              <w:rPr>
                <w:rFonts w:ascii="宋体" w:hAnsi="宋体" w:cs="宋体"/>
                <w:b/>
                <w:bCs/>
                <w:color w:val="auto"/>
                <w:szCs w:val="21"/>
                <w:highlight w:val="none"/>
              </w:rPr>
            </w:pPr>
          </w:p>
        </w:tc>
        <w:tc>
          <w:tcPr>
            <w:tcW w:w="992" w:type="dxa"/>
          </w:tcPr>
          <w:p w14:paraId="44C8DE32">
            <w:pPr>
              <w:adjustRightInd w:val="0"/>
              <w:snapToGrid w:val="0"/>
              <w:spacing w:line="360" w:lineRule="auto"/>
              <w:rPr>
                <w:rFonts w:ascii="宋体" w:hAnsi="宋体" w:cs="宋体"/>
                <w:b/>
                <w:bCs/>
                <w:color w:val="auto"/>
                <w:szCs w:val="21"/>
                <w:highlight w:val="none"/>
              </w:rPr>
            </w:pPr>
          </w:p>
        </w:tc>
        <w:tc>
          <w:tcPr>
            <w:tcW w:w="1276" w:type="dxa"/>
          </w:tcPr>
          <w:p w14:paraId="6900F289">
            <w:pPr>
              <w:adjustRightInd w:val="0"/>
              <w:snapToGrid w:val="0"/>
              <w:spacing w:line="360" w:lineRule="auto"/>
              <w:rPr>
                <w:rFonts w:ascii="宋体" w:hAnsi="宋体" w:cs="宋体"/>
                <w:b/>
                <w:bCs/>
                <w:color w:val="auto"/>
                <w:szCs w:val="21"/>
                <w:highlight w:val="none"/>
              </w:rPr>
            </w:pPr>
          </w:p>
        </w:tc>
        <w:tc>
          <w:tcPr>
            <w:tcW w:w="709" w:type="dxa"/>
          </w:tcPr>
          <w:p w14:paraId="646571D2">
            <w:pPr>
              <w:adjustRightInd w:val="0"/>
              <w:snapToGrid w:val="0"/>
              <w:spacing w:line="360" w:lineRule="auto"/>
              <w:rPr>
                <w:rFonts w:ascii="宋体" w:hAnsi="宋体" w:cs="宋体"/>
                <w:b/>
                <w:bCs/>
                <w:color w:val="auto"/>
                <w:szCs w:val="21"/>
                <w:highlight w:val="none"/>
              </w:rPr>
            </w:pPr>
          </w:p>
        </w:tc>
        <w:tc>
          <w:tcPr>
            <w:tcW w:w="1275" w:type="dxa"/>
          </w:tcPr>
          <w:p w14:paraId="22CC6F64">
            <w:pPr>
              <w:adjustRightInd w:val="0"/>
              <w:snapToGrid w:val="0"/>
              <w:spacing w:line="360" w:lineRule="auto"/>
              <w:rPr>
                <w:rFonts w:ascii="宋体" w:hAnsi="宋体" w:cs="宋体"/>
                <w:b/>
                <w:bCs/>
                <w:color w:val="auto"/>
                <w:szCs w:val="21"/>
                <w:highlight w:val="none"/>
              </w:rPr>
            </w:pPr>
          </w:p>
        </w:tc>
        <w:tc>
          <w:tcPr>
            <w:tcW w:w="916" w:type="dxa"/>
          </w:tcPr>
          <w:p w14:paraId="17DA0A99">
            <w:pPr>
              <w:adjustRightInd w:val="0"/>
              <w:snapToGrid w:val="0"/>
              <w:spacing w:line="360" w:lineRule="auto"/>
              <w:rPr>
                <w:rFonts w:ascii="宋体" w:hAnsi="宋体" w:cs="宋体"/>
                <w:b/>
                <w:bCs/>
                <w:color w:val="auto"/>
                <w:szCs w:val="21"/>
                <w:highlight w:val="none"/>
              </w:rPr>
            </w:pPr>
          </w:p>
        </w:tc>
        <w:tc>
          <w:tcPr>
            <w:tcW w:w="780" w:type="dxa"/>
          </w:tcPr>
          <w:p w14:paraId="22D55D0F">
            <w:pPr>
              <w:adjustRightInd w:val="0"/>
              <w:snapToGrid w:val="0"/>
              <w:spacing w:line="360" w:lineRule="auto"/>
              <w:rPr>
                <w:rFonts w:ascii="宋体" w:hAnsi="宋体" w:cs="宋体"/>
                <w:b/>
                <w:bCs/>
                <w:color w:val="auto"/>
                <w:szCs w:val="21"/>
                <w:highlight w:val="none"/>
              </w:rPr>
            </w:pPr>
          </w:p>
        </w:tc>
      </w:tr>
      <w:tr w14:paraId="3C59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704" w:type="dxa"/>
          </w:tcPr>
          <w:p w14:paraId="6E6ACEB5">
            <w:pPr>
              <w:adjustRightInd w:val="0"/>
              <w:snapToGrid w:val="0"/>
              <w:spacing w:line="360" w:lineRule="auto"/>
              <w:rPr>
                <w:rFonts w:ascii="宋体" w:hAnsi="宋体" w:cs="宋体"/>
                <w:b/>
                <w:bCs/>
                <w:color w:val="auto"/>
                <w:szCs w:val="21"/>
                <w:highlight w:val="none"/>
              </w:rPr>
            </w:pPr>
          </w:p>
        </w:tc>
        <w:tc>
          <w:tcPr>
            <w:tcW w:w="1843" w:type="dxa"/>
          </w:tcPr>
          <w:p w14:paraId="1288F942">
            <w:pPr>
              <w:adjustRightInd w:val="0"/>
              <w:snapToGrid w:val="0"/>
              <w:spacing w:line="360" w:lineRule="auto"/>
              <w:rPr>
                <w:rFonts w:ascii="宋体" w:hAnsi="宋体" w:cs="宋体"/>
                <w:b/>
                <w:bCs/>
                <w:color w:val="auto"/>
                <w:szCs w:val="21"/>
                <w:highlight w:val="none"/>
              </w:rPr>
            </w:pPr>
          </w:p>
        </w:tc>
        <w:tc>
          <w:tcPr>
            <w:tcW w:w="992" w:type="dxa"/>
          </w:tcPr>
          <w:p w14:paraId="2BCF0410">
            <w:pPr>
              <w:adjustRightInd w:val="0"/>
              <w:snapToGrid w:val="0"/>
              <w:spacing w:line="360" w:lineRule="auto"/>
              <w:rPr>
                <w:rFonts w:ascii="宋体" w:hAnsi="宋体" w:cs="宋体"/>
                <w:b/>
                <w:bCs/>
                <w:color w:val="auto"/>
                <w:szCs w:val="21"/>
                <w:highlight w:val="none"/>
              </w:rPr>
            </w:pPr>
          </w:p>
        </w:tc>
        <w:tc>
          <w:tcPr>
            <w:tcW w:w="1276" w:type="dxa"/>
          </w:tcPr>
          <w:p w14:paraId="3FDB9E4C">
            <w:pPr>
              <w:adjustRightInd w:val="0"/>
              <w:snapToGrid w:val="0"/>
              <w:spacing w:line="360" w:lineRule="auto"/>
              <w:rPr>
                <w:rFonts w:ascii="宋体" w:hAnsi="宋体" w:cs="宋体"/>
                <w:b/>
                <w:bCs/>
                <w:color w:val="auto"/>
                <w:szCs w:val="21"/>
                <w:highlight w:val="none"/>
              </w:rPr>
            </w:pPr>
          </w:p>
        </w:tc>
        <w:tc>
          <w:tcPr>
            <w:tcW w:w="709" w:type="dxa"/>
          </w:tcPr>
          <w:p w14:paraId="6754A432">
            <w:pPr>
              <w:adjustRightInd w:val="0"/>
              <w:snapToGrid w:val="0"/>
              <w:spacing w:line="360" w:lineRule="auto"/>
              <w:rPr>
                <w:rFonts w:ascii="宋体" w:hAnsi="宋体" w:cs="宋体"/>
                <w:b/>
                <w:bCs/>
                <w:color w:val="auto"/>
                <w:szCs w:val="21"/>
                <w:highlight w:val="none"/>
              </w:rPr>
            </w:pPr>
          </w:p>
        </w:tc>
        <w:tc>
          <w:tcPr>
            <w:tcW w:w="1275" w:type="dxa"/>
          </w:tcPr>
          <w:p w14:paraId="352C0328">
            <w:pPr>
              <w:adjustRightInd w:val="0"/>
              <w:snapToGrid w:val="0"/>
              <w:spacing w:line="360" w:lineRule="auto"/>
              <w:rPr>
                <w:rFonts w:ascii="宋体" w:hAnsi="宋体" w:cs="宋体"/>
                <w:b/>
                <w:bCs/>
                <w:color w:val="auto"/>
                <w:szCs w:val="21"/>
                <w:highlight w:val="none"/>
              </w:rPr>
            </w:pPr>
          </w:p>
        </w:tc>
        <w:tc>
          <w:tcPr>
            <w:tcW w:w="916" w:type="dxa"/>
          </w:tcPr>
          <w:p w14:paraId="7481EC12">
            <w:pPr>
              <w:adjustRightInd w:val="0"/>
              <w:snapToGrid w:val="0"/>
              <w:spacing w:line="360" w:lineRule="auto"/>
              <w:rPr>
                <w:rFonts w:ascii="宋体" w:hAnsi="宋体" w:cs="宋体"/>
                <w:b/>
                <w:bCs/>
                <w:color w:val="auto"/>
                <w:szCs w:val="21"/>
                <w:highlight w:val="none"/>
              </w:rPr>
            </w:pPr>
          </w:p>
        </w:tc>
        <w:tc>
          <w:tcPr>
            <w:tcW w:w="780" w:type="dxa"/>
          </w:tcPr>
          <w:p w14:paraId="374A66E0">
            <w:pPr>
              <w:adjustRightInd w:val="0"/>
              <w:snapToGrid w:val="0"/>
              <w:spacing w:line="360" w:lineRule="auto"/>
              <w:rPr>
                <w:rFonts w:ascii="宋体" w:hAnsi="宋体" w:cs="宋体"/>
                <w:b/>
                <w:bCs/>
                <w:color w:val="auto"/>
                <w:szCs w:val="21"/>
                <w:highlight w:val="none"/>
              </w:rPr>
            </w:pPr>
          </w:p>
        </w:tc>
      </w:tr>
      <w:tr w14:paraId="77C1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04" w:type="dxa"/>
          </w:tcPr>
          <w:p w14:paraId="4DEE1746">
            <w:pPr>
              <w:adjustRightInd w:val="0"/>
              <w:snapToGrid w:val="0"/>
              <w:spacing w:line="360" w:lineRule="auto"/>
              <w:rPr>
                <w:rFonts w:ascii="宋体" w:hAnsi="宋体" w:cs="宋体"/>
                <w:b/>
                <w:bCs/>
                <w:color w:val="auto"/>
                <w:szCs w:val="21"/>
                <w:highlight w:val="none"/>
              </w:rPr>
            </w:pPr>
          </w:p>
        </w:tc>
        <w:tc>
          <w:tcPr>
            <w:tcW w:w="1843" w:type="dxa"/>
          </w:tcPr>
          <w:p w14:paraId="41FFC3CD">
            <w:pPr>
              <w:adjustRightInd w:val="0"/>
              <w:snapToGrid w:val="0"/>
              <w:spacing w:line="360" w:lineRule="auto"/>
              <w:rPr>
                <w:rFonts w:ascii="宋体" w:hAnsi="宋体" w:cs="宋体"/>
                <w:b/>
                <w:bCs/>
                <w:color w:val="auto"/>
                <w:szCs w:val="21"/>
                <w:highlight w:val="none"/>
              </w:rPr>
            </w:pPr>
          </w:p>
        </w:tc>
        <w:tc>
          <w:tcPr>
            <w:tcW w:w="992" w:type="dxa"/>
          </w:tcPr>
          <w:p w14:paraId="0C07747B">
            <w:pPr>
              <w:adjustRightInd w:val="0"/>
              <w:snapToGrid w:val="0"/>
              <w:spacing w:line="360" w:lineRule="auto"/>
              <w:rPr>
                <w:rFonts w:ascii="宋体" w:hAnsi="宋体" w:cs="宋体"/>
                <w:b/>
                <w:bCs/>
                <w:color w:val="auto"/>
                <w:szCs w:val="21"/>
                <w:highlight w:val="none"/>
              </w:rPr>
            </w:pPr>
          </w:p>
        </w:tc>
        <w:tc>
          <w:tcPr>
            <w:tcW w:w="1276" w:type="dxa"/>
          </w:tcPr>
          <w:p w14:paraId="150C4078">
            <w:pPr>
              <w:adjustRightInd w:val="0"/>
              <w:snapToGrid w:val="0"/>
              <w:spacing w:line="360" w:lineRule="auto"/>
              <w:rPr>
                <w:rFonts w:ascii="宋体" w:hAnsi="宋体" w:cs="宋体"/>
                <w:b/>
                <w:bCs/>
                <w:color w:val="auto"/>
                <w:szCs w:val="21"/>
                <w:highlight w:val="none"/>
              </w:rPr>
            </w:pPr>
          </w:p>
        </w:tc>
        <w:tc>
          <w:tcPr>
            <w:tcW w:w="709" w:type="dxa"/>
          </w:tcPr>
          <w:p w14:paraId="1211EE66">
            <w:pPr>
              <w:adjustRightInd w:val="0"/>
              <w:snapToGrid w:val="0"/>
              <w:spacing w:line="360" w:lineRule="auto"/>
              <w:rPr>
                <w:rFonts w:ascii="宋体" w:hAnsi="宋体" w:cs="宋体"/>
                <w:b/>
                <w:bCs/>
                <w:color w:val="auto"/>
                <w:szCs w:val="21"/>
                <w:highlight w:val="none"/>
              </w:rPr>
            </w:pPr>
          </w:p>
        </w:tc>
        <w:tc>
          <w:tcPr>
            <w:tcW w:w="1275" w:type="dxa"/>
          </w:tcPr>
          <w:p w14:paraId="54F37860">
            <w:pPr>
              <w:adjustRightInd w:val="0"/>
              <w:snapToGrid w:val="0"/>
              <w:spacing w:line="360" w:lineRule="auto"/>
              <w:rPr>
                <w:rFonts w:ascii="宋体" w:hAnsi="宋体" w:cs="宋体"/>
                <w:b/>
                <w:bCs/>
                <w:color w:val="auto"/>
                <w:szCs w:val="21"/>
                <w:highlight w:val="none"/>
              </w:rPr>
            </w:pPr>
          </w:p>
        </w:tc>
        <w:tc>
          <w:tcPr>
            <w:tcW w:w="916" w:type="dxa"/>
          </w:tcPr>
          <w:p w14:paraId="1B5DD2FE">
            <w:pPr>
              <w:adjustRightInd w:val="0"/>
              <w:snapToGrid w:val="0"/>
              <w:spacing w:line="360" w:lineRule="auto"/>
              <w:rPr>
                <w:rFonts w:ascii="宋体" w:hAnsi="宋体" w:cs="宋体"/>
                <w:b/>
                <w:bCs/>
                <w:color w:val="auto"/>
                <w:szCs w:val="21"/>
                <w:highlight w:val="none"/>
              </w:rPr>
            </w:pPr>
          </w:p>
        </w:tc>
        <w:tc>
          <w:tcPr>
            <w:tcW w:w="780" w:type="dxa"/>
          </w:tcPr>
          <w:p w14:paraId="79742520">
            <w:pPr>
              <w:adjustRightInd w:val="0"/>
              <w:snapToGrid w:val="0"/>
              <w:spacing w:line="360" w:lineRule="auto"/>
              <w:rPr>
                <w:rFonts w:ascii="宋体" w:hAnsi="宋体" w:cs="宋体"/>
                <w:b/>
                <w:bCs/>
                <w:color w:val="auto"/>
                <w:szCs w:val="21"/>
                <w:highlight w:val="none"/>
              </w:rPr>
            </w:pPr>
          </w:p>
        </w:tc>
      </w:tr>
      <w:tr w14:paraId="772C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704" w:type="dxa"/>
          </w:tcPr>
          <w:p w14:paraId="482B26A9">
            <w:pPr>
              <w:adjustRightInd w:val="0"/>
              <w:snapToGrid w:val="0"/>
              <w:spacing w:line="360" w:lineRule="auto"/>
              <w:rPr>
                <w:rFonts w:ascii="宋体" w:hAnsi="宋体" w:cs="宋体"/>
                <w:b/>
                <w:bCs/>
                <w:color w:val="auto"/>
                <w:szCs w:val="21"/>
                <w:highlight w:val="none"/>
              </w:rPr>
            </w:pPr>
          </w:p>
        </w:tc>
        <w:tc>
          <w:tcPr>
            <w:tcW w:w="1843" w:type="dxa"/>
          </w:tcPr>
          <w:p w14:paraId="3A76FF6E">
            <w:pPr>
              <w:adjustRightInd w:val="0"/>
              <w:snapToGrid w:val="0"/>
              <w:spacing w:line="360" w:lineRule="auto"/>
              <w:rPr>
                <w:rFonts w:ascii="宋体" w:hAnsi="宋体" w:cs="宋体"/>
                <w:b/>
                <w:bCs/>
                <w:color w:val="auto"/>
                <w:szCs w:val="21"/>
                <w:highlight w:val="none"/>
              </w:rPr>
            </w:pPr>
          </w:p>
        </w:tc>
        <w:tc>
          <w:tcPr>
            <w:tcW w:w="992" w:type="dxa"/>
          </w:tcPr>
          <w:p w14:paraId="0231F73B">
            <w:pPr>
              <w:adjustRightInd w:val="0"/>
              <w:snapToGrid w:val="0"/>
              <w:spacing w:line="360" w:lineRule="auto"/>
              <w:rPr>
                <w:rFonts w:ascii="宋体" w:hAnsi="宋体" w:cs="宋体"/>
                <w:b/>
                <w:bCs/>
                <w:color w:val="auto"/>
                <w:szCs w:val="21"/>
                <w:highlight w:val="none"/>
              </w:rPr>
            </w:pPr>
          </w:p>
        </w:tc>
        <w:tc>
          <w:tcPr>
            <w:tcW w:w="1276" w:type="dxa"/>
          </w:tcPr>
          <w:p w14:paraId="51E644DC">
            <w:pPr>
              <w:adjustRightInd w:val="0"/>
              <w:snapToGrid w:val="0"/>
              <w:spacing w:line="360" w:lineRule="auto"/>
              <w:rPr>
                <w:rFonts w:ascii="宋体" w:hAnsi="宋体" w:cs="宋体"/>
                <w:b/>
                <w:bCs/>
                <w:color w:val="auto"/>
                <w:szCs w:val="21"/>
                <w:highlight w:val="none"/>
              </w:rPr>
            </w:pPr>
          </w:p>
        </w:tc>
        <w:tc>
          <w:tcPr>
            <w:tcW w:w="709" w:type="dxa"/>
          </w:tcPr>
          <w:p w14:paraId="09EC8F22">
            <w:pPr>
              <w:adjustRightInd w:val="0"/>
              <w:snapToGrid w:val="0"/>
              <w:spacing w:line="360" w:lineRule="auto"/>
              <w:rPr>
                <w:rFonts w:ascii="宋体" w:hAnsi="宋体" w:cs="宋体"/>
                <w:b/>
                <w:bCs/>
                <w:color w:val="auto"/>
                <w:szCs w:val="21"/>
                <w:highlight w:val="none"/>
              </w:rPr>
            </w:pPr>
          </w:p>
        </w:tc>
        <w:tc>
          <w:tcPr>
            <w:tcW w:w="1275" w:type="dxa"/>
          </w:tcPr>
          <w:p w14:paraId="533BC259">
            <w:pPr>
              <w:adjustRightInd w:val="0"/>
              <w:snapToGrid w:val="0"/>
              <w:spacing w:line="360" w:lineRule="auto"/>
              <w:rPr>
                <w:rFonts w:ascii="宋体" w:hAnsi="宋体" w:cs="宋体"/>
                <w:b/>
                <w:bCs/>
                <w:color w:val="auto"/>
                <w:szCs w:val="21"/>
                <w:highlight w:val="none"/>
              </w:rPr>
            </w:pPr>
          </w:p>
        </w:tc>
        <w:tc>
          <w:tcPr>
            <w:tcW w:w="916" w:type="dxa"/>
          </w:tcPr>
          <w:p w14:paraId="369BB69C">
            <w:pPr>
              <w:adjustRightInd w:val="0"/>
              <w:snapToGrid w:val="0"/>
              <w:spacing w:line="360" w:lineRule="auto"/>
              <w:rPr>
                <w:rFonts w:ascii="宋体" w:hAnsi="宋体" w:cs="宋体"/>
                <w:b/>
                <w:bCs/>
                <w:color w:val="auto"/>
                <w:szCs w:val="21"/>
                <w:highlight w:val="none"/>
              </w:rPr>
            </w:pPr>
          </w:p>
        </w:tc>
        <w:tc>
          <w:tcPr>
            <w:tcW w:w="780" w:type="dxa"/>
          </w:tcPr>
          <w:p w14:paraId="0EB95631">
            <w:pPr>
              <w:adjustRightInd w:val="0"/>
              <w:snapToGrid w:val="0"/>
              <w:spacing w:line="360" w:lineRule="auto"/>
              <w:rPr>
                <w:rFonts w:ascii="宋体" w:hAnsi="宋体" w:cs="宋体"/>
                <w:b/>
                <w:bCs/>
                <w:color w:val="auto"/>
                <w:szCs w:val="21"/>
                <w:highlight w:val="none"/>
              </w:rPr>
            </w:pPr>
          </w:p>
        </w:tc>
      </w:tr>
      <w:tr w14:paraId="5A74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04" w:type="dxa"/>
          </w:tcPr>
          <w:p w14:paraId="79E9F01E">
            <w:pPr>
              <w:adjustRightInd w:val="0"/>
              <w:snapToGrid w:val="0"/>
              <w:spacing w:line="360" w:lineRule="auto"/>
              <w:rPr>
                <w:rFonts w:ascii="宋体" w:hAnsi="宋体" w:cs="宋体"/>
                <w:b/>
                <w:bCs/>
                <w:color w:val="auto"/>
                <w:szCs w:val="21"/>
                <w:highlight w:val="none"/>
              </w:rPr>
            </w:pPr>
          </w:p>
        </w:tc>
        <w:tc>
          <w:tcPr>
            <w:tcW w:w="1843" w:type="dxa"/>
          </w:tcPr>
          <w:p w14:paraId="1EAD9806">
            <w:pPr>
              <w:adjustRightInd w:val="0"/>
              <w:snapToGrid w:val="0"/>
              <w:spacing w:line="360" w:lineRule="auto"/>
              <w:rPr>
                <w:rFonts w:ascii="宋体" w:hAnsi="宋体" w:cs="宋体"/>
                <w:b/>
                <w:bCs/>
                <w:color w:val="auto"/>
                <w:szCs w:val="21"/>
                <w:highlight w:val="none"/>
              </w:rPr>
            </w:pPr>
          </w:p>
        </w:tc>
        <w:tc>
          <w:tcPr>
            <w:tcW w:w="992" w:type="dxa"/>
          </w:tcPr>
          <w:p w14:paraId="04ADF207">
            <w:pPr>
              <w:adjustRightInd w:val="0"/>
              <w:snapToGrid w:val="0"/>
              <w:spacing w:line="360" w:lineRule="auto"/>
              <w:rPr>
                <w:rFonts w:ascii="宋体" w:hAnsi="宋体" w:cs="宋体"/>
                <w:b/>
                <w:bCs/>
                <w:color w:val="auto"/>
                <w:szCs w:val="21"/>
                <w:highlight w:val="none"/>
              </w:rPr>
            </w:pPr>
          </w:p>
        </w:tc>
        <w:tc>
          <w:tcPr>
            <w:tcW w:w="1276" w:type="dxa"/>
          </w:tcPr>
          <w:p w14:paraId="202AB3D6">
            <w:pPr>
              <w:adjustRightInd w:val="0"/>
              <w:snapToGrid w:val="0"/>
              <w:spacing w:line="360" w:lineRule="auto"/>
              <w:rPr>
                <w:rFonts w:ascii="宋体" w:hAnsi="宋体" w:cs="宋体"/>
                <w:b/>
                <w:bCs/>
                <w:color w:val="auto"/>
                <w:szCs w:val="21"/>
                <w:highlight w:val="none"/>
              </w:rPr>
            </w:pPr>
          </w:p>
        </w:tc>
        <w:tc>
          <w:tcPr>
            <w:tcW w:w="709" w:type="dxa"/>
          </w:tcPr>
          <w:p w14:paraId="2141E28C">
            <w:pPr>
              <w:adjustRightInd w:val="0"/>
              <w:snapToGrid w:val="0"/>
              <w:spacing w:line="360" w:lineRule="auto"/>
              <w:rPr>
                <w:rFonts w:ascii="宋体" w:hAnsi="宋体" w:cs="宋体"/>
                <w:b/>
                <w:bCs/>
                <w:color w:val="auto"/>
                <w:szCs w:val="21"/>
                <w:highlight w:val="none"/>
              </w:rPr>
            </w:pPr>
          </w:p>
        </w:tc>
        <w:tc>
          <w:tcPr>
            <w:tcW w:w="1275" w:type="dxa"/>
          </w:tcPr>
          <w:p w14:paraId="779CEB79">
            <w:pPr>
              <w:adjustRightInd w:val="0"/>
              <w:snapToGrid w:val="0"/>
              <w:spacing w:line="360" w:lineRule="auto"/>
              <w:rPr>
                <w:rFonts w:ascii="宋体" w:hAnsi="宋体" w:cs="宋体"/>
                <w:b/>
                <w:bCs/>
                <w:color w:val="auto"/>
                <w:szCs w:val="21"/>
                <w:highlight w:val="none"/>
              </w:rPr>
            </w:pPr>
          </w:p>
        </w:tc>
        <w:tc>
          <w:tcPr>
            <w:tcW w:w="916" w:type="dxa"/>
          </w:tcPr>
          <w:p w14:paraId="5A028042">
            <w:pPr>
              <w:adjustRightInd w:val="0"/>
              <w:snapToGrid w:val="0"/>
              <w:spacing w:line="360" w:lineRule="auto"/>
              <w:rPr>
                <w:rFonts w:ascii="宋体" w:hAnsi="宋体" w:cs="宋体"/>
                <w:b/>
                <w:bCs/>
                <w:color w:val="auto"/>
                <w:szCs w:val="21"/>
                <w:highlight w:val="none"/>
              </w:rPr>
            </w:pPr>
          </w:p>
        </w:tc>
        <w:tc>
          <w:tcPr>
            <w:tcW w:w="780" w:type="dxa"/>
          </w:tcPr>
          <w:p w14:paraId="2CFF5532">
            <w:pPr>
              <w:adjustRightInd w:val="0"/>
              <w:snapToGrid w:val="0"/>
              <w:spacing w:line="360" w:lineRule="auto"/>
              <w:rPr>
                <w:rFonts w:ascii="宋体" w:hAnsi="宋体" w:cs="宋体"/>
                <w:b/>
                <w:bCs/>
                <w:color w:val="auto"/>
                <w:szCs w:val="21"/>
                <w:highlight w:val="none"/>
              </w:rPr>
            </w:pPr>
          </w:p>
        </w:tc>
      </w:tr>
      <w:tr w14:paraId="7AAD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704" w:type="dxa"/>
          </w:tcPr>
          <w:p w14:paraId="349F70DC">
            <w:pPr>
              <w:adjustRightInd w:val="0"/>
              <w:snapToGrid w:val="0"/>
              <w:spacing w:line="360" w:lineRule="auto"/>
              <w:rPr>
                <w:rFonts w:ascii="宋体" w:hAnsi="宋体" w:cs="宋体"/>
                <w:b/>
                <w:bCs/>
                <w:color w:val="auto"/>
                <w:szCs w:val="21"/>
                <w:highlight w:val="none"/>
              </w:rPr>
            </w:pPr>
          </w:p>
        </w:tc>
        <w:tc>
          <w:tcPr>
            <w:tcW w:w="1843" w:type="dxa"/>
          </w:tcPr>
          <w:p w14:paraId="63B977F2">
            <w:pPr>
              <w:adjustRightInd w:val="0"/>
              <w:snapToGrid w:val="0"/>
              <w:spacing w:line="360" w:lineRule="auto"/>
              <w:rPr>
                <w:rFonts w:ascii="宋体" w:hAnsi="宋体" w:cs="宋体"/>
                <w:b/>
                <w:bCs/>
                <w:color w:val="auto"/>
                <w:szCs w:val="21"/>
                <w:highlight w:val="none"/>
              </w:rPr>
            </w:pPr>
          </w:p>
        </w:tc>
        <w:tc>
          <w:tcPr>
            <w:tcW w:w="992" w:type="dxa"/>
          </w:tcPr>
          <w:p w14:paraId="5D3B5874">
            <w:pPr>
              <w:adjustRightInd w:val="0"/>
              <w:snapToGrid w:val="0"/>
              <w:spacing w:line="360" w:lineRule="auto"/>
              <w:rPr>
                <w:rFonts w:ascii="宋体" w:hAnsi="宋体" w:cs="宋体"/>
                <w:b/>
                <w:bCs/>
                <w:color w:val="auto"/>
                <w:szCs w:val="21"/>
                <w:highlight w:val="none"/>
              </w:rPr>
            </w:pPr>
          </w:p>
        </w:tc>
        <w:tc>
          <w:tcPr>
            <w:tcW w:w="1276" w:type="dxa"/>
          </w:tcPr>
          <w:p w14:paraId="48BD364D">
            <w:pPr>
              <w:adjustRightInd w:val="0"/>
              <w:snapToGrid w:val="0"/>
              <w:spacing w:line="360" w:lineRule="auto"/>
              <w:rPr>
                <w:rFonts w:ascii="宋体" w:hAnsi="宋体" w:cs="宋体"/>
                <w:b/>
                <w:bCs/>
                <w:color w:val="auto"/>
                <w:szCs w:val="21"/>
                <w:highlight w:val="none"/>
              </w:rPr>
            </w:pPr>
          </w:p>
        </w:tc>
        <w:tc>
          <w:tcPr>
            <w:tcW w:w="709" w:type="dxa"/>
          </w:tcPr>
          <w:p w14:paraId="1DD911D9">
            <w:pPr>
              <w:adjustRightInd w:val="0"/>
              <w:snapToGrid w:val="0"/>
              <w:spacing w:line="360" w:lineRule="auto"/>
              <w:rPr>
                <w:rFonts w:ascii="宋体" w:hAnsi="宋体" w:cs="宋体"/>
                <w:b/>
                <w:bCs/>
                <w:color w:val="auto"/>
                <w:szCs w:val="21"/>
                <w:highlight w:val="none"/>
              </w:rPr>
            </w:pPr>
          </w:p>
        </w:tc>
        <w:tc>
          <w:tcPr>
            <w:tcW w:w="1275" w:type="dxa"/>
          </w:tcPr>
          <w:p w14:paraId="2B8E7E8F">
            <w:pPr>
              <w:adjustRightInd w:val="0"/>
              <w:snapToGrid w:val="0"/>
              <w:spacing w:line="360" w:lineRule="auto"/>
              <w:rPr>
                <w:rFonts w:ascii="宋体" w:hAnsi="宋体" w:cs="宋体"/>
                <w:b/>
                <w:bCs/>
                <w:color w:val="auto"/>
                <w:szCs w:val="21"/>
                <w:highlight w:val="none"/>
              </w:rPr>
            </w:pPr>
          </w:p>
        </w:tc>
        <w:tc>
          <w:tcPr>
            <w:tcW w:w="916" w:type="dxa"/>
          </w:tcPr>
          <w:p w14:paraId="149A0DCB">
            <w:pPr>
              <w:adjustRightInd w:val="0"/>
              <w:snapToGrid w:val="0"/>
              <w:spacing w:line="360" w:lineRule="auto"/>
              <w:rPr>
                <w:rFonts w:ascii="宋体" w:hAnsi="宋体" w:cs="宋体"/>
                <w:b/>
                <w:bCs/>
                <w:color w:val="auto"/>
                <w:szCs w:val="21"/>
                <w:highlight w:val="none"/>
              </w:rPr>
            </w:pPr>
          </w:p>
        </w:tc>
        <w:tc>
          <w:tcPr>
            <w:tcW w:w="780" w:type="dxa"/>
          </w:tcPr>
          <w:p w14:paraId="750FD00D">
            <w:pPr>
              <w:adjustRightInd w:val="0"/>
              <w:snapToGrid w:val="0"/>
              <w:spacing w:line="360" w:lineRule="auto"/>
              <w:rPr>
                <w:rFonts w:ascii="宋体" w:hAnsi="宋体" w:cs="宋体"/>
                <w:b/>
                <w:bCs/>
                <w:color w:val="auto"/>
                <w:szCs w:val="21"/>
                <w:highlight w:val="none"/>
              </w:rPr>
            </w:pPr>
          </w:p>
        </w:tc>
      </w:tr>
      <w:tr w14:paraId="0143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04" w:type="dxa"/>
          </w:tcPr>
          <w:p w14:paraId="6D73509E">
            <w:pPr>
              <w:adjustRightInd w:val="0"/>
              <w:snapToGrid w:val="0"/>
              <w:spacing w:line="360" w:lineRule="auto"/>
              <w:rPr>
                <w:rFonts w:ascii="宋体" w:hAnsi="宋体" w:cs="宋体"/>
                <w:b/>
                <w:bCs/>
                <w:color w:val="auto"/>
                <w:szCs w:val="21"/>
                <w:highlight w:val="none"/>
              </w:rPr>
            </w:pPr>
          </w:p>
        </w:tc>
        <w:tc>
          <w:tcPr>
            <w:tcW w:w="1843" w:type="dxa"/>
          </w:tcPr>
          <w:p w14:paraId="7BE8B68E">
            <w:pPr>
              <w:adjustRightInd w:val="0"/>
              <w:snapToGrid w:val="0"/>
              <w:spacing w:line="360" w:lineRule="auto"/>
              <w:rPr>
                <w:rFonts w:ascii="宋体" w:hAnsi="宋体" w:cs="宋体"/>
                <w:b/>
                <w:bCs/>
                <w:color w:val="auto"/>
                <w:szCs w:val="21"/>
                <w:highlight w:val="none"/>
              </w:rPr>
            </w:pPr>
          </w:p>
        </w:tc>
        <w:tc>
          <w:tcPr>
            <w:tcW w:w="992" w:type="dxa"/>
          </w:tcPr>
          <w:p w14:paraId="29B05ADA">
            <w:pPr>
              <w:adjustRightInd w:val="0"/>
              <w:snapToGrid w:val="0"/>
              <w:spacing w:line="360" w:lineRule="auto"/>
              <w:rPr>
                <w:rFonts w:ascii="宋体" w:hAnsi="宋体" w:cs="宋体"/>
                <w:b/>
                <w:bCs/>
                <w:color w:val="auto"/>
                <w:szCs w:val="21"/>
                <w:highlight w:val="none"/>
              </w:rPr>
            </w:pPr>
          </w:p>
        </w:tc>
        <w:tc>
          <w:tcPr>
            <w:tcW w:w="1276" w:type="dxa"/>
          </w:tcPr>
          <w:p w14:paraId="6D9A1B02">
            <w:pPr>
              <w:adjustRightInd w:val="0"/>
              <w:snapToGrid w:val="0"/>
              <w:spacing w:line="360" w:lineRule="auto"/>
              <w:rPr>
                <w:rFonts w:ascii="宋体" w:hAnsi="宋体" w:cs="宋体"/>
                <w:b/>
                <w:bCs/>
                <w:color w:val="auto"/>
                <w:szCs w:val="21"/>
                <w:highlight w:val="none"/>
              </w:rPr>
            </w:pPr>
          </w:p>
        </w:tc>
        <w:tc>
          <w:tcPr>
            <w:tcW w:w="709" w:type="dxa"/>
          </w:tcPr>
          <w:p w14:paraId="4C0B164F">
            <w:pPr>
              <w:adjustRightInd w:val="0"/>
              <w:snapToGrid w:val="0"/>
              <w:spacing w:line="360" w:lineRule="auto"/>
              <w:rPr>
                <w:rFonts w:ascii="宋体" w:hAnsi="宋体" w:cs="宋体"/>
                <w:b/>
                <w:bCs/>
                <w:color w:val="auto"/>
                <w:szCs w:val="21"/>
                <w:highlight w:val="none"/>
              </w:rPr>
            </w:pPr>
          </w:p>
        </w:tc>
        <w:tc>
          <w:tcPr>
            <w:tcW w:w="1275" w:type="dxa"/>
          </w:tcPr>
          <w:p w14:paraId="6063B4D5">
            <w:pPr>
              <w:adjustRightInd w:val="0"/>
              <w:snapToGrid w:val="0"/>
              <w:spacing w:line="360" w:lineRule="auto"/>
              <w:rPr>
                <w:rFonts w:ascii="宋体" w:hAnsi="宋体" w:cs="宋体"/>
                <w:b/>
                <w:bCs/>
                <w:color w:val="auto"/>
                <w:szCs w:val="21"/>
                <w:highlight w:val="none"/>
              </w:rPr>
            </w:pPr>
          </w:p>
        </w:tc>
        <w:tc>
          <w:tcPr>
            <w:tcW w:w="916" w:type="dxa"/>
          </w:tcPr>
          <w:p w14:paraId="6C1D2AF0">
            <w:pPr>
              <w:adjustRightInd w:val="0"/>
              <w:snapToGrid w:val="0"/>
              <w:spacing w:line="360" w:lineRule="auto"/>
              <w:rPr>
                <w:rFonts w:ascii="宋体" w:hAnsi="宋体" w:cs="宋体"/>
                <w:b/>
                <w:bCs/>
                <w:color w:val="auto"/>
                <w:szCs w:val="21"/>
                <w:highlight w:val="none"/>
              </w:rPr>
            </w:pPr>
          </w:p>
        </w:tc>
        <w:tc>
          <w:tcPr>
            <w:tcW w:w="780" w:type="dxa"/>
          </w:tcPr>
          <w:p w14:paraId="3605380B">
            <w:pPr>
              <w:adjustRightInd w:val="0"/>
              <w:snapToGrid w:val="0"/>
              <w:spacing w:line="360" w:lineRule="auto"/>
              <w:rPr>
                <w:rFonts w:ascii="宋体" w:hAnsi="宋体" w:cs="宋体"/>
                <w:b/>
                <w:bCs/>
                <w:color w:val="auto"/>
                <w:szCs w:val="21"/>
                <w:highlight w:val="none"/>
              </w:rPr>
            </w:pPr>
          </w:p>
        </w:tc>
      </w:tr>
      <w:tr w14:paraId="5E3C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704" w:type="dxa"/>
          </w:tcPr>
          <w:p w14:paraId="1FF8DE3B">
            <w:pPr>
              <w:adjustRightInd w:val="0"/>
              <w:snapToGrid w:val="0"/>
              <w:spacing w:line="360" w:lineRule="auto"/>
              <w:rPr>
                <w:rFonts w:ascii="宋体" w:hAnsi="宋体" w:cs="宋体"/>
                <w:b/>
                <w:bCs/>
                <w:color w:val="auto"/>
                <w:szCs w:val="21"/>
                <w:highlight w:val="none"/>
              </w:rPr>
            </w:pPr>
          </w:p>
        </w:tc>
        <w:tc>
          <w:tcPr>
            <w:tcW w:w="1843" w:type="dxa"/>
          </w:tcPr>
          <w:p w14:paraId="297240CC">
            <w:pPr>
              <w:adjustRightInd w:val="0"/>
              <w:snapToGrid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w:t>
            </w:r>
          </w:p>
        </w:tc>
        <w:tc>
          <w:tcPr>
            <w:tcW w:w="992" w:type="dxa"/>
          </w:tcPr>
          <w:p w14:paraId="1F2C9C67">
            <w:pPr>
              <w:adjustRightInd w:val="0"/>
              <w:snapToGrid w:val="0"/>
              <w:spacing w:line="360" w:lineRule="auto"/>
              <w:rPr>
                <w:rFonts w:ascii="宋体" w:hAnsi="宋体" w:cs="宋体"/>
                <w:b/>
                <w:bCs/>
                <w:color w:val="auto"/>
                <w:szCs w:val="21"/>
                <w:highlight w:val="none"/>
              </w:rPr>
            </w:pPr>
          </w:p>
        </w:tc>
        <w:tc>
          <w:tcPr>
            <w:tcW w:w="1276" w:type="dxa"/>
          </w:tcPr>
          <w:p w14:paraId="0D78E5CA">
            <w:pPr>
              <w:adjustRightInd w:val="0"/>
              <w:snapToGrid w:val="0"/>
              <w:spacing w:line="360" w:lineRule="auto"/>
              <w:rPr>
                <w:rFonts w:ascii="宋体" w:hAnsi="宋体" w:cs="宋体"/>
                <w:b/>
                <w:bCs/>
                <w:color w:val="auto"/>
                <w:szCs w:val="21"/>
                <w:highlight w:val="none"/>
              </w:rPr>
            </w:pPr>
          </w:p>
        </w:tc>
        <w:tc>
          <w:tcPr>
            <w:tcW w:w="709" w:type="dxa"/>
          </w:tcPr>
          <w:p w14:paraId="7214215A">
            <w:pPr>
              <w:adjustRightInd w:val="0"/>
              <w:snapToGrid w:val="0"/>
              <w:spacing w:line="360" w:lineRule="auto"/>
              <w:rPr>
                <w:rFonts w:ascii="宋体" w:hAnsi="宋体" w:cs="宋体"/>
                <w:b/>
                <w:bCs/>
                <w:color w:val="auto"/>
                <w:szCs w:val="21"/>
                <w:highlight w:val="none"/>
              </w:rPr>
            </w:pPr>
          </w:p>
        </w:tc>
        <w:tc>
          <w:tcPr>
            <w:tcW w:w="1275" w:type="dxa"/>
          </w:tcPr>
          <w:p w14:paraId="09506D47">
            <w:pPr>
              <w:adjustRightInd w:val="0"/>
              <w:snapToGrid w:val="0"/>
              <w:spacing w:line="360" w:lineRule="auto"/>
              <w:rPr>
                <w:rFonts w:ascii="宋体" w:hAnsi="宋体" w:cs="宋体"/>
                <w:b/>
                <w:bCs/>
                <w:color w:val="auto"/>
                <w:szCs w:val="21"/>
                <w:highlight w:val="none"/>
              </w:rPr>
            </w:pPr>
          </w:p>
        </w:tc>
        <w:tc>
          <w:tcPr>
            <w:tcW w:w="916" w:type="dxa"/>
          </w:tcPr>
          <w:p w14:paraId="6D7CE421">
            <w:pPr>
              <w:adjustRightInd w:val="0"/>
              <w:snapToGrid w:val="0"/>
              <w:spacing w:line="360" w:lineRule="auto"/>
              <w:rPr>
                <w:rFonts w:ascii="宋体" w:hAnsi="宋体" w:cs="宋体"/>
                <w:b/>
                <w:bCs/>
                <w:color w:val="auto"/>
                <w:szCs w:val="21"/>
                <w:highlight w:val="none"/>
              </w:rPr>
            </w:pPr>
          </w:p>
        </w:tc>
        <w:tc>
          <w:tcPr>
            <w:tcW w:w="780" w:type="dxa"/>
          </w:tcPr>
          <w:p w14:paraId="6B48ADB0">
            <w:pPr>
              <w:adjustRightInd w:val="0"/>
              <w:snapToGrid w:val="0"/>
              <w:spacing w:line="360" w:lineRule="auto"/>
              <w:rPr>
                <w:rFonts w:ascii="宋体" w:hAnsi="宋体" w:cs="宋体"/>
                <w:b/>
                <w:bCs/>
                <w:color w:val="auto"/>
                <w:szCs w:val="21"/>
                <w:highlight w:val="none"/>
              </w:rPr>
            </w:pPr>
          </w:p>
        </w:tc>
      </w:tr>
      <w:tr w14:paraId="2B7E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04" w:type="dxa"/>
          </w:tcPr>
          <w:p w14:paraId="43E8142D">
            <w:pPr>
              <w:adjustRightInd w:val="0"/>
              <w:snapToGrid w:val="0"/>
              <w:spacing w:line="360" w:lineRule="auto"/>
              <w:rPr>
                <w:rFonts w:ascii="宋体" w:hAnsi="宋体" w:cs="宋体"/>
                <w:b/>
                <w:bCs/>
                <w:color w:val="auto"/>
                <w:szCs w:val="21"/>
                <w:highlight w:val="none"/>
              </w:rPr>
            </w:pPr>
          </w:p>
        </w:tc>
        <w:tc>
          <w:tcPr>
            <w:tcW w:w="1843" w:type="dxa"/>
          </w:tcPr>
          <w:p w14:paraId="395AD020">
            <w:pPr>
              <w:adjustRightInd w:val="0"/>
              <w:snapToGrid w:val="0"/>
              <w:spacing w:line="360" w:lineRule="auto"/>
              <w:rPr>
                <w:rFonts w:ascii="宋体" w:hAnsi="宋体" w:cs="宋体"/>
                <w:b/>
                <w:bCs/>
                <w:color w:val="auto"/>
                <w:szCs w:val="21"/>
                <w:highlight w:val="none"/>
              </w:rPr>
            </w:pPr>
          </w:p>
        </w:tc>
        <w:tc>
          <w:tcPr>
            <w:tcW w:w="992" w:type="dxa"/>
          </w:tcPr>
          <w:p w14:paraId="6BEF23EE">
            <w:pPr>
              <w:adjustRightInd w:val="0"/>
              <w:snapToGrid w:val="0"/>
              <w:spacing w:line="360" w:lineRule="auto"/>
              <w:rPr>
                <w:rFonts w:ascii="宋体" w:hAnsi="宋体" w:cs="宋体"/>
                <w:b/>
                <w:bCs/>
                <w:color w:val="auto"/>
                <w:szCs w:val="21"/>
                <w:highlight w:val="none"/>
              </w:rPr>
            </w:pPr>
          </w:p>
        </w:tc>
        <w:tc>
          <w:tcPr>
            <w:tcW w:w="1276" w:type="dxa"/>
          </w:tcPr>
          <w:p w14:paraId="5042462A">
            <w:pPr>
              <w:adjustRightInd w:val="0"/>
              <w:snapToGrid w:val="0"/>
              <w:spacing w:line="360" w:lineRule="auto"/>
              <w:rPr>
                <w:rFonts w:ascii="宋体" w:hAnsi="宋体" w:cs="宋体"/>
                <w:b/>
                <w:bCs/>
                <w:color w:val="auto"/>
                <w:szCs w:val="21"/>
                <w:highlight w:val="none"/>
              </w:rPr>
            </w:pPr>
          </w:p>
        </w:tc>
        <w:tc>
          <w:tcPr>
            <w:tcW w:w="709" w:type="dxa"/>
          </w:tcPr>
          <w:p w14:paraId="198A97E5">
            <w:pPr>
              <w:adjustRightInd w:val="0"/>
              <w:snapToGrid w:val="0"/>
              <w:spacing w:line="360" w:lineRule="auto"/>
              <w:rPr>
                <w:rFonts w:ascii="宋体" w:hAnsi="宋体" w:cs="宋体"/>
                <w:b/>
                <w:bCs/>
                <w:color w:val="auto"/>
                <w:szCs w:val="21"/>
                <w:highlight w:val="none"/>
              </w:rPr>
            </w:pPr>
          </w:p>
        </w:tc>
        <w:tc>
          <w:tcPr>
            <w:tcW w:w="1275" w:type="dxa"/>
          </w:tcPr>
          <w:p w14:paraId="74F1EF79">
            <w:pPr>
              <w:adjustRightInd w:val="0"/>
              <w:snapToGrid w:val="0"/>
              <w:spacing w:line="360" w:lineRule="auto"/>
              <w:rPr>
                <w:rFonts w:ascii="宋体" w:hAnsi="宋体" w:cs="宋体"/>
                <w:b/>
                <w:bCs/>
                <w:color w:val="auto"/>
                <w:szCs w:val="21"/>
                <w:highlight w:val="none"/>
              </w:rPr>
            </w:pPr>
          </w:p>
        </w:tc>
        <w:tc>
          <w:tcPr>
            <w:tcW w:w="916" w:type="dxa"/>
          </w:tcPr>
          <w:p w14:paraId="007CF982">
            <w:pPr>
              <w:adjustRightInd w:val="0"/>
              <w:snapToGrid w:val="0"/>
              <w:spacing w:line="360" w:lineRule="auto"/>
              <w:rPr>
                <w:rFonts w:ascii="宋体" w:hAnsi="宋体" w:cs="宋体"/>
                <w:b/>
                <w:bCs/>
                <w:color w:val="auto"/>
                <w:szCs w:val="21"/>
                <w:highlight w:val="none"/>
              </w:rPr>
            </w:pPr>
          </w:p>
        </w:tc>
        <w:tc>
          <w:tcPr>
            <w:tcW w:w="780" w:type="dxa"/>
          </w:tcPr>
          <w:p w14:paraId="557CB024">
            <w:pPr>
              <w:adjustRightInd w:val="0"/>
              <w:snapToGrid w:val="0"/>
              <w:spacing w:line="360" w:lineRule="auto"/>
              <w:rPr>
                <w:rFonts w:ascii="宋体" w:hAnsi="宋体" w:cs="宋体"/>
                <w:b/>
                <w:bCs/>
                <w:color w:val="auto"/>
                <w:szCs w:val="21"/>
                <w:highlight w:val="none"/>
              </w:rPr>
            </w:pPr>
          </w:p>
        </w:tc>
      </w:tr>
    </w:tbl>
    <w:p w14:paraId="2281AE85">
      <w:pPr>
        <w:adjustRightInd w:val="0"/>
        <w:snapToGrid w:val="0"/>
        <w:spacing w:line="360" w:lineRule="auto"/>
        <w:jc w:val="left"/>
        <w:rPr>
          <w:rFonts w:ascii="宋体" w:hAnsi="宋体" w:cs="宋体"/>
          <w:color w:val="auto"/>
          <w:sz w:val="22"/>
          <w:highlight w:val="none"/>
        </w:rPr>
      </w:pPr>
    </w:p>
    <w:p w14:paraId="6410DBFC">
      <w:pPr>
        <w:adjustRightInd w:val="0"/>
        <w:snapToGrid w:val="0"/>
        <w:spacing w:line="360" w:lineRule="auto"/>
        <w:jc w:val="left"/>
        <w:rPr>
          <w:rFonts w:ascii="宋体" w:hAnsi="宋体" w:cs="宋体"/>
          <w:color w:val="auto"/>
          <w:sz w:val="22"/>
          <w:highlight w:val="none"/>
        </w:rPr>
      </w:pPr>
      <w:r>
        <w:rPr>
          <w:rFonts w:hint="eastAsia" w:ascii="宋体" w:hAnsi="宋体" w:cs="宋体"/>
          <w:color w:val="auto"/>
          <w:sz w:val="22"/>
          <w:highlight w:val="none"/>
        </w:rPr>
        <w:t>注：</w:t>
      </w:r>
    </w:p>
    <w:p w14:paraId="75D4512C">
      <w:pPr>
        <w:numPr>
          <w:ilvl w:val="0"/>
          <w:numId w:val="11"/>
        </w:numPr>
        <w:adjustRightInd w:val="0"/>
        <w:snapToGrid w:val="0"/>
        <w:spacing w:line="360" w:lineRule="auto"/>
        <w:jc w:val="left"/>
        <w:rPr>
          <w:color w:val="auto"/>
          <w:szCs w:val="21"/>
          <w:highlight w:val="none"/>
        </w:rPr>
      </w:pPr>
      <w:r>
        <w:rPr>
          <w:rFonts w:hint="eastAsia" w:ascii="宋体" w:hAnsi="宋体" w:cs="宋体"/>
          <w:color w:val="auto"/>
          <w:szCs w:val="21"/>
          <w:highlight w:val="none"/>
        </w:rPr>
        <w:t>投标人根据所投产品实际需要填写产品使用、售后服务、维修过程中可能涉及的</w:t>
      </w:r>
      <w:r>
        <w:rPr>
          <w:rFonts w:hint="eastAsia"/>
          <w:color w:val="auto"/>
          <w:szCs w:val="21"/>
          <w:highlight w:val="none"/>
        </w:rPr>
        <w:t>随机配件、附件、耗材等。</w:t>
      </w:r>
    </w:p>
    <w:p w14:paraId="6D3B0423">
      <w:pPr>
        <w:spacing w:line="520" w:lineRule="exact"/>
        <w:rPr>
          <w:rFonts w:ascii="宋体" w:hAnsi="宋体" w:cs="宋体"/>
          <w:color w:val="auto"/>
          <w:szCs w:val="21"/>
          <w:highlight w:val="none"/>
        </w:rPr>
      </w:pPr>
      <w:r>
        <w:rPr>
          <w:rFonts w:hint="eastAsia" w:ascii="宋体" w:hAnsi="宋体" w:cs="宋体"/>
          <w:color w:val="auto"/>
          <w:szCs w:val="21"/>
          <w:highlight w:val="none"/>
        </w:rPr>
        <w:t>2.若没有则不填写。</w:t>
      </w:r>
    </w:p>
    <w:p w14:paraId="0C1A9600">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（单位电子印章）</w:t>
      </w:r>
    </w:p>
    <w:p w14:paraId="72F92509">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（电子签章或签字）</w:t>
      </w:r>
    </w:p>
    <w:p w14:paraId="5B0EBC75">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F60CDD0">
      <w:pPr>
        <w:rPr>
          <w:rFonts w:ascii="宋体" w:hAnsi="宋体" w:cs="宋体"/>
          <w:b/>
          <w:color w:val="auto"/>
          <w:sz w:val="32"/>
          <w:szCs w:val="32"/>
          <w:highlight w:val="none"/>
        </w:rPr>
      </w:pPr>
      <w:r>
        <w:rPr>
          <w:rFonts w:ascii="宋体" w:hAnsi="宋体" w:cs="宋体"/>
          <w:b/>
          <w:color w:val="auto"/>
          <w:sz w:val="32"/>
          <w:szCs w:val="32"/>
          <w:highlight w:val="none"/>
        </w:rPr>
        <w:br w:type="page"/>
      </w:r>
    </w:p>
    <w:p w14:paraId="1FC48153">
      <w:pPr>
        <w:pStyle w:val="3"/>
        <w:ind w:left="-1"/>
        <w:rPr>
          <w:bCs/>
          <w:color w:val="auto"/>
          <w:szCs w:val="21"/>
          <w:highlight w:val="none"/>
        </w:rPr>
      </w:pPr>
      <w:bookmarkStart w:id="322" w:name="_Toc14862"/>
      <w:bookmarkStart w:id="323" w:name="_Toc23322"/>
      <w:bookmarkStart w:id="324" w:name="_Toc25167"/>
      <w:bookmarkStart w:id="325" w:name="_Toc4177"/>
      <w:bookmarkStart w:id="326" w:name="_Toc28212"/>
      <w:bookmarkStart w:id="327" w:name="_Toc1014633605"/>
      <w:bookmarkStart w:id="328" w:name="_Toc1512"/>
      <w:r>
        <w:rPr>
          <w:rFonts w:hint="eastAsia"/>
          <w:color w:val="auto"/>
          <w:sz w:val="32"/>
          <w:szCs w:val="21"/>
          <w:highlight w:val="none"/>
        </w:rPr>
        <w:t>五、响应偏离表</w:t>
      </w:r>
      <w:bookmarkEnd w:id="322"/>
      <w:bookmarkEnd w:id="323"/>
      <w:bookmarkEnd w:id="324"/>
      <w:bookmarkEnd w:id="325"/>
      <w:bookmarkEnd w:id="326"/>
      <w:bookmarkEnd w:id="327"/>
      <w:bookmarkEnd w:id="328"/>
      <w:bookmarkStart w:id="329" w:name="_Toc10704"/>
    </w:p>
    <w:p w14:paraId="50A2220C">
      <w:pPr>
        <w:pStyle w:val="4"/>
        <w:jc w:val="center"/>
        <w:rPr>
          <w:rFonts w:hAnsi="宋体" w:cs="宋体"/>
          <w:bCs/>
          <w:color w:val="auto"/>
          <w:sz w:val="21"/>
          <w:szCs w:val="21"/>
          <w:highlight w:val="none"/>
        </w:rPr>
      </w:pPr>
      <w:bookmarkStart w:id="330" w:name="_Toc32028"/>
      <w:bookmarkStart w:id="331" w:name="_Toc1926842055"/>
      <w:r>
        <w:rPr>
          <w:rFonts w:hint="eastAsia" w:hAnsi="宋体" w:cs="宋体"/>
          <w:bCs/>
          <w:color w:val="auto"/>
          <w:sz w:val="21"/>
          <w:szCs w:val="21"/>
          <w:highlight w:val="none"/>
        </w:rPr>
        <w:t>1、技术响应偏离表</w:t>
      </w:r>
      <w:bookmarkEnd w:id="329"/>
      <w:bookmarkEnd w:id="330"/>
      <w:bookmarkEnd w:id="331"/>
    </w:p>
    <w:tbl>
      <w:tblPr>
        <w:tblStyle w:val="3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837"/>
        <w:gridCol w:w="1685"/>
        <w:gridCol w:w="1460"/>
        <w:gridCol w:w="1112"/>
        <w:gridCol w:w="1108"/>
        <w:gridCol w:w="1348"/>
        <w:gridCol w:w="930"/>
      </w:tblGrid>
      <w:tr w14:paraId="52AC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297" w:type="pct"/>
            <w:vAlign w:val="center"/>
          </w:tcPr>
          <w:p w14:paraId="7700F87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464" w:type="pct"/>
            <w:vAlign w:val="center"/>
          </w:tcPr>
          <w:p w14:paraId="7B496384">
            <w:pPr>
              <w:rPr>
                <w:rFonts w:ascii="宋体" w:hAnsi="宋体" w:cs="宋体"/>
                <w:color w:val="auto"/>
                <w:szCs w:val="21"/>
                <w:highlight w:val="none"/>
              </w:rPr>
            </w:pPr>
            <w:r>
              <w:rPr>
                <w:rFonts w:hint="eastAsia" w:ascii="宋体" w:hAnsi="宋体" w:cs="宋体"/>
                <w:color w:val="auto"/>
                <w:szCs w:val="21"/>
                <w:highlight w:val="none"/>
              </w:rPr>
              <w:t>重要性（*）</w:t>
            </w:r>
          </w:p>
        </w:tc>
        <w:tc>
          <w:tcPr>
            <w:tcW w:w="934" w:type="pct"/>
            <w:vAlign w:val="center"/>
          </w:tcPr>
          <w:p w14:paraId="497BC141">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技术参数</w:t>
            </w:r>
          </w:p>
        </w:tc>
        <w:tc>
          <w:tcPr>
            <w:tcW w:w="809" w:type="pct"/>
            <w:vAlign w:val="center"/>
          </w:tcPr>
          <w:p w14:paraId="2BB1AFA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投标文件响应</w:t>
            </w:r>
          </w:p>
        </w:tc>
        <w:tc>
          <w:tcPr>
            <w:tcW w:w="616" w:type="pct"/>
            <w:vAlign w:val="center"/>
          </w:tcPr>
          <w:p w14:paraId="5AACA017">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偏离描述</w:t>
            </w:r>
          </w:p>
        </w:tc>
        <w:tc>
          <w:tcPr>
            <w:tcW w:w="614" w:type="pct"/>
            <w:vAlign w:val="center"/>
          </w:tcPr>
          <w:p w14:paraId="2B8666F3">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偏离情况（</w:t>
            </w:r>
            <w:r>
              <w:rPr>
                <w:rFonts w:hint="eastAsia" w:ascii="宋体" w:hAnsi="宋体" w:cs="宋体"/>
                <w:b/>
                <w:color w:val="auto"/>
                <w:szCs w:val="21"/>
                <w:highlight w:val="none"/>
              </w:rPr>
              <w:t>正偏离/负偏离/无偏离</w:t>
            </w:r>
            <w:r>
              <w:rPr>
                <w:rFonts w:hint="eastAsia" w:ascii="宋体" w:hAnsi="宋体" w:cs="宋体"/>
                <w:color w:val="auto"/>
                <w:szCs w:val="21"/>
                <w:highlight w:val="none"/>
              </w:rPr>
              <w:t>）</w:t>
            </w:r>
          </w:p>
        </w:tc>
        <w:tc>
          <w:tcPr>
            <w:tcW w:w="747" w:type="pct"/>
            <w:vAlign w:val="center"/>
          </w:tcPr>
          <w:p w14:paraId="5E2854E3">
            <w:pPr>
              <w:spacing w:line="400" w:lineRule="exact"/>
              <w:jc w:val="center"/>
              <w:rPr>
                <w:rFonts w:ascii="宋体" w:hAnsi="宋体" w:cs="宋体"/>
                <w:color w:val="auto"/>
                <w:szCs w:val="21"/>
                <w:highlight w:val="none"/>
              </w:rPr>
            </w:pPr>
            <w:r>
              <w:rPr>
                <w:rFonts w:hint="eastAsia"/>
                <w:color w:val="auto"/>
                <w:kern w:val="0"/>
                <w:szCs w:val="21"/>
                <w:highlight w:val="none"/>
              </w:rPr>
              <w:t>技术偏离索引</w:t>
            </w:r>
            <w:r>
              <w:rPr>
                <w:rFonts w:hint="eastAsia"/>
                <w:b/>
                <w:bCs/>
                <w:color w:val="auto"/>
                <w:kern w:val="0"/>
                <w:szCs w:val="21"/>
                <w:highlight w:val="none"/>
              </w:rPr>
              <w:t>（</w:t>
            </w:r>
            <w:r>
              <w:rPr>
                <w:rFonts w:hint="eastAsia" w:ascii="宋体" w:hAnsi="宋体" w:cs="宋体"/>
                <w:b/>
                <w:bCs/>
                <w:color w:val="auto"/>
                <w:szCs w:val="21"/>
                <w:highlight w:val="none"/>
              </w:rPr>
              <w:t>注明技术证明材料对应的投标文件页码</w:t>
            </w:r>
            <w:r>
              <w:rPr>
                <w:rFonts w:hint="eastAsia" w:ascii="宋体" w:hAnsi="宋体" w:cs="宋体"/>
                <w:color w:val="auto"/>
                <w:szCs w:val="21"/>
                <w:highlight w:val="none"/>
              </w:rPr>
              <w:t>）</w:t>
            </w:r>
          </w:p>
        </w:tc>
        <w:tc>
          <w:tcPr>
            <w:tcW w:w="515" w:type="pct"/>
            <w:vAlign w:val="center"/>
          </w:tcPr>
          <w:p w14:paraId="4C4D75C9">
            <w:pPr>
              <w:spacing w:line="400" w:lineRule="exact"/>
              <w:jc w:val="center"/>
              <w:rPr>
                <w:color w:val="auto"/>
                <w:kern w:val="0"/>
                <w:szCs w:val="21"/>
                <w:highlight w:val="none"/>
              </w:rPr>
            </w:pPr>
            <w:r>
              <w:rPr>
                <w:rFonts w:hint="eastAsia"/>
                <w:color w:val="auto"/>
                <w:kern w:val="0"/>
                <w:szCs w:val="21"/>
                <w:highlight w:val="none"/>
              </w:rPr>
              <w:t>备注</w:t>
            </w:r>
          </w:p>
        </w:tc>
      </w:tr>
      <w:tr w14:paraId="1073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97" w:type="pct"/>
            <w:vAlign w:val="center"/>
          </w:tcPr>
          <w:p w14:paraId="3DDFDDB0">
            <w:pPr>
              <w:spacing w:line="400" w:lineRule="exact"/>
              <w:jc w:val="center"/>
              <w:rPr>
                <w:rFonts w:ascii="宋体" w:hAnsi="宋体" w:cs="宋体"/>
                <w:b/>
                <w:color w:val="auto"/>
                <w:szCs w:val="21"/>
                <w:highlight w:val="none"/>
              </w:rPr>
            </w:pPr>
          </w:p>
        </w:tc>
        <w:tc>
          <w:tcPr>
            <w:tcW w:w="464" w:type="pct"/>
            <w:vAlign w:val="center"/>
          </w:tcPr>
          <w:p w14:paraId="50488BD8">
            <w:pPr>
              <w:spacing w:line="400" w:lineRule="exact"/>
              <w:jc w:val="center"/>
              <w:rPr>
                <w:rFonts w:ascii="宋体" w:hAnsi="宋体" w:cs="宋体"/>
                <w:b/>
                <w:color w:val="auto"/>
                <w:szCs w:val="21"/>
                <w:highlight w:val="none"/>
              </w:rPr>
            </w:pPr>
          </w:p>
        </w:tc>
        <w:tc>
          <w:tcPr>
            <w:tcW w:w="934" w:type="pct"/>
            <w:vAlign w:val="center"/>
          </w:tcPr>
          <w:p w14:paraId="0A29AE52">
            <w:pPr>
              <w:spacing w:line="400" w:lineRule="exact"/>
              <w:jc w:val="center"/>
              <w:rPr>
                <w:rFonts w:ascii="宋体" w:hAnsi="宋体" w:cs="宋体"/>
                <w:b/>
                <w:color w:val="auto"/>
                <w:szCs w:val="21"/>
                <w:highlight w:val="none"/>
              </w:rPr>
            </w:pPr>
          </w:p>
        </w:tc>
        <w:tc>
          <w:tcPr>
            <w:tcW w:w="809" w:type="pct"/>
            <w:vAlign w:val="center"/>
          </w:tcPr>
          <w:p w14:paraId="7C1132E3">
            <w:pPr>
              <w:spacing w:line="400" w:lineRule="exact"/>
              <w:jc w:val="center"/>
              <w:rPr>
                <w:rFonts w:ascii="宋体" w:hAnsi="宋体" w:cs="宋体"/>
                <w:b/>
                <w:color w:val="auto"/>
                <w:szCs w:val="21"/>
                <w:highlight w:val="none"/>
              </w:rPr>
            </w:pPr>
          </w:p>
        </w:tc>
        <w:tc>
          <w:tcPr>
            <w:tcW w:w="616" w:type="pct"/>
            <w:vAlign w:val="center"/>
          </w:tcPr>
          <w:p w14:paraId="3ADA2A06">
            <w:pPr>
              <w:spacing w:line="400" w:lineRule="exact"/>
              <w:jc w:val="center"/>
              <w:rPr>
                <w:rFonts w:ascii="宋体" w:hAnsi="宋体" w:cs="宋体"/>
                <w:b/>
                <w:color w:val="auto"/>
                <w:szCs w:val="21"/>
                <w:highlight w:val="none"/>
              </w:rPr>
            </w:pPr>
          </w:p>
        </w:tc>
        <w:tc>
          <w:tcPr>
            <w:tcW w:w="614" w:type="pct"/>
            <w:vAlign w:val="center"/>
          </w:tcPr>
          <w:p w14:paraId="5E8AEFE2">
            <w:pPr>
              <w:spacing w:line="400" w:lineRule="exact"/>
              <w:jc w:val="center"/>
              <w:rPr>
                <w:rFonts w:ascii="宋体" w:hAnsi="宋体" w:cs="宋体"/>
                <w:b/>
                <w:color w:val="auto"/>
                <w:szCs w:val="21"/>
                <w:highlight w:val="none"/>
              </w:rPr>
            </w:pPr>
          </w:p>
        </w:tc>
        <w:tc>
          <w:tcPr>
            <w:tcW w:w="747" w:type="pct"/>
          </w:tcPr>
          <w:p w14:paraId="1321AAC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 xml:space="preserve"> </w:t>
            </w:r>
          </w:p>
        </w:tc>
        <w:tc>
          <w:tcPr>
            <w:tcW w:w="515" w:type="pct"/>
          </w:tcPr>
          <w:p w14:paraId="0DA1BA43">
            <w:pPr>
              <w:spacing w:line="400" w:lineRule="exact"/>
              <w:jc w:val="center"/>
              <w:rPr>
                <w:rFonts w:ascii="宋体" w:hAnsi="宋体" w:cs="宋体"/>
                <w:color w:val="auto"/>
                <w:szCs w:val="21"/>
                <w:highlight w:val="none"/>
              </w:rPr>
            </w:pPr>
          </w:p>
        </w:tc>
      </w:tr>
      <w:tr w14:paraId="755C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97" w:type="pct"/>
            <w:vAlign w:val="center"/>
          </w:tcPr>
          <w:p w14:paraId="34B5607C">
            <w:pPr>
              <w:widowControl/>
              <w:rPr>
                <w:rFonts w:ascii="宋体" w:hAnsi="宋体" w:cs="宋体"/>
                <w:color w:val="auto"/>
                <w:szCs w:val="21"/>
                <w:highlight w:val="none"/>
              </w:rPr>
            </w:pPr>
          </w:p>
        </w:tc>
        <w:tc>
          <w:tcPr>
            <w:tcW w:w="464" w:type="pct"/>
            <w:vAlign w:val="center"/>
          </w:tcPr>
          <w:p w14:paraId="2D434047">
            <w:pPr>
              <w:widowControl/>
              <w:rPr>
                <w:rFonts w:ascii="宋体" w:hAnsi="宋体" w:cs="宋体"/>
                <w:color w:val="auto"/>
                <w:szCs w:val="21"/>
                <w:highlight w:val="none"/>
              </w:rPr>
            </w:pPr>
          </w:p>
        </w:tc>
        <w:tc>
          <w:tcPr>
            <w:tcW w:w="934" w:type="pct"/>
            <w:vAlign w:val="center"/>
          </w:tcPr>
          <w:p w14:paraId="0805A55C">
            <w:pPr>
              <w:widowControl/>
              <w:rPr>
                <w:rFonts w:ascii="宋体" w:hAnsi="宋体" w:cs="宋体"/>
                <w:color w:val="auto"/>
                <w:szCs w:val="21"/>
                <w:highlight w:val="none"/>
              </w:rPr>
            </w:pPr>
          </w:p>
        </w:tc>
        <w:tc>
          <w:tcPr>
            <w:tcW w:w="809" w:type="pct"/>
            <w:vAlign w:val="center"/>
          </w:tcPr>
          <w:p w14:paraId="5BA56B6C">
            <w:pPr>
              <w:widowControl/>
              <w:rPr>
                <w:rFonts w:ascii="宋体" w:hAnsi="宋体" w:cs="宋体"/>
                <w:color w:val="auto"/>
                <w:szCs w:val="21"/>
                <w:highlight w:val="none"/>
              </w:rPr>
            </w:pPr>
          </w:p>
        </w:tc>
        <w:tc>
          <w:tcPr>
            <w:tcW w:w="616" w:type="pct"/>
            <w:vAlign w:val="center"/>
          </w:tcPr>
          <w:p w14:paraId="7417067E">
            <w:pPr>
              <w:widowControl/>
              <w:rPr>
                <w:rFonts w:ascii="宋体" w:hAnsi="宋体" w:cs="宋体"/>
                <w:color w:val="auto"/>
                <w:szCs w:val="21"/>
                <w:highlight w:val="none"/>
              </w:rPr>
            </w:pPr>
          </w:p>
        </w:tc>
        <w:tc>
          <w:tcPr>
            <w:tcW w:w="614" w:type="pct"/>
            <w:vAlign w:val="center"/>
          </w:tcPr>
          <w:p w14:paraId="3260FE12">
            <w:pPr>
              <w:widowControl/>
              <w:rPr>
                <w:rFonts w:ascii="宋体" w:hAnsi="宋体" w:cs="宋体"/>
                <w:color w:val="auto"/>
                <w:szCs w:val="21"/>
                <w:highlight w:val="none"/>
              </w:rPr>
            </w:pPr>
          </w:p>
        </w:tc>
        <w:tc>
          <w:tcPr>
            <w:tcW w:w="747" w:type="pct"/>
          </w:tcPr>
          <w:p w14:paraId="4DFFBA67">
            <w:pPr>
              <w:spacing w:line="400" w:lineRule="exact"/>
              <w:rPr>
                <w:rFonts w:ascii="宋体" w:hAnsi="宋体" w:cs="宋体"/>
                <w:color w:val="auto"/>
                <w:szCs w:val="21"/>
                <w:highlight w:val="none"/>
              </w:rPr>
            </w:pPr>
          </w:p>
        </w:tc>
        <w:tc>
          <w:tcPr>
            <w:tcW w:w="515" w:type="pct"/>
          </w:tcPr>
          <w:p w14:paraId="669ECE4B">
            <w:pPr>
              <w:spacing w:line="400" w:lineRule="exact"/>
              <w:rPr>
                <w:rFonts w:ascii="宋体" w:hAnsi="宋体" w:cs="宋体"/>
                <w:color w:val="auto"/>
                <w:szCs w:val="21"/>
                <w:highlight w:val="none"/>
              </w:rPr>
            </w:pPr>
          </w:p>
        </w:tc>
      </w:tr>
      <w:tr w14:paraId="1D67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97" w:type="pct"/>
            <w:vAlign w:val="center"/>
          </w:tcPr>
          <w:p w14:paraId="0B16DE9D">
            <w:pPr>
              <w:widowControl/>
              <w:rPr>
                <w:rFonts w:ascii="宋体" w:hAnsi="宋体" w:cs="宋体"/>
                <w:color w:val="auto"/>
                <w:szCs w:val="21"/>
                <w:highlight w:val="none"/>
              </w:rPr>
            </w:pPr>
          </w:p>
        </w:tc>
        <w:tc>
          <w:tcPr>
            <w:tcW w:w="464" w:type="pct"/>
            <w:vAlign w:val="center"/>
          </w:tcPr>
          <w:p w14:paraId="0766E0D0">
            <w:pPr>
              <w:widowControl/>
              <w:rPr>
                <w:rFonts w:ascii="宋体" w:hAnsi="宋体" w:cs="宋体"/>
                <w:color w:val="auto"/>
                <w:szCs w:val="21"/>
                <w:highlight w:val="none"/>
              </w:rPr>
            </w:pPr>
          </w:p>
        </w:tc>
        <w:tc>
          <w:tcPr>
            <w:tcW w:w="934" w:type="pct"/>
            <w:vAlign w:val="center"/>
          </w:tcPr>
          <w:p w14:paraId="10CB52BF">
            <w:pPr>
              <w:widowControl/>
              <w:rPr>
                <w:rFonts w:ascii="宋体" w:hAnsi="宋体" w:cs="宋体"/>
                <w:color w:val="auto"/>
                <w:szCs w:val="21"/>
                <w:highlight w:val="none"/>
              </w:rPr>
            </w:pPr>
          </w:p>
        </w:tc>
        <w:tc>
          <w:tcPr>
            <w:tcW w:w="809" w:type="pct"/>
            <w:vAlign w:val="center"/>
          </w:tcPr>
          <w:p w14:paraId="6332324A">
            <w:pPr>
              <w:widowControl/>
              <w:rPr>
                <w:rFonts w:ascii="宋体" w:hAnsi="宋体" w:cs="宋体"/>
                <w:color w:val="auto"/>
                <w:szCs w:val="21"/>
                <w:highlight w:val="none"/>
              </w:rPr>
            </w:pPr>
          </w:p>
        </w:tc>
        <w:tc>
          <w:tcPr>
            <w:tcW w:w="616" w:type="pct"/>
            <w:vAlign w:val="center"/>
          </w:tcPr>
          <w:p w14:paraId="17C036F9">
            <w:pPr>
              <w:widowControl/>
              <w:rPr>
                <w:rFonts w:ascii="宋体" w:hAnsi="宋体" w:cs="宋体"/>
                <w:color w:val="auto"/>
                <w:szCs w:val="21"/>
                <w:highlight w:val="none"/>
              </w:rPr>
            </w:pPr>
          </w:p>
        </w:tc>
        <w:tc>
          <w:tcPr>
            <w:tcW w:w="614" w:type="pct"/>
            <w:vAlign w:val="center"/>
          </w:tcPr>
          <w:p w14:paraId="4409AC20">
            <w:pPr>
              <w:widowControl/>
              <w:rPr>
                <w:rFonts w:ascii="宋体" w:hAnsi="宋体" w:cs="宋体"/>
                <w:color w:val="auto"/>
                <w:szCs w:val="21"/>
                <w:highlight w:val="none"/>
              </w:rPr>
            </w:pPr>
          </w:p>
        </w:tc>
        <w:tc>
          <w:tcPr>
            <w:tcW w:w="747" w:type="pct"/>
          </w:tcPr>
          <w:p w14:paraId="421D0DE8">
            <w:pPr>
              <w:widowControl/>
              <w:rPr>
                <w:rFonts w:ascii="宋体" w:hAnsi="宋体" w:cs="宋体"/>
                <w:color w:val="auto"/>
                <w:szCs w:val="21"/>
                <w:highlight w:val="none"/>
              </w:rPr>
            </w:pPr>
          </w:p>
        </w:tc>
        <w:tc>
          <w:tcPr>
            <w:tcW w:w="515" w:type="pct"/>
          </w:tcPr>
          <w:p w14:paraId="6FAB65A7">
            <w:pPr>
              <w:widowControl/>
              <w:rPr>
                <w:rFonts w:ascii="宋体" w:hAnsi="宋体" w:cs="宋体"/>
                <w:color w:val="auto"/>
                <w:szCs w:val="21"/>
                <w:highlight w:val="none"/>
              </w:rPr>
            </w:pPr>
          </w:p>
        </w:tc>
      </w:tr>
      <w:tr w14:paraId="65ED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97" w:type="pct"/>
            <w:vAlign w:val="center"/>
          </w:tcPr>
          <w:p w14:paraId="2F2B1601">
            <w:pPr>
              <w:widowControl/>
              <w:rPr>
                <w:rFonts w:ascii="宋体" w:hAnsi="宋体" w:cs="宋体"/>
                <w:color w:val="auto"/>
                <w:szCs w:val="21"/>
                <w:highlight w:val="none"/>
              </w:rPr>
            </w:pPr>
          </w:p>
        </w:tc>
        <w:tc>
          <w:tcPr>
            <w:tcW w:w="464" w:type="pct"/>
            <w:vAlign w:val="center"/>
          </w:tcPr>
          <w:p w14:paraId="22F7EE8B">
            <w:pPr>
              <w:widowControl/>
              <w:rPr>
                <w:rFonts w:ascii="宋体" w:hAnsi="宋体" w:cs="宋体"/>
                <w:color w:val="auto"/>
                <w:szCs w:val="21"/>
                <w:highlight w:val="none"/>
              </w:rPr>
            </w:pPr>
          </w:p>
        </w:tc>
        <w:tc>
          <w:tcPr>
            <w:tcW w:w="934" w:type="pct"/>
            <w:vAlign w:val="center"/>
          </w:tcPr>
          <w:p w14:paraId="1C871D98">
            <w:pPr>
              <w:widowControl/>
              <w:rPr>
                <w:rFonts w:ascii="宋体" w:hAnsi="宋体" w:cs="宋体"/>
                <w:color w:val="auto"/>
                <w:szCs w:val="21"/>
                <w:highlight w:val="none"/>
              </w:rPr>
            </w:pPr>
          </w:p>
        </w:tc>
        <w:tc>
          <w:tcPr>
            <w:tcW w:w="809" w:type="pct"/>
            <w:vAlign w:val="center"/>
          </w:tcPr>
          <w:p w14:paraId="0687148F">
            <w:pPr>
              <w:widowControl/>
              <w:rPr>
                <w:rFonts w:ascii="宋体" w:hAnsi="宋体" w:cs="宋体"/>
                <w:color w:val="auto"/>
                <w:szCs w:val="21"/>
                <w:highlight w:val="none"/>
              </w:rPr>
            </w:pPr>
          </w:p>
        </w:tc>
        <w:tc>
          <w:tcPr>
            <w:tcW w:w="616" w:type="pct"/>
            <w:vAlign w:val="center"/>
          </w:tcPr>
          <w:p w14:paraId="072C583E">
            <w:pPr>
              <w:widowControl/>
              <w:rPr>
                <w:rFonts w:ascii="宋体" w:hAnsi="宋体" w:cs="宋体"/>
                <w:color w:val="auto"/>
                <w:szCs w:val="21"/>
                <w:highlight w:val="none"/>
              </w:rPr>
            </w:pPr>
          </w:p>
        </w:tc>
        <w:tc>
          <w:tcPr>
            <w:tcW w:w="614" w:type="pct"/>
            <w:vAlign w:val="center"/>
          </w:tcPr>
          <w:p w14:paraId="4B41EF08">
            <w:pPr>
              <w:widowControl/>
              <w:rPr>
                <w:rFonts w:ascii="宋体" w:hAnsi="宋体" w:cs="宋体"/>
                <w:color w:val="auto"/>
                <w:szCs w:val="21"/>
                <w:highlight w:val="none"/>
              </w:rPr>
            </w:pPr>
          </w:p>
        </w:tc>
        <w:tc>
          <w:tcPr>
            <w:tcW w:w="747" w:type="pct"/>
          </w:tcPr>
          <w:p w14:paraId="3B7BDBB3">
            <w:pPr>
              <w:widowControl/>
              <w:rPr>
                <w:rFonts w:ascii="宋体" w:hAnsi="宋体" w:cs="宋体"/>
                <w:color w:val="auto"/>
                <w:szCs w:val="21"/>
                <w:highlight w:val="none"/>
              </w:rPr>
            </w:pPr>
          </w:p>
        </w:tc>
        <w:tc>
          <w:tcPr>
            <w:tcW w:w="515" w:type="pct"/>
          </w:tcPr>
          <w:p w14:paraId="19A83B0B">
            <w:pPr>
              <w:widowControl/>
              <w:rPr>
                <w:rFonts w:ascii="宋体" w:hAnsi="宋体" w:cs="宋体"/>
                <w:color w:val="auto"/>
                <w:szCs w:val="21"/>
                <w:highlight w:val="none"/>
              </w:rPr>
            </w:pPr>
          </w:p>
        </w:tc>
      </w:tr>
      <w:tr w14:paraId="1D27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97" w:type="pct"/>
            <w:vAlign w:val="center"/>
          </w:tcPr>
          <w:p w14:paraId="72B9E761">
            <w:pPr>
              <w:widowControl/>
              <w:rPr>
                <w:rFonts w:ascii="宋体" w:hAnsi="宋体" w:cs="宋体"/>
                <w:color w:val="auto"/>
                <w:szCs w:val="21"/>
                <w:highlight w:val="none"/>
              </w:rPr>
            </w:pPr>
          </w:p>
        </w:tc>
        <w:tc>
          <w:tcPr>
            <w:tcW w:w="464" w:type="pct"/>
            <w:vAlign w:val="center"/>
          </w:tcPr>
          <w:p w14:paraId="60EE64B4">
            <w:pPr>
              <w:widowControl/>
              <w:rPr>
                <w:rFonts w:ascii="宋体" w:hAnsi="宋体" w:cs="宋体"/>
                <w:color w:val="auto"/>
                <w:szCs w:val="21"/>
                <w:highlight w:val="none"/>
              </w:rPr>
            </w:pPr>
          </w:p>
        </w:tc>
        <w:tc>
          <w:tcPr>
            <w:tcW w:w="934" w:type="pct"/>
            <w:vAlign w:val="center"/>
          </w:tcPr>
          <w:p w14:paraId="349A3FF5">
            <w:pPr>
              <w:widowControl/>
              <w:rPr>
                <w:rFonts w:ascii="宋体" w:hAnsi="宋体" w:cs="宋体"/>
                <w:color w:val="auto"/>
                <w:szCs w:val="21"/>
                <w:highlight w:val="none"/>
              </w:rPr>
            </w:pPr>
          </w:p>
        </w:tc>
        <w:tc>
          <w:tcPr>
            <w:tcW w:w="809" w:type="pct"/>
            <w:vAlign w:val="center"/>
          </w:tcPr>
          <w:p w14:paraId="1C94696E">
            <w:pPr>
              <w:widowControl/>
              <w:rPr>
                <w:rFonts w:ascii="宋体" w:hAnsi="宋体" w:cs="宋体"/>
                <w:color w:val="auto"/>
                <w:szCs w:val="21"/>
                <w:highlight w:val="none"/>
              </w:rPr>
            </w:pPr>
          </w:p>
        </w:tc>
        <w:tc>
          <w:tcPr>
            <w:tcW w:w="616" w:type="pct"/>
            <w:vAlign w:val="center"/>
          </w:tcPr>
          <w:p w14:paraId="049D691F">
            <w:pPr>
              <w:widowControl/>
              <w:rPr>
                <w:rFonts w:ascii="宋体" w:hAnsi="宋体" w:cs="宋体"/>
                <w:color w:val="auto"/>
                <w:szCs w:val="21"/>
                <w:highlight w:val="none"/>
              </w:rPr>
            </w:pPr>
          </w:p>
        </w:tc>
        <w:tc>
          <w:tcPr>
            <w:tcW w:w="614" w:type="pct"/>
            <w:vAlign w:val="center"/>
          </w:tcPr>
          <w:p w14:paraId="25D67AAB">
            <w:pPr>
              <w:widowControl/>
              <w:rPr>
                <w:rFonts w:ascii="宋体" w:hAnsi="宋体" w:cs="宋体"/>
                <w:color w:val="auto"/>
                <w:szCs w:val="21"/>
                <w:highlight w:val="none"/>
              </w:rPr>
            </w:pPr>
          </w:p>
        </w:tc>
        <w:tc>
          <w:tcPr>
            <w:tcW w:w="747" w:type="pct"/>
          </w:tcPr>
          <w:p w14:paraId="302CB2A3">
            <w:pPr>
              <w:widowControl/>
              <w:rPr>
                <w:rFonts w:ascii="宋体" w:hAnsi="宋体" w:cs="宋体"/>
                <w:color w:val="auto"/>
                <w:szCs w:val="21"/>
                <w:highlight w:val="none"/>
              </w:rPr>
            </w:pPr>
          </w:p>
        </w:tc>
        <w:tc>
          <w:tcPr>
            <w:tcW w:w="515" w:type="pct"/>
          </w:tcPr>
          <w:p w14:paraId="3DCDD9C0">
            <w:pPr>
              <w:widowControl/>
              <w:rPr>
                <w:rFonts w:ascii="宋体" w:hAnsi="宋体" w:cs="宋体"/>
                <w:color w:val="auto"/>
                <w:szCs w:val="21"/>
                <w:highlight w:val="none"/>
              </w:rPr>
            </w:pPr>
          </w:p>
        </w:tc>
      </w:tr>
      <w:tr w14:paraId="34DA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97" w:type="pct"/>
            <w:vAlign w:val="center"/>
          </w:tcPr>
          <w:p w14:paraId="0F6582E0">
            <w:pPr>
              <w:widowControl/>
              <w:rPr>
                <w:rFonts w:ascii="宋体" w:hAnsi="宋体" w:cs="宋体"/>
                <w:color w:val="auto"/>
                <w:szCs w:val="21"/>
                <w:highlight w:val="none"/>
              </w:rPr>
            </w:pPr>
          </w:p>
        </w:tc>
        <w:tc>
          <w:tcPr>
            <w:tcW w:w="464" w:type="pct"/>
            <w:vAlign w:val="center"/>
          </w:tcPr>
          <w:p w14:paraId="445A71D0">
            <w:pPr>
              <w:widowControl/>
              <w:rPr>
                <w:rFonts w:ascii="宋体" w:hAnsi="宋体" w:cs="宋体"/>
                <w:color w:val="auto"/>
                <w:szCs w:val="21"/>
                <w:highlight w:val="none"/>
              </w:rPr>
            </w:pPr>
          </w:p>
        </w:tc>
        <w:tc>
          <w:tcPr>
            <w:tcW w:w="934" w:type="pct"/>
            <w:vAlign w:val="center"/>
          </w:tcPr>
          <w:p w14:paraId="5CCD195E">
            <w:pPr>
              <w:widowControl/>
              <w:rPr>
                <w:rFonts w:ascii="宋体" w:hAnsi="宋体" w:cs="宋体"/>
                <w:color w:val="auto"/>
                <w:szCs w:val="21"/>
                <w:highlight w:val="none"/>
              </w:rPr>
            </w:pPr>
          </w:p>
        </w:tc>
        <w:tc>
          <w:tcPr>
            <w:tcW w:w="809" w:type="pct"/>
            <w:vAlign w:val="center"/>
          </w:tcPr>
          <w:p w14:paraId="43531F10">
            <w:pPr>
              <w:widowControl/>
              <w:rPr>
                <w:rFonts w:ascii="宋体" w:hAnsi="宋体" w:cs="宋体"/>
                <w:color w:val="auto"/>
                <w:szCs w:val="21"/>
                <w:highlight w:val="none"/>
              </w:rPr>
            </w:pPr>
          </w:p>
        </w:tc>
        <w:tc>
          <w:tcPr>
            <w:tcW w:w="616" w:type="pct"/>
            <w:vAlign w:val="center"/>
          </w:tcPr>
          <w:p w14:paraId="66DB8293">
            <w:pPr>
              <w:widowControl/>
              <w:rPr>
                <w:rFonts w:ascii="宋体" w:hAnsi="宋体" w:cs="宋体"/>
                <w:color w:val="auto"/>
                <w:szCs w:val="21"/>
                <w:highlight w:val="none"/>
              </w:rPr>
            </w:pPr>
          </w:p>
        </w:tc>
        <w:tc>
          <w:tcPr>
            <w:tcW w:w="614" w:type="pct"/>
            <w:vAlign w:val="center"/>
          </w:tcPr>
          <w:p w14:paraId="0E2D3279">
            <w:pPr>
              <w:widowControl/>
              <w:rPr>
                <w:rFonts w:ascii="宋体" w:hAnsi="宋体" w:cs="宋体"/>
                <w:color w:val="auto"/>
                <w:szCs w:val="21"/>
                <w:highlight w:val="none"/>
              </w:rPr>
            </w:pPr>
          </w:p>
        </w:tc>
        <w:tc>
          <w:tcPr>
            <w:tcW w:w="747" w:type="pct"/>
          </w:tcPr>
          <w:p w14:paraId="76F6031A">
            <w:pPr>
              <w:widowControl/>
              <w:rPr>
                <w:rFonts w:ascii="宋体" w:hAnsi="宋体" w:cs="宋体"/>
                <w:color w:val="auto"/>
                <w:szCs w:val="21"/>
                <w:highlight w:val="none"/>
              </w:rPr>
            </w:pPr>
          </w:p>
        </w:tc>
        <w:tc>
          <w:tcPr>
            <w:tcW w:w="515" w:type="pct"/>
          </w:tcPr>
          <w:p w14:paraId="56E1F0A8">
            <w:pPr>
              <w:widowControl/>
              <w:rPr>
                <w:rFonts w:ascii="宋体" w:hAnsi="宋体" w:cs="宋体"/>
                <w:color w:val="auto"/>
                <w:szCs w:val="21"/>
                <w:highlight w:val="none"/>
              </w:rPr>
            </w:pPr>
          </w:p>
        </w:tc>
      </w:tr>
      <w:tr w14:paraId="5279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97" w:type="pct"/>
            <w:vAlign w:val="center"/>
          </w:tcPr>
          <w:p w14:paraId="36A52A93">
            <w:pPr>
              <w:widowControl/>
              <w:rPr>
                <w:rFonts w:ascii="宋体" w:hAnsi="宋体" w:cs="宋体"/>
                <w:color w:val="auto"/>
                <w:szCs w:val="21"/>
                <w:highlight w:val="none"/>
              </w:rPr>
            </w:pPr>
          </w:p>
        </w:tc>
        <w:tc>
          <w:tcPr>
            <w:tcW w:w="464" w:type="pct"/>
            <w:vAlign w:val="center"/>
          </w:tcPr>
          <w:p w14:paraId="795F244A">
            <w:pPr>
              <w:widowControl/>
              <w:rPr>
                <w:rFonts w:ascii="宋体" w:hAnsi="宋体" w:cs="宋体"/>
                <w:color w:val="auto"/>
                <w:szCs w:val="21"/>
                <w:highlight w:val="none"/>
              </w:rPr>
            </w:pPr>
          </w:p>
        </w:tc>
        <w:tc>
          <w:tcPr>
            <w:tcW w:w="934" w:type="pct"/>
            <w:vAlign w:val="center"/>
          </w:tcPr>
          <w:p w14:paraId="52001162">
            <w:pPr>
              <w:widowControl/>
              <w:rPr>
                <w:rFonts w:ascii="宋体" w:hAnsi="宋体" w:cs="宋体"/>
                <w:color w:val="auto"/>
                <w:szCs w:val="21"/>
                <w:highlight w:val="none"/>
              </w:rPr>
            </w:pPr>
          </w:p>
        </w:tc>
        <w:tc>
          <w:tcPr>
            <w:tcW w:w="809" w:type="pct"/>
            <w:vAlign w:val="center"/>
          </w:tcPr>
          <w:p w14:paraId="67A7C905">
            <w:pPr>
              <w:widowControl/>
              <w:rPr>
                <w:rFonts w:ascii="宋体" w:hAnsi="宋体" w:cs="宋体"/>
                <w:color w:val="auto"/>
                <w:szCs w:val="21"/>
                <w:highlight w:val="none"/>
              </w:rPr>
            </w:pPr>
          </w:p>
        </w:tc>
        <w:tc>
          <w:tcPr>
            <w:tcW w:w="616" w:type="pct"/>
            <w:vAlign w:val="center"/>
          </w:tcPr>
          <w:p w14:paraId="2AD7BEA7">
            <w:pPr>
              <w:widowControl/>
              <w:rPr>
                <w:rFonts w:ascii="宋体" w:hAnsi="宋体" w:cs="宋体"/>
                <w:color w:val="auto"/>
                <w:szCs w:val="21"/>
                <w:highlight w:val="none"/>
              </w:rPr>
            </w:pPr>
          </w:p>
        </w:tc>
        <w:tc>
          <w:tcPr>
            <w:tcW w:w="614" w:type="pct"/>
            <w:vAlign w:val="center"/>
          </w:tcPr>
          <w:p w14:paraId="31B9CD7B">
            <w:pPr>
              <w:widowControl/>
              <w:rPr>
                <w:rFonts w:ascii="宋体" w:hAnsi="宋体" w:cs="宋体"/>
                <w:color w:val="auto"/>
                <w:szCs w:val="21"/>
                <w:highlight w:val="none"/>
              </w:rPr>
            </w:pPr>
          </w:p>
        </w:tc>
        <w:tc>
          <w:tcPr>
            <w:tcW w:w="747" w:type="pct"/>
          </w:tcPr>
          <w:p w14:paraId="400CC618">
            <w:pPr>
              <w:widowControl/>
              <w:rPr>
                <w:rFonts w:ascii="宋体" w:hAnsi="宋体" w:cs="宋体"/>
                <w:color w:val="auto"/>
                <w:szCs w:val="21"/>
                <w:highlight w:val="none"/>
              </w:rPr>
            </w:pPr>
          </w:p>
        </w:tc>
        <w:tc>
          <w:tcPr>
            <w:tcW w:w="515" w:type="pct"/>
          </w:tcPr>
          <w:p w14:paraId="45185B76">
            <w:pPr>
              <w:widowControl/>
              <w:rPr>
                <w:rFonts w:ascii="宋体" w:hAnsi="宋体" w:cs="宋体"/>
                <w:color w:val="auto"/>
                <w:szCs w:val="21"/>
                <w:highlight w:val="none"/>
              </w:rPr>
            </w:pPr>
          </w:p>
        </w:tc>
      </w:tr>
      <w:tr w14:paraId="7EDB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97" w:type="pct"/>
            <w:vAlign w:val="center"/>
          </w:tcPr>
          <w:p w14:paraId="203ECF97">
            <w:pPr>
              <w:widowControl/>
              <w:rPr>
                <w:rFonts w:ascii="宋体" w:hAnsi="宋体" w:cs="宋体"/>
                <w:color w:val="auto"/>
                <w:szCs w:val="21"/>
                <w:highlight w:val="none"/>
              </w:rPr>
            </w:pPr>
          </w:p>
        </w:tc>
        <w:tc>
          <w:tcPr>
            <w:tcW w:w="464" w:type="pct"/>
            <w:vAlign w:val="center"/>
          </w:tcPr>
          <w:p w14:paraId="24AE889B">
            <w:pPr>
              <w:widowControl/>
              <w:rPr>
                <w:rFonts w:ascii="宋体" w:hAnsi="宋体" w:cs="宋体"/>
                <w:color w:val="auto"/>
                <w:szCs w:val="21"/>
                <w:highlight w:val="none"/>
              </w:rPr>
            </w:pPr>
          </w:p>
        </w:tc>
        <w:tc>
          <w:tcPr>
            <w:tcW w:w="934" w:type="pct"/>
            <w:vAlign w:val="center"/>
          </w:tcPr>
          <w:p w14:paraId="56BB775A">
            <w:pPr>
              <w:widowControl/>
              <w:rPr>
                <w:rFonts w:ascii="宋体" w:hAnsi="宋体" w:cs="宋体"/>
                <w:color w:val="auto"/>
                <w:szCs w:val="21"/>
                <w:highlight w:val="none"/>
              </w:rPr>
            </w:pPr>
          </w:p>
        </w:tc>
        <w:tc>
          <w:tcPr>
            <w:tcW w:w="809" w:type="pct"/>
            <w:vAlign w:val="center"/>
          </w:tcPr>
          <w:p w14:paraId="70DE97C0">
            <w:pPr>
              <w:widowControl/>
              <w:rPr>
                <w:rFonts w:ascii="宋体" w:hAnsi="宋体" w:cs="宋体"/>
                <w:color w:val="auto"/>
                <w:szCs w:val="21"/>
                <w:highlight w:val="none"/>
              </w:rPr>
            </w:pPr>
          </w:p>
        </w:tc>
        <w:tc>
          <w:tcPr>
            <w:tcW w:w="616" w:type="pct"/>
            <w:vAlign w:val="center"/>
          </w:tcPr>
          <w:p w14:paraId="26709BB6">
            <w:pPr>
              <w:widowControl/>
              <w:rPr>
                <w:rFonts w:ascii="宋体" w:hAnsi="宋体" w:cs="宋体"/>
                <w:color w:val="auto"/>
                <w:szCs w:val="21"/>
                <w:highlight w:val="none"/>
              </w:rPr>
            </w:pPr>
          </w:p>
        </w:tc>
        <w:tc>
          <w:tcPr>
            <w:tcW w:w="614" w:type="pct"/>
            <w:vAlign w:val="center"/>
          </w:tcPr>
          <w:p w14:paraId="49124B71">
            <w:pPr>
              <w:widowControl/>
              <w:rPr>
                <w:rFonts w:ascii="宋体" w:hAnsi="宋体" w:cs="宋体"/>
                <w:color w:val="auto"/>
                <w:szCs w:val="21"/>
                <w:highlight w:val="none"/>
              </w:rPr>
            </w:pPr>
          </w:p>
        </w:tc>
        <w:tc>
          <w:tcPr>
            <w:tcW w:w="747" w:type="pct"/>
          </w:tcPr>
          <w:p w14:paraId="5DE4FBFA">
            <w:pPr>
              <w:widowControl/>
              <w:rPr>
                <w:rFonts w:ascii="宋体" w:hAnsi="宋体" w:cs="宋体"/>
                <w:color w:val="auto"/>
                <w:szCs w:val="21"/>
                <w:highlight w:val="none"/>
              </w:rPr>
            </w:pPr>
          </w:p>
        </w:tc>
        <w:tc>
          <w:tcPr>
            <w:tcW w:w="515" w:type="pct"/>
          </w:tcPr>
          <w:p w14:paraId="34A37C10">
            <w:pPr>
              <w:widowControl/>
              <w:rPr>
                <w:rFonts w:ascii="宋体" w:hAnsi="宋体" w:cs="宋体"/>
                <w:color w:val="auto"/>
                <w:szCs w:val="21"/>
                <w:highlight w:val="none"/>
              </w:rPr>
            </w:pPr>
          </w:p>
        </w:tc>
      </w:tr>
      <w:tr w14:paraId="32A7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97" w:type="pct"/>
            <w:vAlign w:val="center"/>
          </w:tcPr>
          <w:p w14:paraId="3E56B2D0">
            <w:pPr>
              <w:widowControl/>
              <w:rPr>
                <w:rFonts w:ascii="宋体" w:hAnsi="宋体" w:cs="宋体"/>
                <w:color w:val="auto"/>
                <w:szCs w:val="21"/>
                <w:highlight w:val="none"/>
              </w:rPr>
            </w:pPr>
          </w:p>
        </w:tc>
        <w:tc>
          <w:tcPr>
            <w:tcW w:w="464" w:type="pct"/>
            <w:vAlign w:val="center"/>
          </w:tcPr>
          <w:p w14:paraId="1F16B83F">
            <w:pPr>
              <w:widowControl/>
              <w:rPr>
                <w:rFonts w:ascii="宋体" w:hAnsi="宋体" w:cs="宋体"/>
                <w:color w:val="auto"/>
                <w:szCs w:val="21"/>
                <w:highlight w:val="none"/>
              </w:rPr>
            </w:pPr>
          </w:p>
        </w:tc>
        <w:tc>
          <w:tcPr>
            <w:tcW w:w="934" w:type="pct"/>
            <w:vAlign w:val="center"/>
          </w:tcPr>
          <w:p w14:paraId="45A704D4">
            <w:pPr>
              <w:widowControl/>
              <w:rPr>
                <w:rFonts w:ascii="宋体" w:hAnsi="宋体" w:cs="宋体"/>
                <w:color w:val="auto"/>
                <w:szCs w:val="21"/>
                <w:highlight w:val="none"/>
              </w:rPr>
            </w:pPr>
          </w:p>
        </w:tc>
        <w:tc>
          <w:tcPr>
            <w:tcW w:w="809" w:type="pct"/>
            <w:vAlign w:val="center"/>
          </w:tcPr>
          <w:p w14:paraId="33711ED8">
            <w:pPr>
              <w:widowControl/>
              <w:rPr>
                <w:rFonts w:ascii="宋体" w:hAnsi="宋体" w:cs="宋体"/>
                <w:color w:val="auto"/>
                <w:szCs w:val="21"/>
                <w:highlight w:val="none"/>
              </w:rPr>
            </w:pPr>
          </w:p>
        </w:tc>
        <w:tc>
          <w:tcPr>
            <w:tcW w:w="616" w:type="pct"/>
            <w:vAlign w:val="center"/>
          </w:tcPr>
          <w:p w14:paraId="15B9188B">
            <w:pPr>
              <w:widowControl/>
              <w:rPr>
                <w:rFonts w:ascii="宋体" w:hAnsi="宋体" w:cs="宋体"/>
                <w:color w:val="auto"/>
                <w:szCs w:val="21"/>
                <w:highlight w:val="none"/>
              </w:rPr>
            </w:pPr>
          </w:p>
        </w:tc>
        <w:tc>
          <w:tcPr>
            <w:tcW w:w="614" w:type="pct"/>
            <w:vAlign w:val="center"/>
          </w:tcPr>
          <w:p w14:paraId="78EF3853">
            <w:pPr>
              <w:widowControl/>
              <w:rPr>
                <w:rFonts w:ascii="宋体" w:hAnsi="宋体" w:cs="宋体"/>
                <w:color w:val="auto"/>
                <w:szCs w:val="21"/>
                <w:highlight w:val="none"/>
              </w:rPr>
            </w:pPr>
          </w:p>
        </w:tc>
        <w:tc>
          <w:tcPr>
            <w:tcW w:w="747" w:type="pct"/>
          </w:tcPr>
          <w:p w14:paraId="0C50D253">
            <w:pPr>
              <w:widowControl/>
              <w:rPr>
                <w:rFonts w:ascii="宋体" w:hAnsi="宋体" w:cs="宋体"/>
                <w:color w:val="auto"/>
                <w:szCs w:val="21"/>
                <w:highlight w:val="none"/>
              </w:rPr>
            </w:pPr>
          </w:p>
        </w:tc>
        <w:tc>
          <w:tcPr>
            <w:tcW w:w="515" w:type="pct"/>
          </w:tcPr>
          <w:p w14:paraId="13A16B88">
            <w:pPr>
              <w:widowControl/>
              <w:rPr>
                <w:rFonts w:ascii="宋体" w:hAnsi="宋体" w:cs="宋体"/>
                <w:color w:val="auto"/>
                <w:szCs w:val="21"/>
                <w:highlight w:val="none"/>
              </w:rPr>
            </w:pPr>
          </w:p>
        </w:tc>
      </w:tr>
    </w:tbl>
    <w:p w14:paraId="4DEEE858">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注：</w:t>
      </w:r>
    </w:p>
    <w:p w14:paraId="61546211">
      <w:pPr>
        <w:numPr>
          <w:ilvl w:val="0"/>
          <w:numId w:val="12"/>
        </w:numPr>
        <w:spacing w:line="360" w:lineRule="auto"/>
        <w:jc w:val="left"/>
        <w:rPr>
          <w:color w:val="auto"/>
          <w:szCs w:val="21"/>
          <w:highlight w:val="none"/>
        </w:rPr>
      </w:pPr>
      <w:r>
        <w:rPr>
          <w:rFonts w:hint="eastAsia"/>
          <w:color w:val="auto"/>
          <w:szCs w:val="21"/>
          <w:highlight w:val="none"/>
        </w:rPr>
        <w:t>投标文件与招标文件有差异之处，无论多么微小，均应按偏离表的要求汇总说明，在“偏离描述”中说明差异，并在“偏离情况”中标注出正偏离/负偏离/无偏离。如果投标文件与招标文件的差异之处没有填入“偏离表”中，不管投标人是否在投标文件的其他任何地方有其他描述，均不能免除投标人已经承诺响应招标文件要求的责任。</w:t>
      </w:r>
    </w:p>
    <w:p w14:paraId="7D4307CE">
      <w:pPr>
        <w:numPr>
          <w:ilvl w:val="0"/>
          <w:numId w:val="12"/>
        </w:numPr>
        <w:spacing w:line="360" w:lineRule="auto"/>
        <w:jc w:val="left"/>
        <w:rPr>
          <w:color w:val="auto"/>
          <w:szCs w:val="21"/>
          <w:highlight w:val="none"/>
        </w:rPr>
      </w:pPr>
      <w:r>
        <w:rPr>
          <w:rFonts w:hint="eastAsia" w:ascii="宋体" w:hAnsi="宋体" w:cs="宋体"/>
          <w:color w:val="auto"/>
          <w:szCs w:val="21"/>
          <w:highlight w:val="none"/>
        </w:rPr>
        <w:t>技术证明材料附后（若需）。</w:t>
      </w:r>
    </w:p>
    <w:p w14:paraId="0F8F5DAE">
      <w:pPr>
        <w:numPr>
          <w:ilvl w:val="0"/>
          <w:numId w:val="12"/>
        </w:numPr>
        <w:spacing w:line="360" w:lineRule="auto"/>
        <w:jc w:val="left"/>
        <w:rPr>
          <w:rFonts w:ascii="宋体" w:hAnsi="宋体" w:cs="宋体"/>
          <w:color w:val="auto"/>
          <w:szCs w:val="21"/>
          <w:highlight w:val="none"/>
        </w:rPr>
      </w:pPr>
      <w:r>
        <w:rPr>
          <w:rFonts w:hint="eastAsia" w:ascii="宋体" w:hAnsi="宋体" w:cs="宋体"/>
          <w:color w:val="auto"/>
          <w:szCs w:val="21"/>
          <w:highlight w:val="none"/>
        </w:rPr>
        <w:t>如同一产品有证明材料中名称与采购需求中名称不一致的，需在备注中说明。</w:t>
      </w:r>
    </w:p>
    <w:p w14:paraId="0A0988CC">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（单位电子印章）</w:t>
      </w:r>
    </w:p>
    <w:p w14:paraId="2AD1B082">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（电子签章或签字）</w:t>
      </w:r>
    </w:p>
    <w:p w14:paraId="496D401F">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F41B761">
      <w:pPr>
        <w:pStyle w:val="4"/>
        <w:jc w:val="center"/>
        <w:rPr>
          <w:rFonts w:hAnsi="宋体" w:cs="宋体"/>
          <w:bCs/>
          <w:color w:val="auto"/>
          <w:sz w:val="21"/>
          <w:szCs w:val="21"/>
          <w:highlight w:val="none"/>
        </w:rPr>
      </w:pPr>
      <w:bookmarkStart w:id="332" w:name="_Toc5827"/>
      <w:bookmarkStart w:id="333" w:name="_Toc21789"/>
      <w:bookmarkStart w:id="334" w:name="_Toc25331"/>
      <w:bookmarkStart w:id="335" w:name="_Toc29991"/>
      <w:bookmarkStart w:id="336" w:name="_Toc1614"/>
      <w:bookmarkStart w:id="337" w:name="_Toc30851"/>
      <w:bookmarkStart w:id="338" w:name="_Toc381021625"/>
      <w:bookmarkStart w:id="339" w:name="_Toc4387"/>
      <w:r>
        <w:rPr>
          <w:rFonts w:hint="eastAsia" w:hAnsi="宋体" w:cs="宋体"/>
          <w:bCs/>
          <w:color w:val="auto"/>
          <w:sz w:val="21"/>
          <w:szCs w:val="21"/>
          <w:highlight w:val="none"/>
        </w:rPr>
        <w:t>2、商务响应偏离表</w:t>
      </w:r>
      <w:bookmarkEnd w:id="332"/>
      <w:bookmarkEnd w:id="333"/>
      <w:bookmarkEnd w:id="334"/>
      <w:bookmarkEnd w:id="335"/>
      <w:bookmarkEnd w:id="336"/>
      <w:bookmarkEnd w:id="337"/>
      <w:bookmarkEnd w:id="338"/>
      <w:bookmarkEnd w:id="339"/>
    </w:p>
    <w:tbl>
      <w:tblPr>
        <w:tblStyle w:val="38"/>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0"/>
        <w:gridCol w:w="1590"/>
        <w:gridCol w:w="1470"/>
        <w:gridCol w:w="2485"/>
        <w:gridCol w:w="2110"/>
      </w:tblGrid>
      <w:tr w14:paraId="09BF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730" w:type="dxa"/>
            <w:vAlign w:val="center"/>
          </w:tcPr>
          <w:p w14:paraId="17250771">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590" w:type="dxa"/>
            <w:vAlign w:val="center"/>
          </w:tcPr>
          <w:p w14:paraId="029B2FA1">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响应项</w:t>
            </w:r>
          </w:p>
        </w:tc>
        <w:tc>
          <w:tcPr>
            <w:tcW w:w="1470" w:type="dxa"/>
            <w:vAlign w:val="center"/>
          </w:tcPr>
          <w:p w14:paraId="167EE219">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招标文件要求</w:t>
            </w:r>
          </w:p>
        </w:tc>
        <w:tc>
          <w:tcPr>
            <w:tcW w:w="2485" w:type="dxa"/>
            <w:vAlign w:val="center"/>
          </w:tcPr>
          <w:p w14:paraId="1CB48BD0">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投标文件响应内容</w:t>
            </w:r>
          </w:p>
        </w:tc>
        <w:tc>
          <w:tcPr>
            <w:tcW w:w="2110" w:type="dxa"/>
            <w:vAlign w:val="center"/>
          </w:tcPr>
          <w:p w14:paraId="556473EB">
            <w:pPr>
              <w:spacing w:line="440" w:lineRule="exact"/>
              <w:jc w:val="center"/>
              <w:rPr>
                <w:rFonts w:ascii="宋体" w:hAnsi="宋体" w:cs="宋体"/>
                <w:b/>
                <w:bCs/>
                <w:color w:val="auto"/>
                <w:szCs w:val="21"/>
                <w:highlight w:val="none"/>
              </w:rPr>
            </w:pPr>
            <w:r>
              <w:rPr>
                <w:rFonts w:hint="eastAsia" w:ascii="宋体" w:hAnsi="宋体" w:cs="宋体"/>
                <w:color w:val="auto"/>
                <w:szCs w:val="21"/>
                <w:highlight w:val="none"/>
              </w:rPr>
              <w:t>偏离情况（</w:t>
            </w:r>
            <w:r>
              <w:rPr>
                <w:rFonts w:hint="eastAsia" w:ascii="宋体" w:hAnsi="宋体" w:cs="宋体"/>
                <w:b/>
                <w:color w:val="auto"/>
                <w:szCs w:val="21"/>
                <w:highlight w:val="none"/>
              </w:rPr>
              <w:t>正偏离/负偏离/无偏离</w:t>
            </w:r>
            <w:r>
              <w:rPr>
                <w:rFonts w:hint="eastAsia" w:ascii="宋体" w:hAnsi="宋体" w:cs="宋体"/>
                <w:color w:val="auto"/>
                <w:szCs w:val="21"/>
                <w:highlight w:val="none"/>
              </w:rPr>
              <w:t>）</w:t>
            </w:r>
          </w:p>
        </w:tc>
      </w:tr>
      <w:tr w14:paraId="1117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30" w:type="dxa"/>
            <w:vAlign w:val="center"/>
          </w:tcPr>
          <w:p w14:paraId="1ED68CC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590" w:type="dxa"/>
            <w:vAlign w:val="center"/>
          </w:tcPr>
          <w:p w14:paraId="27E45D01">
            <w:pPr>
              <w:pStyle w:val="163"/>
              <w:spacing w:line="360" w:lineRule="auto"/>
              <w:jc w:val="center"/>
              <w:rPr>
                <w:color w:val="auto"/>
                <w:sz w:val="21"/>
                <w:szCs w:val="21"/>
                <w:highlight w:val="none"/>
                <w:lang w:eastAsia="zh-CN"/>
              </w:rPr>
            </w:pPr>
            <w:r>
              <w:rPr>
                <w:rFonts w:hint="eastAsia"/>
                <w:color w:val="auto"/>
                <w:spacing w:val="6"/>
                <w:sz w:val="21"/>
                <w:szCs w:val="21"/>
                <w:highlight w:val="none"/>
              </w:rPr>
              <w:t>投标内容</w:t>
            </w:r>
          </w:p>
        </w:tc>
        <w:tc>
          <w:tcPr>
            <w:tcW w:w="1470" w:type="dxa"/>
            <w:vAlign w:val="center"/>
          </w:tcPr>
          <w:p w14:paraId="7ED0C29B">
            <w:pPr>
              <w:pStyle w:val="163"/>
              <w:jc w:val="center"/>
              <w:rPr>
                <w:color w:val="auto"/>
                <w:sz w:val="21"/>
                <w:szCs w:val="21"/>
                <w:highlight w:val="none"/>
                <w:lang w:eastAsia="zh-CN"/>
              </w:rPr>
            </w:pPr>
          </w:p>
        </w:tc>
        <w:tc>
          <w:tcPr>
            <w:tcW w:w="2485" w:type="dxa"/>
            <w:vAlign w:val="bottom"/>
          </w:tcPr>
          <w:p w14:paraId="29C6ACF2">
            <w:pPr>
              <w:spacing w:line="440" w:lineRule="exact"/>
              <w:rPr>
                <w:rFonts w:ascii="宋体" w:hAnsi="宋体" w:cs="宋体"/>
                <w:color w:val="auto"/>
                <w:szCs w:val="21"/>
                <w:highlight w:val="none"/>
              </w:rPr>
            </w:pPr>
          </w:p>
        </w:tc>
        <w:tc>
          <w:tcPr>
            <w:tcW w:w="2110" w:type="dxa"/>
            <w:vAlign w:val="bottom"/>
          </w:tcPr>
          <w:p w14:paraId="45E58479">
            <w:pPr>
              <w:spacing w:line="440" w:lineRule="exact"/>
              <w:rPr>
                <w:rFonts w:ascii="宋体" w:hAnsi="宋体" w:cs="宋体"/>
                <w:color w:val="auto"/>
                <w:szCs w:val="21"/>
                <w:highlight w:val="none"/>
              </w:rPr>
            </w:pPr>
          </w:p>
        </w:tc>
      </w:tr>
      <w:tr w14:paraId="7454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30" w:type="dxa"/>
            <w:vAlign w:val="center"/>
          </w:tcPr>
          <w:p w14:paraId="5F7F4976">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590" w:type="dxa"/>
            <w:vAlign w:val="center"/>
          </w:tcPr>
          <w:p w14:paraId="31320AC9">
            <w:pPr>
              <w:pStyle w:val="163"/>
              <w:spacing w:line="360" w:lineRule="auto"/>
              <w:jc w:val="center"/>
              <w:rPr>
                <w:color w:val="auto"/>
                <w:sz w:val="21"/>
                <w:szCs w:val="21"/>
                <w:highlight w:val="none"/>
              </w:rPr>
            </w:pPr>
            <w:r>
              <w:rPr>
                <w:rFonts w:hint="eastAsia"/>
                <w:color w:val="auto"/>
                <w:spacing w:val="6"/>
                <w:sz w:val="21"/>
                <w:szCs w:val="21"/>
                <w:highlight w:val="none"/>
              </w:rPr>
              <w:t>质保期</w:t>
            </w:r>
          </w:p>
        </w:tc>
        <w:tc>
          <w:tcPr>
            <w:tcW w:w="1470" w:type="dxa"/>
            <w:vAlign w:val="center"/>
          </w:tcPr>
          <w:p w14:paraId="67D48F78">
            <w:pPr>
              <w:pStyle w:val="163"/>
              <w:jc w:val="center"/>
              <w:rPr>
                <w:color w:val="auto"/>
                <w:sz w:val="21"/>
                <w:szCs w:val="21"/>
                <w:highlight w:val="none"/>
              </w:rPr>
            </w:pPr>
          </w:p>
        </w:tc>
        <w:tc>
          <w:tcPr>
            <w:tcW w:w="2485" w:type="dxa"/>
            <w:vAlign w:val="bottom"/>
          </w:tcPr>
          <w:p w14:paraId="6090CF40">
            <w:pPr>
              <w:spacing w:line="440" w:lineRule="exact"/>
              <w:rPr>
                <w:rFonts w:ascii="宋体" w:hAnsi="宋体" w:cs="宋体"/>
                <w:color w:val="auto"/>
                <w:szCs w:val="21"/>
                <w:highlight w:val="none"/>
              </w:rPr>
            </w:pPr>
          </w:p>
        </w:tc>
        <w:tc>
          <w:tcPr>
            <w:tcW w:w="2110" w:type="dxa"/>
            <w:vAlign w:val="bottom"/>
          </w:tcPr>
          <w:p w14:paraId="2E6BB03B">
            <w:pPr>
              <w:spacing w:line="440" w:lineRule="exact"/>
              <w:rPr>
                <w:rFonts w:ascii="宋体" w:hAnsi="宋体" w:cs="宋体"/>
                <w:color w:val="auto"/>
                <w:szCs w:val="21"/>
                <w:highlight w:val="none"/>
              </w:rPr>
            </w:pPr>
          </w:p>
        </w:tc>
      </w:tr>
      <w:tr w14:paraId="2174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30" w:type="dxa"/>
            <w:vAlign w:val="center"/>
          </w:tcPr>
          <w:p w14:paraId="69356038">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1590" w:type="dxa"/>
            <w:vAlign w:val="center"/>
          </w:tcPr>
          <w:p w14:paraId="3FB928F9">
            <w:pPr>
              <w:pStyle w:val="163"/>
              <w:spacing w:line="360" w:lineRule="auto"/>
              <w:jc w:val="center"/>
              <w:rPr>
                <w:color w:val="auto"/>
                <w:sz w:val="21"/>
                <w:szCs w:val="21"/>
                <w:highlight w:val="none"/>
                <w:lang w:eastAsia="zh-CN"/>
              </w:rPr>
            </w:pPr>
            <w:r>
              <w:rPr>
                <w:rFonts w:hint="eastAsia"/>
                <w:color w:val="auto"/>
                <w:spacing w:val="5"/>
                <w:sz w:val="21"/>
                <w:szCs w:val="21"/>
                <w:highlight w:val="none"/>
              </w:rPr>
              <w:t>交货期</w:t>
            </w:r>
          </w:p>
        </w:tc>
        <w:tc>
          <w:tcPr>
            <w:tcW w:w="1470" w:type="dxa"/>
            <w:vAlign w:val="center"/>
          </w:tcPr>
          <w:p w14:paraId="3D65B020">
            <w:pPr>
              <w:pStyle w:val="163"/>
              <w:jc w:val="center"/>
              <w:rPr>
                <w:color w:val="auto"/>
                <w:sz w:val="21"/>
                <w:szCs w:val="21"/>
                <w:highlight w:val="none"/>
                <w:lang w:eastAsia="zh-CN"/>
              </w:rPr>
            </w:pPr>
          </w:p>
        </w:tc>
        <w:tc>
          <w:tcPr>
            <w:tcW w:w="2485" w:type="dxa"/>
            <w:vAlign w:val="bottom"/>
          </w:tcPr>
          <w:p w14:paraId="01228309">
            <w:pPr>
              <w:spacing w:line="440" w:lineRule="exact"/>
              <w:rPr>
                <w:rFonts w:ascii="宋体" w:hAnsi="宋体" w:cs="宋体"/>
                <w:color w:val="auto"/>
                <w:szCs w:val="21"/>
                <w:highlight w:val="none"/>
              </w:rPr>
            </w:pPr>
          </w:p>
        </w:tc>
        <w:tc>
          <w:tcPr>
            <w:tcW w:w="2110" w:type="dxa"/>
            <w:vAlign w:val="bottom"/>
          </w:tcPr>
          <w:p w14:paraId="2409A7B8">
            <w:pPr>
              <w:spacing w:line="440" w:lineRule="exact"/>
              <w:rPr>
                <w:rFonts w:ascii="宋体" w:hAnsi="宋体" w:cs="宋体"/>
                <w:color w:val="auto"/>
                <w:szCs w:val="21"/>
                <w:highlight w:val="none"/>
              </w:rPr>
            </w:pPr>
          </w:p>
        </w:tc>
      </w:tr>
      <w:tr w14:paraId="7744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30" w:type="dxa"/>
            <w:vAlign w:val="center"/>
          </w:tcPr>
          <w:p w14:paraId="7A5F188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1590" w:type="dxa"/>
            <w:vAlign w:val="center"/>
          </w:tcPr>
          <w:p w14:paraId="2D3D7D3A">
            <w:pPr>
              <w:pStyle w:val="163"/>
              <w:spacing w:line="360" w:lineRule="auto"/>
              <w:jc w:val="center"/>
              <w:rPr>
                <w:color w:val="auto"/>
                <w:sz w:val="21"/>
                <w:szCs w:val="21"/>
                <w:highlight w:val="none"/>
                <w:lang w:eastAsia="zh-CN"/>
              </w:rPr>
            </w:pPr>
            <w:r>
              <w:rPr>
                <w:rFonts w:hint="eastAsia"/>
                <w:color w:val="auto"/>
                <w:sz w:val="21"/>
                <w:szCs w:val="21"/>
                <w:highlight w:val="none"/>
                <w:lang w:eastAsia="zh-CN"/>
              </w:rPr>
              <w:t>交货地点</w:t>
            </w:r>
          </w:p>
        </w:tc>
        <w:tc>
          <w:tcPr>
            <w:tcW w:w="1470" w:type="dxa"/>
            <w:vAlign w:val="center"/>
          </w:tcPr>
          <w:p w14:paraId="2AF9EB85">
            <w:pPr>
              <w:pStyle w:val="163"/>
              <w:jc w:val="center"/>
              <w:rPr>
                <w:color w:val="auto"/>
                <w:sz w:val="21"/>
                <w:szCs w:val="21"/>
                <w:highlight w:val="none"/>
                <w:lang w:eastAsia="zh-CN"/>
              </w:rPr>
            </w:pPr>
          </w:p>
        </w:tc>
        <w:tc>
          <w:tcPr>
            <w:tcW w:w="2485" w:type="dxa"/>
            <w:vAlign w:val="bottom"/>
          </w:tcPr>
          <w:p w14:paraId="50CD11CD">
            <w:pPr>
              <w:spacing w:line="440" w:lineRule="exact"/>
              <w:rPr>
                <w:rFonts w:ascii="宋体" w:hAnsi="宋体" w:cs="宋体"/>
                <w:color w:val="auto"/>
                <w:szCs w:val="21"/>
                <w:highlight w:val="none"/>
              </w:rPr>
            </w:pPr>
          </w:p>
        </w:tc>
        <w:tc>
          <w:tcPr>
            <w:tcW w:w="2110" w:type="dxa"/>
            <w:vAlign w:val="bottom"/>
          </w:tcPr>
          <w:p w14:paraId="6630C00F">
            <w:pPr>
              <w:spacing w:line="440" w:lineRule="exact"/>
              <w:rPr>
                <w:rFonts w:ascii="宋体" w:hAnsi="宋体" w:cs="宋体"/>
                <w:color w:val="auto"/>
                <w:szCs w:val="21"/>
                <w:highlight w:val="none"/>
              </w:rPr>
            </w:pPr>
          </w:p>
        </w:tc>
      </w:tr>
      <w:tr w14:paraId="10C6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30" w:type="dxa"/>
            <w:vAlign w:val="center"/>
          </w:tcPr>
          <w:p w14:paraId="2AC8F598">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1590" w:type="dxa"/>
            <w:vAlign w:val="center"/>
          </w:tcPr>
          <w:p w14:paraId="7A829A43">
            <w:pPr>
              <w:pStyle w:val="163"/>
              <w:spacing w:line="360" w:lineRule="auto"/>
              <w:jc w:val="center"/>
              <w:rPr>
                <w:color w:val="auto"/>
                <w:sz w:val="21"/>
                <w:szCs w:val="21"/>
                <w:highlight w:val="none"/>
              </w:rPr>
            </w:pPr>
            <w:r>
              <w:rPr>
                <w:rFonts w:hint="eastAsia"/>
                <w:color w:val="auto"/>
                <w:spacing w:val="7"/>
                <w:sz w:val="21"/>
                <w:szCs w:val="21"/>
                <w:highlight w:val="none"/>
              </w:rPr>
              <w:t>质量要求</w:t>
            </w:r>
          </w:p>
        </w:tc>
        <w:tc>
          <w:tcPr>
            <w:tcW w:w="1470" w:type="dxa"/>
            <w:vAlign w:val="center"/>
          </w:tcPr>
          <w:p w14:paraId="7F64F891">
            <w:pPr>
              <w:pStyle w:val="163"/>
              <w:jc w:val="center"/>
              <w:rPr>
                <w:color w:val="auto"/>
                <w:sz w:val="21"/>
                <w:szCs w:val="21"/>
                <w:highlight w:val="none"/>
              </w:rPr>
            </w:pPr>
          </w:p>
        </w:tc>
        <w:tc>
          <w:tcPr>
            <w:tcW w:w="2485" w:type="dxa"/>
            <w:vAlign w:val="bottom"/>
          </w:tcPr>
          <w:p w14:paraId="5FA0D92C">
            <w:pPr>
              <w:spacing w:line="440" w:lineRule="exact"/>
              <w:rPr>
                <w:rFonts w:ascii="宋体" w:hAnsi="宋体" w:cs="宋体"/>
                <w:color w:val="auto"/>
                <w:szCs w:val="21"/>
                <w:highlight w:val="none"/>
              </w:rPr>
            </w:pPr>
          </w:p>
        </w:tc>
        <w:tc>
          <w:tcPr>
            <w:tcW w:w="2110" w:type="dxa"/>
            <w:vAlign w:val="bottom"/>
          </w:tcPr>
          <w:p w14:paraId="38B8489F">
            <w:pPr>
              <w:spacing w:line="440" w:lineRule="exact"/>
              <w:rPr>
                <w:rFonts w:ascii="宋体" w:hAnsi="宋体" w:cs="宋体"/>
                <w:color w:val="auto"/>
                <w:szCs w:val="21"/>
                <w:highlight w:val="none"/>
              </w:rPr>
            </w:pPr>
          </w:p>
        </w:tc>
      </w:tr>
      <w:tr w14:paraId="0B27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30" w:type="dxa"/>
            <w:vAlign w:val="center"/>
          </w:tcPr>
          <w:p w14:paraId="37D4DCEB">
            <w:pPr>
              <w:spacing w:line="440" w:lineRule="exact"/>
              <w:jc w:val="center"/>
              <w:rPr>
                <w:rFonts w:ascii="宋体" w:hAnsi="宋体" w:cs="宋体"/>
                <w:color w:val="auto"/>
                <w:szCs w:val="21"/>
                <w:highlight w:val="none"/>
              </w:rPr>
            </w:pPr>
          </w:p>
        </w:tc>
        <w:tc>
          <w:tcPr>
            <w:tcW w:w="1590" w:type="dxa"/>
            <w:vAlign w:val="center"/>
          </w:tcPr>
          <w:p w14:paraId="7C2BFA96">
            <w:pPr>
              <w:pStyle w:val="163"/>
              <w:spacing w:line="360" w:lineRule="auto"/>
              <w:jc w:val="center"/>
              <w:rPr>
                <w:color w:val="auto"/>
                <w:spacing w:val="7"/>
                <w:sz w:val="21"/>
                <w:szCs w:val="21"/>
                <w:highlight w:val="none"/>
              </w:rPr>
            </w:pPr>
            <w:r>
              <w:rPr>
                <w:rFonts w:hint="eastAsia"/>
                <w:color w:val="auto"/>
                <w:spacing w:val="7"/>
                <w:sz w:val="21"/>
                <w:szCs w:val="21"/>
                <w:highlight w:val="none"/>
              </w:rPr>
              <w:t>投标有效期</w:t>
            </w:r>
          </w:p>
        </w:tc>
        <w:tc>
          <w:tcPr>
            <w:tcW w:w="1470" w:type="dxa"/>
            <w:vAlign w:val="center"/>
          </w:tcPr>
          <w:p w14:paraId="3E3936D1">
            <w:pPr>
              <w:pStyle w:val="163"/>
              <w:jc w:val="center"/>
              <w:rPr>
                <w:color w:val="auto"/>
                <w:sz w:val="21"/>
                <w:szCs w:val="21"/>
                <w:highlight w:val="none"/>
              </w:rPr>
            </w:pPr>
          </w:p>
        </w:tc>
        <w:tc>
          <w:tcPr>
            <w:tcW w:w="2485" w:type="dxa"/>
            <w:vAlign w:val="bottom"/>
          </w:tcPr>
          <w:p w14:paraId="33F8C02D">
            <w:pPr>
              <w:spacing w:line="440" w:lineRule="exact"/>
              <w:rPr>
                <w:rFonts w:ascii="宋体" w:hAnsi="宋体" w:cs="宋体"/>
                <w:color w:val="auto"/>
                <w:szCs w:val="21"/>
                <w:highlight w:val="none"/>
              </w:rPr>
            </w:pPr>
          </w:p>
        </w:tc>
        <w:tc>
          <w:tcPr>
            <w:tcW w:w="2110" w:type="dxa"/>
            <w:vAlign w:val="bottom"/>
          </w:tcPr>
          <w:p w14:paraId="68F1466D">
            <w:pPr>
              <w:spacing w:line="440" w:lineRule="exact"/>
              <w:rPr>
                <w:rFonts w:ascii="宋体" w:hAnsi="宋体" w:cs="宋体"/>
                <w:color w:val="auto"/>
                <w:szCs w:val="21"/>
                <w:highlight w:val="none"/>
              </w:rPr>
            </w:pPr>
          </w:p>
        </w:tc>
      </w:tr>
      <w:tr w14:paraId="3A70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30" w:type="dxa"/>
            <w:vAlign w:val="center"/>
          </w:tcPr>
          <w:p w14:paraId="0E0E327A">
            <w:pPr>
              <w:spacing w:line="440" w:lineRule="exact"/>
              <w:jc w:val="center"/>
              <w:rPr>
                <w:rFonts w:ascii="宋体" w:hAnsi="宋体" w:cs="宋体"/>
                <w:color w:val="auto"/>
                <w:szCs w:val="21"/>
                <w:highlight w:val="none"/>
              </w:rPr>
            </w:pPr>
          </w:p>
        </w:tc>
        <w:tc>
          <w:tcPr>
            <w:tcW w:w="1590" w:type="dxa"/>
            <w:vAlign w:val="center"/>
          </w:tcPr>
          <w:p w14:paraId="51B3347B">
            <w:pPr>
              <w:pStyle w:val="163"/>
              <w:spacing w:line="360" w:lineRule="auto"/>
              <w:jc w:val="center"/>
              <w:rPr>
                <w:color w:val="auto"/>
                <w:spacing w:val="7"/>
                <w:sz w:val="21"/>
                <w:szCs w:val="21"/>
                <w:highlight w:val="none"/>
              </w:rPr>
            </w:pPr>
            <w:r>
              <w:rPr>
                <w:rFonts w:hint="eastAsia"/>
                <w:color w:val="auto"/>
                <w:spacing w:val="7"/>
                <w:sz w:val="21"/>
                <w:szCs w:val="21"/>
                <w:highlight w:val="none"/>
                <w:lang w:eastAsia="zh-CN"/>
              </w:rPr>
              <w:t>付款方式</w:t>
            </w:r>
          </w:p>
        </w:tc>
        <w:tc>
          <w:tcPr>
            <w:tcW w:w="1470" w:type="dxa"/>
            <w:vAlign w:val="center"/>
          </w:tcPr>
          <w:p w14:paraId="62F13B6E">
            <w:pPr>
              <w:pStyle w:val="163"/>
              <w:jc w:val="center"/>
              <w:rPr>
                <w:color w:val="auto"/>
                <w:sz w:val="21"/>
                <w:szCs w:val="21"/>
                <w:highlight w:val="none"/>
              </w:rPr>
            </w:pPr>
          </w:p>
        </w:tc>
        <w:tc>
          <w:tcPr>
            <w:tcW w:w="2485" w:type="dxa"/>
            <w:vAlign w:val="bottom"/>
          </w:tcPr>
          <w:p w14:paraId="5B81E89D">
            <w:pPr>
              <w:spacing w:line="440" w:lineRule="exact"/>
              <w:rPr>
                <w:rFonts w:ascii="宋体" w:hAnsi="宋体" w:cs="宋体"/>
                <w:color w:val="auto"/>
                <w:szCs w:val="21"/>
                <w:highlight w:val="none"/>
              </w:rPr>
            </w:pPr>
          </w:p>
        </w:tc>
        <w:tc>
          <w:tcPr>
            <w:tcW w:w="2110" w:type="dxa"/>
            <w:vAlign w:val="bottom"/>
          </w:tcPr>
          <w:p w14:paraId="21C5C054">
            <w:pPr>
              <w:spacing w:line="440" w:lineRule="exact"/>
              <w:rPr>
                <w:rFonts w:ascii="宋体" w:hAnsi="宋体" w:cs="宋体"/>
                <w:color w:val="auto"/>
                <w:szCs w:val="21"/>
                <w:highlight w:val="none"/>
              </w:rPr>
            </w:pPr>
          </w:p>
        </w:tc>
      </w:tr>
      <w:tr w14:paraId="37BA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30" w:type="dxa"/>
            <w:vAlign w:val="center"/>
          </w:tcPr>
          <w:p w14:paraId="7AEAFC86">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1590" w:type="dxa"/>
            <w:vAlign w:val="center"/>
          </w:tcPr>
          <w:p w14:paraId="23E69771">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第五章采购需求“（三）商务服务要求）”</w:t>
            </w:r>
          </w:p>
        </w:tc>
        <w:tc>
          <w:tcPr>
            <w:tcW w:w="1470" w:type="dxa"/>
            <w:vAlign w:val="center"/>
          </w:tcPr>
          <w:p w14:paraId="604CA024">
            <w:pPr>
              <w:pStyle w:val="163"/>
              <w:jc w:val="center"/>
              <w:rPr>
                <w:color w:val="auto"/>
                <w:sz w:val="21"/>
                <w:szCs w:val="21"/>
                <w:highlight w:val="none"/>
                <w:lang w:eastAsia="zh-CN"/>
              </w:rPr>
            </w:pPr>
          </w:p>
        </w:tc>
        <w:tc>
          <w:tcPr>
            <w:tcW w:w="2485" w:type="dxa"/>
            <w:vAlign w:val="bottom"/>
          </w:tcPr>
          <w:p w14:paraId="76A879F7">
            <w:pPr>
              <w:spacing w:line="440" w:lineRule="exact"/>
              <w:rPr>
                <w:rFonts w:ascii="宋体" w:hAnsi="宋体" w:cs="宋体"/>
                <w:color w:val="auto"/>
                <w:szCs w:val="21"/>
                <w:highlight w:val="none"/>
              </w:rPr>
            </w:pPr>
          </w:p>
        </w:tc>
        <w:tc>
          <w:tcPr>
            <w:tcW w:w="2110" w:type="dxa"/>
            <w:vAlign w:val="bottom"/>
          </w:tcPr>
          <w:p w14:paraId="385BE05B">
            <w:pPr>
              <w:spacing w:line="440" w:lineRule="exact"/>
              <w:rPr>
                <w:rFonts w:ascii="宋体" w:hAnsi="宋体" w:cs="宋体"/>
                <w:color w:val="auto"/>
                <w:szCs w:val="21"/>
                <w:highlight w:val="none"/>
              </w:rPr>
            </w:pPr>
          </w:p>
        </w:tc>
      </w:tr>
      <w:tr w14:paraId="68CC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30" w:type="dxa"/>
            <w:vAlign w:val="center"/>
          </w:tcPr>
          <w:p w14:paraId="17EFA743">
            <w:pPr>
              <w:spacing w:line="440" w:lineRule="exact"/>
              <w:jc w:val="center"/>
              <w:rPr>
                <w:rFonts w:ascii="宋体" w:hAnsi="宋体" w:cs="宋体"/>
                <w:color w:val="auto"/>
                <w:szCs w:val="21"/>
                <w:highlight w:val="none"/>
              </w:rPr>
            </w:pPr>
          </w:p>
        </w:tc>
        <w:tc>
          <w:tcPr>
            <w:tcW w:w="1590" w:type="dxa"/>
            <w:vAlign w:val="center"/>
          </w:tcPr>
          <w:p w14:paraId="5FF077A6">
            <w:pPr>
              <w:spacing w:line="440" w:lineRule="exact"/>
              <w:jc w:val="center"/>
              <w:rPr>
                <w:rFonts w:ascii="宋体" w:hAnsi="宋体" w:cs="宋体"/>
                <w:color w:val="auto"/>
                <w:szCs w:val="21"/>
                <w:highlight w:val="none"/>
              </w:rPr>
            </w:pPr>
          </w:p>
        </w:tc>
        <w:tc>
          <w:tcPr>
            <w:tcW w:w="1470" w:type="dxa"/>
            <w:vAlign w:val="center"/>
          </w:tcPr>
          <w:p w14:paraId="272B11FE">
            <w:pPr>
              <w:pStyle w:val="163"/>
              <w:jc w:val="center"/>
              <w:rPr>
                <w:color w:val="auto"/>
                <w:sz w:val="21"/>
                <w:szCs w:val="21"/>
                <w:highlight w:val="none"/>
                <w:lang w:eastAsia="zh-CN"/>
              </w:rPr>
            </w:pPr>
          </w:p>
        </w:tc>
        <w:tc>
          <w:tcPr>
            <w:tcW w:w="2485" w:type="dxa"/>
            <w:vAlign w:val="bottom"/>
          </w:tcPr>
          <w:p w14:paraId="3A5E0C53">
            <w:pPr>
              <w:spacing w:line="440" w:lineRule="exact"/>
              <w:rPr>
                <w:rFonts w:ascii="宋体" w:hAnsi="宋体" w:cs="宋体"/>
                <w:color w:val="auto"/>
                <w:szCs w:val="21"/>
                <w:highlight w:val="none"/>
              </w:rPr>
            </w:pPr>
          </w:p>
        </w:tc>
        <w:tc>
          <w:tcPr>
            <w:tcW w:w="2110" w:type="dxa"/>
            <w:vAlign w:val="bottom"/>
          </w:tcPr>
          <w:p w14:paraId="450B97D4">
            <w:pPr>
              <w:spacing w:line="440" w:lineRule="exact"/>
              <w:rPr>
                <w:rFonts w:ascii="宋体" w:hAnsi="宋体" w:cs="宋体"/>
                <w:color w:val="auto"/>
                <w:szCs w:val="21"/>
                <w:highlight w:val="none"/>
              </w:rPr>
            </w:pPr>
          </w:p>
        </w:tc>
      </w:tr>
      <w:tr w14:paraId="5E8B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730" w:type="dxa"/>
            <w:vAlign w:val="center"/>
          </w:tcPr>
          <w:p w14:paraId="0A0C39F9">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1590" w:type="dxa"/>
            <w:vAlign w:val="center"/>
          </w:tcPr>
          <w:p w14:paraId="1218B33E">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1470" w:type="dxa"/>
            <w:vAlign w:val="center"/>
          </w:tcPr>
          <w:p w14:paraId="58A10453">
            <w:pPr>
              <w:pStyle w:val="163"/>
              <w:jc w:val="center"/>
              <w:rPr>
                <w:color w:val="auto"/>
                <w:sz w:val="21"/>
                <w:szCs w:val="21"/>
                <w:highlight w:val="none"/>
                <w:lang w:eastAsia="zh-CN"/>
              </w:rPr>
            </w:pPr>
            <w:r>
              <w:rPr>
                <w:rFonts w:hint="eastAsia"/>
                <w:color w:val="auto"/>
                <w:sz w:val="21"/>
                <w:szCs w:val="21"/>
                <w:highlight w:val="none"/>
                <w:lang w:eastAsia="zh-CN"/>
              </w:rPr>
              <w:t>......</w:t>
            </w:r>
          </w:p>
        </w:tc>
        <w:tc>
          <w:tcPr>
            <w:tcW w:w="2485" w:type="dxa"/>
            <w:vAlign w:val="bottom"/>
          </w:tcPr>
          <w:p w14:paraId="342FC3D6">
            <w:pPr>
              <w:spacing w:line="440" w:lineRule="exact"/>
              <w:rPr>
                <w:rFonts w:ascii="宋体" w:hAnsi="宋体" w:cs="宋体"/>
                <w:color w:val="auto"/>
                <w:szCs w:val="21"/>
                <w:highlight w:val="none"/>
              </w:rPr>
            </w:pPr>
          </w:p>
        </w:tc>
        <w:tc>
          <w:tcPr>
            <w:tcW w:w="2110" w:type="dxa"/>
            <w:vAlign w:val="bottom"/>
          </w:tcPr>
          <w:p w14:paraId="2778C0DC">
            <w:pPr>
              <w:spacing w:line="440" w:lineRule="exact"/>
              <w:rPr>
                <w:rFonts w:ascii="宋体" w:hAnsi="宋体" w:cs="宋体"/>
                <w:color w:val="auto"/>
                <w:szCs w:val="21"/>
                <w:highlight w:val="none"/>
              </w:rPr>
            </w:pPr>
          </w:p>
        </w:tc>
      </w:tr>
    </w:tbl>
    <w:p w14:paraId="2924D161">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注：</w:t>
      </w:r>
    </w:p>
    <w:p w14:paraId="04813BDA">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1、供应商应根据要求进行一一响应，供应商认为需要响应的其他商务条款应在本表中进行说明，如未列出则认定供应商对其他条款无异议，完全响应招标文件要求。</w:t>
      </w:r>
    </w:p>
    <w:p w14:paraId="6CE1C3DA">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2、商务条款证明材料或承诺函附后（若需）。</w:t>
      </w:r>
    </w:p>
    <w:p w14:paraId="2C238219">
      <w:pPr>
        <w:spacing w:line="440" w:lineRule="exact"/>
        <w:rPr>
          <w:rFonts w:ascii="宋体" w:hAnsi="宋体" w:cs="宋体"/>
          <w:color w:val="auto"/>
          <w:szCs w:val="21"/>
          <w:highlight w:val="none"/>
        </w:rPr>
      </w:pPr>
    </w:p>
    <w:p w14:paraId="6942D551">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（单位电子印章）</w:t>
      </w:r>
    </w:p>
    <w:p w14:paraId="43FE7545">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（电子签章或签字）</w:t>
      </w:r>
    </w:p>
    <w:p w14:paraId="13E5A0AD">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51C0B2">
      <w:pPr>
        <w:spacing w:line="520" w:lineRule="exact"/>
        <w:ind w:firstLine="420" w:firstLineChars="200"/>
        <w:rPr>
          <w:rFonts w:ascii="宋体" w:hAnsi="宋体" w:cs="宋体"/>
          <w:color w:val="auto"/>
          <w:szCs w:val="21"/>
          <w:highlight w:val="none"/>
        </w:rPr>
      </w:pPr>
    </w:p>
    <w:p w14:paraId="3A5A612E">
      <w:pPr>
        <w:rPr>
          <w:color w:val="auto"/>
          <w:highlight w:val="none"/>
        </w:rPr>
      </w:pPr>
      <w:r>
        <w:rPr>
          <w:color w:val="auto"/>
          <w:highlight w:val="none"/>
        </w:rPr>
        <w:br w:type="page"/>
      </w:r>
    </w:p>
    <w:p w14:paraId="384EE692">
      <w:pPr>
        <w:pStyle w:val="3"/>
        <w:rPr>
          <w:color w:val="auto"/>
          <w:sz w:val="32"/>
          <w:szCs w:val="21"/>
          <w:highlight w:val="none"/>
        </w:rPr>
      </w:pPr>
      <w:bookmarkStart w:id="340" w:name="_Toc5667"/>
      <w:bookmarkStart w:id="341" w:name="_Toc10698"/>
      <w:bookmarkStart w:id="342" w:name="_Toc605"/>
      <w:bookmarkStart w:id="343" w:name="_Toc1737"/>
      <w:bookmarkStart w:id="344" w:name="_Toc34216021"/>
      <w:r>
        <w:rPr>
          <w:rFonts w:hint="eastAsia"/>
          <w:color w:val="auto"/>
          <w:sz w:val="32"/>
          <w:szCs w:val="21"/>
          <w:highlight w:val="none"/>
        </w:rPr>
        <w:t>六、资格审查资料</w:t>
      </w:r>
      <w:bookmarkEnd w:id="340"/>
      <w:bookmarkEnd w:id="341"/>
      <w:bookmarkEnd w:id="342"/>
      <w:bookmarkEnd w:id="343"/>
      <w:bookmarkEnd w:id="344"/>
    </w:p>
    <w:p w14:paraId="45F0461B">
      <w:pPr>
        <w:pStyle w:val="161"/>
        <w:spacing w:line="440" w:lineRule="exact"/>
        <w:outlineLvl w:val="2"/>
        <w:rPr>
          <w:rStyle w:val="162"/>
          <w:rFonts w:asciiTheme="minorEastAsia" w:hAnsiTheme="minorEastAsia" w:eastAsiaTheme="minorEastAsia" w:cstheme="minorEastAsia"/>
          <w:b w:val="0"/>
          <w:bCs/>
          <w:color w:val="auto"/>
          <w:highlight w:val="none"/>
        </w:rPr>
      </w:pPr>
      <w:bookmarkStart w:id="345" w:name="_Toc17983"/>
      <w:bookmarkStart w:id="346" w:name="_Toc1690531198"/>
      <w:bookmarkStart w:id="347" w:name="_Toc31363"/>
      <w:r>
        <w:rPr>
          <w:rStyle w:val="162"/>
          <w:rFonts w:asciiTheme="minorEastAsia" w:hAnsiTheme="minorEastAsia" w:eastAsiaTheme="minorEastAsia" w:cstheme="minorEastAsia"/>
          <w:b/>
          <w:bCs/>
          <w:color w:val="auto"/>
          <w:highlight w:val="none"/>
        </w:rPr>
        <w:t>1</w:t>
      </w:r>
      <w:r>
        <w:rPr>
          <w:rStyle w:val="162"/>
          <w:rFonts w:hint="eastAsia" w:asciiTheme="minorEastAsia" w:hAnsiTheme="minorEastAsia" w:eastAsiaTheme="minorEastAsia" w:cstheme="minorEastAsia"/>
          <w:b/>
          <w:bCs/>
          <w:color w:val="auto"/>
          <w:highlight w:val="none"/>
        </w:rPr>
        <w:t>、投标人基本情况表</w:t>
      </w:r>
      <w:bookmarkEnd w:id="345"/>
      <w:bookmarkEnd w:id="346"/>
      <w:bookmarkEnd w:id="347"/>
    </w:p>
    <w:tbl>
      <w:tblPr>
        <w:tblStyle w:val="38"/>
        <w:tblW w:w="9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4"/>
        <w:gridCol w:w="1390"/>
        <w:gridCol w:w="2458"/>
        <w:gridCol w:w="1268"/>
        <w:gridCol w:w="1884"/>
      </w:tblGrid>
      <w:tr w14:paraId="1039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144" w:type="dxa"/>
            <w:tcBorders>
              <w:top w:val="single" w:color="auto" w:sz="4" w:space="0"/>
              <w:left w:val="single" w:color="auto" w:sz="4" w:space="0"/>
              <w:bottom w:val="single" w:color="auto" w:sz="4" w:space="0"/>
              <w:right w:val="single" w:color="auto" w:sz="4" w:space="0"/>
            </w:tcBorders>
            <w:vAlign w:val="center"/>
          </w:tcPr>
          <w:p w14:paraId="2DBE5632">
            <w:pPr>
              <w:jc w:val="center"/>
              <w:rPr>
                <w:rFonts w:ascii="宋体" w:hAnsi="宋体" w:cs="宋体"/>
                <w:color w:val="auto"/>
                <w:szCs w:val="21"/>
                <w:highlight w:val="none"/>
              </w:rPr>
            </w:pPr>
            <w:r>
              <w:rPr>
                <w:rFonts w:hint="eastAsia" w:ascii="宋体" w:hAnsi="宋体" w:cs="宋体"/>
                <w:color w:val="auto"/>
                <w:szCs w:val="21"/>
                <w:highlight w:val="none"/>
              </w:rPr>
              <w:t>投标人名称</w:t>
            </w:r>
          </w:p>
        </w:tc>
        <w:tc>
          <w:tcPr>
            <w:tcW w:w="7000" w:type="dxa"/>
            <w:gridSpan w:val="4"/>
            <w:tcBorders>
              <w:top w:val="single" w:color="auto" w:sz="4" w:space="0"/>
              <w:left w:val="single" w:color="auto" w:sz="4" w:space="0"/>
              <w:bottom w:val="single" w:color="auto" w:sz="4" w:space="0"/>
              <w:right w:val="single" w:color="auto" w:sz="4" w:space="0"/>
            </w:tcBorders>
            <w:vAlign w:val="center"/>
          </w:tcPr>
          <w:p w14:paraId="79FD9494">
            <w:pPr>
              <w:jc w:val="center"/>
              <w:rPr>
                <w:rFonts w:ascii="宋体" w:hAnsi="宋体" w:cs="宋体"/>
                <w:color w:val="auto"/>
                <w:szCs w:val="21"/>
                <w:highlight w:val="none"/>
              </w:rPr>
            </w:pPr>
          </w:p>
        </w:tc>
      </w:tr>
      <w:tr w14:paraId="3E13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144" w:type="dxa"/>
            <w:tcBorders>
              <w:top w:val="single" w:color="auto" w:sz="4" w:space="0"/>
              <w:left w:val="single" w:color="auto" w:sz="4" w:space="0"/>
              <w:bottom w:val="single" w:color="auto" w:sz="4" w:space="0"/>
              <w:right w:val="single" w:color="auto" w:sz="4" w:space="0"/>
            </w:tcBorders>
            <w:vAlign w:val="center"/>
          </w:tcPr>
          <w:p w14:paraId="163334D0">
            <w:pPr>
              <w:jc w:val="center"/>
              <w:rPr>
                <w:rFonts w:ascii="宋体" w:hAnsi="宋体" w:cs="宋体"/>
                <w:color w:val="auto"/>
                <w:szCs w:val="21"/>
                <w:highlight w:val="none"/>
              </w:rPr>
            </w:pPr>
            <w:r>
              <w:rPr>
                <w:rFonts w:hint="eastAsia" w:ascii="宋体" w:hAnsi="宋体" w:cs="宋体"/>
                <w:color w:val="auto"/>
                <w:szCs w:val="21"/>
                <w:highlight w:val="none"/>
              </w:rPr>
              <w:t>注册资金</w:t>
            </w:r>
          </w:p>
        </w:tc>
        <w:tc>
          <w:tcPr>
            <w:tcW w:w="3848" w:type="dxa"/>
            <w:gridSpan w:val="2"/>
            <w:tcBorders>
              <w:top w:val="single" w:color="auto" w:sz="4" w:space="0"/>
              <w:left w:val="single" w:color="auto" w:sz="4" w:space="0"/>
              <w:bottom w:val="single" w:color="auto" w:sz="4" w:space="0"/>
              <w:right w:val="single" w:color="auto" w:sz="4" w:space="0"/>
            </w:tcBorders>
            <w:vAlign w:val="center"/>
          </w:tcPr>
          <w:p w14:paraId="457DDDA3">
            <w:pPr>
              <w:jc w:val="center"/>
              <w:rPr>
                <w:rFonts w:ascii="宋体" w:hAnsi="宋体" w:cs="宋体"/>
                <w:color w:val="auto"/>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08AC9A66">
            <w:pPr>
              <w:jc w:val="center"/>
              <w:rPr>
                <w:rFonts w:ascii="宋体" w:hAnsi="宋体" w:cs="宋体"/>
                <w:color w:val="auto"/>
                <w:szCs w:val="21"/>
                <w:highlight w:val="none"/>
              </w:rPr>
            </w:pPr>
            <w:r>
              <w:rPr>
                <w:rFonts w:hint="eastAsia" w:ascii="宋体" w:hAnsi="宋体" w:cs="宋体"/>
                <w:color w:val="auto"/>
                <w:szCs w:val="21"/>
                <w:highlight w:val="none"/>
              </w:rPr>
              <w:t>成立时间</w:t>
            </w:r>
          </w:p>
        </w:tc>
        <w:tc>
          <w:tcPr>
            <w:tcW w:w="1884" w:type="dxa"/>
            <w:tcBorders>
              <w:top w:val="single" w:color="auto" w:sz="4" w:space="0"/>
              <w:left w:val="single" w:color="auto" w:sz="4" w:space="0"/>
              <w:bottom w:val="single" w:color="auto" w:sz="4" w:space="0"/>
              <w:right w:val="single" w:color="auto" w:sz="4" w:space="0"/>
            </w:tcBorders>
            <w:vAlign w:val="center"/>
          </w:tcPr>
          <w:p w14:paraId="60ABE8E9">
            <w:pPr>
              <w:jc w:val="center"/>
              <w:rPr>
                <w:rFonts w:ascii="宋体" w:hAnsi="宋体" w:cs="宋体"/>
                <w:color w:val="auto"/>
                <w:szCs w:val="21"/>
                <w:highlight w:val="none"/>
              </w:rPr>
            </w:pPr>
          </w:p>
        </w:tc>
      </w:tr>
      <w:tr w14:paraId="1D8B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2144" w:type="dxa"/>
            <w:tcBorders>
              <w:top w:val="single" w:color="auto" w:sz="4" w:space="0"/>
              <w:left w:val="single" w:color="auto" w:sz="4" w:space="0"/>
              <w:bottom w:val="single" w:color="auto" w:sz="4" w:space="0"/>
              <w:right w:val="single" w:color="auto" w:sz="4" w:space="0"/>
            </w:tcBorders>
            <w:vAlign w:val="center"/>
          </w:tcPr>
          <w:p w14:paraId="7CC437DA">
            <w:pPr>
              <w:jc w:val="center"/>
              <w:rPr>
                <w:rFonts w:ascii="宋体" w:hAnsi="宋体" w:cs="宋体"/>
                <w:color w:val="auto"/>
                <w:szCs w:val="21"/>
                <w:highlight w:val="none"/>
              </w:rPr>
            </w:pPr>
            <w:r>
              <w:rPr>
                <w:rFonts w:hint="eastAsia" w:ascii="宋体" w:hAnsi="宋体" w:cs="宋体"/>
                <w:color w:val="auto"/>
                <w:szCs w:val="21"/>
                <w:highlight w:val="none"/>
              </w:rPr>
              <w:t>注册地址</w:t>
            </w:r>
          </w:p>
        </w:tc>
        <w:tc>
          <w:tcPr>
            <w:tcW w:w="7000" w:type="dxa"/>
            <w:gridSpan w:val="4"/>
            <w:tcBorders>
              <w:top w:val="single" w:color="auto" w:sz="4" w:space="0"/>
              <w:left w:val="single" w:color="auto" w:sz="4" w:space="0"/>
              <w:bottom w:val="single" w:color="auto" w:sz="4" w:space="0"/>
              <w:right w:val="single" w:color="auto" w:sz="4" w:space="0"/>
            </w:tcBorders>
            <w:vAlign w:val="center"/>
          </w:tcPr>
          <w:p w14:paraId="0E9FA50D">
            <w:pPr>
              <w:jc w:val="center"/>
              <w:rPr>
                <w:rFonts w:ascii="宋体" w:hAnsi="宋体" w:cs="宋体"/>
                <w:color w:val="auto"/>
                <w:szCs w:val="21"/>
                <w:highlight w:val="none"/>
              </w:rPr>
            </w:pPr>
          </w:p>
        </w:tc>
      </w:tr>
      <w:tr w14:paraId="2C91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144" w:type="dxa"/>
            <w:tcBorders>
              <w:top w:val="single" w:color="auto" w:sz="4" w:space="0"/>
              <w:left w:val="single" w:color="auto" w:sz="4" w:space="0"/>
              <w:bottom w:val="single" w:color="auto" w:sz="4" w:space="0"/>
              <w:right w:val="single" w:color="auto" w:sz="4" w:space="0"/>
            </w:tcBorders>
            <w:vAlign w:val="center"/>
          </w:tcPr>
          <w:p w14:paraId="1230EECD">
            <w:pPr>
              <w:jc w:val="center"/>
              <w:rPr>
                <w:rFonts w:ascii="宋体" w:hAnsi="宋体" w:cs="宋体"/>
                <w:color w:val="auto"/>
                <w:szCs w:val="21"/>
                <w:highlight w:val="none"/>
              </w:rPr>
            </w:pPr>
            <w:r>
              <w:rPr>
                <w:rFonts w:hint="eastAsia" w:ascii="宋体" w:hAnsi="宋体" w:cs="宋体"/>
                <w:color w:val="auto"/>
                <w:szCs w:val="21"/>
                <w:highlight w:val="none"/>
              </w:rPr>
              <w:t>邮政编码</w:t>
            </w:r>
          </w:p>
        </w:tc>
        <w:tc>
          <w:tcPr>
            <w:tcW w:w="3848" w:type="dxa"/>
            <w:gridSpan w:val="2"/>
            <w:tcBorders>
              <w:top w:val="single" w:color="auto" w:sz="4" w:space="0"/>
              <w:left w:val="single" w:color="auto" w:sz="4" w:space="0"/>
              <w:bottom w:val="single" w:color="auto" w:sz="4" w:space="0"/>
              <w:right w:val="single" w:color="auto" w:sz="4" w:space="0"/>
            </w:tcBorders>
            <w:vAlign w:val="center"/>
          </w:tcPr>
          <w:p w14:paraId="7A45F1D4">
            <w:pPr>
              <w:jc w:val="center"/>
              <w:rPr>
                <w:rFonts w:ascii="宋体" w:hAnsi="宋体" w:cs="宋体"/>
                <w:color w:val="auto"/>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685B5D88">
            <w:pPr>
              <w:jc w:val="center"/>
              <w:rPr>
                <w:rFonts w:ascii="宋体" w:hAnsi="宋体" w:cs="宋体"/>
                <w:color w:val="auto"/>
                <w:szCs w:val="21"/>
                <w:highlight w:val="none"/>
              </w:rPr>
            </w:pPr>
            <w:r>
              <w:rPr>
                <w:rFonts w:hint="eastAsia" w:ascii="宋体" w:hAnsi="宋体" w:cs="宋体"/>
                <w:color w:val="auto"/>
                <w:szCs w:val="21"/>
                <w:highlight w:val="none"/>
              </w:rPr>
              <w:t>员工总数</w:t>
            </w:r>
          </w:p>
        </w:tc>
        <w:tc>
          <w:tcPr>
            <w:tcW w:w="1884" w:type="dxa"/>
            <w:tcBorders>
              <w:top w:val="single" w:color="auto" w:sz="4" w:space="0"/>
              <w:left w:val="single" w:color="auto" w:sz="4" w:space="0"/>
              <w:bottom w:val="single" w:color="auto" w:sz="4" w:space="0"/>
              <w:right w:val="single" w:color="auto" w:sz="4" w:space="0"/>
            </w:tcBorders>
            <w:vAlign w:val="center"/>
          </w:tcPr>
          <w:p w14:paraId="14200CA4">
            <w:pPr>
              <w:jc w:val="center"/>
              <w:rPr>
                <w:rFonts w:ascii="宋体" w:hAnsi="宋体" w:cs="宋体"/>
                <w:color w:val="auto"/>
                <w:szCs w:val="21"/>
                <w:highlight w:val="none"/>
              </w:rPr>
            </w:pPr>
          </w:p>
        </w:tc>
      </w:tr>
      <w:tr w14:paraId="6F3B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144" w:type="dxa"/>
            <w:vMerge w:val="restart"/>
            <w:tcBorders>
              <w:top w:val="single" w:color="auto" w:sz="4" w:space="0"/>
              <w:left w:val="single" w:color="auto" w:sz="4" w:space="0"/>
              <w:bottom w:val="single" w:color="auto" w:sz="4" w:space="0"/>
              <w:right w:val="single" w:color="auto" w:sz="4" w:space="0"/>
            </w:tcBorders>
            <w:vAlign w:val="center"/>
          </w:tcPr>
          <w:p w14:paraId="6AE9B917">
            <w:pPr>
              <w:jc w:val="center"/>
              <w:rPr>
                <w:rFonts w:ascii="宋体" w:hAnsi="宋体" w:cs="宋体"/>
                <w:color w:val="auto"/>
                <w:szCs w:val="21"/>
                <w:highlight w:val="none"/>
              </w:rPr>
            </w:pPr>
            <w:r>
              <w:rPr>
                <w:rFonts w:hint="eastAsia" w:ascii="宋体" w:hAnsi="宋体" w:cs="宋体"/>
                <w:color w:val="auto"/>
                <w:szCs w:val="21"/>
                <w:highlight w:val="none"/>
              </w:rPr>
              <w:t>联系方式</w:t>
            </w:r>
          </w:p>
        </w:tc>
        <w:tc>
          <w:tcPr>
            <w:tcW w:w="1390" w:type="dxa"/>
            <w:tcBorders>
              <w:top w:val="single" w:color="auto" w:sz="4" w:space="0"/>
              <w:left w:val="single" w:color="auto" w:sz="4" w:space="0"/>
              <w:bottom w:val="single" w:color="auto" w:sz="4" w:space="0"/>
              <w:right w:val="single" w:color="auto" w:sz="4" w:space="0"/>
            </w:tcBorders>
            <w:vAlign w:val="center"/>
          </w:tcPr>
          <w:p w14:paraId="236E9F8B">
            <w:pPr>
              <w:jc w:val="center"/>
              <w:rPr>
                <w:rFonts w:ascii="宋体" w:hAnsi="宋体" w:cs="宋体"/>
                <w:color w:val="auto"/>
                <w:szCs w:val="21"/>
                <w:highlight w:val="none"/>
              </w:rPr>
            </w:pPr>
            <w:r>
              <w:rPr>
                <w:rFonts w:hint="eastAsia" w:ascii="宋体" w:hAnsi="宋体" w:cs="宋体"/>
                <w:color w:val="auto"/>
                <w:szCs w:val="21"/>
                <w:highlight w:val="none"/>
              </w:rPr>
              <w:t>联系人</w:t>
            </w:r>
          </w:p>
        </w:tc>
        <w:tc>
          <w:tcPr>
            <w:tcW w:w="2458" w:type="dxa"/>
            <w:tcBorders>
              <w:top w:val="single" w:color="auto" w:sz="4" w:space="0"/>
              <w:left w:val="single" w:color="auto" w:sz="4" w:space="0"/>
              <w:bottom w:val="single" w:color="auto" w:sz="4" w:space="0"/>
              <w:right w:val="single" w:color="auto" w:sz="4" w:space="0"/>
            </w:tcBorders>
            <w:vAlign w:val="center"/>
          </w:tcPr>
          <w:p w14:paraId="65EB5875">
            <w:pPr>
              <w:jc w:val="center"/>
              <w:rPr>
                <w:rFonts w:ascii="宋体" w:hAnsi="宋体" w:cs="宋体"/>
                <w:color w:val="auto"/>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10AD6CDA">
            <w:pPr>
              <w:jc w:val="center"/>
              <w:rPr>
                <w:rFonts w:ascii="宋体" w:hAnsi="宋体" w:cs="宋体"/>
                <w:color w:val="auto"/>
                <w:szCs w:val="21"/>
                <w:highlight w:val="none"/>
              </w:rPr>
            </w:pPr>
            <w:r>
              <w:rPr>
                <w:rFonts w:hint="eastAsia" w:ascii="宋体" w:hAnsi="宋体" w:cs="宋体"/>
                <w:color w:val="auto"/>
                <w:szCs w:val="21"/>
                <w:highlight w:val="none"/>
              </w:rPr>
              <w:t>电话</w:t>
            </w:r>
          </w:p>
        </w:tc>
        <w:tc>
          <w:tcPr>
            <w:tcW w:w="1884" w:type="dxa"/>
            <w:tcBorders>
              <w:top w:val="single" w:color="auto" w:sz="4" w:space="0"/>
              <w:left w:val="single" w:color="auto" w:sz="4" w:space="0"/>
              <w:bottom w:val="single" w:color="auto" w:sz="4" w:space="0"/>
              <w:right w:val="single" w:color="auto" w:sz="4" w:space="0"/>
            </w:tcBorders>
            <w:vAlign w:val="center"/>
          </w:tcPr>
          <w:p w14:paraId="6835B3B2">
            <w:pPr>
              <w:jc w:val="center"/>
              <w:rPr>
                <w:rFonts w:ascii="宋体" w:hAnsi="宋体" w:cs="宋体"/>
                <w:color w:val="auto"/>
                <w:szCs w:val="21"/>
                <w:highlight w:val="none"/>
              </w:rPr>
            </w:pPr>
          </w:p>
        </w:tc>
      </w:tr>
      <w:tr w14:paraId="4825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144" w:type="dxa"/>
            <w:vMerge w:val="continue"/>
            <w:tcBorders>
              <w:top w:val="single" w:color="auto" w:sz="4" w:space="0"/>
              <w:left w:val="single" w:color="auto" w:sz="4" w:space="0"/>
              <w:bottom w:val="single" w:color="auto" w:sz="4" w:space="0"/>
              <w:right w:val="single" w:color="auto" w:sz="4" w:space="0"/>
            </w:tcBorders>
            <w:vAlign w:val="center"/>
          </w:tcPr>
          <w:p w14:paraId="5D4E2167">
            <w:pPr>
              <w:widowControl/>
              <w:jc w:val="left"/>
              <w:rPr>
                <w:rFonts w:ascii="宋体" w:hAnsi="宋体" w:cs="宋体"/>
                <w:color w:val="auto"/>
                <w:szCs w:val="21"/>
                <w:highlight w:val="none"/>
              </w:rPr>
            </w:pPr>
          </w:p>
        </w:tc>
        <w:tc>
          <w:tcPr>
            <w:tcW w:w="1390" w:type="dxa"/>
            <w:tcBorders>
              <w:top w:val="single" w:color="auto" w:sz="4" w:space="0"/>
              <w:left w:val="single" w:color="auto" w:sz="4" w:space="0"/>
              <w:bottom w:val="single" w:color="auto" w:sz="4" w:space="0"/>
              <w:right w:val="single" w:color="auto" w:sz="4" w:space="0"/>
            </w:tcBorders>
            <w:vAlign w:val="center"/>
          </w:tcPr>
          <w:p w14:paraId="196444C3">
            <w:pPr>
              <w:jc w:val="center"/>
              <w:rPr>
                <w:rFonts w:ascii="宋体" w:hAnsi="宋体" w:cs="宋体"/>
                <w:color w:val="auto"/>
                <w:szCs w:val="21"/>
                <w:highlight w:val="none"/>
              </w:rPr>
            </w:pPr>
            <w:r>
              <w:rPr>
                <w:rFonts w:hint="eastAsia" w:ascii="宋体" w:hAnsi="宋体" w:cs="宋体"/>
                <w:color w:val="auto"/>
                <w:szCs w:val="21"/>
                <w:highlight w:val="none"/>
              </w:rPr>
              <w:t>传真</w:t>
            </w:r>
          </w:p>
        </w:tc>
        <w:tc>
          <w:tcPr>
            <w:tcW w:w="2458" w:type="dxa"/>
            <w:tcBorders>
              <w:top w:val="single" w:color="auto" w:sz="4" w:space="0"/>
              <w:left w:val="single" w:color="auto" w:sz="4" w:space="0"/>
              <w:bottom w:val="single" w:color="auto" w:sz="4" w:space="0"/>
              <w:right w:val="single" w:color="auto" w:sz="4" w:space="0"/>
            </w:tcBorders>
            <w:vAlign w:val="center"/>
          </w:tcPr>
          <w:p w14:paraId="36AEA63C">
            <w:pPr>
              <w:jc w:val="center"/>
              <w:rPr>
                <w:rFonts w:ascii="宋体" w:hAnsi="宋体" w:cs="宋体"/>
                <w:color w:val="auto"/>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652C2AE1">
            <w:pPr>
              <w:jc w:val="center"/>
              <w:rPr>
                <w:rFonts w:ascii="宋体" w:hAnsi="宋体" w:cs="宋体"/>
                <w:color w:val="auto"/>
                <w:szCs w:val="21"/>
                <w:highlight w:val="none"/>
              </w:rPr>
            </w:pPr>
            <w:r>
              <w:rPr>
                <w:rFonts w:hint="eastAsia" w:ascii="宋体" w:hAnsi="宋体" w:cs="宋体"/>
                <w:color w:val="auto"/>
                <w:szCs w:val="21"/>
                <w:highlight w:val="none"/>
              </w:rPr>
              <w:t>网址</w:t>
            </w:r>
          </w:p>
        </w:tc>
        <w:tc>
          <w:tcPr>
            <w:tcW w:w="1884" w:type="dxa"/>
            <w:tcBorders>
              <w:top w:val="single" w:color="auto" w:sz="4" w:space="0"/>
              <w:left w:val="single" w:color="auto" w:sz="4" w:space="0"/>
              <w:bottom w:val="single" w:color="auto" w:sz="4" w:space="0"/>
              <w:right w:val="single" w:color="auto" w:sz="4" w:space="0"/>
            </w:tcBorders>
            <w:vAlign w:val="center"/>
          </w:tcPr>
          <w:p w14:paraId="6A75E6D5">
            <w:pPr>
              <w:jc w:val="center"/>
              <w:rPr>
                <w:rFonts w:ascii="宋体" w:hAnsi="宋体" w:cs="宋体"/>
                <w:color w:val="auto"/>
                <w:szCs w:val="21"/>
                <w:highlight w:val="none"/>
              </w:rPr>
            </w:pPr>
          </w:p>
        </w:tc>
      </w:tr>
      <w:tr w14:paraId="4AA1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144" w:type="dxa"/>
            <w:tcBorders>
              <w:top w:val="single" w:color="auto" w:sz="4" w:space="0"/>
              <w:left w:val="single" w:color="auto" w:sz="4" w:space="0"/>
              <w:bottom w:val="single" w:color="auto" w:sz="4" w:space="0"/>
              <w:right w:val="single" w:color="auto" w:sz="4" w:space="0"/>
            </w:tcBorders>
            <w:vAlign w:val="center"/>
          </w:tcPr>
          <w:p w14:paraId="5DA83DFA">
            <w:pPr>
              <w:jc w:val="center"/>
              <w:rPr>
                <w:rFonts w:ascii="宋体" w:hAnsi="宋体" w:cs="宋体"/>
                <w:color w:val="auto"/>
                <w:szCs w:val="21"/>
                <w:highlight w:val="none"/>
              </w:rPr>
            </w:pPr>
            <w:r>
              <w:rPr>
                <w:rFonts w:hint="eastAsia" w:ascii="宋体" w:hAnsi="宋体" w:cs="宋体"/>
                <w:color w:val="auto"/>
                <w:szCs w:val="21"/>
                <w:highlight w:val="none"/>
              </w:rPr>
              <w:t>法定代表人</w:t>
            </w:r>
          </w:p>
        </w:tc>
        <w:tc>
          <w:tcPr>
            <w:tcW w:w="1390" w:type="dxa"/>
            <w:tcBorders>
              <w:top w:val="single" w:color="auto" w:sz="4" w:space="0"/>
              <w:left w:val="single" w:color="auto" w:sz="4" w:space="0"/>
              <w:bottom w:val="single" w:color="auto" w:sz="4" w:space="0"/>
              <w:right w:val="single" w:color="auto" w:sz="4" w:space="0"/>
            </w:tcBorders>
            <w:vAlign w:val="center"/>
          </w:tcPr>
          <w:p w14:paraId="1A5E819B">
            <w:pPr>
              <w:jc w:val="center"/>
              <w:rPr>
                <w:rFonts w:ascii="宋体" w:hAnsi="宋体" w:cs="宋体"/>
                <w:color w:val="auto"/>
                <w:szCs w:val="21"/>
                <w:highlight w:val="none"/>
              </w:rPr>
            </w:pPr>
            <w:r>
              <w:rPr>
                <w:rFonts w:hint="eastAsia" w:ascii="宋体" w:hAnsi="宋体" w:cs="宋体"/>
                <w:color w:val="auto"/>
                <w:szCs w:val="21"/>
                <w:highlight w:val="none"/>
              </w:rPr>
              <w:t>姓名</w:t>
            </w:r>
          </w:p>
        </w:tc>
        <w:tc>
          <w:tcPr>
            <w:tcW w:w="2458" w:type="dxa"/>
            <w:tcBorders>
              <w:top w:val="single" w:color="auto" w:sz="4" w:space="0"/>
              <w:left w:val="single" w:color="auto" w:sz="4" w:space="0"/>
              <w:bottom w:val="single" w:color="auto" w:sz="4" w:space="0"/>
              <w:right w:val="single" w:color="auto" w:sz="4" w:space="0"/>
            </w:tcBorders>
            <w:vAlign w:val="center"/>
          </w:tcPr>
          <w:p w14:paraId="369ECC5C">
            <w:pPr>
              <w:jc w:val="center"/>
              <w:rPr>
                <w:rFonts w:ascii="宋体" w:hAnsi="宋体" w:cs="宋体"/>
                <w:color w:val="auto"/>
                <w:szCs w:val="21"/>
                <w:highlight w:val="none"/>
              </w:rPr>
            </w:pPr>
          </w:p>
        </w:tc>
        <w:tc>
          <w:tcPr>
            <w:tcW w:w="1268" w:type="dxa"/>
            <w:tcBorders>
              <w:top w:val="single" w:color="auto" w:sz="4" w:space="0"/>
              <w:left w:val="single" w:color="auto" w:sz="4" w:space="0"/>
              <w:bottom w:val="single" w:color="auto" w:sz="4" w:space="0"/>
              <w:right w:val="single" w:color="auto" w:sz="4" w:space="0"/>
            </w:tcBorders>
            <w:vAlign w:val="center"/>
          </w:tcPr>
          <w:p w14:paraId="0512AFFB">
            <w:pPr>
              <w:jc w:val="center"/>
              <w:rPr>
                <w:rFonts w:ascii="宋体" w:hAnsi="宋体" w:cs="宋体"/>
                <w:color w:val="auto"/>
                <w:szCs w:val="21"/>
                <w:highlight w:val="none"/>
              </w:rPr>
            </w:pPr>
            <w:r>
              <w:rPr>
                <w:rFonts w:hint="eastAsia" w:ascii="宋体" w:hAnsi="宋体" w:cs="宋体"/>
                <w:color w:val="auto"/>
                <w:szCs w:val="21"/>
                <w:highlight w:val="none"/>
              </w:rPr>
              <w:t>电话</w:t>
            </w:r>
          </w:p>
        </w:tc>
        <w:tc>
          <w:tcPr>
            <w:tcW w:w="1884" w:type="dxa"/>
            <w:tcBorders>
              <w:top w:val="single" w:color="auto" w:sz="4" w:space="0"/>
              <w:left w:val="single" w:color="auto" w:sz="4" w:space="0"/>
              <w:bottom w:val="single" w:color="auto" w:sz="4" w:space="0"/>
              <w:right w:val="single" w:color="auto" w:sz="4" w:space="0"/>
            </w:tcBorders>
            <w:vAlign w:val="center"/>
          </w:tcPr>
          <w:p w14:paraId="38F5D965">
            <w:pPr>
              <w:jc w:val="center"/>
              <w:rPr>
                <w:rFonts w:ascii="宋体" w:hAnsi="宋体" w:cs="宋体"/>
                <w:color w:val="auto"/>
                <w:szCs w:val="21"/>
                <w:highlight w:val="none"/>
              </w:rPr>
            </w:pPr>
          </w:p>
        </w:tc>
      </w:tr>
      <w:tr w14:paraId="2538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2144" w:type="dxa"/>
            <w:tcBorders>
              <w:top w:val="single" w:color="auto" w:sz="4" w:space="0"/>
              <w:left w:val="single" w:color="auto" w:sz="4" w:space="0"/>
              <w:bottom w:val="single" w:color="auto" w:sz="4" w:space="0"/>
              <w:right w:val="single" w:color="auto" w:sz="4" w:space="0"/>
            </w:tcBorders>
            <w:vAlign w:val="center"/>
          </w:tcPr>
          <w:p w14:paraId="3C60668C">
            <w:pPr>
              <w:jc w:val="center"/>
              <w:rPr>
                <w:rFonts w:ascii="宋体" w:hAnsi="宋体" w:cs="宋体"/>
                <w:color w:val="auto"/>
                <w:szCs w:val="21"/>
                <w:highlight w:val="none"/>
              </w:rPr>
            </w:pPr>
            <w:r>
              <w:rPr>
                <w:rFonts w:hint="eastAsia" w:ascii="宋体" w:hAnsi="宋体" w:cs="宋体"/>
                <w:color w:val="auto"/>
                <w:szCs w:val="21"/>
                <w:highlight w:val="none"/>
              </w:rPr>
              <w:t>基本账户开户银行</w:t>
            </w:r>
          </w:p>
        </w:tc>
        <w:tc>
          <w:tcPr>
            <w:tcW w:w="7000" w:type="dxa"/>
            <w:gridSpan w:val="4"/>
            <w:tcBorders>
              <w:top w:val="single" w:color="auto" w:sz="4" w:space="0"/>
              <w:left w:val="single" w:color="auto" w:sz="4" w:space="0"/>
              <w:bottom w:val="single" w:color="auto" w:sz="4" w:space="0"/>
              <w:right w:val="single" w:color="auto" w:sz="4" w:space="0"/>
            </w:tcBorders>
            <w:vAlign w:val="center"/>
          </w:tcPr>
          <w:p w14:paraId="594ACA1F">
            <w:pPr>
              <w:jc w:val="left"/>
              <w:rPr>
                <w:rFonts w:ascii="宋体" w:hAnsi="宋体" w:cs="宋体"/>
                <w:color w:val="auto"/>
                <w:szCs w:val="21"/>
                <w:highlight w:val="none"/>
              </w:rPr>
            </w:pPr>
          </w:p>
        </w:tc>
      </w:tr>
      <w:tr w14:paraId="2179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144" w:type="dxa"/>
            <w:tcBorders>
              <w:top w:val="single" w:color="auto" w:sz="4" w:space="0"/>
              <w:left w:val="single" w:color="auto" w:sz="4" w:space="0"/>
              <w:bottom w:val="single" w:color="auto" w:sz="4" w:space="0"/>
              <w:right w:val="single" w:color="auto" w:sz="4" w:space="0"/>
            </w:tcBorders>
            <w:vAlign w:val="center"/>
          </w:tcPr>
          <w:p w14:paraId="13540648">
            <w:pPr>
              <w:jc w:val="center"/>
              <w:rPr>
                <w:rFonts w:ascii="宋体" w:hAnsi="宋体" w:cs="宋体"/>
                <w:color w:val="auto"/>
                <w:szCs w:val="21"/>
                <w:highlight w:val="none"/>
              </w:rPr>
            </w:pPr>
            <w:r>
              <w:rPr>
                <w:rFonts w:hint="eastAsia" w:ascii="宋体" w:hAnsi="宋体" w:cs="宋体"/>
                <w:color w:val="auto"/>
                <w:szCs w:val="21"/>
                <w:highlight w:val="none"/>
              </w:rPr>
              <w:t>基本账户银行账号</w:t>
            </w:r>
          </w:p>
        </w:tc>
        <w:tc>
          <w:tcPr>
            <w:tcW w:w="7000" w:type="dxa"/>
            <w:gridSpan w:val="4"/>
            <w:tcBorders>
              <w:top w:val="single" w:color="auto" w:sz="4" w:space="0"/>
              <w:left w:val="single" w:color="auto" w:sz="4" w:space="0"/>
              <w:bottom w:val="single" w:color="auto" w:sz="4" w:space="0"/>
              <w:right w:val="single" w:color="auto" w:sz="4" w:space="0"/>
            </w:tcBorders>
            <w:vAlign w:val="center"/>
          </w:tcPr>
          <w:p w14:paraId="1981BE97">
            <w:pPr>
              <w:jc w:val="left"/>
              <w:rPr>
                <w:rFonts w:ascii="宋体" w:hAnsi="宋体" w:cs="宋体"/>
                <w:color w:val="auto"/>
                <w:szCs w:val="21"/>
                <w:highlight w:val="none"/>
              </w:rPr>
            </w:pPr>
          </w:p>
        </w:tc>
      </w:tr>
      <w:tr w14:paraId="0B9E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7" w:hRule="atLeast"/>
          <w:jc w:val="center"/>
        </w:trPr>
        <w:tc>
          <w:tcPr>
            <w:tcW w:w="2144" w:type="dxa"/>
            <w:tcBorders>
              <w:top w:val="single" w:color="auto" w:sz="4" w:space="0"/>
              <w:left w:val="single" w:color="auto" w:sz="4" w:space="0"/>
              <w:bottom w:val="single" w:color="auto" w:sz="4" w:space="0"/>
              <w:right w:val="single" w:color="auto" w:sz="4" w:space="0"/>
            </w:tcBorders>
            <w:vAlign w:val="center"/>
          </w:tcPr>
          <w:p w14:paraId="4BCF8F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投标人关联企业情况</w:t>
            </w:r>
          </w:p>
          <w:p w14:paraId="74BD691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（包括但不限于与投标人法定代表人（单位负责人）为同一人或者存在控股、管理关系的不同单位）</w:t>
            </w:r>
          </w:p>
        </w:tc>
        <w:tc>
          <w:tcPr>
            <w:tcW w:w="7000" w:type="dxa"/>
            <w:gridSpan w:val="4"/>
            <w:tcBorders>
              <w:top w:val="single" w:color="auto" w:sz="4" w:space="0"/>
              <w:left w:val="single" w:color="auto" w:sz="4" w:space="0"/>
              <w:bottom w:val="single" w:color="auto" w:sz="4" w:space="0"/>
              <w:right w:val="single" w:color="auto" w:sz="4" w:space="0"/>
            </w:tcBorders>
            <w:vAlign w:val="center"/>
          </w:tcPr>
          <w:p w14:paraId="21747450">
            <w:pPr>
              <w:jc w:val="left"/>
              <w:rPr>
                <w:rFonts w:ascii="宋体" w:hAnsi="宋体" w:cs="宋体"/>
                <w:color w:val="auto"/>
                <w:szCs w:val="21"/>
                <w:highlight w:val="none"/>
              </w:rPr>
            </w:pPr>
          </w:p>
        </w:tc>
      </w:tr>
      <w:tr w14:paraId="3E89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2144" w:type="dxa"/>
            <w:tcBorders>
              <w:top w:val="single" w:color="auto" w:sz="4" w:space="0"/>
              <w:left w:val="single" w:color="auto" w:sz="4" w:space="0"/>
              <w:bottom w:val="single" w:color="auto" w:sz="4" w:space="0"/>
              <w:right w:val="single" w:color="auto" w:sz="4" w:space="0"/>
            </w:tcBorders>
            <w:vAlign w:val="center"/>
          </w:tcPr>
          <w:p w14:paraId="6B9C5224">
            <w:pPr>
              <w:jc w:val="center"/>
              <w:rPr>
                <w:rFonts w:ascii="宋体" w:hAnsi="宋体" w:cs="宋体"/>
                <w:color w:val="auto"/>
                <w:szCs w:val="21"/>
                <w:highlight w:val="none"/>
              </w:rPr>
            </w:pPr>
            <w:r>
              <w:rPr>
                <w:rFonts w:hint="eastAsia" w:ascii="宋体" w:hAnsi="宋体" w:cs="宋体"/>
                <w:color w:val="auto"/>
                <w:szCs w:val="21"/>
                <w:highlight w:val="none"/>
              </w:rPr>
              <w:t>备注</w:t>
            </w:r>
          </w:p>
        </w:tc>
        <w:tc>
          <w:tcPr>
            <w:tcW w:w="7000" w:type="dxa"/>
            <w:gridSpan w:val="4"/>
            <w:tcBorders>
              <w:top w:val="single" w:color="auto" w:sz="4" w:space="0"/>
              <w:left w:val="single" w:color="auto" w:sz="4" w:space="0"/>
              <w:bottom w:val="single" w:color="auto" w:sz="4" w:space="0"/>
              <w:right w:val="single" w:color="auto" w:sz="4" w:space="0"/>
            </w:tcBorders>
            <w:vAlign w:val="center"/>
          </w:tcPr>
          <w:p w14:paraId="6708253D">
            <w:pPr>
              <w:ind w:firstLine="420" w:firstLineChars="200"/>
              <w:jc w:val="left"/>
              <w:rPr>
                <w:rFonts w:ascii="宋体" w:hAnsi="宋体" w:cs="宋体"/>
                <w:color w:val="auto"/>
                <w:szCs w:val="21"/>
                <w:highlight w:val="none"/>
              </w:rPr>
            </w:pPr>
          </w:p>
        </w:tc>
      </w:tr>
    </w:tbl>
    <w:p w14:paraId="3C0946ED">
      <w:pPr>
        <w:spacing w:line="360" w:lineRule="auto"/>
        <w:jc w:val="left"/>
        <w:rPr>
          <w:rFonts w:ascii="宋体" w:hAnsi="宋体" w:cs="宋体"/>
          <w:color w:val="auto"/>
          <w:szCs w:val="21"/>
          <w:highlight w:val="none"/>
        </w:rPr>
      </w:pPr>
    </w:p>
    <w:p w14:paraId="4AF2D6BA">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注：投标人应根据投标人须知前附表在本表后附营业执照或其他组织证照；</w:t>
      </w:r>
    </w:p>
    <w:p w14:paraId="6124753C">
      <w:pPr>
        <w:pStyle w:val="36"/>
        <w:ind w:firstLine="211"/>
        <w:rPr>
          <w:color w:val="auto"/>
          <w:highlight w:val="none"/>
        </w:rPr>
      </w:pPr>
    </w:p>
    <w:p w14:paraId="4EB26C91">
      <w:pPr>
        <w:spacing w:line="360" w:lineRule="auto"/>
        <w:jc w:val="center"/>
        <w:rPr>
          <w:rFonts w:ascii="宋体" w:hAnsi="宋体" w:cs="宋体"/>
          <w:b/>
          <w:bCs/>
          <w:color w:val="auto"/>
          <w:szCs w:val="21"/>
          <w:highlight w:val="none"/>
        </w:rPr>
      </w:pPr>
    </w:p>
    <w:p w14:paraId="2DFBD47D">
      <w:pPr>
        <w:pStyle w:val="161"/>
        <w:spacing w:line="440" w:lineRule="exact"/>
        <w:outlineLvl w:val="2"/>
        <w:rPr>
          <w:rStyle w:val="162"/>
          <w:rFonts w:asciiTheme="minorEastAsia" w:hAnsiTheme="minorEastAsia" w:cstheme="minorEastAsia"/>
          <w:b/>
          <w:color w:val="auto"/>
          <w:highlight w:val="none"/>
        </w:rPr>
      </w:pPr>
      <w:r>
        <w:rPr>
          <w:rFonts w:hint="eastAsia" w:ascii="宋体" w:hAnsi="宋体" w:cs="宋体"/>
          <w:bCs/>
          <w:color w:val="auto"/>
          <w:szCs w:val="21"/>
          <w:highlight w:val="none"/>
        </w:rPr>
        <w:br w:type="page"/>
      </w:r>
      <w:bookmarkStart w:id="348" w:name="_Toc31966"/>
      <w:bookmarkStart w:id="349" w:name="_Toc1549194976"/>
      <w:bookmarkStart w:id="350" w:name="_Toc24717"/>
      <w:r>
        <w:rPr>
          <w:rStyle w:val="162"/>
          <w:rFonts w:asciiTheme="minorEastAsia" w:hAnsiTheme="minorEastAsia" w:eastAsiaTheme="minorEastAsia" w:cstheme="minorEastAsia"/>
          <w:b/>
          <w:bCs/>
          <w:color w:val="auto"/>
          <w:highlight w:val="none"/>
        </w:rPr>
        <w:t>2</w:t>
      </w:r>
      <w:r>
        <w:rPr>
          <w:rStyle w:val="162"/>
          <w:rFonts w:hint="eastAsia" w:asciiTheme="minorEastAsia" w:hAnsiTheme="minorEastAsia" w:eastAsiaTheme="minorEastAsia" w:cstheme="minorEastAsia"/>
          <w:b/>
          <w:bCs/>
          <w:color w:val="auto"/>
          <w:highlight w:val="none"/>
        </w:rPr>
        <w:t>、</w:t>
      </w:r>
      <w:r>
        <w:rPr>
          <w:rStyle w:val="162"/>
          <w:rFonts w:hint="eastAsia" w:asciiTheme="minorEastAsia" w:hAnsiTheme="minorEastAsia" w:eastAsiaTheme="minorEastAsia" w:cstheme="minorEastAsia"/>
          <w:b/>
          <w:color w:val="auto"/>
          <w:highlight w:val="none"/>
        </w:rPr>
        <w:t>投标承诺函</w:t>
      </w:r>
      <w:bookmarkEnd w:id="348"/>
      <w:bookmarkEnd w:id="349"/>
      <w:bookmarkEnd w:id="350"/>
    </w:p>
    <w:p w14:paraId="311382C6">
      <w:pPr>
        <w:tabs>
          <w:tab w:val="left" w:pos="1680"/>
          <w:tab w:val="left" w:pos="3580"/>
          <w:tab w:val="left" w:pos="4100"/>
          <w:tab w:val="left" w:pos="8000"/>
        </w:tabs>
        <w:spacing w:line="440" w:lineRule="exact"/>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致</w:t>
      </w:r>
      <w:r>
        <w:rPr>
          <w:rStyle w:val="129"/>
          <w:rFonts w:hint="eastAsia" w:asciiTheme="minorEastAsia" w:hAnsiTheme="minorEastAsia" w:eastAsiaTheme="minorEastAsia" w:cstheme="minorEastAsia"/>
          <w:color w:val="auto"/>
          <w:kern w:val="0"/>
          <w:szCs w:val="21"/>
          <w:highlight w:val="none"/>
          <w:u w:val="single" w:color="000000"/>
        </w:rPr>
        <w:t>河南省科学院光资源与环境科学研究所及中建山河建设管理集团有限公司</w:t>
      </w:r>
      <w:r>
        <w:rPr>
          <w:rStyle w:val="129"/>
          <w:rFonts w:hint="eastAsia" w:asciiTheme="minorEastAsia" w:hAnsiTheme="minorEastAsia" w:eastAsiaTheme="minorEastAsia" w:cstheme="minorEastAsia"/>
          <w:color w:val="auto"/>
          <w:kern w:val="0"/>
          <w:szCs w:val="21"/>
          <w:highlight w:val="none"/>
        </w:rPr>
        <w:t>（招标人及招标代理机构）：</w:t>
      </w:r>
    </w:p>
    <w:p w14:paraId="548CA4B8">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我公司作为本次采购项目的投标人，根据招标文件要求，现郑重承诺如下：</w:t>
      </w:r>
    </w:p>
    <w:p w14:paraId="329808ED">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一、具备《中华人民共和国政府采购法》第二十二条和本项目规定的条件：</w:t>
      </w:r>
    </w:p>
    <w:p w14:paraId="0D9B3D06">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（一）具有独立承担民事责任的能力；</w:t>
      </w:r>
    </w:p>
    <w:p w14:paraId="1780C940">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（二）具有良好的商业信誉和健全的财务会计制度；</w:t>
      </w:r>
    </w:p>
    <w:p w14:paraId="42B56D53">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（三）具有履行合同所必需的设备和专业技术能力；</w:t>
      </w:r>
    </w:p>
    <w:p w14:paraId="452FD129">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（四）有依法缴纳税收和社会保障资金的良好记录；</w:t>
      </w:r>
    </w:p>
    <w:p w14:paraId="5677DAB9">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（五）参加政府采购活动前三年内，在经营活动中没有重大违法记录；</w:t>
      </w:r>
    </w:p>
    <w:p w14:paraId="4F0EDA53">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（六）法律、行政法规规定的其他条件；</w:t>
      </w:r>
    </w:p>
    <w:p w14:paraId="07DA8A4E">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（七）根据采购项目提出的特殊条件。</w:t>
      </w:r>
    </w:p>
    <w:p w14:paraId="65F8983E">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0CF56E6C">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三、参加本次招标采购活动，不存在与单位负责人为同一人或者存在直接控股、管理关系的其他投标人参与同一合同项下的政府采购活动的行为。</w:t>
      </w:r>
    </w:p>
    <w:p w14:paraId="3E99EE4A">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四、参加本次招标采购活动，不存在和其他投标人在同一合同项下的采购项目中，同时委托同一个自然人、同一家庭的人员、同一单位的人员作为代理人的行为。</w:t>
      </w:r>
    </w:p>
    <w:p w14:paraId="32576A8B">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五、投标人参加本次政府采购活动要求在近三年内投标人和其法定代表人没有行贿犯罪行为。</w:t>
      </w:r>
    </w:p>
    <w:p w14:paraId="5E9F3248">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六、参加本次招标采购活动，不存在联合体投标。</w:t>
      </w:r>
    </w:p>
    <w:p w14:paraId="1C58E18E">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七、存在以下行为之一的愿意接受相关部门的处理：</w:t>
      </w:r>
    </w:p>
    <w:p w14:paraId="18D1BF8F">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（一）投标有效期内撤销投标文件的；</w:t>
      </w:r>
    </w:p>
    <w:p w14:paraId="41AE828D">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（二）在招标人确定成交投标人以前放弃中标候选资格的；</w:t>
      </w:r>
    </w:p>
    <w:p w14:paraId="5ED33E80">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（三）由于成交投标人的原因未能按照招标文件的规定与招标人签订合同；</w:t>
      </w:r>
    </w:p>
    <w:p w14:paraId="6911A830">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（四）由于成交投标人的原因未能按照招标文件的规定交纳履约保证金；</w:t>
      </w:r>
    </w:p>
    <w:p w14:paraId="656E24A8">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（五）在投标文件中提供虚假材料谋取中标；</w:t>
      </w:r>
    </w:p>
    <w:p w14:paraId="4D813E76">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（六）与招标人、其他投标人或者招标代理机构恶意串通的；</w:t>
      </w:r>
    </w:p>
    <w:p w14:paraId="72461140">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（七）投标有效期内，投标人在政府采购活动中有违法、违规、违纪行为。</w:t>
      </w:r>
    </w:p>
    <w:p w14:paraId="0510C308">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由此产生的一切法律后果和责任由我公司承担。我公司声明放弃对此提出任何异议和追索的权利。</w:t>
      </w:r>
    </w:p>
    <w:p w14:paraId="6F16CA44">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r>
        <w:rPr>
          <w:rStyle w:val="129"/>
          <w:rFonts w:hint="eastAsia" w:asciiTheme="minorEastAsia" w:hAnsiTheme="minorEastAsia" w:eastAsiaTheme="minorEastAsia" w:cstheme="minorEastAsia"/>
          <w:color w:val="auto"/>
          <w:kern w:val="0"/>
          <w:szCs w:val="21"/>
          <w:highlight w:val="none"/>
        </w:rPr>
        <w:t>本公司对上述承诺的内容事项真实性负责。如经查实上述承诺的内容事项存在虚假，我公司愿意接受以提供虚假材料谋取中标追究法律责任。</w:t>
      </w:r>
    </w:p>
    <w:p w14:paraId="585A9407">
      <w:pPr>
        <w:tabs>
          <w:tab w:val="left" w:pos="1680"/>
          <w:tab w:val="left" w:pos="3580"/>
          <w:tab w:val="left" w:pos="4100"/>
          <w:tab w:val="left" w:pos="8000"/>
        </w:tabs>
        <w:spacing w:line="440" w:lineRule="exact"/>
        <w:ind w:firstLine="420" w:firstLineChars="200"/>
        <w:jc w:val="left"/>
        <w:rPr>
          <w:rStyle w:val="129"/>
          <w:rFonts w:asciiTheme="minorEastAsia" w:hAnsiTheme="minorEastAsia" w:eastAsiaTheme="minorEastAsia" w:cstheme="minorEastAsia"/>
          <w:color w:val="auto"/>
          <w:kern w:val="0"/>
          <w:szCs w:val="21"/>
          <w:highlight w:val="none"/>
        </w:rPr>
      </w:pPr>
    </w:p>
    <w:p w14:paraId="25EDBE2A">
      <w:pPr>
        <w:spacing w:line="440" w:lineRule="exact"/>
        <w:ind w:firstLine="420" w:firstLineChars="200"/>
        <w:jc w:val="left"/>
        <w:rPr>
          <w:rStyle w:val="129"/>
          <w:rFonts w:asciiTheme="minorEastAsia" w:hAnsiTheme="minorEastAsia" w:eastAsiaTheme="minorEastAsia" w:cstheme="minorEastAsia"/>
          <w:color w:val="auto"/>
          <w:szCs w:val="21"/>
          <w:highlight w:val="none"/>
        </w:rPr>
      </w:pPr>
    </w:p>
    <w:p w14:paraId="2CA52122">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（单位电子印章）</w:t>
      </w:r>
    </w:p>
    <w:p w14:paraId="55F4E0F4">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（电子签章或签字）</w:t>
      </w:r>
    </w:p>
    <w:p w14:paraId="2E66D50C">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A07F01F">
      <w:pPr>
        <w:spacing w:line="520" w:lineRule="exact"/>
        <w:ind w:firstLine="420" w:firstLineChars="200"/>
        <w:rPr>
          <w:rFonts w:ascii="宋体" w:hAnsi="宋体" w:cs="宋体"/>
          <w:color w:val="auto"/>
          <w:szCs w:val="21"/>
          <w:highlight w:val="none"/>
        </w:rPr>
      </w:pPr>
    </w:p>
    <w:p w14:paraId="5D93A908">
      <w:pP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04C87499">
      <w:pPr>
        <w:spacing w:line="360" w:lineRule="auto"/>
        <w:jc w:val="center"/>
        <w:outlineLvl w:val="2"/>
        <w:rPr>
          <w:rFonts w:ascii="宋体" w:hAnsi="宋体" w:cs="宋体"/>
          <w:b/>
          <w:color w:val="auto"/>
          <w:sz w:val="28"/>
          <w:szCs w:val="28"/>
          <w:highlight w:val="none"/>
        </w:rPr>
      </w:pPr>
      <w:bookmarkStart w:id="351" w:name="_Toc1228225404"/>
      <w:bookmarkStart w:id="352" w:name="_Toc25259"/>
      <w:bookmarkStart w:id="353" w:name="_Toc31121"/>
      <w:r>
        <w:rPr>
          <w:rFonts w:hint="eastAsia" w:ascii="宋体" w:hAnsi="宋体" w:cs="宋体"/>
          <w:b/>
          <w:color w:val="auto"/>
          <w:sz w:val="28"/>
          <w:szCs w:val="28"/>
          <w:highlight w:val="none"/>
        </w:rPr>
        <w:t>3、资格证明材料</w:t>
      </w:r>
      <w:bookmarkEnd w:id="351"/>
      <w:bookmarkEnd w:id="352"/>
      <w:bookmarkEnd w:id="353"/>
    </w:p>
    <w:p w14:paraId="192DB92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（按照招标文件规定内容逐一提供）</w:t>
      </w:r>
    </w:p>
    <w:p w14:paraId="0A2496B0">
      <w:pPr>
        <w:spacing w:line="440" w:lineRule="exact"/>
        <w:rPr>
          <w:rFonts w:ascii="宋体" w:hAnsi="宋体" w:cs="宋体"/>
          <w:color w:val="auto"/>
          <w:kern w:val="0"/>
          <w:sz w:val="28"/>
          <w:szCs w:val="28"/>
          <w:highlight w:val="none"/>
        </w:rPr>
      </w:pPr>
    </w:p>
    <w:p w14:paraId="38B59409">
      <w:pPr>
        <w:rPr>
          <w:color w:val="auto"/>
          <w:highlight w:val="none"/>
        </w:rPr>
      </w:pPr>
      <w:bookmarkStart w:id="354" w:name="_Toc8951"/>
      <w:bookmarkStart w:id="355" w:name="_Toc25851"/>
      <w:bookmarkStart w:id="356" w:name="_Toc30980"/>
      <w:bookmarkStart w:id="357" w:name="_Toc6685"/>
      <w:r>
        <w:rPr>
          <w:rFonts w:hint="eastAsia"/>
          <w:color w:val="auto"/>
          <w:highlight w:val="none"/>
        </w:rPr>
        <w:br w:type="page"/>
      </w:r>
    </w:p>
    <w:p w14:paraId="28FCFCA8">
      <w:pPr>
        <w:pStyle w:val="3"/>
        <w:rPr>
          <w:color w:val="auto"/>
          <w:highlight w:val="none"/>
        </w:rPr>
      </w:pPr>
      <w:bookmarkStart w:id="358" w:name="_Toc6713"/>
      <w:bookmarkStart w:id="359" w:name="_Toc20592"/>
      <w:bookmarkStart w:id="360" w:name="_Toc6940"/>
      <w:bookmarkStart w:id="361" w:name="_Toc1171550064"/>
      <w:bookmarkStart w:id="362" w:name="_Toc13722"/>
      <w:r>
        <w:rPr>
          <w:rFonts w:hint="eastAsia"/>
          <w:color w:val="auto"/>
          <w:highlight w:val="none"/>
        </w:rPr>
        <w:t>七、</w:t>
      </w:r>
      <w:bookmarkEnd w:id="354"/>
      <w:bookmarkEnd w:id="355"/>
      <w:bookmarkEnd w:id="356"/>
      <w:bookmarkEnd w:id="357"/>
      <w:bookmarkEnd w:id="358"/>
      <w:r>
        <w:rPr>
          <w:rFonts w:hint="eastAsia"/>
          <w:color w:val="auto"/>
          <w:highlight w:val="none"/>
        </w:rPr>
        <w:t>业绩</w:t>
      </w:r>
      <w:bookmarkEnd w:id="359"/>
      <w:bookmarkEnd w:id="360"/>
      <w:bookmarkEnd w:id="361"/>
      <w:bookmarkEnd w:id="362"/>
    </w:p>
    <w:tbl>
      <w:tblPr>
        <w:tblStyle w:val="38"/>
        <w:tblW w:w="8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000"/>
        <w:gridCol w:w="1340"/>
        <w:gridCol w:w="774"/>
        <w:gridCol w:w="819"/>
        <w:gridCol w:w="1311"/>
        <w:gridCol w:w="1021"/>
        <w:gridCol w:w="1021"/>
        <w:gridCol w:w="1033"/>
      </w:tblGrid>
      <w:tr w14:paraId="38F8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655" w:type="dxa"/>
            <w:vAlign w:val="center"/>
          </w:tcPr>
          <w:p w14:paraId="0C757547">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000" w:type="dxa"/>
            <w:vAlign w:val="center"/>
          </w:tcPr>
          <w:p w14:paraId="1120D9C5">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合同签订日期</w:t>
            </w:r>
          </w:p>
        </w:tc>
        <w:tc>
          <w:tcPr>
            <w:tcW w:w="1340" w:type="dxa"/>
            <w:vAlign w:val="center"/>
          </w:tcPr>
          <w:p w14:paraId="344F1E27">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项目名称</w:t>
            </w:r>
          </w:p>
        </w:tc>
        <w:tc>
          <w:tcPr>
            <w:tcW w:w="774" w:type="dxa"/>
            <w:vAlign w:val="center"/>
          </w:tcPr>
          <w:p w14:paraId="5A4491DD">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合同金额</w:t>
            </w:r>
          </w:p>
        </w:tc>
        <w:tc>
          <w:tcPr>
            <w:tcW w:w="819" w:type="dxa"/>
            <w:vAlign w:val="center"/>
          </w:tcPr>
          <w:p w14:paraId="139CA102">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品牌</w:t>
            </w:r>
          </w:p>
        </w:tc>
        <w:tc>
          <w:tcPr>
            <w:tcW w:w="1311" w:type="dxa"/>
            <w:vAlign w:val="center"/>
          </w:tcPr>
          <w:p w14:paraId="7AD97568">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规格型号</w:t>
            </w:r>
          </w:p>
        </w:tc>
        <w:tc>
          <w:tcPr>
            <w:tcW w:w="1021" w:type="dxa"/>
            <w:vAlign w:val="center"/>
          </w:tcPr>
          <w:p w14:paraId="037A1304">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制造商</w:t>
            </w:r>
          </w:p>
        </w:tc>
        <w:tc>
          <w:tcPr>
            <w:tcW w:w="1021" w:type="dxa"/>
            <w:vAlign w:val="center"/>
          </w:tcPr>
          <w:p w14:paraId="7D383A38">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客户名称</w:t>
            </w:r>
          </w:p>
        </w:tc>
        <w:tc>
          <w:tcPr>
            <w:tcW w:w="1033" w:type="dxa"/>
            <w:vAlign w:val="center"/>
          </w:tcPr>
          <w:p w14:paraId="711E7844">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客户联系电话</w:t>
            </w:r>
          </w:p>
        </w:tc>
      </w:tr>
      <w:tr w14:paraId="6B93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55" w:type="dxa"/>
          </w:tcPr>
          <w:p w14:paraId="3B124019">
            <w:pPr>
              <w:widowControl/>
              <w:rPr>
                <w:rFonts w:ascii="宋体" w:hAnsi="宋体" w:cs="宋体"/>
                <w:color w:val="auto"/>
                <w:szCs w:val="21"/>
                <w:highlight w:val="none"/>
              </w:rPr>
            </w:pPr>
          </w:p>
        </w:tc>
        <w:tc>
          <w:tcPr>
            <w:tcW w:w="1000" w:type="dxa"/>
          </w:tcPr>
          <w:p w14:paraId="4631D4A6">
            <w:pPr>
              <w:widowControl/>
              <w:rPr>
                <w:rFonts w:ascii="宋体" w:hAnsi="宋体" w:cs="宋体"/>
                <w:color w:val="auto"/>
                <w:szCs w:val="21"/>
                <w:highlight w:val="none"/>
              </w:rPr>
            </w:pPr>
          </w:p>
        </w:tc>
        <w:tc>
          <w:tcPr>
            <w:tcW w:w="1340" w:type="dxa"/>
          </w:tcPr>
          <w:p w14:paraId="00B7CEC8">
            <w:pPr>
              <w:widowControl/>
              <w:rPr>
                <w:rFonts w:ascii="宋体" w:hAnsi="宋体" w:cs="宋体"/>
                <w:color w:val="auto"/>
                <w:szCs w:val="21"/>
                <w:highlight w:val="none"/>
              </w:rPr>
            </w:pPr>
          </w:p>
        </w:tc>
        <w:tc>
          <w:tcPr>
            <w:tcW w:w="774" w:type="dxa"/>
          </w:tcPr>
          <w:p w14:paraId="26848668">
            <w:pPr>
              <w:widowControl/>
              <w:rPr>
                <w:rFonts w:ascii="宋体" w:hAnsi="宋体" w:cs="宋体"/>
                <w:color w:val="auto"/>
                <w:szCs w:val="21"/>
                <w:highlight w:val="none"/>
              </w:rPr>
            </w:pPr>
          </w:p>
        </w:tc>
        <w:tc>
          <w:tcPr>
            <w:tcW w:w="819" w:type="dxa"/>
          </w:tcPr>
          <w:p w14:paraId="4524FCA7">
            <w:pPr>
              <w:widowControl/>
              <w:rPr>
                <w:rFonts w:ascii="宋体" w:hAnsi="宋体" w:cs="宋体"/>
                <w:color w:val="auto"/>
                <w:szCs w:val="21"/>
                <w:highlight w:val="none"/>
              </w:rPr>
            </w:pPr>
          </w:p>
        </w:tc>
        <w:tc>
          <w:tcPr>
            <w:tcW w:w="1311" w:type="dxa"/>
          </w:tcPr>
          <w:p w14:paraId="36FD72D7">
            <w:pPr>
              <w:widowControl/>
              <w:rPr>
                <w:rFonts w:ascii="宋体" w:hAnsi="宋体" w:cs="宋体"/>
                <w:color w:val="auto"/>
                <w:szCs w:val="21"/>
                <w:highlight w:val="none"/>
              </w:rPr>
            </w:pPr>
          </w:p>
        </w:tc>
        <w:tc>
          <w:tcPr>
            <w:tcW w:w="1021" w:type="dxa"/>
          </w:tcPr>
          <w:p w14:paraId="342B6DEF">
            <w:pPr>
              <w:widowControl/>
              <w:rPr>
                <w:rFonts w:ascii="宋体" w:hAnsi="宋体" w:cs="宋体"/>
                <w:color w:val="auto"/>
                <w:szCs w:val="21"/>
                <w:highlight w:val="none"/>
              </w:rPr>
            </w:pPr>
          </w:p>
        </w:tc>
        <w:tc>
          <w:tcPr>
            <w:tcW w:w="1021" w:type="dxa"/>
          </w:tcPr>
          <w:p w14:paraId="01253CC6">
            <w:pPr>
              <w:widowControl/>
              <w:rPr>
                <w:rFonts w:ascii="宋体" w:hAnsi="宋体" w:cs="宋体"/>
                <w:color w:val="auto"/>
                <w:szCs w:val="21"/>
                <w:highlight w:val="none"/>
              </w:rPr>
            </w:pPr>
          </w:p>
        </w:tc>
        <w:tc>
          <w:tcPr>
            <w:tcW w:w="1033" w:type="dxa"/>
          </w:tcPr>
          <w:p w14:paraId="0C992E55">
            <w:pPr>
              <w:widowControl/>
              <w:rPr>
                <w:rFonts w:ascii="宋体" w:hAnsi="宋体" w:cs="宋体"/>
                <w:color w:val="auto"/>
                <w:szCs w:val="21"/>
                <w:highlight w:val="none"/>
              </w:rPr>
            </w:pPr>
          </w:p>
        </w:tc>
      </w:tr>
      <w:tr w14:paraId="2DAD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55" w:type="dxa"/>
          </w:tcPr>
          <w:p w14:paraId="067596C5">
            <w:pPr>
              <w:widowControl/>
              <w:rPr>
                <w:rFonts w:ascii="宋体" w:hAnsi="宋体" w:cs="宋体"/>
                <w:color w:val="auto"/>
                <w:szCs w:val="21"/>
                <w:highlight w:val="none"/>
              </w:rPr>
            </w:pPr>
          </w:p>
        </w:tc>
        <w:tc>
          <w:tcPr>
            <w:tcW w:w="1000" w:type="dxa"/>
          </w:tcPr>
          <w:p w14:paraId="6825C8B9">
            <w:pPr>
              <w:widowControl/>
              <w:rPr>
                <w:rFonts w:ascii="宋体" w:hAnsi="宋体" w:cs="宋体"/>
                <w:color w:val="auto"/>
                <w:szCs w:val="21"/>
                <w:highlight w:val="none"/>
              </w:rPr>
            </w:pPr>
          </w:p>
        </w:tc>
        <w:tc>
          <w:tcPr>
            <w:tcW w:w="1340" w:type="dxa"/>
          </w:tcPr>
          <w:p w14:paraId="0C925427">
            <w:pPr>
              <w:widowControl/>
              <w:rPr>
                <w:rFonts w:ascii="宋体" w:hAnsi="宋体" w:cs="宋体"/>
                <w:color w:val="auto"/>
                <w:szCs w:val="21"/>
                <w:highlight w:val="none"/>
              </w:rPr>
            </w:pPr>
          </w:p>
        </w:tc>
        <w:tc>
          <w:tcPr>
            <w:tcW w:w="774" w:type="dxa"/>
          </w:tcPr>
          <w:p w14:paraId="64B301B5">
            <w:pPr>
              <w:widowControl/>
              <w:rPr>
                <w:rFonts w:ascii="宋体" w:hAnsi="宋体" w:cs="宋体"/>
                <w:color w:val="auto"/>
                <w:szCs w:val="21"/>
                <w:highlight w:val="none"/>
              </w:rPr>
            </w:pPr>
          </w:p>
        </w:tc>
        <w:tc>
          <w:tcPr>
            <w:tcW w:w="819" w:type="dxa"/>
          </w:tcPr>
          <w:p w14:paraId="425556AB">
            <w:pPr>
              <w:widowControl/>
              <w:rPr>
                <w:rFonts w:ascii="宋体" w:hAnsi="宋体" w:cs="宋体"/>
                <w:color w:val="auto"/>
                <w:szCs w:val="21"/>
                <w:highlight w:val="none"/>
              </w:rPr>
            </w:pPr>
          </w:p>
        </w:tc>
        <w:tc>
          <w:tcPr>
            <w:tcW w:w="1311" w:type="dxa"/>
          </w:tcPr>
          <w:p w14:paraId="5EEAB6C2">
            <w:pPr>
              <w:widowControl/>
              <w:rPr>
                <w:rFonts w:ascii="宋体" w:hAnsi="宋体" w:cs="宋体"/>
                <w:color w:val="auto"/>
                <w:szCs w:val="21"/>
                <w:highlight w:val="none"/>
              </w:rPr>
            </w:pPr>
          </w:p>
        </w:tc>
        <w:tc>
          <w:tcPr>
            <w:tcW w:w="1021" w:type="dxa"/>
          </w:tcPr>
          <w:p w14:paraId="6D722C1B">
            <w:pPr>
              <w:widowControl/>
              <w:rPr>
                <w:rFonts w:ascii="宋体" w:hAnsi="宋体" w:cs="宋体"/>
                <w:color w:val="auto"/>
                <w:szCs w:val="21"/>
                <w:highlight w:val="none"/>
              </w:rPr>
            </w:pPr>
          </w:p>
        </w:tc>
        <w:tc>
          <w:tcPr>
            <w:tcW w:w="1021" w:type="dxa"/>
          </w:tcPr>
          <w:p w14:paraId="5012FCC5">
            <w:pPr>
              <w:widowControl/>
              <w:rPr>
                <w:rFonts w:ascii="宋体" w:hAnsi="宋体" w:cs="宋体"/>
                <w:color w:val="auto"/>
                <w:szCs w:val="21"/>
                <w:highlight w:val="none"/>
              </w:rPr>
            </w:pPr>
          </w:p>
        </w:tc>
        <w:tc>
          <w:tcPr>
            <w:tcW w:w="1033" w:type="dxa"/>
          </w:tcPr>
          <w:p w14:paraId="0378003D">
            <w:pPr>
              <w:widowControl/>
              <w:rPr>
                <w:rFonts w:ascii="宋体" w:hAnsi="宋体" w:cs="宋体"/>
                <w:color w:val="auto"/>
                <w:szCs w:val="21"/>
                <w:highlight w:val="none"/>
              </w:rPr>
            </w:pPr>
          </w:p>
        </w:tc>
      </w:tr>
      <w:tr w14:paraId="7860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55" w:type="dxa"/>
          </w:tcPr>
          <w:p w14:paraId="02D72723">
            <w:pPr>
              <w:widowControl/>
              <w:rPr>
                <w:rFonts w:ascii="宋体" w:hAnsi="宋体" w:cs="宋体"/>
                <w:color w:val="auto"/>
                <w:szCs w:val="21"/>
                <w:highlight w:val="none"/>
              </w:rPr>
            </w:pPr>
          </w:p>
        </w:tc>
        <w:tc>
          <w:tcPr>
            <w:tcW w:w="1000" w:type="dxa"/>
          </w:tcPr>
          <w:p w14:paraId="13052D01">
            <w:pPr>
              <w:widowControl/>
              <w:rPr>
                <w:rFonts w:ascii="宋体" w:hAnsi="宋体" w:cs="宋体"/>
                <w:color w:val="auto"/>
                <w:szCs w:val="21"/>
                <w:highlight w:val="none"/>
              </w:rPr>
            </w:pPr>
          </w:p>
        </w:tc>
        <w:tc>
          <w:tcPr>
            <w:tcW w:w="1340" w:type="dxa"/>
          </w:tcPr>
          <w:p w14:paraId="489C3730">
            <w:pPr>
              <w:widowControl/>
              <w:rPr>
                <w:rFonts w:ascii="宋体" w:hAnsi="宋体" w:cs="宋体"/>
                <w:color w:val="auto"/>
                <w:szCs w:val="21"/>
                <w:highlight w:val="none"/>
              </w:rPr>
            </w:pPr>
          </w:p>
        </w:tc>
        <w:tc>
          <w:tcPr>
            <w:tcW w:w="774" w:type="dxa"/>
          </w:tcPr>
          <w:p w14:paraId="2BFE0348">
            <w:pPr>
              <w:widowControl/>
              <w:rPr>
                <w:rFonts w:ascii="宋体" w:hAnsi="宋体" w:cs="宋体"/>
                <w:color w:val="auto"/>
                <w:szCs w:val="21"/>
                <w:highlight w:val="none"/>
              </w:rPr>
            </w:pPr>
          </w:p>
        </w:tc>
        <w:tc>
          <w:tcPr>
            <w:tcW w:w="819" w:type="dxa"/>
          </w:tcPr>
          <w:p w14:paraId="4AD0A8A3">
            <w:pPr>
              <w:widowControl/>
              <w:rPr>
                <w:rFonts w:ascii="宋体" w:hAnsi="宋体" w:cs="宋体"/>
                <w:color w:val="auto"/>
                <w:szCs w:val="21"/>
                <w:highlight w:val="none"/>
              </w:rPr>
            </w:pPr>
          </w:p>
        </w:tc>
        <w:tc>
          <w:tcPr>
            <w:tcW w:w="1311" w:type="dxa"/>
          </w:tcPr>
          <w:p w14:paraId="41E259FE">
            <w:pPr>
              <w:widowControl/>
              <w:rPr>
                <w:rFonts w:ascii="宋体" w:hAnsi="宋体" w:cs="宋体"/>
                <w:color w:val="auto"/>
                <w:szCs w:val="21"/>
                <w:highlight w:val="none"/>
              </w:rPr>
            </w:pPr>
          </w:p>
        </w:tc>
        <w:tc>
          <w:tcPr>
            <w:tcW w:w="1021" w:type="dxa"/>
          </w:tcPr>
          <w:p w14:paraId="23A34AE1">
            <w:pPr>
              <w:widowControl/>
              <w:rPr>
                <w:rFonts w:ascii="宋体" w:hAnsi="宋体" w:cs="宋体"/>
                <w:color w:val="auto"/>
                <w:szCs w:val="21"/>
                <w:highlight w:val="none"/>
              </w:rPr>
            </w:pPr>
          </w:p>
        </w:tc>
        <w:tc>
          <w:tcPr>
            <w:tcW w:w="1021" w:type="dxa"/>
          </w:tcPr>
          <w:p w14:paraId="4A7C58E7">
            <w:pPr>
              <w:widowControl/>
              <w:rPr>
                <w:rFonts w:ascii="宋体" w:hAnsi="宋体" w:cs="宋体"/>
                <w:color w:val="auto"/>
                <w:szCs w:val="21"/>
                <w:highlight w:val="none"/>
              </w:rPr>
            </w:pPr>
          </w:p>
        </w:tc>
        <w:tc>
          <w:tcPr>
            <w:tcW w:w="1033" w:type="dxa"/>
          </w:tcPr>
          <w:p w14:paraId="1F6B747B">
            <w:pPr>
              <w:widowControl/>
              <w:rPr>
                <w:rFonts w:ascii="宋体" w:hAnsi="宋体" w:cs="宋体"/>
                <w:color w:val="auto"/>
                <w:szCs w:val="21"/>
                <w:highlight w:val="none"/>
              </w:rPr>
            </w:pPr>
          </w:p>
        </w:tc>
      </w:tr>
      <w:tr w14:paraId="2CC1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55" w:type="dxa"/>
          </w:tcPr>
          <w:p w14:paraId="21C3954F">
            <w:pPr>
              <w:widowControl/>
              <w:rPr>
                <w:rFonts w:ascii="宋体" w:hAnsi="宋体" w:cs="宋体"/>
                <w:color w:val="auto"/>
                <w:szCs w:val="21"/>
                <w:highlight w:val="none"/>
              </w:rPr>
            </w:pPr>
          </w:p>
        </w:tc>
        <w:tc>
          <w:tcPr>
            <w:tcW w:w="1000" w:type="dxa"/>
          </w:tcPr>
          <w:p w14:paraId="6743B729">
            <w:pPr>
              <w:widowControl/>
              <w:rPr>
                <w:rFonts w:ascii="宋体" w:hAnsi="宋体" w:cs="宋体"/>
                <w:color w:val="auto"/>
                <w:szCs w:val="21"/>
                <w:highlight w:val="none"/>
              </w:rPr>
            </w:pPr>
          </w:p>
        </w:tc>
        <w:tc>
          <w:tcPr>
            <w:tcW w:w="1340" w:type="dxa"/>
          </w:tcPr>
          <w:p w14:paraId="2BD69A54">
            <w:pPr>
              <w:widowControl/>
              <w:rPr>
                <w:rFonts w:ascii="宋体" w:hAnsi="宋体" w:cs="宋体"/>
                <w:color w:val="auto"/>
                <w:szCs w:val="21"/>
                <w:highlight w:val="none"/>
              </w:rPr>
            </w:pPr>
          </w:p>
        </w:tc>
        <w:tc>
          <w:tcPr>
            <w:tcW w:w="774" w:type="dxa"/>
          </w:tcPr>
          <w:p w14:paraId="62EB5AB6">
            <w:pPr>
              <w:widowControl/>
              <w:rPr>
                <w:rFonts w:ascii="宋体" w:hAnsi="宋体" w:cs="宋体"/>
                <w:color w:val="auto"/>
                <w:szCs w:val="21"/>
                <w:highlight w:val="none"/>
              </w:rPr>
            </w:pPr>
          </w:p>
        </w:tc>
        <w:tc>
          <w:tcPr>
            <w:tcW w:w="819" w:type="dxa"/>
          </w:tcPr>
          <w:p w14:paraId="7A03DBEB">
            <w:pPr>
              <w:widowControl/>
              <w:rPr>
                <w:rFonts w:ascii="宋体" w:hAnsi="宋体" w:cs="宋体"/>
                <w:color w:val="auto"/>
                <w:szCs w:val="21"/>
                <w:highlight w:val="none"/>
              </w:rPr>
            </w:pPr>
          </w:p>
        </w:tc>
        <w:tc>
          <w:tcPr>
            <w:tcW w:w="1311" w:type="dxa"/>
          </w:tcPr>
          <w:p w14:paraId="0118C47B">
            <w:pPr>
              <w:widowControl/>
              <w:rPr>
                <w:rFonts w:ascii="宋体" w:hAnsi="宋体" w:cs="宋体"/>
                <w:color w:val="auto"/>
                <w:szCs w:val="21"/>
                <w:highlight w:val="none"/>
              </w:rPr>
            </w:pPr>
          </w:p>
        </w:tc>
        <w:tc>
          <w:tcPr>
            <w:tcW w:w="1021" w:type="dxa"/>
          </w:tcPr>
          <w:p w14:paraId="2E364AC6">
            <w:pPr>
              <w:widowControl/>
              <w:rPr>
                <w:rFonts w:ascii="宋体" w:hAnsi="宋体" w:cs="宋体"/>
                <w:color w:val="auto"/>
                <w:szCs w:val="21"/>
                <w:highlight w:val="none"/>
              </w:rPr>
            </w:pPr>
          </w:p>
        </w:tc>
        <w:tc>
          <w:tcPr>
            <w:tcW w:w="1021" w:type="dxa"/>
          </w:tcPr>
          <w:p w14:paraId="73DF4839">
            <w:pPr>
              <w:widowControl/>
              <w:rPr>
                <w:rFonts w:ascii="宋体" w:hAnsi="宋体" w:cs="宋体"/>
                <w:color w:val="auto"/>
                <w:szCs w:val="21"/>
                <w:highlight w:val="none"/>
              </w:rPr>
            </w:pPr>
          </w:p>
        </w:tc>
        <w:tc>
          <w:tcPr>
            <w:tcW w:w="1033" w:type="dxa"/>
          </w:tcPr>
          <w:p w14:paraId="57E2A42F">
            <w:pPr>
              <w:widowControl/>
              <w:rPr>
                <w:rFonts w:ascii="宋体" w:hAnsi="宋体" w:cs="宋体"/>
                <w:color w:val="auto"/>
                <w:szCs w:val="21"/>
                <w:highlight w:val="none"/>
              </w:rPr>
            </w:pPr>
          </w:p>
        </w:tc>
      </w:tr>
      <w:tr w14:paraId="191B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55" w:type="dxa"/>
          </w:tcPr>
          <w:p w14:paraId="18B8131C">
            <w:pPr>
              <w:widowControl/>
              <w:rPr>
                <w:rFonts w:ascii="宋体" w:hAnsi="宋体" w:cs="宋体"/>
                <w:color w:val="auto"/>
                <w:szCs w:val="21"/>
                <w:highlight w:val="none"/>
              </w:rPr>
            </w:pPr>
          </w:p>
        </w:tc>
        <w:tc>
          <w:tcPr>
            <w:tcW w:w="1000" w:type="dxa"/>
          </w:tcPr>
          <w:p w14:paraId="68C1D124">
            <w:pPr>
              <w:widowControl/>
              <w:rPr>
                <w:rFonts w:ascii="宋体" w:hAnsi="宋体" w:cs="宋体"/>
                <w:color w:val="auto"/>
                <w:szCs w:val="21"/>
                <w:highlight w:val="none"/>
              </w:rPr>
            </w:pPr>
          </w:p>
        </w:tc>
        <w:tc>
          <w:tcPr>
            <w:tcW w:w="1340" w:type="dxa"/>
          </w:tcPr>
          <w:p w14:paraId="6E814637">
            <w:pPr>
              <w:widowControl/>
              <w:rPr>
                <w:rFonts w:ascii="宋体" w:hAnsi="宋体" w:cs="宋体"/>
                <w:color w:val="auto"/>
                <w:szCs w:val="21"/>
                <w:highlight w:val="none"/>
              </w:rPr>
            </w:pPr>
          </w:p>
        </w:tc>
        <w:tc>
          <w:tcPr>
            <w:tcW w:w="774" w:type="dxa"/>
          </w:tcPr>
          <w:p w14:paraId="706F9AA6">
            <w:pPr>
              <w:widowControl/>
              <w:rPr>
                <w:rFonts w:ascii="宋体" w:hAnsi="宋体" w:cs="宋体"/>
                <w:color w:val="auto"/>
                <w:szCs w:val="21"/>
                <w:highlight w:val="none"/>
              </w:rPr>
            </w:pPr>
          </w:p>
        </w:tc>
        <w:tc>
          <w:tcPr>
            <w:tcW w:w="819" w:type="dxa"/>
          </w:tcPr>
          <w:p w14:paraId="048CB716">
            <w:pPr>
              <w:widowControl/>
              <w:rPr>
                <w:rFonts w:ascii="宋体" w:hAnsi="宋体" w:cs="宋体"/>
                <w:color w:val="auto"/>
                <w:szCs w:val="21"/>
                <w:highlight w:val="none"/>
              </w:rPr>
            </w:pPr>
          </w:p>
        </w:tc>
        <w:tc>
          <w:tcPr>
            <w:tcW w:w="1311" w:type="dxa"/>
          </w:tcPr>
          <w:p w14:paraId="2558864F">
            <w:pPr>
              <w:widowControl/>
              <w:rPr>
                <w:rFonts w:ascii="宋体" w:hAnsi="宋体" w:cs="宋体"/>
                <w:color w:val="auto"/>
                <w:szCs w:val="21"/>
                <w:highlight w:val="none"/>
              </w:rPr>
            </w:pPr>
          </w:p>
        </w:tc>
        <w:tc>
          <w:tcPr>
            <w:tcW w:w="1021" w:type="dxa"/>
          </w:tcPr>
          <w:p w14:paraId="50254AD5">
            <w:pPr>
              <w:widowControl/>
              <w:rPr>
                <w:rFonts w:ascii="宋体" w:hAnsi="宋体" w:cs="宋体"/>
                <w:color w:val="auto"/>
                <w:szCs w:val="21"/>
                <w:highlight w:val="none"/>
              </w:rPr>
            </w:pPr>
          </w:p>
        </w:tc>
        <w:tc>
          <w:tcPr>
            <w:tcW w:w="1021" w:type="dxa"/>
          </w:tcPr>
          <w:p w14:paraId="41B4A7D1">
            <w:pPr>
              <w:widowControl/>
              <w:rPr>
                <w:rFonts w:ascii="宋体" w:hAnsi="宋体" w:cs="宋体"/>
                <w:color w:val="auto"/>
                <w:szCs w:val="21"/>
                <w:highlight w:val="none"/>
              </w:rPr>
            </w:pPr>
          </w:p>
        </w:tc>
        <w:tc>
          <w:tcPr>
            <w:tcW w:w="1033" w:type="dxa"/>
          </w:tcPr>
          <w:p w14:paraId="4A96DFFB">
            <w:pPr>
              <w:widowControl/>
              <w:rPr>
                <w:rFonts w:ascii="宋体" w:hAnsi="宋体" w:cs="宋体"/>
                <w:color w:val="auto"/>
                <w:szCs w:val="21"/>
                <w:highlight w:val="none"/>
              </w:rPr>
            </w:pPr>
          </w:p>
        </w:tc>
      </w:tr>
      <w:tr w14:paraId="5518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55" w:type="dxa"/>
          </w:tcPr>
          <w:p w14:paraId="4EE2C151">
            <w:pPr>
              <w:widowControl/>
              <w:rPr>
                <w:rFonts w:ascii="宋体" w:hAnsi="宋体" w:cs="宋体"/>
                <w:color w:val="auto"/>
                <w:szCs w:val="21"/>
                <w:highlight w:val="none"/>
              </w:rPr>
            </w:pPr>
          </w:p>
        </w:tc>
        <w:tc>
          <w:tcPr>
            <w:tcW w:w="1000" w:type="dxa"/>
          </w:tcPr>
          <w:p w14:paraId="6C1F165E">
            <w:pPr>
              <w:widowControl/>
              <w:rPr>
                <w:rFonts w:ascii="宋体" w:hAnsi="宋体" w:cs="宋体"/>
                <w:color w:val="auto"/>
                <w:szCs w:val="21"/>
                <w:highlight w:val="none"/>
              </w:rPr>
            </w:pPr>
          </w:p>
        </w:tc>
        <w:tc>
          <w:tcPr>
            <w:tcW w:w="1340" w:type="dxa"/>
          </w:tcPr>
          <w:p w14:paraId="7FA9FB19">
            <w:pPr>
              <w:widowControl/>
              <w:rPr>
                <w:rFonts w:ascii="宋体" w:hAnsi="宋体" w:cs="宋体"/>
                <w:color w:val="auto"/>
                <w:szCs w:val="21"/>
                <w:highlight w:val="none"/>
              </w:rPr>
            </w:pPr>
          </w:p>
        </w:tc>
        <w:tc>
          <w:tcPr>
            <w:tcW w:w="774" w:type="dxa"/>
          </w:tcPr>
          <w:p w14:paraId="3712DE1A">
            <w:pPr>
              <w:widowControl/>
              <w:rPr>
                <w:rFonts w:ascii="宋体" w:hAnsi="宋体" w:cs="宋体"/>
                <w:color w:val="auto"/>
                <w:szCs w:val="21"/>
                <w:highlight w:val="none"/>
              </w:rPr>
            </w:pPr>
          </w:p>
        </w:tc>
        <w:tc>
          <w:tcPr>
            <w:tcW w:w="819" w:type="dxa"/>
          </w:tcPr>
          <w:p w14:paraId="69DF5433">
            <w:pPr>
              <w:widowControl/>
              <w:rPr>
                <w:rFonts w:ascii="宋体" w:hAnsi="宋体" w:cs="宋体"/>
                <w:color w:val="auto"/>
                <w:szCs w:val="21"/>
                <w:highlight w:val="none"/>
              </w:rPr>
            </w:pPr>
          </w:p>
        </w:tc>
        <w:tc>
          <w:tcPr>
            <w:tcW w:w="1311" w:type="dxa"/>
          </w:tcPr>
          <w:p w14:paraId="37AE10AE">
            <w:pPr>
              <w:widowControl/>
              <w:rPr>
                <w:rFonts w:ascii="宋体" w:hAnsi="宋体" w:cs="宋体"/>
                <w:color w:val="auto"/>
                <w:szCs w:val="21"/>
                <w:highlight w:val="none"/>
              </w:rPr>
            </w:pPr>
          </w:p>
        </w:tc>
        <w:tc>
          <w:tcPr>
            <w:tcW w:w="1021" w:type="dxa"/>
          </w:tcPr>
          <w:p w14:paraId="2BC2A91F">
            <w:pPr>
              <w:widowControl/>
              <w:rPr>
                <w:rFonts w:ascii="宋体" w:hAnsi="宋体" w:cs="宋体"/>
                <w:color w:val="auto"/>
                <w:szCs w:val="21"/>
                <w:highlight w:val="none"/>
              </w:rPr>
            </w:pPr>
          </w:p>
        </w:tc>
        <w:tc>
          <w:tcPr>
            <w:tcW w:w="1021" w:type="dxa"/>
          </w:tcPr>
          <w:p w14:paraId="65DECFCB">
            <w:pPr>
              <w:widowControl/>
              <w:rPr>
                <w:rFonts w:ascii="宋体" w:hAnsi="宋体" w:cs="宋体"/>
                <w:color w:val="auto"/>
                <w:szCs w:val="21"/>
                <w:highlight w:val="none"/>
              </w:rPr>
            </w:pPr>
          </w:p>
        </w:tc>
        <w:tc>
          <w:tcPr>
            <w:tcW w:w="1033" w:type="dxa"/>
          </w:tcPr>
          <w:p w14:paraId="2FD68E2A">
            <w:pPr>
              <w:widowControl/>
              <w:rPr>
                <w:rFonts w:ascii="宋体" w:hAnsi="宋体" w:cs="宋体"/>
                <w:color w:val="auto"/>
                <w:szCs w:val="21"/>
                <w:highlight w:val="none"/>
              </w:rPr>
            </w:pPr>
          </w:p>
        </w:tc>
      </w:tr>
      <w:tr w14:paraId="7D8B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55" w:type="dxa"/>
          </w:tcPr>
          <w:p w14:paraId="31611929">
            <w:pPr>
              <w:widowControl/>
              <w:rPr>
                <w:rFonts w:ascii="宋体" w:hAnsi="宋体" w:cs="宋体"/>
                <w:color w:val="auto"/>
                <w:szCs w:val="21"/>
                <w:highlight w:val="none"/>
              </w:rPr>
            </w:pPr>
          </w:p>
        </w:tc>
        <w:tc>
          <w:tcPr>
            <w:tcW w:w="1000" w:type="dxa"/>
          </w:tcPr>
          <w:p w14:paraId="750F00EC">
            <w:pPr>
              <w:widowControl/>
              <w:rPr>
                <w:rFonts w:ascii="宋体" w:hAnsi="宋体" w:cs="宋体"/>
                <w:color w:val="auto"/>
                <w:szCs w:val="21"/>
                <w:highlight w:val="none"/>
              </w:rPr>
            </w:pPr>
          </w:p>
        </w:tc>
        <w:tc>
          <w:tcPr>
            <w:tcW w:w="1340" w:type="dxa"/>
          </w:tcPr>
          <w:p w14:paraId="5BA3656E">
            <w:pPr>
              <w:widowControl/>
              <w:rPr>
                <w:rFonts w:ascii="宋体" w:hAnsi="宋体" w:cs="宋体"/>
                <w:color w:val="auto"/>
                <w:szCs w:val="21"/>
                <w:highlight w:val="none"/>
              </w:rPr>
            </w:pPr>
          </w:p>
        </w:tc>
        <w:tc>
          <w:tcPr>
            <w:tcW w:w="774" w:type="dxa"/>
          </w:tcPr>
          <w:p w14:paraId="26770501">
            <w:pPr>
              <w:widowControl/>
              <w:rPr>
                <w:rFonts w:ascii="宋体" w:hAnsi="宋体" w:cs="宋体"/>
                <w:color w:val="auto"/>
                <w:szCs w:val="21"/>
                <w:highlight w:val="none"/>
              </w:rPr>
            </w:pPr>
          </w:p>
        </w:tc>
        <w:tc>
          <w:tcPr>
            <w:tcW w:w="819" w:type="dxa"/>
          </w:tcPr>
          <w:p w14:paraId="3F07BB40">
            <w:pPr>
              <w:widowControl/>
              <w:rPr>
                <w:rFonts w:ascii="宋体" w:hAnsi="宋体" w:cs="宋体"/>
                <w:color w:val="auto"/>
                <w:szCs w:val="21"/>
                <w:highlight w:val="none"/>
              </w:rPr>
            </w:pPr>
          </w:p>
        </w:tc>
        <w:tc>
          <w:tcPr>
            <w:tcW w:w="1311" w:type="dxa"/>
          </w:tcPr>
          <w:p w14:paraId="26A74F75">
            <w:pPr>
              <w:widowControl/>
              <w:rPr>
                <w:rFonts w:ascii="宋体" w:hAnsi="宋体" w:cs="宋体"/>
                <w:color w:val="auto"/>
                <w:szCs w:val="21"/>
                <w:highlight w:val="none"/>
              </w:rPr>
            </w:pPr>
          </w:p>
        </w:tc>
        <w:tc>
          <w:tcPr>
            <w:tcW w:w="1021" w:type="dxa"/>
          </w:tcPr>
          <w:p w14:paraId="7BA000BC">
            <w:pPr>
              <w:widowControl/>
              <w:rPr>
                <w:rFonts w:ascii="宋体" w:hAnsi="宋体" w:cs="宋体"/>
                <w:color w:val="auto"/>
                <w:szCs w:val="21"/>
                <w:highlight w:val="none"/>
              </w:rPr>
            </w:pPr>
          </w:p>
        </w:tc>
        <w:tc>
          <w:tcPr>
            <w:tcW w:w="1021" w:type="dxa"/>
          </w:tcPr>
          <w:p w14:paraId="44492635">
            <w:pPr>
              <w:widowControl/>
              <w:rPr>
                <w:rFonts w:ascii="宋体" w:hAnsi="宋体" w:cs="宋体"/>
                <w:color w:val="auto"/>
                <w:szCs w:val="21"/>
                <w:highlight w:val="none"/>
              </w:rPr>
            </w:pPr>
          </w:p>
        </w:tc>
        <w:tc>
          <w:tcPr>
            <w:tcW w:w="1033" w:type="dxa"/>
          </w:tcPr>
          <w:p w14:paraId="454B871C">
            <w:pPr>
              <w:widowControl/>
              <w:rPr>
                <w:rFonts w:ascii="宋体" w:hAnsi="宋体" w:cs="宋体"/>
                <w:color w:val="auto"/>
                <w:szCs w:val="21"/>
                <w:highlight w:val="none"/>
              </w:rPr>
            </w:pPr>
          </w:p>
        </w:tc>
      </w:tr>
      <w:tr w14:paraId="7187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55" w:type="dxa"/>
          </w:tcPr>
          <w:p w14:paraId="5D1B32F5">
            <w:pPr>
              <w:widowControl/>
              <w:rPr>
                <w:rFonts w:ascii="宋体" w:hAnsi="宋体" w:cs="宋体"/>
                <w:color w:val="auto"/>
                <w:szCs w:val="21"/>
                <w:highlight w:val="none"/>
              </w:rPr>
            </w:pPr>
          </w:p>
        </w:tc>
        <w:tc>
          <w:tcPr>
            <w:tcW w:w="1000" w:type="dxa"/>
          </w:tcPr>
          <w:p w14:paraId="777EC87A">
            <w:pPr>
              <w:widowControl/>
              <w:rPr>
                <w:rFonts w:ascii="宋体" w:hAnsi="宋体" w:cs="宋体"/>
                <w:color w:val="auto"/>
                <w:szCs w:val="21"/>
                <w:highlight w:val="none"/>
              </w:rPr>
            </w:pPr>
          </w:p>
        </w:tc>
        <w:tc>
          <w:tcPr>
            <w:tcW w:w="1340" w:type="dxa"/>
          </w:tcPr>
          <w:p w14:paraId="55DDEA9A">
            <w:pPr>
              <w:widowControl/>
              <w:rPr>
                <w:rFonts w:ascii="宋体" w:hAnsi="宋体" w:cs="宋体"/>
                <w:color w:val="auto"/>
                <w:szCs w:val="21"/>
                <w:highlight w:val="none"/>
              </w:rPr>
            </w:pPr>
          </w:p>
        </w:tc>
        <w:tc>
          <w:tcPr>
            <w:tcW w:w="774" w:type="dxa"/>
          </w:tcPr>
          <w:p w14:paraId="3D7E0092">
            <w:pPr>
              <w:widowControl/>
              <w:rPr>
                <w:rFonts w:ascii="宋体" w:hAnsi="宋体" w:cs="宋体"/>
                <w:color w:val="auto"/>
                <w:szCs w:val="21"/>
                <w:highlight w:val="none"/>
              </w:rPr>
            </w:pPr>
          </w:p>
        </w:tc>
        <w:tc>
          <w:tcPr>
            <w:tcW w:w="819" w:type="dxa"/>
          </w:tcPr>
          <w:p w14:paraId="25E8A6B9">
            <w:pPr>
              <w:widowControl/>
              <w:rPr>
                <w:rFonts w:ascii="宋体" w:hAnsi="宋体" w:cs="宋体"/>
                <w:color w:val="auto"/>
                <w:szCs w:val="21"/>
                <w:highlight w:val="none"/>
              </w:rPr>
            </w:pPr>
          </w:p>
        </w:tc>
        <w:tc>
          <w:tcPr>
            <w:tcW w:w="1311" w:type="dxa"/>
          </w:tcPr>
          <w:p w14:paraId="6950DE32">
            <w:pPr>
              <w:widowControl/>
              <w:rPr>
                <w:rFonts w:ascii="宋体" w:hAnsi="宋体" w:cs="宋体"/>
                <w:color w:val="auto"/>
                <w:szCs w:val="21"/>
                <w:highlight w:val="none"/>
              </w:rPr>
            </w:pPr>
          </w:p>
        </w:tc>
        <w:tc>
          <w:tcPr>
            <w:tcW w:w="1021" w:type="dxa"/>
          </w:tcPr>
          <w:p w14:paraId="5E691FF2">
            <w:pPr>
              <w:widowControl/>
              <w:rPr>
                <w:rFonts w:ascii="宋体" w:hAnsi="宋体" w:cs="宋体"/>
                <w:color w:val="auto"/>
                <w:szCs w:val="21"/>
                <w:highlight w:val="none"/>
              </w:rPr>
            </w:pPr>
          </w:p>
        </w:tc>
        <w:tc>
          <w:tcPr>
            <w:tcW w:w="1021" w:type="dxa"/>
          </w:tcPr>
          <w:p w14:paraId="01FB6374">
            <w:pPr>
              <w:widowControl/>
              <w:rPr>
                <w:rFonts w:ascii="宋体" w:hAnsi="宋体" w:cs="宋体"/>
                <w:color w:val="auto"/>
                <w:szCs w:val="21"/>
                <w:highlight w:val="none"/>
              </w:rPr>
            </w:pPr>
          </w:p>
        </w:tc>
        <w:tc>
          <w:tcPr>
            <w:tcW w:w="1033" w:type="dxa"/>
          </w:tcPr>
          <w:p w14:paraId="24231922">
            <w:pPr>
              <w:widowControl/>
              <w:rPr>
                <w:rFonts w:ascii="宋体" w:hAnsi="宋体" w:cs="宋体"/>
                <w:color w:val="auto"/>
                <w:szCs w:val="21"/>
                <w:highlight w:val="none"/>
              </w:rPr>
            </w:pPr>
          </w:p>
        </w:tc>
      </w:tr>
    </w:tbl>
    <w:p w14:paraId="057B45AD">
      <w:pPr>
        <w:spacing w:line="380" w:lineRule="exact"/>
        <w:rPr>
          <w:rFonts w:ascii="宋体" w:hAnsi="宋体" w:cs="宋体"/>
          <w:bCs/>
          <w:color w:val="auto"/>
          <w:szCs w:val="21"/>
          <w:highlight w:val="none"/>
        </w:rPr>
      </w:pPr>
      <w:r>
        <w:rPr>
          <w:rFonts w:hint="eastAsia" w:ascii="宋体" w:hAnsi="宋体" w:cs="宋体"/>
          <w:bCs/>
          <w:color w:val="auto"/>
          <w:szCs w:val="21"/>
          <w:highlight w:val="none"/>
        </w:rPr>
        <w:t>注：投标人应在本表后附相关证明材料。</w:t>
      </w:r>
    </w:p>
    <w:p w14:paraId="652CB4EB">
      <w:pPr>
        <w:spacing w:line="520" w:lineRule="exact"/>
        <w:ind w:firstLine="420" w:firstLineChars="200"/>
        <w:rPr>
          <w:rFonts w:ascii="宋体" w:hAnsi="宋体" w:cs="宋体"/>
          <w:color w:val="auto"/>
          <w:szCs w:val="21"/>
          <w:highlight w:val="none"/>
        </w:rPr>
      </w:pPr>
    </w:p>
    <w:p w14:paraId="7F25889D">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（单位电子印章）</w:t>
      </w:r>
    </w:p>
    <w:p w14:paraId="5DF6E8CB">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（电子签章或签字）</w:t>
      </w:r>
    </w:p>
    <w:p w14:paraId="644D9407">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F34BA0C">
      <w:pPr>
        <w:rPr>
          <w:rFonts w:ascii="宋体" w:hAnsi="宋体" w:cs="宋体"/>
          <w:color w:val="auto"/>
          <w:highlight w:val="none"/>
        </w:rPr>
      </w:pPr>
      <w:bookmarkStart w:id="363" w:name="_Toc26334"/>
      <w:r>
        <w:rPr>
          <w:rFonts w:hint="eastAsia" w:ascii="宋体" w:hAnsi="宋体" w:cs="宋体"/>
          <w:color w:val="auto"/>
          <w:highlight w:val="none"/>
        </w:rPr>
        <w:br w:type="page"/>
      </w:r>
    </w:p>
    <w:p w14:paraId="74D2083E">
      <w:pPr>
        <w:pStyle w:val="3"/>
        <w:rPr>
          <w:color w:val="auto"/>
          <w:highlight w:val="none"/>
        </w:rPr>
      </w:pPr>
      <w:bookmarkStart w:id="364" w:name="_Toc9368"/>
      <w:bookmarkStart w:id="365" w:name="_Toc15647"/>
      <w:bookmarkStart w:id="366" w:name="_Toc2988"/>
      <w:bookmarkStart w:id="367" w:name="_Toc2111849952"/>
      <w:r>
        <w:rPr>
          <w:rFonts w:hint="eastAsia"/>
          <w:color w:val="auto"/>
          <w:highlight w:val="none"/>
        </w:rPr>
        <w:t>八、商务部分其他资料</w:t>
      </w:r>
      <w:bookmarkEnd w:id="364"/>
      <w:bookmarkEnd w:id="365"/>
      <w:bookmarkEnd w:id="366"/>
      <w:bookmarkEnd w:id="367"/>
    </w:p>
    <w:p w14:paraId="389320F8">
      <w:pPr>
        <w:pStyle w:val="36"/>
        <w:ind w:firstLine="211"/>
        <w:rPr>
          <w:color w:val="auto"/>
          <w:highlight w:val="none"/>
        </w:rPr>
      </w:pPr>
    </w:p>
    <w:p w14:paraId="7F649A0A">
      <w:pPr>
        <w:pStyle w:val="36"/>
        <w:ind w:firstLine="211"/>
        <w:rPr>
          <w:color w:val="auto"/>
          <w:highlight w:val="none"/>
        </w:rPr>
      </w:pPr>
      <w:r>
        <w:rPr>
          <w:rFonts w:hint="eastAsia"/>
          <w:color w:val="auto"/>
          <w:highlight w:val="none"/>
        </w:rPr>
        <w:t>（按照招标文件评分办法规定内容逐一提供，格式自拟）</w:t>
      </w:r>
    </w:p>
    <w:p w14:paraId="51766A91">
      <w:pPr>
        <w:rPr>
          <w:color w:val="auto"/>
          <w:highlight w:val="none"/>
        </w:rPr>
      </w:pPr>
      <w:bookmarkStart w:id="368" w:name="_Toc252425648"/>
      <w:r>
        <w:rPr>
          <w:rFonts w:hint="eastAsia"/>
          <w:color w:val="auto"/>
          <w:highlight w:val="none"/>
        </w:rPr>
        <w:br w:type="page"/>
      </w:r>
    </w:p>
    <w:p w14:paraId="46E31D1C">
      <w:pPr>
        <w:pStyle w:val="3"/>
        <w:rPr>
          <w:color w:val="auto"/>
          <w:highlight w:val="none"/>
        </w:rPr>
      </w:pPr>
      <w:bookmarkStart w:id="369" w:name="_Toc3713"/>
      <w:bookmarkStart w:id="370" w:name="_Toc30196"/>
      <w:bookmarkStart w:id="371" w:name="_Toc6437"/>
      <w:r>
        <w:rPr>
          <w:rFonts w:hint="eastAsia"/>
          <w:color w:val="auto"/>
          <w:highlight w:val="none"/>
        </w:rPr>
        <w:t>九、技术部分其他资料</w:t>
      </w:r>
      <w:bookmarkEnd w:id="363"/>
      <w:bookmarkEnd w:id="368"/>
      <w:bookmarkEnd w:id="369"/>
      <w:bookmarkEnd w:id="370"/>
      <w:bookmarkEnd w:id="371"/>
    </w:p>
    <w:p w14:paraId="11E08C3F">
      <w:pPr>
        <w:widowControl/>
        <w:jc w:val="left"/>
        <w:rPr>
          <w:rFonts w:eastAsia="仿宋"/>
          <w:color w:val="auto"/>
          <w:highlight w:val="none"/>
        </w:rPr>
      </w:pPr>
    </w:p>
    <w:p w14:paraId="6E7114E4">
      <w:pPr>
        <w:pStyle w:val="36"/>
        <w:ind w:firstLine="211"/>
        <w:rPr>
          <w:color w:val="auto"/>
          <w:highlight w:val="none"/>
        </w:rPr>
      </w:pPr>
    </w:p>
    <w:p w14:paraId="033B5E07">
      <w:pPr>
        <w:pStyle w:val="36"/>
        <w:ind w:firstLine="211"/>
        <w:rPr>
          <w:rFonts w:eastAsia="仿宋"/>
          <w:color w:val="auto"/>
          <w:highlight w:val="none"/>
        </w:rPr>
      </w:pPr>
      <w:r>
        <w:rPr>
          <w:rFonts w:hint="eastAsia"/>
          <w:color w:val="auto"/>
          <w:highlight w:val="none"/>
        </w:rPr>
        <w:t>（按照招标文件评分办法规定内容逐一提供，格式自拟）</w:t>
      </w:r>
    </w:p>
    <w:p w14:paraId="1792D4F0">
      <w:pPr>
        <w:pStyle w:val="36"/>
        <w:ind w:firstLine="211"/>
        <w:rPr>
          <w:color w:val="auto"/>
          <w:highlight w:val="none"/>
        </w:rPr>
      </w:pPr>
    </w:p>
    <w:p w14:paraId="76FFBCF9">
      <w:pPr>
        <w:pStyle w:val="36"/>
        <w:ind w:firstLine="211"/>
        <w:rPr>
          <w:color w:val="auto"/>
          <w:highlight w:val="none"/>
        </w:rPr>
      </w:pPr>
    </w:p>
    <w:p w14:paraId="4C019FBB">
      <w:pPr>
        <w:pStyle w:val="36"/>
        <w:ind w:firstLine="211"/>
        <w:rPr>
          <w:color w:val="auto"/>
          <w:highlight w:val="none"/>
        </w:rPr>
      </w:pPr>
    </w:p>
    <w:p w14:paraId="7559ABC3">
      <w:pPr>
        <w:widowControl/>
        <w:jc w:val="left"/>
        <w:rPr>
          <w:rFonts w:ascii="宋体" w:hAnsi="宋体" w:cs="宋体"/>
          <w:b/>
          <w:color w:val="auto"/>
          <w:sz w:val="32"/>
          <w:szCs w:val="32"/>
          <w:highlight w:val="none"/>
        </w:rPr>
      </w:pPr>
      <w:r>
        <w:rPr>
          <w:rFonts w:hint="eastAsia" w:ascii="仿宋" w:hAnsi="仿宋" w:eastAsia="仿宋" w:cs="仿宋"/>
          <w:b/>
          <w:color w:val="auto"/>
          <w:sz w:val="32"/>
          <w:szCs w:val="32"/>
          <w:highlight w:val="none"/>
        </w:rPr>
        <w:br w:type="page"/>
      </w:r>
    </w:p>
    <w:p w14:paraId="0C1F4816">
      <w:pPr>
        <w:pStyle w:val="3"/>
        <w:rPr>
          <w:color w:val="auto"/>
          <w:highlight w:val="none"/>
        </w:rPr>
      </w:pPr>
      <w:bookmarkStart w:id="372" w:name="_Toc3360"/>
      <w:bookmarkStart w:id="373" w:name="_Toc15757"/>
      <w:bookmarkStart w:id="374" w:name="_Toc21900"/>
      <w:bookmarkStart w:id="375" w:name="_Toc18444"/>
      <w:bookmarkStart w:id="376" w:name="_Toc1237663111"/>
      <w:bookmarkStart w:id="377" w:name="_Toc2262"/>
      <w:bookmarkStart w:id="378" w:name="_Toc184635145"/>
      <w:bookmarkStart w:id="379" w:name="_Toc105833183"/>
      <w:bookmarkStart w:id="380" w:name="_Toc106079261"/>
      <w:bookmarkStart w:id="381" w:name="_Toc129512125"/>
      <w:bookmarkStart w:id="382" w:name="_Toc106076893"/>
      <w:bookmarkStart w:id="383" w:name="_Toc106080549"/>
      <w:bookmarkStart w:id="384" w:name="_Toc105816675"/>
      <w:bookmarkStart w:id="385" w:name="_Toc106079108"/>
      <w:bookmarkStart w:id="386" w:name="_Toc106078819"/>
      <w:bookmarkStart w:id="387" w:name="_Toc94716518"/>
      <w:r>
        <w:rPr>
          <w:rFonts w:hint="eastAsia"/>
          <w:color w:val="auto"/>
          <w:highlight w:val="none"/>
        </w:rPr>
        <w:t>十、反商业贿赂承诺书</w:t>
      </w:r>
      <w:bookmarkEnd w:id="372"/>
      <w:bookmarkEnd w:id="373"/>
      <w:bookmarkEnd w:id="374"/>
      <w:bookmarkEnd w:id="375"/>
      <w:bookmarkEnd w:id="376"/>
      <w:bookmarkEnd w:id="377"/>
    </w:p>
    <w:p w14:paraId="271D2B5E">
      <w:pPr>
        <w:pStyle w:val="72"/>
        <w:rPr>
          <w:color w:val="auto"/>
          <w:highlight w:val="none"/>
        </w:rPr>
      </w:pPr>
    </w:p>
    <w:p w14:paraId="2515718B">
      <w:pPr>
        <w:spacing w:line="360" w:lineRule="auto"/>
        <w:rPr>
          <w:rFonts w:ascii="宋体" w:hAnsi="宋体" w:cs="宋体"/>
          <w:color w:val="auto"/>
          <w:szCs w:val="21"/>
          <w:highlight w:val="none"/>
        </w:rPr>
      </w:pPr>
      <w:r>
        <w:rPr>
          <w:rFonts w:hint="eastAsia" w:ascii="宋体" w:hAnsi="宋体" w:cs="宋体"/>
          <w:color w:val="auto"/>
          <w:szCs w:val="21"/>
          <w:highlight w:val="none"/>
        </w:rPr>
        <w:t>我公司承诺：</w:t>
      </w:r>
    </w:p>
    <w:p w14:paraId="42B1A4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w:t>
      </w:r>
      <w:r>
        <w:rPr>
          <w:rFonts w:hint="eastAsia" w:ascii="宋体" w:hAnsi="宋体" w:cs="宋体"/>
          <w:color w:val="auto"/>
          <w:szCs w:val="21"/>
          <w:highlight w:val="none"/>
          <w:u w:val="single"/>
        </w:rPr>
        <w:t>河南省科学院光资源与环境科学研究所红外检测实验平台（二期）项目</w:t>
      </w:r>
      <w:r>
        <w:rPr>
          <w:rFonts w:hint="eastAsia" w:ascii="宋体" w:hAnsi="宋体" w:cs="宋体"/>
          <w:color w:val="auto"/>
          <w:szCs w:val="21"/>
          <w:highlight w:val="none"/>
        </w:rPr>
        <w:t>招标活动中，我公司保证做到：</w:t>
      </w:r>
    </w:p>
    <w:p w14:paraId="33FD0B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一、公平竞争参加本次招标活动。</w:t>
      </w:r>
    </w:p>
    <w:p w14:paraId="0DAE8E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杜绝任何形式的商业贿赂行为。不向国家工作人员、招标代理机构工作人员、评审专家及其亲属提供礼品礼金、有价证券、购物券、回扣、佣金、咨询费、劳务费、赞助费、宣传费、宴请；不为其报销各种消费凭证，不支付其旅游、娱乐等费用。</w:t>
      </w:r>
    </w:p>
    <w:p w14:paraId="7CAB36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三、若出现上述行为，我公司及参与招标的工作人员愿意接受按照国家法律法规等有关规定给予的处罚。</w:t>
      </w:r>
    </w:p>
    <w:p w14:paraId="4F4C6AFF">
      <w:pPr>
        <w:spacing w:line="600" w:lineRule="exact"/>
        <w:rPr>
          <w:rFonts w:ascii="宋体" w:hAnsi="宋体" w:cs="宋体"/>
          <w:color w:val="auto"/>
          <w:szCs w:val="21"/>
          <w:highlight w:val="none"/>
        </w:rPr>
      </w:pPr>
      <w:r>
        <w:rPr>
          <w:rFonts w:hint="eastAsia" w:ascii="宋体" w:hAnsi="宋体" w:cs="宋体"/>
          <w:color w:val="auto"/>
          <w:szCs w:val="21"/>
          <w:highlight w:val="none"/>
        </w:rPr>
        <w:t xml:space="preserve">                 </w:t>
      </w:r>
    </w:p>
    <w:p w14:paraId="41B19253">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（单位电子印章）</w:t>
      </w:r>
    </w:p>
    <w:p w14:paraId="54476440">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（电子签章或签字）</w:t>
      </w:r>
    </w:p>
    <w:p w14:paraId="51DDCCE1">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509C794">
      <w:pPr>
        <w:spacing w:line="520" w:lineRule="exact"/>
        <w:ind w:firstLine="420" w:firstLineChars="200"/>
        <w:rPr>
          <w:rFonts w:ascii="宋体" w:hAnsi="宋体" w:cs="宋体"/>
          <w:color w:val="auto"/>
          <w:szCs w:val="21"/>
          <w:highlight w:val="none"/>
        </w:rPr>
      </w:pPr>
    </w:p>
    <w:p w14:paraId="233A4B90">
      <w:pPr>
        <w:pStyle w:val="36"/>
        <w:ind w:firstLine="211"/>
        <w:rPr>
          <w:color w:val="auto"/>
          <w:highlight w:val="none"/>
        </w:rPr>
      </w:pPr>
    </w:p>
    <w:p w14:paraId="0E71A224">
      <w:pPr>
        <w:pStyle w:val="36"/>
        <w:ind w:firstLine="211"/>
        <w:rPr>
          <w:color w:val="auto"/>
          <w:highlight w:val="none"/>
        </w:rPr>
      </w:pPr>
      <w:bookmarkStart w:id="388" w:name="_Toc23909"/>
      <w:bookmarkStart w:id="389" w:name="_Toc24339"/>
    </w:p>
    <w:p w14:paraId="3865F5DA">
      <w:pPr>
        <w:rPr>
          <w:color w:val="auto"/>
          <w:highlight w:val="none"/>
        </w:rPr>
      </w:pPr>
      <w:r>
        <w:rPr>
          <w:color w:val="auto"/>
          <w:highlight w:val="none"/>
        </w:rPr>
        <w:br w:type="page"/>
      </w:r>
    </w:p>
    <w:bookmarkEnd w:id="388"/>
    <w:bookmarkEnd w:id="389"/>
    <w:p w14:paraId="3A957D91">
      <w:pPr>
        <w:pStyle w:val="3"/>
        <w:rPr>
          <w:color w:val="auto"/>
          <w:szCs w:val="32"/>
          <w:highlight w:val="none"/>
        </w:rPr>
      </w:pPr>
      <w:bookmarkStart w:id="390" w:name="_Toc15668"/>
      <w:bookmarkStart w:id="391" w:name="_Toc12198"/>
      <w:bookmarkStart w:id="392" w:name="_Toc27268"/>
      <w:bookmarkStart w:id="393" w:name="_Toc3628"/>
      <w:bookmarkStart w:id="394" w:name="_Toc10528"/>
      <w:bookmarkStart w:id="395" w:name="_Toc31865"/>
      <w:bookmarkStart w:id="396" w:name="_Toc877301735"/>
      <w:bookmarkStart w:id="397" w:name="_Toc500170705"/>
      <w:bookmarkStart w:id="398" w:name="_Toc497920544"/>
      <w:r>
        <w:rPr>
          <w:rFonts w:hint="eastAsia"/>
          <w:color w:val="auto"/>
          <w:szCs w:val="32"/>
          <w:highlight w:val="none"/>
        </w:rPr>
        <w:t>十一、中小微企业、残疾人福利企业、监狱企业</w:t>
      </w:r>
      <w:bookmarkEnd w:id="390"/>
      <w:bookmarkEnd w:id="391"/>
      <w:bookmarkEnd w:id="392"/>
      <w:bookmarkEnd w:id="393"/>
      <w:bookmarkEnd w:id="394"/>
      <w:bookmarkEnd w:id="395"/>
      <w:bookmarkEnd w:id="396"/>
    </w:p>
    <w:bookmarkEnd w:id="397"/>
    <w:bookmarkEnd w:id="398"/>
    <w:p w14:paraId="13FF078F">
      <w:pPr>
        <w:spacing w:line="360" w:lineRule="auto"/>
        <w:jc w:val="center"/>
        <w:rPr>
          <w:rFonts w:ascii="宋体" w:hAnsi="宋体" w:cs="宋体"/>
          <w:b/>
          <w:color w:val="auto"/>
          <w:szCs w:val="21"/>
          <w:highlight w:val="none"/>
        </w:rPr>
      </w:pPr>
      <w:bookmarkStart w:id="399" w:name="_Hlk492844196"/>
      <w:bookmarkStart w:id="400" w:name="_Toc500170706"/>
      <w:bookmarkStart w:id="401" w:name="_Toc497920545"/>
    </w:p>
    <w:p w14:paraId="39D1B14C">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（一）中小企业声明函（货物）</w:t>
      </w:r>
    </w:p>
    <w:p w14:paraId="3C8B7ADD">
      <w:pPr>
        <w:pStyle w:val="33"/>
        <w:wordWrap w:val="0"/>
        <w:spacing w:beforeAutospacing="0" w:afterAutospacing="0" w:line="360" w:lineRule="auto"/>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本公司（联合体）郑重声明，</w:t>
      </w:r>
      <w:bookmarkStart w:id="402" w:name="_Hlk484015033"/>
      <w:r>
        <w:rPr>
          <w:rFonts w:hint="eastAsia" w:ascii="宋体" w:hAnsi="宋体" w:cs="宋体"/>
          <w:color w:val="auto"/>
          <w:kern w:val="2"/>
          <w:sz w:val="21"/>
          <w:szCs w:val="21"/>
          <w:highlight w:val="none"/>
        </w:rPr>
        <w:t>根据《政府采购促进中小企业发展管理办法》（财库[2020]46号）</w:t>
      </w:r>
      <w:bookmarkEnd w:id="402"/>
      <w:r>
        <w:rPr>
          <w:rFonts w:hint="eastAsia" w:ascii="宋体" w:hAnsi="宋体" w:cs="宋体"/>
          <w:color w:val="auto"/>
          <w:kern w:val="2"/>
          <w:sz w:val="21"/>
          <w:szCs w:val="21"/>
          <w:highlight w:val="none"/>
        </w:rPr>
        <w:t>的规定，本公司（联合体）参加</w:t>
      </w:r>
      <w:r>
        <w:rPr>
          <w:rFonts w:hint="eastAsia" w:ascii="宋体" w:hAnsi="宋体" w:cs="宋体"/>
          <w:color w:val="auto"/>
          <w:kern w:val="2"/>
          <w:sz w:val="21"/>
          <w:szCs w:val="21"/>
          <w:highlight w:val="none"/>
          <w:u w:val="single"/>
        </w:rPr>
        <w:t xml:space="preserve"> （单位名称）  </w:t>
      </w:r>
      <w:r>
        <w:rPr>
          <w:rFonts w:hint="eastAsia" w:ascii="宋体" w:hAnsi="宋体" w:cs="宋体"/>
          <w:color w:val="auto"/>
          <w:kern w:val="2"/>
          <w:sz w:val="21"/>
          <w:szCs w:val="21"/>
          <w:highlight w:val="none"/>
        </w:rPr>
        <w:t>的</w:t>
      </w:r>
      <w:r>
        <w:rPr>
          <w:rFonts w:hint="eastAsia" w:ascii="宋体" w:hAnsi="宋体" w:cs="宋体"/>
          <w:color w:val="auto"/>
          <w:kern w:val="2"/>
          <w:sz w:val="21"/>
          <w:szCs w:val="21"/>
          <w:highlight w:val="none"/>
          <w:u w:val="single"/>
        </w:rPr>
        <w:t>（项目名称    ）</w:t>
      </w:r>
      <w:r>
        <w:rPr>
          <w:rFonts w:hint="eastAsia" w:ascii="宋体" w:hAnsi="宋体" w:cs="宋体"/>
          <w:color w:val="auto"/>
          <w:kern w:val="2"/>
          <w:sz w:val="21"/>
          <w:szCs w:val="21"/>
          <w:highlight w:val="none"/>
        </w:rPr>
        <w:t>采购活动，提供的货物</w:t>
      </w:r>
      <w:r>
        <w:rPr>
          <w:rFonts w:hint="eastAsia" w:ascii="宋体" w:hAnsi="宋体" w:cs="宋体"/>
          <w:b/>
          <w:bCs/>
          <w:color w:val="auto"/>
          <w:kern w:val="2"/>
          <w:sz w:val="21"/>
          <w:szCs w:val="21"/>
          <w:highlight w:val="none"/>
        </w:rPr>
        <w:t>全部</w:t>
      </w:r>
      <w:r>
        <w:rPr>
          <w:rFonts w:hint="eastAsia" w:ascii="宋体" w:hAnsi="宋体" w:cs="宋体"/>
          <w:color w:val="auto"/>
          <w:kern w:val="2"/>
          <w:sz w:val="21"/>
          <w:szCs w:val="21"/>
          <w:highlight w:val="none"/>
        </w:rPr>
        <w:t>由符合政策要求的中小企业制造。相关企业（含联合体中的中小企业、签订分包意向协议的中小企业）的具体情况如下：</w:t>
      </w:r>
    </w:p>
    <w:p w14:paraId="4DF54A59">
      <w:pPr>
        <w:pStyle w:val="33"/>
        <w:wordWrap w:val="0"/>
        <w:spacing w:beforeAutospacing="0" w:afterAutospacing="0" w:line="360" w:lineRule="auto"/>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1.</w:t>
      </w:r>
      <w:r>
        <w:rPr>
          <w:rFonts w:hint="eastAsia" w:ascii="宋体" w:hAnsi="宋体" w:cs="宋体"/>
          <w:color w:val="auto"/>
          <w:kern w:val="2"/>
          <w:sz w:val="21"/>
          <w:szCs w:val="21"/>
          <w:highlight w:val="none"/>
          <w:u w:val="single"/>
        </w:rPr>
        <w:t>（标的名称）</w:t>
      </w:r>
      <w:r>
        <w:rPr>
          <w:rFonts w:hint="eastAsia" w:ascii="宋体" w:hAnsi="宋体" w:cs="宋体"/>
          <w:color w:val="auto"/>
          <w:kern w:val="2"/>
          <w:sz w:val="21"/>
          <w:szCs w:val="21"/>
          <w:highlight w:val="none"/>
        </w:rPr>
        <w:t>，属于</w:t>
      </w:r>
      <w:r>
        <w:rPr>
          <w:rFonts w:hint="eastAsia" w:ascii="宋体" w:hAnsi="宋体" w:cs="宋体"/>
          <w:color w:val="auto"/>
          <w:kern w:val="2"/>
          <w:sz w:val="21"/>
          <w:szCs w:val="21"/>
          <w:highlight w:val="none"/>
          <w:u w:val="single"/>
        </w:rPr>
        <w:t>（采购文件中明确的所属行业）行业</w:t>
      </w:r>
      <w:r>
        <w:rPr>
          <w:rFonts w:hint="eastAsia" w:ascii="宋体" w:hAnsi="宋体" w:cs="宋体"/>
          <w:color w:val="auto"/>
          <w:kern w:val="2"/>
          <w:sz w:val="21"/>
          <w:szCs w:val="21"/>
          <w:highlight w:val="none"/>
        </w:rPr>
        <w:t>；制造商为</w:t>
      </w:r>
      <w:r>
        <w:rPr>
          <w:rFonts w:hint="eastAsia" w:ascii="宋体" w:hAnsi="宋体" w:cs="宋体"/>
          <w:color w:val="auto"/>
          <w:kern w:val="2"/>
          <w:sz w:val="21"/>
          <w:szCs w:val="21"/>
          <w:highlight w:val="none"/>
          <w:u w:val="single"/>
        </w:rPr>
        <w:t>（投标人名称）</w:t>
      </w:r>
      <w:r>
        <w:rPr>
          <w:rFonts w:hint="eastAsia" w:ascii="宋体" w:hAnsi="宋体" w:cs="宋体"/>
          <w:color w:val="auto"/>
          <w:kern w:val="2"/>
          <w:sz w:val="21"/>
          <w:szCs w:val="21"/>
          <w:highlight w:val="none"/>
        </w:rPr>
        <w:t>，从业人员</w:t>
      </w:r>
      <w:r>
        <w:rPr>
          <w:rFonts w:hint="eastAsia" w:ascii="宋体" w:hAnsi="宋体" w:cs="宋体"/>
          <w:color w:val="auto"/>
          <w:kern w:val="2"/>
          <w:sz w:val="21"/>
          <w:szCs w:val="21"/>
          <w:highlight w:val="none"/>
          <w:u w:val="single"/>
        </w:rPr>
        <w:t xml:space="preserve">    </w:t>
      </w:r>
      <w:r>
        <w:rPr>
          <w:rFonts w:hint="eastAsia" w:ascii="宋体" w:hAnsi="宋体" w:cs="宋体"/>
          <w:color w:val="auto"/>
          <w:kern w:val="2"/>
          <w:sz w:val="21"/>
          <w:szCs w:val="21"/>
          <w:highlight w:val="none"/>
        </w:rPr>
        <w:t>人，营业收入为</w:t>
      </w:r>
      <w:r>
        <w:rPr>
          <w:rFonts w:hint="eastAsia" w:ascii="宋体" w:hAnsi="宋体" w:cs="宋体"/>
          <w:color w:val="auto"/>
          <w:kern w:val="2"/>
          <w:sz w:val="21"/>
          <w:szCs w:val="21"/>
          <w:highlight w:val="none"/>
          <w:u w:val="single"/>
        </w:rPr>
        <w:t xml:space="preserve">     </w:t>
      </w:r>
      <w:r>
        <w:rPr>
          <w:rFonts w:hint="eastAsia" w:ascii="宋体" w:hAnsi="宋体" w:cs="宋体"/>
          <w:color w:val="auto"/>
          <w:kern w:val="2"/>
          <w:sz w:val="21"/>
          <w:szCs w:val="21"/>
          <w:highlight w:val="none"/>
        </w:rPr>
        <w:t>万元，资产总额为</w:t>
      </w:r>
      <w:r>
        <w:rPr>
          <w:rFonts w:hint="eastAsia" w:ascii="宋体" w:hAnsi="宋体" w:cs="宋体"/>
          <w:color w:val="auto"/>
          <w:kern w:val="2"/>
          <w:sz w:val="21"/>
          <w:szCs w:val="21"/>
          <w:highlight w:val="none"/>
          <w:u w:val="single"/>
        </w:rPr>
        <w:t xml:space="preserve">     </w:t>
      </w:r>
      <w:r>
        <w:rPr>
          <w:rFonts w:hint="eastAsia" w:ascii="宋体" w:hAnsi="宋体" w:cs="宋体"/>
          <w:color w:val="auto"/>
          <w:kern w:val="2"/>
          <w:sz w:val="21"/>
          <w:szCs w:val="21"/>
          <w:highlight w:val="none"/>
        </w:rPr>
        <w:t>万元</w:t>
      </w:r>
      <w:r>
        <w:rPr>
          <w:rFonts w:hint="eastAsia" w:ascii="宋体" w:hAnsi="宋体" w:cs="宋体"/>
          <w:color w:val="auto"/>
          <w:kern w:val="2"/>
          <w:sz w:val="21"/>
          <w:szCs w:val="21"/>
          <w:highlight w:val="none"/>
          <w:vertAlign w:val="superscript"/>
        </w:rPr>
        <w:t>1</w:t>
      </w:r>
      <w:r>
        <w:rPr>
          <w:rFonts w:hint="eastAsia" w:ascii="宋体" w:hAnsi="宋体" w:cs="宋体"/>
          <w:color w:val="auto"/>
          <w:kern w:val="2"/>
          <w:sz w:val="21"/>
          <w:szCs w:val="21"/>
          <w:highlight w:val="none"/>
        </w:rPr>
        <w:t>，属于</w:t>
      </w:r>
      <w:r>
        <w:rPr>
          <w:rFonts w:hint="eastAsia" w:ascii="宋体" w:hAnsi="宋体" w:cs="宋体"/>
          <w:color w:val="auto"/>
          <w:kern w:val="2"/>
          <w:sz w:val="21"/>
          <w:szCs w:val="21"/>
          <w:highlight w:val="none"/>
          <w:u w:val="single"/>
        </w:rPr>
        <w:t xml:space="preserve">    （中型企业、小型企业、微型企业）</w:t>
      </w:r>
      <w:r>
        <w:rPr>
          <w:rFonts w:hint="eastAsia" w:ascii="宋体" w:hAnsi="宋体" w:cs="宋体"/>
          <w:color w:val="auto"/>
          <w:kern w:val="2"/>
          <w:sz w:val="21"/>
          <w:szCs w:val="21"/>
          <w:highlight w:val="none"/>
        </w:rPr>
        <w:t>；</w:t>
      </w:r>
    </w:p>
    <w:p w14:paraId="56321EE8">
      <w:pPr>
        <w:pStyle w:val="33"/>
        <w:wordWrap w:val="0"/>
        <w:spacing w:beforeAutospacing="0" w:afterAutospacing="0" w:line="360" w:lineRule="auto"/>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2.</w:t>
      </w:r>
      <w:r>
        <w:rPr>
          <w:rFonts w:hint="eastAsia" w:ascii="宋体" w:hAnsi="宋体" w:cs="宋体"/>
          <w:color w:val="auto"/>
          <w:kern w:val="2"/>
          <w:sz w:val="21"/>
          <w:szCs w:val="21"/>
          <w:highlight w:val="none"/>
          <w:u w:val="single"/>
        </w:rPr>
        <w:t>（标的名称）</w:t>
      </w:r>
      <w:r>
        <w:rPr>
          <w:rFonts w:hint="eastAsia" w:ascii="宋体" w:hAnsi="宋体" w:cs="宋体"/>
          <w:color w:val="auto"/>
          <w:kern w:val="2"/>
          <w:sz w:val="21"/>
          <w:szCs w:val="21"/>
          <w:highlight w:val="none"/>
        </w:rPr>
        <w:t>，属于</w:t>
      </w:r>
      <w:r>
        <w:rPr>
          <w:rFonts w:hint="eastAsia" w:ascii="宋体" w:hAnsi="宋体" w:cs="宋体"/>
          <w:color w:val="auto"/>
          <w:kern w:val="2"/>
          <w:sz w:val="21"/>
          <w:szCs w:val="21"/>
          <w:highlight w:val="none"/>
          <w:u w:val="single"/>
        </w:rPr>
        <w:t>（采购文件中明确的所属行业）行业</w:t>
      </w:r>
      <w:r>
        <w:rPr>
          <w:rFonts w:hint="eastAsia" w:ascii="宋体" w:hAnsi="宋体" w:cs="宋体"/>
          <w:color w:val="auto"/>
          <w:kern w:val="2"/>
          <w:sz w:val="21"/>
          <w:szCs w:val="21"/>
          <w:highlight w:val="none"/>
        </w:rPr>
        <w:t>；制造商为</w:t>
      </w:r>
      <w:r>
        <w:rPr>
          <w:rFonts w:hint="eastAsia" w:ascii="宋体" w:hAnsi="宋体" w:cs="宋体"/>
          <w:color w:val="auto"/>
          <w:kern w:val="2"/>
          <w:sz w:val="21"/>
          <w:szCs w:val="21"/>
          <w:highlight w:val="none"/>
          <w:u w:val="single"/>
        </w:rPr>
        <w:t>（投标人名称）</w:t>
      </w:r>
      <w:r>
        <w:rPr>
          <w:rFonts w:hint="eastAsia" w:ascii="宋体" w:hAnsi="宋体" w:cs="宋体"/>
          <w:color w:val="auto"/>
          <w:kern w:val="2"/>
          <w:sz w:val="21"/>
          <w:szCs w:val="21"/>
          <w:highlight w:val="none"/>
        </w:rPr>
        <w:t>，从业人员</w:t>
      </w:r>
      <w:r>
        <w:rPr>
          <w:rFonts w:hint="eastAsia" w:ascii="宋体" w:hAnsi="宋体" w:cs="宋体"/>
          <w:color w:val="auto"/>
          <w:kern w:val="2"/>
          <w:sz w:val="21"/>
          <w:szCs w:val="21"/>
          <w:highlight w:val="none"/>
          <w:u w:val="single"/>
        </w:rPr>
        <w:t xml:space="preserve">    </w:t>
      </w:r>
      <w:r>
        <w:rPr>
          <w:rFonts w:hint="eastAsia" w:ascii="宋体" w:hAnsi="宋体" w:cs="宋体"/>
          <w:color w:val="auto"/>
          <w:kern w:val="2"/>
          <w:sz w:val="21"/>
          <w:szCs w:val="21"/>
          <w:highlight w:val="none"/>
        </w:rPr>
        <w:t>人，营业收入为</w:t>
      </w:r>
      <w:r>
        <w:rPr>
          <w:rFonts w:hint="eastAsia" w:ascii="宋体" w:hAnsi="宋体" w:cs="宋体"/>
          <w:color w:val="auto"/>
          <w:kern w:val="2"/>
          <w:sz w:val="21"/>
          <w:szCs w:val="21"/>
          <w:highlight w:val="none"/>
          <w:u w:val="single"/>
        </w:rPr>
        <w:t xml:space="preserve">     </w:t>
      </w:r>
      <w:r>
        <w:rPr>
          <w:rFonts w:hint="eastAsia" w:ascii="宋体" w:hAnsi="宋体" w:cs="宋体"/>
          <w:color w:val="auto"/>
          <w:kern w:val="2"/>
          <w:sz w:val="21"/>
          <w:szCs w:val="21"/>
          <w:highlight w:val="none"/>
        </w:rPr>
        <w:t>万元，资产总额为</w:t>
      </w:r>
      <w:r>
        <w:rPr>
          <w:rFonts w:hint="eastAsia" w:ascii="宋体" w:hAnsi="宋体" w:cs="宋体"/>
          <w:color w:val="auto"/>
          <w:kern w:val="2"/>
          <w:sz w:val="21"/>
          <w:szCs w:val="21"/>
          <w:highlight w:val="none"/>
          <w:u w:val="single"/>
        </w:rPr>
        <w:t xml:space="preserve">     </w:t>
      </w:r>
      <w:r>
        <w:rPr>
          <w:rFonts w:hint="eastAsia" w:ascii="宋体" w:hAnsi="宋体" w:cs="宋体"/>
          <w:color w:val="auto"/>
          <w:kern w:val="2"/>
          <w:sz w:val="21"/>
          <w:szCs w:val="21"/>
          <w:highlight w:val="none"/>
        </w:rPr>
        <w:t>万元，属于</w:t>
      </w:r>
      <w:r>
        <w:rPr>
          <w:rFonts w:hint="eastAsia" w:ascii="宋体" w:hAnsi="宋体" w:cs="宋体"/>
          <w:color w:val="auto"/>
          <w:kern w:val="2"/>
          <w:sz w:val="21"/>
          <w:szCs w:val="21"/>
          <w:highlight w:val="none"/>
          <w:u w:val="single"/>
        </w:rPr>
        <w:t xml:space="preserve">    （中型企业、小型企业、微型企业）</w:t>
      </w:r>
      <w:r>
        <w:rPr>
          <w:rFonts w:hint="eastAsia" w:ascii="宋体" w:hAnsi="宋体" w:cs="宋体"/>
          <w:color w:val="auto"/>
          <w:kern w:val="2"/>
          <w:sz w:val="21"/>
          <w:szCs w:val="21"/>
          <w:highlight w:val="none"/>
        </w:rPr>
        <w:t>；</w:t>
      </w:r>
    </w:p>
    <w:p w14:paraId="5BD89DAB">
      <w:pPr>
        <w:pStyle w:val="33"/>
        <w:wordWrap w:val="0"/>
        <w:spacing w:beforeAutospacing="0" w:afterAutospacing="0" w:line="360" w:lineRule="auto"/>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以上企业，不属于大企业的分支机构，不存在控股股东为大企业的情形，也不存在与大型企业负责人为同一人的情形。</w:t>
      </w:r>
    </w:p>
    <w:p w14:paraId="20259ED6">
      <w:pPr>
        <w:pStyle w:val="33"/>
        <w:wordWrap w:val="0"/>
        <w:spacing w:beforeAutospacing="0" w:afterAutospacing="0" w:line="360" w:lineRule="auto"/>
        <w:ind w:firstLine="420" w:firstLineChars="200"/>
        <w:rPr>
          <w:rFonts w:ascii="宋体" w:hAnsi="宋体" w:cs="宋体"/>
          <w:color w:val="auto"/>
          <w:kern w:val="2"/>
          <w:sz w:val="21"/>
          <w:szCs w:val="21"/>
          <w:highlight w:val="none"/>
        </w:rPr>
      </w:pPr>
      <w:r>
        <w:rPr>
          <w:rFonts w:hint="eastAsia" w:ascii="宋体" w:hAnsi="宋体" w:cs="宋体"/>
          <w:color w:val="auto"/>
          <w:kern w:val="2"/>
          <w:sz w:val="21"/>
          <w:szCs w:val="21"/>
          <w:highlight w:val="none"/>
        </w:rPr>
        <w:t>本企业对上述声明内容的真实性负责。如有虚假，将依法承担相应责任。</w:t>
      </w:r>
    </w:p>
    <w:p w14:paraId="5E4B38EE">
      <w:pPr>
        <w:pStyle w:val="33"/>
        <w:wordWrap w:val="0"/>
        <w:spacing w:beforeAutospacing="0" w:afterAutospacing="0" w:line="360" w:lineRule="auto"/>
        <w:ind w:firstLine="420" w:firstLineChars="200"/>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 xml:space="preserve">                 投标人名称（盖章）：</w:t>
      </w:r>
    </w:p>
    <w:p w14:paraId="06D3DD5A">
      <w:pPr>
        <w:pStyle w:val="33"/>
        <w:wordWrap w:val="0"/>
        <w:spacing w:beforeAutospacing="0" w:afterAutospacing="0" w:line="360" w:lineRule="auto"/>
        <w:ind w:firstLine="420" w:firstLineChars="200"/>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 xml:space="preserve">    日 期：</w:t>
      </w:r>
    </w:p>
    <w:bookmarkEnd w:id="399"/>
    <w:bookmarkEnd w:id="400"/>
    <w:bookmarkEnd w:id="401"/>
    <w:p w14:paraId="08DF85D6">
      <w:pPr>
        <w:spacing w:line="360" w:lineRule="auto"/>
        <w:rPr>
          <w:rFonts w:ascii="宋体" w:hAnsi="宋体" w:cs="宋体"/>
          <w:color w:val="auto"/>
          <w:szCs w:val="21"/>
          <w:highlight w:val="none"/>
        </w:rPr>
      </w:pPr>
      <w:r>
        <w:rPr>
          <w:rFonts w:hint="eastAsia" w:ascii="宋体" w:hAnsi="宋体" w:cs="宋体"/>
          <w:color w:val="auto"/>
          <w:szCs w:val="21"/>
          <w:highlight w:val="none"/>
        </w:rPr>
        <w:t>说明：</w:t>
      </w:r>
    </w:p>
    <w:p w14:paraId="021E28CE">
      <w:pPr>
        <w:numPr>
          <w:ilvl w:val="0"/>
          <w:numId w:val="13"/>
        </w:numPr>
        <w:spacing w:line="360" w:lineRule="auto"/>
        <w:rPr>
          <w:rFonts w:ascii="宋体" w:hAnsi="宋体" w:cs="宋体"/>
          <w:color w:val="auto"/>
          <w:szCs w:val="21"/>
          <w:highlight w:val="none"/>
        </w:rPr>
      </w:pPr>
      <w:r>
        <w:rPr>
          <w:rFonts w:hint="eastAsia" w:ascii="宋体" w:hAnsi="宋体" w:cs="宋体"/>
          <w:color w:val="auto"/>
          <w:szCs w:val="21"/>
          <w:highlight w:val="none"/>
        </w:rPr>
        <w:t>从业人员、营业收入、资产总额填报上一年度数据，无上一年度数据的新企业可不填报。</w:t>
      </w:r>
    </w:p>
    <w:p w14:paraId="5A1013F1">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中标人如为小型和微型企业的，随中标结果公开中标人的《中小企业声明函》。</w:t>
      </w:r>
      <w:r>
        <w:rPr>
          <w:rFonts w:hint="eastAsia" w:ascii="宋体" w:hAnsi="宋体" w:cs="宋体"/>
          <w:color w:val="auto"/>
          <w:szCs w:val="21"/>
          <w:highlight w:val="none"/>
        </w:rPr>
        <w:t>投标人提供声明函内容不实的，属于提供虚假材料谋取中标。</w:t>
      </w:r>
    </w:p>
    <w:p w14:paraId="35D9EBBB">
      <w:pPr>
        <w:pStyle w:val="88"/>
        <w:spacing w:line="360" w:lineRule="auto"/>
        <w:ind w:firstLine="0" w:firstLineChars="0"/>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投标人提供的货物既有中小企业制造货物，也有大型企业制造货物的，不享受《政府采购促进中小企业发展管理办法》(财库[2020]46 号)规定的中小企业扶持政策。依据《政府采购促进中小企业发展管理办法》(财库[2020]46 号)规定享受扶持政策获得政府采购合同的，小微企业不得将合同分包给大中型企业，中型企业不得将合同分包给大型企业。</w:t>
      </w:r>
    </w:p>
    <w:p w14:paraId="043533FD">
      <w:pPr>
        <w:spacing w:line="360" w:lineRule="auto"/>
        <w:rPr>
          <w:rFonts w:ascii="宋体" w:hAnsi="宋体" w:cs="宋体"/>
          <w:color w:val="auto"/>
          <w:szCs w:val="21"/>
          <w:highlight w:val="none"/>
        </w:rPr>
      </w:pPr>
      <w:r>
        <w:rPr>
          <w:rFonts w:hint="eastAsia" w:ascii="宋体" w:hAnsi="宋体" w:cs="宋体"/>
          <w:color w:val="auto"/>
          <w:szCs w:val="21"/>
          <w:highlight w:val="none"/>
        </w:rPr>
        <w:t>4、根据《关于进一步加大政府采购支持中小企业力度的通知》（财库〔2022〕19号）规定，对符合本办法规定的小微企业报价给予10%的扣除，用扣除后的价格参与评审。</w:t>
      </w:r>
    </w:p>
    <w:p w14:paraId="0818163A">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5、提醒：如果投标人提供的货物不是全部由中小企业制造的（即货物由中小企业生产且使用该中小企业商号或者注册商标），则不享受扶持政策，不需要提供《中小企业声明函》。</w:t>
      </w:r>
    </w:p>
    <w:p w14:paraId="1F197415">
      <w:pPr>
        <w:spacing w:line="360" w:lineRule="auto"/>
        <w:rPr>
          <w:rFonts w:ascii="宋体" w:hAnsi="宋体" w:cs="宋体"/>
          <w:b/>
          <w:bCs/>
          <w:color w:val="auto"/>
          <w:szCs w:val="21"/>
          <w:highlight w:val="none"/>
        </w:rPr>
      </w:pPr>
    </w:p>
    <w:p w14:paraId="2E870845">
      <w:pPr>
        <w:spacing w:line="360" w:lineRule="auto"/>
        <w:rPr>
          <w:rFonts w:ascii="宋体" w:hAnsi="宋体" w:cs="宋体"/>
          <w:b/>
          <w:bCs/>
          <w:color w:val="auto"/>
          <w:szCs w:val="21"/>
          <w:highlight w:val="none"/>
        </w:rPr>
      </w:pPr>
    </w:p>
    <w:p w14:paraId="0D551337">
      <w:pPr>
        <w:spacing w:line="360" w:lineRule="auto"/>
        <w:rPr>
          <w:rFonts w:ascii="宋体" w:hAnsi="宋体" w:cs="宋体"/>
          <w:color w:val="auto"/>
          <w:szCs w:val="21"/>
          <w:highlight w:val="none"/>
        </w:rPr>
      </w:pPr>
    </w:p>
    <w:p w14:paraId="13CED7C9">
      <w:pPr>
        <w:rPr>
          <w:b/>
          <w:color w:val="auto"/>
          <w:szCs w:val="21"/>
          <w:highlight w:val="none"/>
        </w:rPr>
      </w:pPr>
      <w:r>
        <w:rPr>
          <w:rFonts w:hint="eastAsia"/>
          <w:b/>
          <w:color w:val="auto"/>
          <w:szCs w:val="21"/>
          <w:highlight w:val="none"/>
        </w:rPr>
        <w:br w:type="page"/>
      </w:r>
    </w:p>
    <w:p w14:paraId="0138F358">
      <w:pPr>
        <w:numPr>
          <w:ilvl w:val="0"/>
          <w:numId w:val="14"/>
        </w:numPr>
        <w:jc w:val="center"/>
        <w:rPr>
          <w:b/>
          <w:color w:val="auto"/>
          <w:szCs w:val="21"/>
          <w:highlight w:val="none"/>
        </w:rPr>
      </w:pPr>
      <w:r>
        <w:rPr>
          <w:rFonts w:hint="eastAsia"/>
          <w:b/>
          <w:color w:val="auto"/>
          <w:szCs w:val="21"/>
          <w:highlight w:val="none"/>
        </w:rPr>
        <w:t>残疾人福利企业</w:t>
      </w:r>
    </w:p>
    <w:p w14:paraId="00DC28BA">
      <w:pPr>
        <w:pStyle w:val="36"/>
        <w:ind w:firstLine="211"/>
        <w:rPr>
          <w:color w:val="auto"/>
          <w:highlight w:val="none"/>
        </w:rPr>
      </w:pPr>
    </w:p>
    <w:p w14:paraId="19130C10">
      <w:pPr>
        <w:pStyle w:val="36"/>
        <w:ind w:firstLine="211"/>
        <w:rPr>
          <w:color w:val="auto"/>
          <w:highlight w:val="none"/>
        </w:rPr>
      </w:pPr>
      <w:r>
        <w:rPr>
          <w:rFonts w:hint="eastAsia"/>
          <w:color w:val="auto"/>
          <w:highlight w:val="none"/>
        </w:rPr>
        <w:t>残疾人福利企业声明函</w:t>
      </w:r>
    </w:p>
    <w:p w14:paraId="0AC29266">
      <w:pPr>
        <w:spacing w:line="360" w:lineRule="auto"/>
        <w:ind w:firstLine="444" w:firstLineChars="200"/>
        <w:rPr>
          <w:rFonts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本单位郑重声明，根据《财政部民政部中国残疾人联合会关于促进残疾人就业政府采购政策的通知》（财库</w:t>
      </w:r>
      <w:r>
        <w:rPr>
          <w:rFonts w:hint="eastAsia" w:ascii="宋体" w:hAnsi="宋体" w:cs="宋体"/>
          <w:color w:val="auto"/>
          <w:szCs w:val="21"/>
          <w:highlight w:val="none"/>
        </w:rPr>
        <w:t>〔2017〕141</w:t>
      </w:r>
      <w:r>
        <w:rPr>
          <w:rFonts w:hint="eastAsia" w:ascii="宋体" w:hAnsi="宋体" w:cs="宋体"/>
          <w:color w:val="auto"/>
          <w:spacing w:val="6"/>
          <w:szCs w:val="21"/>
          <w:highlight w:val="none"/>
        </w:rPr>
        <w:t>号）的规定，本单位为符合条件的残疾人福利性单位，且本单位参加</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单位的</w:t>
      </w:r>
      <w:r>
        <w:rPr>
          <w:rFonts w:hint="eastAsia" w:ascii="宋体" w:hAnsi="宋体" w:cs="宋体"/>
          <w:color w:val="auto"/>
          <w:spacing w:val="6"/>
          <w:szCs w:val="21"/>
          <w:highlight w:val="none"/>
          <w:u w:val="single"/>
        </w:rPr>
        <w:t xml:space="preserve">      </w:t>
      </w:r>
      <w:r>
        <w:rPr>
          <w:rFonts w:hint="eastAsia" w:ascii="宋体" w:hAnsi="宋体" w:cs="宋体"/>
          <w:color w:val="auto"/>
          <w:spacing w:val="6"/>
          <w:szCs w:val="21"/>
          <w:highlight w:val="none"/>
        </w:rPr>
        <w:t>项目采购活动提供本单位制造的货物</w:t>
      </w:r>
      <w:r>
        <w:rPr>
          <w:rFonts w:hint="eastAsia" w:ascii="宋体" w:hAnsi="宋体" w:cs="宋体"/>
          <w:color w:val="auto"/>
          <w:spacing w:val="6"/>
          <w:szCs w:val="21"/>
          <w:highlight w:val="none"/>
          <w:u w:val="single"/>
        </w:rPr>
        <w:t>（由本单位承担工程/提供服务）</w:t>
      </w:r>
      <w:r>
        <w:rPr>
          <w:rFonts w:hint="eastAsia" w:ascii="宋体" w:hAnsi="宋体" w:cs="宋体"/>
          <w:color w:val="auto"/>
          <w:spacing w:val="6"/>
          <w:szCs w:val="21"/>
          <w:highlight w:val="none"/>
        </w:rPr>
        <w:t>，或者提供其他残疾人福利性单位制造的货物</w:t>
      </w:r>
      <w:r>
        <w:rPr>
          <w:rFonts w:hint="eastAsia" w:ascii="宋体" w:hAnsi="宋体" w:cs="宋体"/>
          <w:color w:val="auto"/>
          <w:spacing w:val="6"/>
          <w:szCs w:val="21"/>
          <w:highlight w:val="none"/>
          <w:u w:val="single"/>
        </w:rPr>
        <w:t>（不包括使用非残疾人福利性单位注册商标的货物）</w:t>
      </w:r>
      <w:r>
        <w:rPr>
          <w:rFonts w:hint="eastAsia" w:ascii="宋体" w:hAnsi="宋体" w:cs="宋体"/>
          <w:color w:val="auto"/>
          <w:spacing w:val="6"/>
          <w:szCs w:val="21"/>
          <w:highlight w:val="none"/>
        </w:rPr>
        <w:t>。</w:t>
      </w:r>
    </w:p>
    <w:p w14:paraId="6577104E">
      <w:pPr>
        <w:spacing w:line="360" w:lineRule="auto"/>
        <w:ind w:firstLine="444" w:firstLineChars="200"/>
        <w:rPr>
          <w:rFonts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23B98034">
      <w:pPr>
        <w:spacing w:line="360" w:lineRule="auto"/>
        <w:ind w:firstLine="444" w:firstLineChars="200"/>
        <w:rPr>
          <w:rFonts w:ascii="宋体" w:hAnsi="宋体" w:cs="宋体"/>
          <w:color w:val="auto"/>
          <w:spacing w:val="6"/>
          <w:szCs w:val="21"/>
          <w:highlight w:val="none"/>
        </w:rPr>
      </w:pPr>
    </w:p>
    <w:p w14:paraId="1E78106D">
      <w:pPr>
        <w:tabs>
          <w:tab w:val="left" w:pos="4860"/>
        </w:tabs>
        <w:spacing w:line="360" w:lineRule="auto"/>
        <w:ind w:right="1560" w:firstLine="444" w:firstLineChars="200"/>
        <w:jc w:val="center"/>
        <w:rPr>
          <w:rFonts w:ascii="宋体" w:hAnsi="宋体" w:cs="宋体"/>
          <w:color w:val="auto"/>
          <w:spacing w:val="6"/>
          <w:szCs w:val="21"/>
          <w:highlight w:val="none"/>
        </w:rPr>
      </w:pPr>
      <w:r>
        <w:rPr>
          <w:rFonts w:hint="eastAsia" w:ascii="宋体" w:hAnsi="宋体" w:cs="宋体"/>
          <w:color w:val="auto"/>
          <w:spacing w:val="6"/>
          <w:szCs w:val="21"/>
          <w:highlight w:val="none"/>
        </w:rPr>
        <w:t xml:space="preserve">               单位名称（盖章）：</w:t>
      </w:r>
    </w:p>
    <w:p w14:paraId="7F1AEEA6">
      <w:pPr>
        <w:tabs>
          <w:tab w:val="left" w:pos="4860"/>
        </w:tabs>
        <w:spacing w:line="360" w:lineRule="auto"/>
        <w:ind w:right="1560" w:firstLine="444" w:firstLineChars="200"/>
        <w:jc w:val="center"/>
        <w:rPr>
          <w:rFonts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47425A54">
      <w:pPr>
        <w:spacing w:line="360" w:lineRule="auto"/>
        <w:rPr>
          <w:rFonts w:ascii="宋体" w:hAnsi="宋体" w:cs="宋体"/>
          <w:color w:val="auto"/>
          <w:szCs w:val="21"/>
          <w:highlight w:val="none"/>
        </w:rPr>
      </w:pPr>
    </w:p>
    <w:p w14:paraId="57902474">
      <w:pPr>
        <w:spacing w:line="360" w:lineRule="auto"/>
        <w:rPr>
          <w:rFonts w:ascii="宋体" w:hAnsi="宋体" w:cs="宋体"/>
          <w:color w:val="auto"/>
          <w:szCs w:val="21"/>
          <w:highlight w:val="none"/>
        </w:rPr>
      </w:pPr>
      <w:r>
        <w:rPr>
          <w:rFonts w:hint="eastAsia" w:ascii="宋体" w:hAnsi="宋体" w:cs="宋体"/>
          <w:color w:val="auto"/>
          <w:szCs w:val="21"/>
          <w:highlight w:val="none"/>
        </w:rPr>
        <w:t>说明：</w:t>
      </w:r>
    </w:p>
    <w:p w14:paraId="4FD34B1C">
      <w:pPr>
        <w:spacing w:line="360" w:lineRule="auto"/>
        <w:rPr>
          <w:rFonts w:ascii="宋体" w:hAnsi="宋体" w:cs="宋体"/>
          <w:color w:val="auto"/>
          <w:szCs w:val="21"/>
          <w:highlight w:val="none"/>
        </w:rPr>
      </w:pPr>
      <w:r>
        <w:rPr>
          <w:rFonts w:hint="eastAsia" w:ascii="宋体" w:hAnsi="宋体" w:cs="宋体"/>
          <w:color w:val="auto"/>
          <w:szCs w:val="21"/>
          <w:highlight w:val="none"/>
        </w:rPr>
        <w:t>《财政部民政部中国残疾人联合会关于促进残疾人就业政府采购政策的通知》（财库（2017〔141〕号）的规定：</w:t>
      </w:r>
    </w:p>
    <w:p w14:paraId="77F54A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享受政府采购支持政策的残疾人福利性单位应当同时满足以下条件：</w:t>
      </w:r>
    </w:p>
    <w:p w14:paraId="182EC50F">
      <w:pPr>
        <w:spacing w:line="360" w:lineRule="auto"/>
        <w:rPr>
          <w:rFonts w:ascii="宋体" w:hAnsi="宋体" w:cs="宋体"/>
          <w:color w:val="auto"/>
          <w:szCs w:val="21"/>
          <w:highlight w:val="none"/>
        </w:rPr>
      </w:pPr>
      <w:r>
        <w:rPr>
          <w:rFonts w:hint="eastAsia" w:ascii="宋体" w:hAnsi="宋体" w:cs="宋体"/>
          <w:color w:val="auto"/>
          <w:szCs w:val="21"/>
          <w:highlight w:val="none"/>
        </w:rPr>
        <w:t>（1）安置的残疾人占本单位在职职工人数的比例不低于25%（含25%），并且安置的残疾人人数不少于10人（含10人）；</w:t>
      </w:r>
    </w:p>
    <w:p w14:paraId="554A8652">
      <w:pPr>
        <w:spacing w:line="360" w:lineRule="auto"/>
        <w:rPr>
          <w:rFonts w:ascii="宋体" w:hAnsi="宋体" w:cs="宋体"/>
          <w:color w:val="auto"/>
          <w:szCs w:val="21"/>
          <w:highlight w:val="none"/>
        </w:rPr>
      </w:pPr>
      <w:r>
        <w:rPr>
          <w:rFonts w:hint="eastAsia" w:ascii="宋体" w:hAnsi="宋体" w:cs="宋体"/>
          <w:color w:val="auto"/>
          <w:szCs w:val="21"/>
          <w:highlight w:val="none"/>
        </w:rPr>
        <w:t>（2）依法与安置的每位残疾人签订了一年以上（含一年）的劳动合同或服务协议；</w:t>
      </w:r>
    </w:p>
    <w:p w14:paraId="270FE8A2">
      <w:pPr>
        <w:spacing w:line="360" w:lineRule="auto"/>
        <w:rPr>
          <w:rFonts w:ascii="宋体" w:hAnsi="宋体" w:cs="宋体"/>
          <w:color w:val="auto"/>
          <w:szCs w:val="21"/>
          <w:highlight w:val="none"/>
        </w:rPr>
      </w:pPr>
      <w:r>
        <w:rPr>
          <w:rFonts w:hint="eastAsia" w:ascii="宋体" w:hAnsi="宋体" w:cs="宋体"/>
          <w:color w:val="auto"/>
          <w:szCs w:val="21"/>
          <w:highlight w:val="none"/>
        </w:rPr>
        <w:t>（3）为安置的每位残疾人按月足额缴纳了基本养老保险、基本医疗保险、失业保险、工伤保险和生育保险等社会保险费；</w:t>
      </w:r>
    </w:p>
    <w:p w14:paraId="285C5775">
      <w:pPr>
        <w:spacing w:line="360" w:lineRule="auto"/>
        <w:rPr>
          <w:rFonts w:ascii="宋体" w:hAnsi="宋体" w:cs="宋体"/>
          <w:color w:val="auto"/>
          <w:szCs w:val="21"/>
          <w:highlight w:val="none"/>
        </w:rPr>
      </w:pPr>
      <w:r>
        <w:rPr>
          <w:rFonts w:hint="eastAsia" w:ascii="宋体" w:hAnsi="宋体" w:cs="宋体"/>
          <w:color w:val="auto"/>
          <w:szCs w:val="21"/>
          <w:highlight w:val="none"/>
        </w:rPr>
        <w:t>（4）通过银行等金融机构向安置的每位残疾人，按月支付了不低于单位所在区县适用的经省级人民政府批准的月最低工资标准的工资；</w:t>
      </w:r>
    </w:p>
    <w:p w14:paraId="7993FDB7">
      <w:pPr>
        <w:spacing w:line="360" w:lineRule="auto"/>
        <w:rPr>
          <w:rFonts w:ascii="宋体" w:hAnsi="宋体" w:cs="宋体"/>
          <w:color w:val="auto"/>
          <w:szCs w:val="21"/>
          <w:highlight w:val="none"/>
        </w:rPr>
      </w:pPr>
      <w:r>
        <w:rPr>
          <w:rFonts w:hint="eastAsia" w:ascii="宋体" w:hAnsi="宋体" w:cs="宋体"/>
          <w:color w:val="auto"/>
          <w:szCs w:val="21"/>
          <w:highlight w:val="none"/>
        </w:rPr>
        <w:t>（5）提供本单位制造的货物、承担的工程或者服务（以下简称产品），或者提供其他残疾人福利性单位制造的货物（不包括使用非残疾人福利性单位注册商标的货物）。</w:t>
      </w:r>
    </w:p>
    <w:p w14:paraId="3D7949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 中标人为残疾人福利性单位的，招标人或者其委托的招标代理机构应当随中标、成交结果同时公告其《残疾人福利性单位声明函》，接受社会监督。</w:t>
      </w:r>
    </w:p>
    <w:p w14:paraId="711880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3、残疾人福利性单位属于小型、微型企业的，不重复享受政策。</w:t>
      </w:r>
    </w:p>
    <w:p w14:paraId="54065F3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4、残疾人福利性单位评审中享受10%的价格扣除。</w:t>
      </w:r>
    </w:p>
    <w:p w14:paraId="137F2A6E">
      <w:pPr>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5、提醒：如果投标人不是残疾人福利性单位，则不需要提供《残疾人福利性单位声明函》。否则，因此导致虚假投标的后果由投标人自行承担。</w:t>
      </w:r>
    </w:p>
    <w:p w14:paraId="108B7DF4">
      <w:pPr>
        <w:rPr>
          <w:rFonts w:ascii="黑体" w:hAnsi="黑体" w:eastAsia="黑体"/>
          <w:color w:val="auto"/>
          <w:highlight w:val="none"/>
        </w:rPr>
      </w:pPr>
    </w:p>
    <w:p w14:paraId="526BB1C3">
      <w:pPr>
        <w:rPr>
          <w:color w:val="auto"/>
          <w:highlight w:val="none"/>
        </w:rPr>
      </w:pPr>
    </w:p>
    <w:p w14:paraId="088F618E">
      <w:pPr>
        <w:rPr>
          <w:rFonts w:hAnsi="宋体" w:cs="宋体"/>
          <w:b/>
          <w:bCs/>
          <w:color w:val="auto"/>
          <w:highlight w:val="none"/>
        </w:rPr>
      </w:pPr>
      <w:r>
        <w:rPr>
          <w:rFonts w:hint="eastAsia" w:hAnsi="宋体" w:cs="宋体"/>
          <w:b/>
          <w:bCs/>
          <w:color w:val="auto"/>
          <w:highlight w:val="none"/>
        </w:rPr>
        <w:br w:type="page"/>
      </w:r>
    </w:p>
    <w:p w14:paraId="7F9E44A5">
      <w:pPr>
        <w:spacing w:before="120" w:after="120"/>
        <w:jc w:val="center"/>
        <w:rPr>
          <w:rFonts w:hAnsi="宋体" w:cs="宋体"/>
          <w:b/>
          <w:bCs/>
          <w:color w:val="auto"/>
          <w:highlight w:val="none"/>
        </w:rPr>
      </w:pPr>
      <w:r>
        <w:rPr>
          <w:rFonts w:hint="eastAsia" w:hAnsi="宋体" w:cs="宋体"/>
          <w:b/>
          <w:bCs/>
          <w:color w:val="auto"/>
          <w:highlight w:val="none"/>
        </w:rPr>
        <w:t>（三）监狱企业证明文件</w:t>
      </w:r>
    </w:p>
    <w:p w14:paraId="75BC79C1">
      <w:pPr>
        <w:rPr>
          <w:color w:val="auto"/>
          <w:highlight w:val="none"/>
        </w:rPr>
      </w:pPr>
    </w:p>
    <w:p w14:paraId="5A97DF3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监狱企业参加政府采购活动时，应当提供由省级以上监狱管理局、戒毒管理局（含新疆生产建设兵团）出具的属于监狱企业的证明文件。</w:t>
      </w:r>
    </w:p>
    <w:p w14:paraId="0F5B35CC">
      <w:pPr>
        <w:spacing w:line="360" w:lineRule="auto"/>
        <w:rPr>
          <w:rFonts w:ascii="宋体" w:hAnsi="宋体" w:cs="宋体"/>
          <w:color w:val="auto"/>
          <w:szCs w:val="21"/>
          <w:highlight w:val="none"/>
        </w:rPr>
      </w:pPr>
    </w:p>
    <w:p w14:paraId="392B8D68">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说明： </w:t>
      </w:r>
    </w:p>
    <w:p w14:paraId="56DC8E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1、监狱企业属于小型、微型企业的，不重复享受政策。</w:t>
      </w:r>
    </w:p>
    <w:p w14:paraId="664F9A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2、监狱企业评审中享受10%</w:t>
      </w:r>
      <w:r>
        <w:rPr>
          <w:rFonts w:hint="eastAsia"/>
          <w:color w:val="auto"/>
          <w:szCs w:val="21"/>
          <w:highlight w:val="none"/>
        </w:rPr>
        <w:t>的价格</w:t>
      </w:r>
      <w:r>
        <w:rPr>
          <w:rFonts w:hint="eastAsia" w:ascii="宋体" w:hAnsi="宋体" w:cs="宋体"/>
          <w:color w:val="auto"/>
          <w:szCs w:val="21"/>
          <w:highlight w:val="none"/>
        </w:rPr>
        <w:t>扣除。</w:t>
      </w:r>
    </w:p>
    <w:p w14:paraId="16EE8EF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3、提醒：如果投标人不是监狱企业，则不需要提供监狱企业证明文件。否则，因此导致虚假投标的后果由投标人自行承担。</w:t>
      </w:r>
    </w:p>
    <w:p w14:paraId="58F017BC">
      <w:pPr>
        <w:pStyle w:val="11"/>
        <w:spacing w:line="360" w:lineRule="auto"/>
        <w:rPr>
          <w:color w:val="auto"/>
          <w:sz w:val="24"/>
          <w:szCs w:val="24"/>
          <w:highlight w:val="none"/>
        </w:rPr>
      </w:pPr>
    </w:p>
    <w:p w14:paraId="0DCB7E5C">
      <w:pPr>
        <w:rPr>
          <w:b/>
          <w:color w:val="auto"/>
          <w:sz w:val="28"/>
          <w:szCs w:val="28"/>
          <w:highlight w:val="none"/>
        </w:rPr>
      </w:pPr>
      <w:bookmarkStart w:id="403" w:name="_Toc2876"/>
    </w:p>
    <w:p w14:paraId="52BB5AF3">
      <w:pPr>
        <w:rPr>
          <w:b/>
          <w:color w:val="auto"/>
          <w:sz w:val="28"/>
          <w:szCs w:val="28"/>
          <w:highlight w:val="none"/>
        </w:rPr>
      </w:pPr>
      <w:r>
        <w:rPr>
          <w:rFonts w:hint="eastAsia"/>
          <w:b/>
          <w:color w:val="auto"/>
          <w:sz w:val="28"/>
          <w:szCs w:val="28"/>
          <w:highlight w:val="none"/>
        </w:rPr>
        <w:br w:type="page"/>
      </w:r>
    </w:p>
    <w:bookmarkEnd w:id="378"/>
    <w:bookmarkEnd w:id="379"/>
    <w:bookmarkEnd w:id="380"/>
    <w:bookmarkEnd w:id="381"/>
    <w:bookmarkEnd w:id="382"/>
    <w:bookmarkEnd w:id="383"/>
    <w:bookmarkEnd w:id="384"/>
    <w:bookmarkEnd w:id="385"/>
    <w:bookmarkEnd w:id="386"/>
    <w:bookmarkEnd w:id="387"/>
    <w:bookmarkEnd w:id="403"/>
    <w:p w14:paraId="789CF9B6">
      <w:pPr>
        <w:rPr>
          <w:color w:val="auto"/>
          <w:highlight w:val="none"/>
        </w:rPr>
      </w:pPr>
      <w:bookmarkStart w:id="404" w:name="_Toc26940"/>
    </w:p>
    <w:bookmarkEnd w:id="404"/>
    <w:p w14:paraId="3924A85D">
      <w:pPr>
        <w:jc w:val="center"/>
        <w:outlineLvl w:val="1"/>
        <w:rPr>
          <w:b/>
          <w:bCs/>
          <w:color w:val="auto"/>
          <w:sz w:val="30"/>
          <w:szCs w:val="30"/>
          <w:highlight w:val="none"/>
        </w:rPr>
      </w:pPr>
      <w:bookmarkStart w:id="405" w:name="_Toc19164"/>
      <w:bookmarkStart w:id="406" w:name="_Toc23113"/>
      <w:bookmarkStart w:id="407" w:name="_Toc187539843"/>
      <w:bookmarkStart w:id="408" w:name="_Toc7556"/>
      <w:bookmarkStart w:id="409" w:name="_Toc11448"/>
      <w:r>
        <w:rPr>
          <w:rFonts w:hint="eastAsia"/>
          <w:b/>
          <w:bCs/>
          <w:color w:val="auto"/>
          <w:sz w:val="30"/>
          <w:szCs w:val="30"/>
          <w:highlight w:val="none"/>
        </w:rPr>
        <w:t>十二、投标人认为需要提供的其他资料</w:t>
      </w:r>
      <w:bookmarkEnd w:id="405"/>
      <w:bookmarkEnd w:id="406"/>
      <w:bookmarkEnd w:id="407"/>
      <w:bookmarkEnd w:id="408"/>
      <w:bookmarkEnd w:id="409"/>
    </w:p>
    <w:p w14:paraId="4E5BCB54">
      <w:pPr>
        <w:spacing w:line="360" w:lineRule="auto"/>
        <w:rPr>
          <w:rFonts w:ascii="宋体" w:hAnsi="宋体" w:cs="宋体"/>
          <w:b/>
          <w:bCs/>
          <w:color w:val="auto"/>
          <w:highlight w:val="none"/>
        </w:rPr>
      </w:pPr>
    </w:p>
    <w:p w14:paraId="329443A9">
      <w:pPr>
        <w:pStyle w:val="172"/>
        <w:outlineLvl w:val="2"/>
        <w:rPr>
          <w:rFonts w:hint="default"/>
          <w:color w:val="auto"/>
          <w:sz w:val="24"/>
          <w:szCs w:val="24"/>
          <w:highlight w:val="none"/>
        </w:rPr>
      </w:pPr>
      <w:bookmarkStart w:id="410" w:name="_Toc608"/>
      <w:bookmarkStart w:id="411" w:name="_Toc28093"/>
      <w:bookmarkStart w:id="412" w:name="_Toc24561"/>
      <w:r>
        <w:rPr>
          <w:b/>
          <w:color w:val="auto"/>
          <w:sz w:val="24"/>
          <w:szCs w:val="24"/>
          <w:highlight w:val="none"/>
          <w:lang w:eastAsia="zh-CN"/>
        </w:rPr>
        <w:t>1、</w:t>
      </w:r>
      <w:r>
        <w:rPr>
          <w:b/>
          <w:color w:val="auto"/>
          <w:sz w:val="24"/>
          <w:szCs w:val="24"/>
          <w:highlight w:val="none"/>
        </w:rPr>
        <w:t>关于符合本国产品标准的声明函等有关证明文件（如适用）</w:t>
      </w:r>
      <w:bookmarkEnd w:id="410"/>
      <w:bookmarkEnd w:id="411"/>
      <w:bookmarkEnd w:id="412"/>
    </w:p>
    <w:p w14:paraId="7CF484AE">
      <w:pPr>
        <w:pStyle w:val="172"/>
        <w:ind w:firstLine="480"/>
        <w:rPr>
          <w:rFonts w:hint="default"/>
          <w:color w:val="auto"/>
          <w:highlight w:val="none"/>
        </w:rPr>
      </w:pPr>
    </w:p>
    <w:p w14:paraId="4B9302B1">
      <w:pPr>
        <w:pStyle w:val="172"/>
        <w:widowControl w:val="0"/>
        <w:spacing w:before="120" w:after="120" w:line="360" w:lineRule="auto"/>
        <w:ind w:firstLine="420" w:firstLineChars="20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 xml:space="preserve">1. </w:t>
      </w:r>
      <w:r>
        <w:rPr>
          <w:rFonts w:ascii="宋体" w:hAnsi="宋体" w:eastAsia="宋体" w:cs="宋体"/>
          <w:color w:val="auto"/>
          <w:sz w:val="21"/>
          <w:szCs w:val="21"/>
          <w:highlight w:val="none"/>
          <w:lang w:eastAsia="zh-CN"/>
        </w:rPr>
        <w:t>供应商</w:t>
      </w:r>
      <w:r>
        <w:rPr>
          <w:rFonts w:ascii="宋体" w:hAnsi="宋体" w:eastAsia="宋体" w:cs="宋体"/>
          <w:color w:val="auto"/>
          <w:sz w:val="21"/>
          <w:szCs w:val="21"/>
          <w:highlight w:val="none"/>
        </w:rPr>
        <w:t>提供本国产品应符合《国务院办公厅关于在政府采购中实施本国产品标准及相关政策的通知》（国办发〔2025〕34号），在投标文件中出具《关于符合本国产品标准的声明函》</w:t>
      </w:r>
      <w:r>
        <w:rPr>
          <w:rFonts w:ascii="宋体" w:hAnsi="宋体" w:eastAsia="宋体" w:cs="宋体"/>
          <w:color w:val="auto"/>
          <w:sz w:val="21"/>
          <w:szCs w:val="21"/>
          <w:highlight w:val="none"/>
          <w:lang w:eastAsia="zh-CN"/>
        </w:rPr>
        <w:t>（附件2）</w:t>
      </w:r>
      <w:r>
        <w:rPr>
          <w:rFonts w:ascii="宋体" w:hAnsi="宋体" w:eastAsia="宋体" w:cs="宋体"/>
          <w:color w:val="auto"/>
          <w:sz w:val="21"/>
          <w:szCs w:val="21"/>
          <w:highlight w:val="none"/>
        </w:rPr>
        <w:t>或财政部会同有关部门规定的有关证明文件；当采购项目或者采购包中含有多种产品的，</w:t>
      </w:r>
      <w:r>
        <w:rPr>
          <w:rFonts w:ascii="宋体" w:hAnsi="宋体" w:eastAsia="宋体" w:cs="宋体"/>
          <w:color w:val="auto"/>
          <w:sz w:val="21"/>
          <w:szCs w:val="21"/>
          <w:highlight w:val="none"/>
          <w:lang w:eastAsia="zh-CN"/>
        </w:rPr>
        <w:t>供应商</w:t>
      </w:r>
      <w:r>
        <w:rPr>
          <w:rFonts w:ascii="宋体" w:hAnsi="宋体" w:eastAsia="宋体" w:cs="宋体"/>
          <w:color w:val="auto"/>
          <w:sz w:val="21"/>
          <w:szCs w:val="21"/>
          <w:highlight w:val="none"/>
        </w:rPr>
        <w:t>还应当提供《关于本国产品比例的承诺函》（</w:t>
      </w:r>
      <w:r>
        <w:rPr>
          <w:rFonts w:ascii="宋体" w:hAnsi="宋体" w:eastAsia="宋体" w:cs="宋体"/>
          <w:color w:val="auto"/>
          <w:sz w:val="21"/>
          <w:szCs w:val="21"/>
          <w:highlight w:val="none"/>
          <w:lang w:eastAsia="zh-CN"/>
        </w:rPr>
        <w:t>见</w:t>
      </w:r>
      <w:r>
        <w:rPr>
          <w:rFonts w:ascii="宋体" w:hAnsi="宋体" w:eastAsia="宋体" w:cs="宋体"/>
          <w:color w:val="auto"/>
          <w:sz w:val="21"/>
          <w:szCs w:val="21"/>
          <w:highlight w:val="none"/>
        </w:rPr>
        <w:t>附件3，格式内容仅供参考）</w:t>
      </w:r>
    </w:p>
    <w:p w14:paraId="61DB2753">
      <w:pPr>
        <w:pStyle w:val="172"/>
        <w:widowControl w:val="0"/>
        <w:spacing w:before="120" w:after="120" w:line="360" w:lineRule="auto"/>
        <w:ind w:firstLine="420" w:firstLineChars="20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 xml:space="preserve">2. </w:t>
      </w:r>
      <w:r>
        <w:rPr>
          <w:rFonts w:ascii="宋体" w:hAnsi="宋体" w:eastAsia="宋体" w:cs="宋体"/>
          <w:color w:val="auto"/>
          <w:sz w:val="21"/>
          <w:szCs w:val="21"/>
          <w:highlight w:val="none"/>
          <w:lang w:eastAsia="zh-CN"/>
        </w:rPr>
        <w:t>供应商</w:t>
      </w:r>
      <w:r>
        <w:rPr>
          <w:rFonts w:ascii="宋体" w:hAnsi="宋体" w:eastAsia="宋体" w:cs="宋体"/>
          <w:color w:val="auto"/>
          <w:sz w:val="21"/>
          <w:szCs w:val="21"/>
          <w:highlight w:val="none"/>
        </w:rPr>
        <w:t>提供虚假《声明函》、虚假证明文件谋取中标、成交的，依照政府采购法律法规规定追究相应责任。</w:t>
      </w:r>
    </w:p>
    <w:p w14:paraId="2F8091FD">
      <w:pPr>
        <w:pStyle w:val="172"/>
        <w:spacing w:line="360" w:lineRule="auto"/>
        <w:rPr>
          <w:rFonts w:hint="default" w:ascii="宋体" w:hAnsi="宋体" w:eastAsia="宋体" w:cs="宋体"/>
          <w:color w:val="auto"/>
          <w:sz w:val="21"/>
          <w:szCs w:val="21"/>
          <w:highlight w:val="none"/>
        </w:rPr>
      </w:pPr>
      <w:r>
        <w:rPr>
          <w:rFonts w:ascii="宋体" w:hAnsi="宋体" w:eastAsia="宋体" w:cs="宋体"/>
          <w:b/>
          <w:color w:val="auto"/>
          <w:sz w:val="21"/>
          <w:szCs w:val="21"/>
          <w:highlight w:val="none"/>
        </w:rPr>
        <w:t>附件1</w:t>
      </w:r>
    </w:p>
    <w:p w14:paraId="726D73E5">
      <w:pPr>
        <w:pStyle w:val="172"/>
        <w:spacing w:before="120" w:after="240" w:line="360" w:lineRule="auto"/>
        <w:jc w:val="center"/>
        <w:outlineLvl w:val="3"/>
        <w:rPr>
          <w:rFonts w:hint="default" w:ascii="宋体" w:hAnsi="宋体" w:eastAsia="宋体" w:cs="宋体"/>
          <w:color w:val="auto"/>
          <w:sz w:val="28"/>
          <w:szCs w:val="28"/>
          <w:highlight w:val="none"/>
        </w:rPr>
      </w:pPr>
      <w:r>
        <w:rPr>
          <w:rFonts w:ascii="宋体" w:hAnsi="宋体" w:eastAsia="宋体" w:cs="宋体"/>
          <w:b/>
          <w:color w:val="auto"/>
          <w:sz w:val="28"/>
          <w:szCs w:val="28"/>
          <w:highlight w:val="none"/>
        </w:rPr>
        <w:t>中国境内生产的组件成本核算基本规则</w:t>
      </w:r>
    </w:p>
    <w:p w14:paraId="6C0401FD">
      <w:pPr>
        <w:pStyle w:val="172"/>
        <w:spacing w:line="360" w:lineRule="auto"/>
        <w:ind w:firstLine="48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0CD3307">
      <w:pPr>
        <w:pStyle w:val="172"/>
        <w:spacing w:before="120" w:after="120" w:line="360" w:lineRule="auto"/>
        <w:ind w:firstLine="48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1. 产品的一级组件是指直接组成产品的组件。产品的二级组件是指直接组成产品一级组件的组件。一级组件不可分解的，视同二级组件。</w:t>
      </w:r>
    </w:p>
    <w:p w14:paraId="0B2B97F2">
      <w:pPr>
        <w:pStyle w:val="172"/>
        <w:spacing w:before="120" w:after="120" w:line="360" w:lineRule="auto"/>
        <w:ind w:firstLine="48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2. 二级组件在中国境内生产的，其全部成本计入中国境内生产的组件成本；二级组件不在中国境内生产的，其成本不计入中国境内生产的组件成本。</w:t>
      </w:r>
    </w:p>
    <w:p w14:paraId="2270D0E5">
      <w:pPr>
        <w:pStyle w:val="172"/>
        <w:spacing w:before="120" w:after="120" w:line="360" w:lineRule="auto"/>
        <w:ind w:firstLine="48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3. 产品总成本和组件成本以相关会计核算数据、采购合同、进货记录等为基础进行计算。</w:t>
      </w:r>
    </w:p>
    <w:p w14:paraId="5D0A9A96">
      <w:pPr>
        <w:pStyle w:val="172"/>
        <w:spacing w:before="120" w:after="120" w:line="360" w:lineRule="auto"/>
        <w:ind w:firstLine="48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4. 需要对成本核算规则予以进一步明确的其他有关事项，由财政部会同有关部门另行规定。</w:t>
      </w:r>
    </w:p>
    <w:p w14:paraId="7AD94B93">
      <w:pPr>
        <w:rPr>
          <w:rFonts w:ascii="宋体" w:hAnsi="宋体" w:cs="宋体"/>
          <w:b/>
          <w:color w:val="auto"/>
          <w:szCs w:val="21"/>
          <w:highlight w:val="none"/>
        </w:rPr>
      </w:pPr>
      <w:r>
        <w:rPr>
          <w:rFonts w:hint="eastAsia" w:ascii="宋体" w:hAnsi="宋体" w:cs="宋体"/>
          <w:b/>
          <w:color w:val="auto"/>
          <w:szCs w:val="21"/>
          <w:highlight w:val="none"/>
        </w:rPr>
        <w:br w:type="page"/>
      </w:r>
    </w:p>
    <w:p w14:paraId="7D35337F">
      <w:pPr>
        <w:pStyle w:val="172"/>
        <w:spacing w:line="360" w:lineRule="auto"/>
        <w:rPr>
          <w:rFonts w:hint="default" w:ascii="宋体" w:hAnsi="宋体" w:eastAsia="宋体" w:cs="宋体"/>
          <w:color w:val="auto"/>
          <w:sz w:val="21"/>
          <w:szCs w:val="21"/>
          <w:highlight w:val="none"/>
        </w:rPr>
      </w:pPr>
      <w:r>
        <w:rPr>
          <w:rFonts w:ascii="宋体" w:hAnsi="宋体" w:eastAsia="宋体" w:cs="宋体"/>
          <w:b/>
          <w:color w:val="auto"/>
          <w:sz w:val="21"/>
          <w:szCs w:val="21"/>
          <w:highlight w:val="none"/>
        </w:rPr>
        <w:t>附件2</w:t>
      </w:r>
    </w:p>
    <w:p w14:paraId="7D057AF5">
      <w:pPr>
        <w:pStyle w:val="172"/>
        <w:spacing w:before="120" w:after="240" w:line="360" w:lineRule="auto"/>
        <w:jc w:val="center"/>
        <w:outlineLvl w:val="3"/>
        <w:rPr>
          <w:rFonts w:hint="default" w:ascii="宋体" w:hAnsi="宋体" w:eastAsia="宋体" w:cs="宋体"/>
          <w:color w:val="auto"/>
          <w:sz w:val="21"/>
          <w:szCs w:val="21"/>
          <w:highlight w:val="none"/>
        </w:rPr>
      </w:pPr>
      <w:r>
        <w:rPr>
          <w:rFonts w:ascii="宋体" w:hAnsi="宋体" w:eastAsia="宋体" w:cs="宋体"/>
          <w:b/>
          <w:color w:val="auto"/>
          <w:sz w:val="21"/>
          <w:szCs w:val="21"/>
          <w:highlight w:val="none"/>
        </w:rPr>
        <w:t>关于符合本国产品标准的声明函</w:t>
      </w:r>
    </w:p>
    <w:p w14:paraId="564AF187">
      <w:pPr>
        <w:pStyle w:val="172"/>
        <w:spacing w:line="360" w:lineRule="auto"/>
        <w:ind w:firstLine="48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1420B0DF">
      <w:pPr>
        <w:pStyle w:val="172"/>
        <w:spacing w:before="240" w:after="240" w:line="360" w:lineRule="auto"/>
        <w:ind w:firstLine="42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 xml:space="preserve"> 1. </w:t>
      </w:r>
      <w:r>
        <w:rPr>
          <w:rFonts w:ascii="宋体" w:hAnsi="宋体" w:eastAsia="宋体" w:cs="宋体"/>
          <w:color w:val="auto"/>
          <w:sz w:val="21"/>
          <w:szCs w:val="21"/>
          <w:highlight w:val="none"/>
          <w:u w:val="single"/>
        </w:rPr>
        <w:t>（产品名称1）</w:t>
      </w:r>
      <w:r>
        <w:rPr>
          <w:rFonts w:ascii="宋体" w:hAnsi="宋体" w:eastAsia="宋体" w:cs="宋体"/>
          <w:color w:val="auto"/>
          <w:sz w:val="21"/>
          <w:szCs w:val="21"/>
          <w:highlight w:val="none"/>
        </w:rPr>
        <w:t>，生产厂为</w:t>
      </w:r>
      <w:r>
        <w:rPr>
          <w:rFonts w:ascii="宋体" w:hAnsi="宋体" w:eastAsia="宋体" w:cs="宋体"/>
          <w:color w:val="auto"/>
          <w:sz w:val="21"/>
          <w:szCs w:val="21"/>
          <w:highlight w:val="none"/>
          <w:u w:val="single"/>
        </w:rPr>
        <w:t>（厂名）</w:t>
      </w:r>
      <w:r>
        <w:rPr>
          <w:rFonts w:ascii="宋体" w:hAnsi="宋体" w:eastAsia="宋体" w:cs="宋体"/>
          <w:color w:val="auto"/>
          <w:sz w:val="21"/>
          <w:szCs w:val="21"/>
          <w:highlight w:val="none"/>
        </w:rPr>
        <w:t>，厂址为</w:t>
      </w:r>
      <w:r>
        <w:rPr>
          <w:rFonts w:ascii="宋体" w:hAnsi="宋体" w:eastAsia="宋体" w:cs="宋体"/>
          <w:color w:val="auto"/>
          <w:sz w:val="21"/>
          <w:szCs w:val="21"/>
          <w:highlight w:val="none"/>
          <w:u w:val="single"/>
        </w:rPr>
        <w:t>（生产厂址）</w:t>
      </w:r>
      <w:r>
        <w:rPr>
          <w:rFonts w:ascii="宋体" w:hAnsi="宋体" w:eastAsia="宋体" w:cs="宋体"/>
          <w:color w:val="auto"/>
          <w:sz w:val="21"/>
          <w:szCs w:val="21"/>
          <w:highlight w:val="none"/>
        </w:rPr>
        <w:t xml:space="preserve">。 </w:t>
      </w:r>
      <w:r>
        <w:rPr>
          <w:rFonts w:ascii="宋体" w:hAnsi="宋体" w:eastAsia="宋体" w:cs="宋体"/>
          <w:color w:val="auto"/>
          <w:sz w:val="21"/>
          <w:szCs w:val="21"/>
          <w:highlight w:val="none"/>
          <w:u w:val="single"/>
        </w:rPr>
        <w:t>（产品名称1）</w:t>
      </w:r>
      <w:r>
        <w:rPr>
          <w:rFonts w:ascii="宋体" w:hAnsi="宋体" w:eastAsia="宋体" w:cs="宋体"/>
          <w:color w:val="auto"/>
          <w:sz w:val="21"/>
          <w:szCs w:val="21"/>
          <w:highlight w:val="none"/>
        </w:rPr>
        <w:t>的中国境内生产的组件成本占比≥</w:t>
      </w:r>
      <w:r>
        <w:rPr>
          <w:rFonts w:ascii="宋体" w:hAnsi="宋体" w:eastAsia="宋体" w:cs="宋体"/>
          <w:color w:val="auto"/>
          <w:sz w:val="21"/>
          <w:szCs w:val="21"/>
          <w:highlight w:val="none"/>
          <w:u w:val="single"/>
        </w:rPr>
        <w:t>（规定比例）</w:t>
      </w:r>
      <w:r>
        <w:rPr>
          <w:rFonts w:ascii="宋体" w:hAnsi="宋体" w:eastAsia="宋体" w:cs="宋体"/>
          <w:color w:val="auto"/>
          <w:sz w:val="21"/>
          <w:szCs w:val="21"/>
          <w:highlight w:val="none"/>
        </w:rPr>
        <w:t xml:space="preserve">。 </w:t>
      </w:r>
      <w:r>
        <w:rPr>
          <w:rFonts w:ascii="宋体" w:hAnsi="宋体" w:eastAsia="宋体" w:cs="宋体"/>
          <w:color w:val="auto"/>
          <w:sz w:val="21"/>
          <w:szCs w:val="21"/>
          <w:highlight w:val="none"/>
          <w:u w:val="single"/>
        </w:rPr>
        <w:t>（产品名称1）</w:t>
      </w:r>
      <w:r>
        <w:rPr>
          <w:rFonts w:ascii="宋体" w:hAnsi="宋体" w:eastAsia="宋体" w:cs="宋体"/>
          <w:color w:val="auto"/>
          <w:sz w:val="21"/>
          <w:szCs w:val="21"/>
          <w:highlight w:val="none"/>
        </w:rPr>
        <w:t>的</w:t>
      </w:r>
      <w:r>
        <w:rPr>
          <w:rFonts w:ascii="宋体" w:hAnsi="宋体" w:eastAsia="宋体" w:cs="宋体"/>
          <w:color w:val="auto"/>
          <w:sz w:val="21"/>
          <w:szCs w:val="21"/>
          <w:highlight w:val="none"/>
          <w:u w:val="single"/>
        </w:rPr>
        <w:t>（关键组件）</w:t>
      </w:r>
      <w:r>
        <w:rPr>
          <w:rFonts w:ascii="宋体" w:hAnsi="宋体" w:eastAsia="宋体" w:cs="宋体"/>
          <w:color w:val="auto"/>
          <w:sz w:val="21"/>
          <w:szCs w:val="21"/>
          <w:highlight w:val="none"/>
        </w:rPr>
        <w:t xml:space="preserve">在中国境内生产。 </w:t>
      </w:r>
      <w:r>
        <w:rPr>
          <w:rFonts w:ascii="宋体" w:hAnsi="宋体" w:eastAsia="宋体" w:cs="宋体"/>
          <w:color w:val="auto"/>
          <w:sz w:val="21"/>
          <w:szCs w:val="21"/>
          <w:highlight w:val="none"/>
          <w:u w:val="single"/>
        </w:rPr>
        <w:t>（产品名称1）</w:t>
      </w:r>
      <w:r>
        <w:rPr>
          <w:rFonts w:ascii="宋体" w:hAnsi="宋体" w:eastAsia="宋体" w:cs="宋体"/>
          <w:color w:val="auto"/>
          <w:sz w:val="21"/>
          <w:szCs w:val="21"/>
          <w:highlight w:val="none"/>
        </w:rPr>
        <w:t>的</w:t>
      </w:r>
      <w:r>
        <w:rPr>
          <w:rFonts w:ascii="宋体" w:hAnsi="宋体" w:eastAsia="宋体" w:cs="宋体"/>
          <w:color w:val="auto"/>
          <w:sz w:val="21"/>
          <w:szCs w:val="21"/>
          <w:highlight w:val="none"/>
          <w:u w:val="single"/>
        </w:rPr>
        <w:t>（关键工序）</w:t>
      </w:r>
      <w:r>
        <w:rPr>
          <w:rFonts w:ascii="宋体" w:hAnsi="宋体" w:eastAsia="宋体" w:cs="宋体"/>
          <w:color w:val="auto"/>
          <w:sz w:val="21"/>
          <w:szCs w:val="21"/>
          <w:highlight w:val="none"/>
        </w:rPr>
        <w:t>在中国境内完成。</w:t>
      </w:r>
    </w:p>
    <w:p w14:paraId="452E12E9">
      <w:pPr>
        <w:pStyle w:val="172"/>
        <w:spacing w:before="240" w:after="240" w:line="360" w:lineRule="auto"/>
        <w:ind w:firstLine="42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 xml:space="preserve"> 2. </w:t>
      </w:r>
      <w:r>
        <w:rPr>
          <w:rFonts w:ascii="宋体" w:hAnsi="宋体" w:eastAsia="宋体" w:cs="宋体"/>
          <w:color w:val="auto"/>
          <w:sz w:val="21"/>
          <w:szCs w:val="21"/>
          <w:highlight w:val="none"/>
          <w:u w:val="single"/>
        </w:rPr>
        <w:t>（产品名称2）</w:t>
      </w:r>
      <w:r>
        <w:rPr>
          <w:rFonts w:ascii="宋体" w:hAnsi="宋体" w:eastAsia="宋体" w:cs="宋体"/>
          <w:color w:val="auto"/>
          <w:sz w:val="21"/>
          <w:szCs w:val="21"/>
          <w:highlight w:val="none"/>
        </w:rPr>
        <w:t>，生产厂为</w:t>
      </w:r>
      <w:r>
        <w:rPr>
          <w:rFonts w:ascii="宋体" w:hAnsi="宋体" w:eastAsia="宋体" w:cs="宋体"/>
          <w:color w:val="auto"/>
          <w:sz w:val="21"/>
          <w:szCs w:val="21"/>
          <w:highlight w:val="none"/>
          <w:u w:val="single"/>
        </w:rPr>
        <w:t>（厂名）</w:t>
      </w:r>
      <w:r>
        <w:rPr>
          <w:rFonts w:ascii="宋体" w:hAnsi="宋体" w:eastAsia="宋体" w:cs="宋体"/>
          <w:color w:val="auto"/>
          <w:sz w:val="21"/>
          <w:szCs w:val="21"/>
          <w:highlight w:val="none"/>
        </w:rPr>
        <w:t>，厂址为</w:t>
      </w:r>
      <w:r>
        <w:rPr>
          <w:rFonts w:ascii="宋体" w:hAnsi="宋体" w:eastAsia="宋体" w:cs="宋体"/>
          <w:color w:val="auto"/>
          <w:sz w:val="21"/>
          <w:szCs w:val="21"/>
          <w:highlight w:val="none"/>
          <w:u w:val="single"/>
        </w:rPr>
        <w:t>（生产厂址）</w:t>
      </w:r>
      <w:r>
        <w:rPr>
          <w:rFonts w:ascii="宋体" w:hAnsi="宋体" w:eastAsia="宋体" w:cs="宋体"/>
          <w:color w:val="auto"/>
          <w:sz w:val="21"/>
          <w:szCs w:val="21"/>
          <w:highlight w:val="none"/>
        </w:rPr>
        <w:t xml:space="preserve">。 </w:t>
      </w:r>
      <w:r>
        <w:rPr>
          <w:rFonts w:ascii="宋体" w:hAnsi="宋体" w:eastAsia="宋体" w:cs="宋体"/>
          <w:color w:val="auto"/>
          <w:sz w:val="21"/>
          <w:szCs w:val="21"/>
          <w:highlight w:val="none"/>
          <w:u w:val="single"/>
        </w:rPr>
        <w:t>（产品名称2）</w:t>
      </w:r>
      <w:r>
        <w:rPr>
          <w:rFonts w:ascii="宋体" w:hAnsi="宋体" w:eastAsia="宋体" w:cs="宋体"/>
          <w:color w:val="auto"/>
          <w:sz w:val="21"/>
          <w:szCs w:val="21"/>
          <w:highlight w:val="none"/>
        </w:rPr>
        <w:t>的中国境内生产的组件成本占比≥</w:t>
      </w:r>
      <w:r>
        <w:rPr>
          <w:rFonts w:ascii="宋体" w:hAnsi="宋体" w:eastAsia="宋体" w:cs="宋体"/>
          <w:color w:val="auto"/>
          <w:sz w:val="21"/>
          <w:szCs w:val="21"/>
          <w:highlight w:val="none"/>
          <w:u w:val="single"/>
        </w:rPr>
        <w:t>（规定比例）</w:t>
      </w:r>
      <w:r>
        <w:rPr>
          <w:rFonts w:ascii="宋体" w:hAnsi="宋体" w:eastAsia="宋体" w:cs="宋体"/>
          <w:color w:val="auto"/>
          <w:sz w:val="21"/>
          <w:szCs w:val="21"/>
          <w:highlight w:val="none"/>
        </w:rPr>
        <w:t xml:space="preserve">。 </w:t>
      </w:r>
      <w:r>
        <w:rPr>
          <w:rFonts w:ascii="宋体" w:hAnsi="宋体" w:eastAsia="宋体" w:cs="宋体"/>
          <w:color w:val="auto"/>
          <w:sz w:val="21"/>
          <w:szCs w:val="21"/>
          <w:highlight w:val="none"/>
          <w:u w:val="single"/>
        </w:rPr>
        <w:t>（产品名称2）</w:t>
      </w:r>
      <w:r>
        <w:rPr>
          <w:rFonts w:ascii="宋体" w:hAnsi="宋体" w:eastAsia="宋体" w:cs="宋体"/>
          <w:color w:val="auto"/>
          <w:sz w:val="21"/>
          <w:szCs w:val="21"/>
          <w:highlight w:val="none"/>
        </w:rPr>
        <w:t>的</w:t>
      </w:r>
      <w:r>
        <w:rPr>
          <w:rFonts w:ascii="宋体" w:hAnsi="宋体" w:eastAsia="宋体" w:cs="宋体"/>
          <w:color w:val="auto"/>
          <w:sz w:val="21"/>
          <w:szCs w:val="21"/>
          <w:highlight w:val="none"/>
          <w:u w:val="single"/>
        </w:rPr>
        <w:t>（关键组件）</w:t>
      </w:r>
      <w:r>
        <w:rPr>
          <w:rFonts w:ascii="宋体" w:hAnsi="宋体" w:eastAsia="宋体" w:cs="宋体"/>
          <w:color w:val="auto"/>
          <w:sz w:val="21"/>
          <w:szCs w:val="21"/>
          <w:highlight w:val="none"/>
        </w:rPr>
        <w:t xml:space="preserve">在中国境内生产。 </w:t>
      </w:r>
      <w:r>
        <w:rPr>
          <w:rFonts w:ascii="宋体" w:hAnsi="宋体" w:eastAsia="宋体" w:cs="宋体"/>
          <w:color w:val="auto"/>
          <w:sz w:val="21"/>
          <w:szCs w:val="21"/>
          <w:highlight w:val="none"/>
          <w:u w:val="single"/>
        </w:rPr>
        <w:t>（产品名称2）</w:t>
      </w:r>
      <w:r>
        <w:rPr>
          <w:rFonts w:ascii="宋体" w:hAnsi="宋体" w:eastAsia="宋体" w:cs="宋体"/>
          <w:color w:val="auto"/>
          <w:sz w:val="21"/>
          <w:szCs w:val="21"/>
          <w:highlight w:val="none"/>
        </w:rPr>
        <w:t>的</w:t>
      </w:r>
      <w:r>
        <w:rPr>
          <w:rFonts w:ascii="宋体" w:hAnsi="宋体" w:eastAsia="宋体" w:cs="宋体"/>
          <w:color w:val="auto"/>
          <w:sz w:val="21"/>
          <w:szCs w:val="21"/>
          <w:highlight w:val="none"/>
          <w:u w:val="single"/>
        </w:rPr>
        <w:t>（关键工序）</w:t>
      </w:r>
      <w:r>
        <w:rPr>
          <w:rFonts w:ascii="宋体" w:hAnsi="宋体" w:eastAsia="宋体" w:cs="宋体"/>
          <w:color w:val="auto"/>
          <w:sz w:val="21"/>
          <w:szCs w:val="21"/>
          <w:highlight w:val="none"/>
        </w:rPr>
        <w:t>在中国境内完成。</w:t>
      </w:r>
    </w:p>
    <w:p w14:paraId="13983B74">
      <w:pPr>
        <w:pStyle w:val="172"/>
        <w:spacing w:before="240" w:after="240" w:line="360" w:lineRule="auto"/>
        <w:ind w:firstLine="42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3. ……</w:t>
      </w:r>
    </w:p>
    <w:p w14:paraId="522D9D91">
      <w:pPr>
        <w:pStyle w:val="172"/>
        <w:spacing w:line="360" w:lineRule="auto"/>
        <w:ind w:firstLine="48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本公司（单位）对上述声明内容的真实性负责。如有虚假，愿承担相应法律责任。</w:t>
      </w:r>
    </w:p>
    <w:p w14:paraId="3B02A801">
      <w:pPr>
        <w:pStyle w:val="172"/>
        <w:spacing w:before="720" w:line="360" w:lineRule="auto"/>
        <w:jc w:val="right"/>
        <w:rPr>
          <w:rFonts w:hint="default" w:ascii="宋体" w:hAnsi="宋体" w:eastAsia="宋体" w:cs="宋体"/>
          <w:color w:val="auto"/>
          <w:sz w:val="21"/>
          <w:szCs w:val="21"/>
          <w:highlight w:val="none"/>
        </w:rPr>
      </w:pPr>
      <w:r>
        <w:rPr>
          <w:rFonts w:ascii="宋体" w:hAnsi="宋体" w:eastAsia="宋体" w:cs="宋体"/>
          <w:b/>
          <w:color w:val="auto"/>
          <w:sz w:val="21"/>
          <w:szCs w:val="21"/>
          <w:highlight w:val="none"/>
        </w:rPr>
        <w:t>公司（单位）名称（盖章）：</w:t>
      </w:r>
      <w:r>
        <w:rPr>
          <w:rFonts w:ascii="宋体" w:hAnsi="宋体" w:eastAsia="宋体" w:cs="宋体"/>
          <w:color w:val="auto"/>
          <w:sz w:val="21"/>
          <w:szCs w:val="21"/>
          <w:highlight w:val="none"/>
        </w:rPr>
        <w:t xml:space="preserve"> </w:t>
      </w:r>
      <w:r>
        <w:rPr>
          <w:rFonts w:ascii="宋体" w:hAnsi="宋体" w:eastAsia="宋体" w:cs="宋体"/>
          <w:color w:val="auto"/>
          <w:sz w:val="21"/>
          <w:szCs w:val="21"/>
          <w:highlight w:val="none"/>
          <w:u w:val="single"/>
          <w:lang w:eastAsia="zh-CN"/>
        </w:rPr>
        <w:t xml:space="preserve">                </w:t>
      </w:r>
      <w:r>
        <w:rPr>
          <w:rFonts w:ascii="宋体" w:hAnsi="宋体" w:eastAsia="宋体" w:cs="宋体"/>
          <w:color w:val="auto"/>
          <w:sz w:val="21"/>
          <w:szCs w:val="21"/>
          <w:highlight w:val="none"/>
        </w:rPr>
        <w:t>_</w:t>
      </w:r>
    </w:p>
    <w:p w14:paraId="6FF41084">
      <w:pPr>
        <w:pStyle w:val="172"/>
        <w:spacing w:line="360" w:lineRule="auto"/>
        <w:jc w:val="right"/>
        <w:rPr>
          <w:rFonts w:hint="default" w:ascii="宋体" w:hAnsi="宋体" w:eastAsia="宋体" w:cs="宋体"/>
          <w:color w:val="auto"/>
          <w:sz w:val="21"/>
          <w:szCs w:val="21"/>
          <w:highlight w:val="none"/>
        </w:rPr>
      </w:pPr>
      <w:r>
        <w:rPr>
          <w:rFonts w:ascii="宋体" w:hAnsi="宋体" w:eastAsia="宋体" w:cs="宋体"/>
          <w:b/>
          <w:color w:val="auto"/>
          <w:sz w:val="21"/>
          <w:szCs w:val="21"/>
          <w:highlight w:val="none"/>
        </w:rPr>
        <w:t>日期：</w:t>
      </w:r>
      <w:r>
        <w:rPr>
          <w:rFonts w:ascii="宋体" w:hAnsi="宋体" w:eastAsia="宋体" w:cs="宋体"/>
          <w:color w:val="auto"/>
          <w:sz w:val="21"/>
          <w:szCs w:val="21"/>
          <w:highlight w:val="none"/>
        </w:rPr>
        <w:t xml:space="preserve"> </w:t>
      </w:r>
      <w:r>
        <w:rPr>
          <w:rFonts w:ascii="宋体" w:hAnsi="宋体" w:eastAsia="宋体" w:cs="宋体"/>
          <w:color w:val="auto"/>
          <w:sz w:val="21"/>
          <w:szCs w:val="21"/>
          <w:highlight w:val="none"/>
          <w:u w:val="single"/>
          <w:lang w:eastAsia="zh-CN"/>
        </w:rPr>
        <w:t xml:space="preserve">       </w:t>
      </w:r>
      <w:r>
        <w:rPr>
          <w:rFonts w:ascii="宋体" w:hAnsi="宋体" w:eastAsia="宋体" w:cs="宋体"/>
          <w:color w:val="auto"/>
          <w:sz w:val="21"/>
          <w:szCs w:val="21"/>
          <w:highlight w:val="none"/>
        </w:rPr>
        <w:t xml:space="preserve"> 年</w:t>
      </w:r>
      <w:r>
        <w:rPr>
          <w:rFonts w:ascii="宋体" w:hAnsi="宋体" w:eastAsia="宋体" w:cs="宋体"/>
          <w:color w:val="auto"/>
          <w:sz w:val="21"/>
          <w:szCs w:val="21"/>
          <w:highlight w:val="none"/>
          <w:u w:val="single"/>
          <w:lang w:eastAsia="zh-CN"/>
        </w:rPr>
        <w:t xml:space="preserve">      </w:t>
      </w:r>
      <w:r>
        <w:rPr>
          <w:rFonts w:ascii="宋体" w:hAnsi="宋体" w:eastAsia="宋体" w:cs="宋体"/>
          <w:color w:val="auto"/>
          <w:sz w:val="21"/>
          <w:szCs w:val="21"/>
          <w:highlight w:val="none"/>
        </w:rPr>
        <w:t xml:space="preserve"> 月 </w:t>
      </w:r>
      <w:r>
        <w:rPr>
          <w:rFonts w:ascii="宋体" w:hAnsi="宋体" w:eastAsia="宋体" w:cs="宋体"/>
          <w:color w:val="auto"/>
          <w:sz w:val="21"/>
          <w:szCs w:val="21"/>
          <w:highlight w:val="none"/>
          <w:u w:val="single"/>
          <w:lang w:eastAsia="zh-CN"/>
        </w:rPr>
        <w:t xml:space="preserve">      </w:t>
      </w:r>
      <w:r>
        <w:rPr>
          <w:rFonts w:ascii="宋体" w:hAnsi="宋体" w:eastAsia="宋体" w:cs="宋体"/>
          <w:color w:val="auto"/>
          <w:sz w:val="21"/>
          <w:szCs w:val="21"/>
          <w:highlight w:val="none"/>
        </w:rPr>
        <w:t xml:space="preserve"> 日</w:t>
      </w:r>
    </w:p>
    <w:p w14:paraId="012A9636">
      <w:pPr>
        <w:pStyle w:val="172"/>
        <w:widowControl w:val="0"/>
        <w:spacing w:line="360" w:lineRule="auto"/>
        <w:ind w:firstLine="422" w:firstLineChars="200"/>
        <w:rPr>
          <w:rFonts w:hint="default" w:ascii="宋体" w:hAnsi="宋体" w:eastAsia="宋体" w:cs="宋体"/>
          <w:color w:val="auto"/>
          <w:sz w:val="21"/>
          <w:szCs w:val="21"/>
          <w:highlight w:val="none"/>
        </w:rPr>
      </w:pPr>
      <w:r>
        <w:rPr>
          <w:rFonts w:ascii="宋体" w:hAnsi="宋体" w:eastAsia="宋体" w:cs="宋体"/>
          <w:b/>
          <w:color w:val="auto"/>
          <w:sz w:val="21"/>
          <w:szCs w:val="21"/>
          <w:highlight w:val="none"/>
        </w:rPr>
        <w:t>注：</w:t>
      </w:r>
    </w:p>
    <w:p w14:paraId="59D14BA4">
      <w:pPr>
        <w:pStyle w:val="172"/>
        <w:widowControl w:val="0"/>
        <w:spacing w:line="360" w:lineRule="auto"/>
        <w:ind w:firstLine="420" w:firstLineChars="20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1. 产品如有型号，请在“产品名称”栏一并填写。</w:t>
      </w:r>
    </w:p>
    <w:p w14:paraId="4D4FAAFF">
      <w:pPr>
        <w:pStyle w:val="172"/>
        <w:widowControl w:val="0"/>
        <w:spacing w:line="360" w:lineRule="auto"/>
        <w:ind w:firstLine="420" w:firstLineChars="20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2. 生产厂名与厂址应与生产厂营业执照载明的相关信息保持一致。</w:t>
      </w:r>
    </w:p>
    <w:p w14:paraId="045FC478">
      <w:pPr>
        <w:pStyle w:val="172"/>
        <w:widowControl w:val="0"/>
        <w:spacing w:line="360" w:lineRule="auto"/>
        <w:ind w:firstLine="420" w:firstLineChars="20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3. 该产品的中国境内生产的组件成本占比相关要求实施前，</w:t>
      </w:r>
      <w:r>
        <w:rPr>
          <w:rFonts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规定比例</w:t>
      </w:r>
      <w:r>
        <w:rPr>
          <w:rFonts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栏可不填，下同。</w:t>
      </w:r>
    </w:p>
    <w:p w14:paraId="6900DC2D">
      <w:pPr>
        <w:pStyle w:val="172"/>
        <w:widowControl w:val="0"/>
        <w:spacing w:line="360" w:lineRule="auto"/>
        <w:ind w:firstLine="420" w:firstLineChars="20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4. 该产品的关键组件要求实施前，</w:t>
      </w:r>
      <w:r>
        <w:rPr>
          <w:rFonts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关键组件</w:t>
      </w:r>
      <w:r>
        <w:rPr>
          <w:rFonts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栏可不填，下同。</w:t>
      </w:r>
    </w:p>
    <w:p w14:paraId="610B871B">
      <w:pPr>
        <w:pStyle w:val="172"/>
        <w:widowControl w:val="0"/>
        <w:spacing w:line="360" w:lineRule="auto"/>
        <w:ind w:firstLine="420" w:firstLineChars="20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5. 该产品的关键工序要求实施前，</w:t>
      </w:r>
      <w:r>
        <w:rPr>
          <w:rFonts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关键工序</w:t>
      </w:r>
      <w:r>
        <w:rPr>
          <w:rFonts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栏可不填，下同。</w:t>
      </w:r>
    </w:p>
    <w:p w14:paraId="124B1212">
      <w:pPr>
        <w:rPr>
          <w:rFonts w:ascii="宋体" w:hAnsi="宋体" w:cs="宋体"/>
          <w:b/>
          <w:color w:val="auto"/>
          <w:szCs w:val="21"/>
          <w:highlight w:val="none"/>
        </w:rPr>
      </w:pPr>
      <w:r>
        <w:rPr>
          <w:rFonts w:hint="eastAsia" w:ascii="宋体" w:hAnsi="宋体" w:cs="宋体"/>
          <w:b/>
          <w:color w:val="auto"/>
          <w:szCs w:val="21"/>
          <w:highlight w:val="none"/>
        </w:rPr>
        <w:br w:type="page"/>
      </w:r>
    </w:p>
    <w:p w14:paraId="6500E84C">
      <w:pPr>
        <w:pStyle w:val="172"/>
        <w:spacing w:line="360" w:lineRule="auto"/>
        <w:rPr>
          <w:rFonts w:hint="default" w:ascii="宋体" w:hAnsi="宋体" w:eastAsia="宋体" w:cs="宋体"/>
          <w:color w:val="auto"/>
          <w:sz w:val="21"/>
          <w:szCs w:val="21"/>
          <w:highlight w:val="none"/>
        </w:rPr>
      </w:pPr>
      <w:r>
        <w:rPr>
          <w:rFonts w:ascii="宋体" w:hAnsi="宋体" w:eastAsia="宋体" w:cs="宋体"/>
          <w:b/>
          <w:color w:val="auto"/>
          <w:sz w:val="21"/>
          <w:szCs w:val="21"/>
          <w:highlight w:val="none"/>
        </w:rPr>
        <w:t>附件3（当采购项目或者采购包中含有多种产品的，</w:t>
      </w:r>
      <w:r>
        <w:rPr>
          <w:rFonts w:ascii="宋体" w:hAnsi="宋体" w:eastAsia="宋体" w:cs="宋体"/>
          <w:b/>
          <w:color w:val="auto"/>
          <w:sz w:val="21"/>
          <w:szCs w:val="21"/>
          <w:highlight w:val="none"/>
          <w:lang w:eastAsia="zh-CN"/>
        </w:rPr>
        <w:t>供应商</w:t>
      </w:r>
      <w:r>
        <w:rPr>
          <w:rFonts w:ascii="宋体" w:hAnsi="宋体" w:eastAsia="宋体" w:cs="宋体"/>
          <w:b/>
          <w:color w:val="auto"/>
          <w:sz w:val="21"/>
          <w:szCs w:val="21"/>
          <w:highlight w:val="none"/>
        </w:rPr>
        <w:t>还应当提供本承诺函，格式内容仅供参考）</w:t>
      </w:r>
    </w:p>
    <w:p w14:paraId="6EDC8871">
      <w:pPr>
        <w:pStyle w:val="172"/>
        <w:spacing w:before="120" w:after="240" w:line="360" w:lineRule="auto"/>
        <w:jc w:val="center"/>
        <w:outlineLvl w:val="3"/>
        <w:rPr>
          <w:rFonts w:hint="default" w:ascii="宋体" w:hAnsi="宋体" w:eastAsia="宋体" w:cs="宋体"/>
          <w:color w:val="auto"/>
          <w:sz w:val="21"/>
          <w:szCs w:val="21"/>
          <w:highlight w:val="none"/>
        </w:rPr>
      </w:pPr>
      <w:r>
        <w:rPr>
          <w:rFonts w:ascii="宋体" w:hAnsi="宋体" w:eastAsia="宋体" w:cs="宋体"/>
          <w:b/>
          <w:color w:val="auto"/>
          <w:sz w:val="21"/>
          <w:szCs w:val="21"/>
          <w:highlight w:val="none"/>
        </w:rPr>
        <w:t>关于本国产品比例的承诺函（如适用）</w:t>
      </w:r>
    </w:p>
    <w:p w14:paraId="1D6B5947">
      <w:pPr>
        <w:pStyle w:val="172"/>
        <w:spacing w:line="360" w:lineRule="auto"/>
        <w:ind w:firstLine="420" w:firstLineChars="20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本公司（单位）郑重承诺，根据《国务院办公厅关于在政府采购中实施本国产品标准及相关政策的通知》（国办发〔2025〕34号）的规定，本公司（单位）提供的符合本国产品标准的产品成本之和占提供的全部产品成本之和的比例</w:t>
      </w:r>
      <w:r>
        <w:rPr>
          <w:rFonts w:ascii="宋体" w:hAnsi="宋体" w:eastAsia="宋体" w:cs="宋体"/>
          <w:color w:val="auto"/>
          <w:sz w:val="21"/>
          <w:szCs w:val="21"/>
          <w:highlight w:val="none"/>
          <w:u w:val="single"/>
          <w:lang w:eastAsia="zh-CN"/>
        </w:rPr>
        <w:t xml:space="preserve">        </w:t>
      </w:r>
      <w:r>
        <w:rPr>
          <w:rFonts w:ascii="宋体" w:hAnsi="宋体" w:eastAsia="宋体" w:cs="宋体"/>
          <w:color w:val="auto"/>
          <w:sz w:val="21"/>
          <w:szCs w:val="21"/>
          <w:highlight w:val="none"/>
          <w:lang w:eastAsia="zh-CN"/>
        </w:rPr>
        <w:t>（填写“</w:t>
      </w:r>
      <w:r>
        <w:rPr>
          <w:rFonts w:ascii="宋体" w:hAnsi="宋体" w:eastAsia="宋体" w:cs="宋体"/>
          <w:color w:val="auto"/>
          <w:sz w:val="21"/>
          <w:szCs w:val="21"/>
          <w:highlight w:val="none"/>
        </w:rPr>
        <w:t>达到</w:t>
      </w:r>
      <w:r>
        <w:rPr>
          <w:rFonts w:ascii="宋体" w:hAnsi="宋体" w:eastAsia="宋体" w:cs="宋体"/>
          <w:color w:val="auto"/>
          <w:sz w:val="21"/>
          <w:szCs w:val="21"/>
          <w:highlight w:val="none"/>
          <w:lang w:eastAsia="zh-CN"/>
        </w:rPr>
        <w:t>”“未达到”）</w:t>
      </w:r>
      <w:r>
        <w:rPr>
          <w:rFonts w:ascii="宋体" w:hAnsi="宋体" w:eastAsia="宋体" w:cs="宋体"/>
          <w:color w:val="auto"/>
          <w:sz w:val="21"/>
          <w:szCs w:val="21"/>
          <w:highlight w:val="none"/>
        </w:rPr>
        <w:t>80%。</w:t>
      </w:r>
    </w:p>
    <w:tbl>
      <w:tblPr>
        <w:tblStyle w:val="38"/>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3740"/>
        <w:gridCol w:w="2362"/>
        <w:gridCol w:w="1690"/>
      </w:tblGrid>
      <w:tr w14:paraId="6D08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46" w:type="dxa"/>
            <w:vAlign w:val="center"/>
          </w:tcPr>
          <w:p w14:paraId="3A4CC6F2">
            <w:pPr>
              <w:adjustRightInd w:val="0"/>
              <w:snapToGrid w:val="0"/>
              <w:jc w:val="center"/>
              <w:rPr>
                <w:rFonts w:ascii="宋体" w:hAnsi="宋体" w:cs="宋体"/>
                <w:color w:val="auto"/>
                <w:szCs w:val="21"/>
                <w:highlight w:val="none"/>
              </w:rPr>
            </w:pPr>
            <w:r>
              <w:rPr>
                <w:rFonts w:hint="eastAsia" w:ascii="宋体" w:hAnsi="宋体" w:cs="宋体"/>
                <w:b/>
                <w:bCs/>
                <w:color w:val="auto"/>
                <w:szCs w:val="21"/>
                <w:highlight w:val="none"/>
              </w:rPr>
              <w:t>序号</w:t>
            </w:r>
          </w:p>
        </w:tc>
        <w:tc>
          <w:tcPr>
            <w:tcW w:w="3740" w:type="dxa"/>
            <w:vAlign w:val="center"/>
          </w:tcPr>
          <w:p w14:paraId="2E78F6B3">
            <w:pPr>
              <w:adjustRightInd w:val="0"/>
              <w:snapToGrid w:val="0"/>
              <w:jc w:val="center"/>
              <w:rPr>
                <w:rFonts w:ascii="宋体" w:hAnsi="宋体" w:cs="宋体"/>
                <w:color w:val="auto"/>
                <w:szCs w:val="21"/>
                <w:highlight w:val="none"/>
              </w:rPr>
            </w:pPr>
            <w:r>
              <w:rPr>
                <w:rFonts w:hint="eastAsia" w:ascii="宋体" w:hAnsi="宋体" w:cs="宋体"/>
                <w:b/>
                <w:bCs/>
                <w:color w:val="auto"/>
                <w:szCs w:val="21"/>
                <w:highlight w:val="none"/>
              </w:rPr>
              <w:t>仪器设备名称</w:t>
            </w:r>
          </w:p>
        </w:tc>
        <w:tc>
          <w:tcPr>
            <w:tcW w:w="2362" w:type="dxa"/>
            <w:vAlign w:val="center"/>
          </w:tcPr>
          <w:p w14:paraId="719D011F">
            <w:pPr>
              <w:adjustRightInd w:val="0"/>
              <w:snapToGrid w:val="0"/>
              <w:jc w:val="center"/>
              <w:rPr>
                <w:rFonts w:ascii="宋体" w:hAnsi="宋体" w:cs="宋体"/>
                <w:b/>
                <w:bCs/>
                <w:color w:val="auto"/>
                <w:szCs w:val="21"/>
                <w:highlight w:val="none"/>
              </w:rPr>
            </w:pPr>
            <w:r>
              <w:rPr>
                <w:rFonts w:hint="eastAsia" w:ascii="宋体" w:hAnsi="宋体" w:cs="宋体"/>
                <w:b/>
                <w:bCs/>
                <w:color w:val="auto"/>
                <w:szCs w:val="21"/>
                <w:highlight w:val="none"/>
              </w:rPr>
              <w:t>产品成本</w:t>
            </w:r>
          </w:p>
        </w:tc>
        <w:tc>
          <w:tcPr>
            <w:tcW w:w="1690" w:type="dxa"/>
            <w:vAlign w:val="center"/>
          </w:tcPr>
          <w:p w14:paraId="2F410922">
            <w:pPr>
              <w:adjustRightInd w:val="0"/>
              <w:snapToGrid w:val="0"/>
              <w:jc w:val="center"/>
              <w:rPr>
                <w:rFonts w:ascii="宋体" w:hAnsi="宋体" w:cs="宋体"/>
                <w:b/>
                <w:bCs/>
                <w:color w:val="auto"/>
                <w:szCs w:val="21"/>
                <w:highlight w:val="none"/>
              </w:rPr>
            </w:pPr>
            <w:r>
              <w:rPr>
                <w:rFonts w:hint="eastAsia" w:ascii="宋体" w:hAnsi="宋体" w:cs="宋体"/>
                <w:b/>
                <w:bCs/>
                <w:color w:val="auto"/>
                <w:szCs w:val="21"/>
                <w:highlight w:val="none"/>
              </w:rPr>
              <w:t>是否符合本国产品标准</w:t>
            </w:r>
          </w:p>
        </w:tc>
      </w:tr>
      <w:tr w14:paraId="7615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46" w:type="dxa"/>
            <w:vAlign w:val="center"/>
          </w:tcPr>
          <w:p w14:paraId="6EF52793">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3740" w:type="dxa"/>
            <w:vAlign w:val="center"/>
          </w:tcPr>
          <w:p w14:paraId="4DFC221F">
            <w:pPr>
              <w:jc w:val="center"/>
              <w:rPr>
                <w:rFonts w:ascii="宋体" w:hAnsi="宋体" w:cs="宋体"/>
                <w:color w:val="auto"/>
                <w:szCs w:val="21"/>
                <w:highlight w:val="none"/>
              </w:rPr>
            </w:pPr>
          </w:p>
        </w:tc>
        <w:tc>
          <w:tcPr>
            <w:tcW w:w="2362" w:type="dxa"/>
            <w:vAlign w:val="center"/>
          </w:tcPr>
          <w:p w14:paraId="5CB5D281">
            <w:pPr>
              <w:jc w:val="center"/>
              <w:rPr>
                <w:rFonts w:ascii="宋体" w:hAnsi="宋体" w:cs="宋体"/>
                <w:color w:val="auto"/>
                <w:szCs w:val="21"/>
                <w:highlight w:val="none"/>
              </w:rPr>
            </w:pPr>
          </w:p>
        </w:tc>
        <w:tc>
          <w:tcPr>
            <w:tcW w:w="1690" w:type="dxa"/>
            <w:vAlign w:val="center"/>
          </w:tcPr>
          <w:p w14:paraId="4659977F">
            <w:pPr>
              <w:jc w:val="center"/>
              <w:rPr>
                <w:rFonts w:ascii="宋体" w:hAnsi="宋体" w:cs="宋体"/>
                <w:color w:val="auto"/>
                <w:szCs w:val="21"/>
                <w:highlight w:val="none"/>
              </w:rPr>
            </w:pPr>
          </w:p>
        </w:tc>
      </w:tr>
      <w:tr w14:paraId="7C76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46" w:type="dxa"/>
            <w:vAlign w:val="center"/>
          </w:tcPr>
          <w:p w14:paraId="3D893744">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3740" w:type="dxa"/>
            <w:vAlign w:val="center"/>
          </w:tcPr>
          <w:p w14:paraId="5419FA74">
            <w:pPr>
              <w:jc w:val="center"/>
              <w:rPr>
                <w:rFonts w:ascii="宋体" w:hAnsi="宋体" w:cs="宋体"/>
                <w:color w:val="auto"/>
                <w:szCs w:val="21"/>
                <w:highlight w:val="none"/>
              </w:rPr>
            </w:pPr>
          </w:p>
        </w:tc>
        <w:tc>
          <w:tcPr>
            <w:tcW w:w="2362" w:type="dxa"/>
            <w:vAlign w:val="center"/>
          </w:tcPr>
          <w:p w14:paraId="03AA0A50">
            <w:pPr>
              <w:jc w:val="center"/>
              <w:rPr>
                <w:rFonts w:ascii="宋体" w:hAnsi="宋体" w:cs="宋体"/>
                <w:color w:val="auto"/>
                <w:szCs w:val="21"/>
                <w:highlight w:val="none"/>
              </w:rPr>
            </w:pPr>
          </w:p>
        </w:tc>
        <w:tc>
          <w:tcPr>
            <w:tcW w:w="1690" w:type="dxa"/>
            <w:vAlign w:val="center"/>
          </w:tcPr>
          <w:p w14:paraId="2D5A4E32">
            <w:pPr>
              <w:jc w:val="center"/>
              <w:rPr>
                <w:rFonts w:ascii="宋体" w:hAnsi="宋体" w:cs="宋体"/>
                <w:color w:val="auto"/>
                <w:szCs w:val="21"/>
                <w:highlight w:val="none"/>
              </w:rPr>
            </w:pPr>
          </w:p>
        </w:tc>
      </w:tr>
      <w:tr w14:paraId="6546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46" w:type="dxa"/>
            <w:vAlign w:val="center"/>
          </w:tcPr>
          <w:p w14:paraId="6BB13F91">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3740" w:type="dxa"/>
            <w:vAlign w:val="center"/>
          </w:tcPr>
          <w:p w14:paraId="09E07C9D">
            <w:pPr>
              <w:jc w:val="center"/>
              <w:rPr>
                <w:rFonts w:ascii="宋体" w:hAnsi="宋体" w:cs="宋体"/>
                <w:color w:val="auto"/>
                <w:szCs w:val="21"/>
                <w:highlight w:val="none"/>
              </w:rPr>
            </w:pPr>
          </w:p>
        </w:tc>
        <w:tc>
          <w:tcPr>
            <w:tcW w:w="2362" w:type="dxa"/>
            <w:vAlign w:val="center"/>
          </w:tcPr>
          <w:p w14:paraId="04194BE9">
            <w:pPr>
              <w:jc w:val="center"/>
              <w:rPr>
                <w:rFonts w:ascii="宋体" w:hAnsi="宋体" w:cs="宋体"/>
                <w:color w:val="auto"/>
                <w:szCs w:val="21"/>
                <w:highlight w:val="none"/>
              </w:rPr>
            </w:pPr>
          </w:p>
        </w:tc>
        <w:tc>
          <w:tcPr>
            <w:tcW w:w="1690" w:type="dxa"/>
            <w:vAlign w:val="center"/>
          </w:tcPr>
          <w:p w14:paraId="5981D7F3">
            <w:pPr>
              <w:jc w:val="center"/>
              <w:rPr>
                <w:rFonts w:ascii="宋体" w:hAnsi="宋体" w:cs="宋体"/>
                <w:color w:val="auto"/>
                <w:szCs w:val="21"/>
                <w:highlight w:val="none"/>
              </w:rPr>
            </w:pPr>
          </w:p>
        </w:tc>
      </w:tr>
      <w:tr w14:paraId="55AE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46" w:type="dxa"/>
            <w:vAlign w:val="center"/>
          </w:tcPr>
          <w:p w14:paraId="593182C2">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3740" w:type="dxa"/>
            <w:vAlign w:val="center"/>
          </w:tcPr>
          <w:p w14:paraId="5B722737">
            <w:pPr>
              <w:jc w:val="center"/>
              <w:rPr>
                <w:rFonts w:ascii="宋体" w:hAnsi="宋体" w:cs="宋体"/>
                <w:color w:val="auto"/>
                <w:szCs w:val="21"/>
                <w:highlight w:val="none"/>
              </w:rPr>
            </w:pPr>
          </w:p>
        </w:tc>
        <w:tc>
          <w:tcPr>
            <w:tcW w:w="2362" w:type="dxa"/>
            <w:vAlign w:val="center"/>
          </w:tcPr>
          <w:p w14:paraId="4557418C">
            <w:pPr>
              <w:jc w:val="center"/>
              <w:rPr>
                <w:rFonts w:ascii="宋体" w:hAnsi="宋体" w:cs="宋体"/>
                <w:color w:val="auto"/>
                <w:szCs w:val="21"/>
                <w:highlight w:val="none"/>
              </w:rPr>
            </w:pPr>
          </w:p>
        </w:tc>
        <w:tc>
          <w:tcPr>
            <w:tcW w:w="1690" w:type="dxa"/>
            <w:vAlign w:val="center"/>
          </w:tcPr>
          <w:p w14:paraId="3F7A6629">
            <w:pPr>
              <w:jc w:val="center"/>
              <w:rPr>
                <w:rFonts w:ascii="宋体" w:hAnsi="宋体" w:cs="宋体"/>
                <w:color w:val="auto"/>
                <w:szCs w:val="21"/>
                <w:highlight w:val="none"/>
              </w:rPr>
            </w:pPr>
          </w:p>
        </w:tc>
      </w:tr>
      <w:tr w14:paraId="06AC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46" w:type="dxa"/>
            <w:vAlign w:val="center"/>
          </w:tcPr>
          <w:p w14:paraId="101A4642">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3740" w:type="dxa"/>
            <w:vAlign w:val="center"/>
          </w:tcPr>
          <w:p w14:paraId="5B060CDE">
            <w:pPr>
              <w:jc w:val="center"/>
              <w:rPr>
                <w:rFonts w:ascii="宋体" w:hAnsi="宋体" w:cs="宋体"/>
                <w:color w:val="auto"/>
                <w:szCs w:val="21"/>
                <w:highlight w:val="none"/>
              </w:rPr>
            </w:pPr>
          </w:p>
        </w:tc>
        <w:tc>
          <w:tcPr>
            <w:tcW w:w="2362" w:type="dxa"/>
            <w:vAlign w:val="center"/>
          </w:tcPr>
          <w:p w14:paraId="12289803">
            <w:pPr>
              <w:jc w:val="center"/>
              <w:rPr>
                <w:rFonts w:ascii="宋体" w:hAnsi="宋体" w:cs="宋体"/>
                <w:color w:val="auto"/>
                <w:szCs w:val="21"/>
                <w:highlight w:val="none"/>
              </w:rPr>
            </w:pPr>
          </w:p>
        </w:tc>
        <w:tc>
          <w:tcPr>
            <w:tcW w:w="1690" w:type="dxa"/>
            <w:vAlign w:val="center"/>
          </w:tcPr>
          <w:p w14:paraId="3A5C6C21">
            <w:pPr>
              <w:jc w:val="center"/>
              <w:rPr>
                <w:rFonts w:ascii="宋体" w:hAnsi="宋体" w:cs="宋体"/>
                <w:color w:val="auto"/>
                <w:szCs w:val="21"/>
                <w:highlight w:val="none"/>
              </w:rPr>
            </w:pPr>
          </w:p>
        </w:tc>
      </w:tr>
      <w:tr w14:paraId="1EAE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46" w:type="dxa"/>
            <w:vAlign w:val="center"/>
          </w:tcPr>
          <w:p w14:paraId="3523B7EF">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3740" w:type="dxa"/>
            <w:vAlign w:val="center"/>
          </w:tcPr>
          <w:p w14:paraId="36541122">
            <w:pPr>
              <w:jc w:val="center"/>
              <w:rPr>
                <w:rFonts w:ascii="宋体" w:hAnsi="宋体" w:cs="宋体"/>
                <w:color w:val="auto"/>
                <w:szCs w:val="21"/>
                <w:highlight w:val="none"/>
              </w:rPr>
            </w:pPr>
          </w:p>
        </w:tc>
        <w:tc>
          <w:tcPr>
            <w:tcW w:w="2362" w:type="dxa"/>
            <w:vAlign w:val="center"/>
          </w:tcPr>
          <w:p w14:paraId="52221FDD">
            <w:pPr>
              <w:jc w:val="center"/>
              <w:rPr>
                <w:rFonts w:ascii="宋体" w:hAnsi="宋体" w:cs="宋体"/>
                <w:color w:val="auto"/>
                <w:szCs w:val="21"/>
                <w:highlight w:val="none"/>
              </w:rPr>
            </w:pPr>
          </w:p>
        </w:tc>
        <w:tc>
          <w:tcPr>
            <w:tcW w:w="1690" w:type="dxa"/>
            <w:vAlign w:val="center"/>
          </w:tcPr>
          <w:p w14:paraId="022D4B50">
            <w:pPr>
              <w:jc w:val="center"/>
              <w:rPr>
                <w:rFonts w:ascii="宋体" w:hAnsi="宋体" w:cs="宋体"/>
                <w:color w:val="auto"/>
                <w:szCs w:val="21"/>
                <w:highlight w:val="none"/>
              </w:rPr>
            </w:pPr>
          </w:p>
        </w:tc>
      </w:tr>
      <w:tr w14:paraId="27EE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46" w:type="dxa"/>
            <w:vAlign w:val="center"/>
          </w:tcPr>
          <w:p w14:paraId="3847F163">
            <w:pPr>
              <w:jc w:val="center"/>
              <w:rPr>
                <w:rFonts w:ascii="宋体" w:hAnsi="宋体" w:cs="宋体"/>
                <w:color w:val="auto"/>
                <w:szCs w:val="21"/>
                <w:highlight w:val="none"/>
              </w:rPr>
            </w:pPr>
            <w:r>
              <w:rPr>
                <w:rFonts w:hint="eastAsia" w:ascii="宋体" w:hAnsi="宋体" w:cs="宋体"/>
                <w:color w:val="auto"/>
                <w:szCs w:val="21"/>
                <w:highlight w:val="none"/>
              </w:rPr>
              <w:t>7</w:t>
            </w:r>
          </w:p>
        </w:tc>
        <w:tc>
          <w:tcPr>
            <w:tcW w:w="3740" w:type="dxa"/>
            <w:vAlign w:val="center"/>
          </w:tcPr>
          <w:p w14:paraId="3B042607">
            <w:pPr>
              <w:jc w:val="center"/>
              <w:rPr>
                <w:rFonts w:ascii="宋体" w:hAnsi="宋体" w:cs="宋体"/>
                <w:color w:val="auto"/>
                <w:szCs w:val="21"/>
                <w:highlight w:val="none"/>
              </w:rPr>
            </w:pPr>
          </w:p>
        </w:tc>
        <w:tc>
          <w:tcPr>
            <w:tcW w:w="2362" w:type="dxa"/>
            <w:vAlign w:val="center"/>
          </w:tcPr>
          <w:p w14:paraId="2933A3D3">
            <w:pPr>
              <w:jc w:val="center"/>
              <w:rPr>
                <w:rFonts w:ascii="宋体" w:hAnsi="宋体" w:cs="宋体"/>
                <w:color w:val="auto"/>
                <w:szCs w:val="21"/>
                <w:highlight w:val="none"/>
              </w:rPr>
            </w:pPr>
          </w:p>
        </w:tc>
        <w:tc>
          <w:tcPr>
            <w:tcW w:w="1690" w:type="dxa"/>
            <w:vAlign w:val="center"/>
          </w:tcPr>
          <w:p w14:paraId="3D20A1DB">
            <w:pPr>
              <w:jc w:val="center"/>
              <w:rPr>
                <w:rFonts w:ascii="宋体" w:hAnsi="宋体" w:cs="宋体"/>
                <w:color w:val="auto"/>
                <w:szCs w:val="21"/>
                <w:highlight w:val="none"/>
              </w:rPr>
            </w:pPr>
          </w:p>
        </w:tc>
      </w:tr>
      <w:tr w14:paraId="22DC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46" w:type="dxa"/>
            <w:vAlign w:val="center"/>
          </w:tcPr>
          <w:p w14:paraId="750114B3">
            <w:pPr>
              <w:jc w:val="center"/>
              <w:rPr>
                <w:rFonts w:ascii="宋体" w:hAnsi="宋体" w:cs="宋体"/>
                <w:color w:val="auto"/>
                <w:szCs w:val="21"/>
                <w:highlight w:val="none"/>
              </w:rPr>
            </w:pPr>
            <w:r>
              <w:rPr>
                <w:rFonts w:hint="eastAsia" w:ascii="宋体" w:hAnsi="宋体" w:cs="宋体"/>
                <w:color w:val="auto"/>
                <w:szCs w:val="21"/>
                <w:highlight w:val="none"/>
              </w:rPr>
              <w:t>8</w:t>
            </w:r>
          </w:p>
        </w:tc>
        <w:tc>
          <w:tcPr>
            <w:tcW w:w="3740" w:type="dxa"/>
            <w:vAlign w:val="center"/>
          </w:tcPr>
          <w:p w14:paraId="45841428">
            <w:pPr>
              <w:jc w:val="center"/>
              <w:rPr>
                <w:rFonts w:ascii="宋体" w:hAnsi="宋体" w:cs="宋体"/>
                <w:color w:val="auto"/>
                <w:szCs w:val="21"/>
                <w:highlight w:val="none"/>
              </w:rPr>
            </w:pPr>
          </w:p>
        </w:tc>
        <w:tc>
          <w:tcPr>
            <w:tcW w:w="2362" w:type="dxa"/>
            <w:vAlign w:val="center"/>
          </w:tcPr>
          <w:p w14:paraId="7706298E">
            <w:pPr>
              <w:jc w:val="center"/>
              <w:rPr>
                <w:rFonts w:ascii="宋体" w:hAnsi="宋体" w:cs="宋体"/>
                <w:color w:val="auto"/>
                <w:szCs w:val="21"/>
                <w:highlight w:val="none"/>
              </w:rPr>
            </w:pPr>
          </w:p>
        </w:tc>
        <w:tc>
          <w:tcPr>
            <w:tcW w:w="1690" w:type="dxa"/>
            <w:vAlign w:val="center"/>
          </w:tcPr>
          <w:p w14:paraId="4275236C">
            <w:pPr>
              <w:jc w:val="center"/>
              <w:rPr>
                <w:rFonts w:ascii="宋体" w:hAnsi="宋体" w:cs="宋体"/>
                <w:color w:val="auto"/>
                <w:szCs w:val="21"/>
                <w:highlight w:val="none"/>
              </w:rPr>
            </w:pPr>
          </w:p>
        </w:tc>
      </w:tr>
      <w:tr w14:paraId="1245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46" w:type="dxa"/>
            <w:vAlign w:val="center"/>
          </w:tcPr>
          <w:p w14:paraId="0A3FE4E3">
            <w:pPr>
              <w:jc w:val="center"/>
              <w:rPr>
                <w:rFonts w:ascii="宋体" w:hAnsi="宋体" w:cs="宋体"/>
                <w:color w:val="auto"/>
                <w:szCs w:val="21"/>
                <w:highlight w:val="none"/>
              </w:rPr>
            </w:pPr>
            <w:r>
              <w:rPr>
                <w:rFonts w:hint="eastAsia" w:ascii="宋体" w:hAnsi="宋体" w:cs="宋体"/>
                <w:color w:val="auto"/>
                <w:szCs w:val="21"/>
                <w:highlight w:val="none"/>
              </w:rPr>
              <w:t>9</w:t>
            </w:r>
          </w:p>
        </w:tc>
        <w:tc>
          <w:tcPr>
            <w:tcW w:w="3740" w:type="dxa"/>
            <w:vAlign w:val="center"/>
          </w:tcPr>
          <w:p w14:paraId="503C95FB">
            <w:pPr>
              <w:jc w:val="center"/>
              <w:rPr>
                <w:rFonts w:ascii="宋体" w:hAnsi="宋体" w:cs="宋体"/>
                <w:color w:val="auto"/>
                <w:szCs w:val="21"/>
                <w:highlight w:val="none"/>
              </w:rPr>
            </w:pPr>
          </w:p>
        </w:tc>
        <w:tc>
          <w:tcPr>
            <w:tcW w:w="2362" w:type="dxa"/>
            <w:vAlign w:val="center"/>
          </w:tcPr>
          <w:p w14:paraId="3F529CE5">
            <w:pPr>
              <w:jc w:val="center"/>
              <w:rPr>
                <w:rFonts w:ascii="宋体" w:hAnsi="宋体" w:cs="宋体"/>
                <w:color w:val="auto"/>
                <w:szCs w:val="21"/>
                <w:highlight w:val="none"/>
              </w:rPr>
            </w:pPr>
          </w:p>
        </w:tc>
        <w:tc>
          <w:tcPr>
            <w:tcW w:w="1690" w:type="dxa"/>
            <w:vAlign w:val="center"/>
          </w:tcPr>
          <w:p w14:paraId="5F59C772">
            <w:pPr>
              <w:jc w:val="center"/>
              <w:rPr>
                <w:rFonts w:ascii="宋体" w:hAnsi="宋体" w:cs="宋体"/>
                <w:color w:val="auto"/>
                <w:szCs w:val="21"/>
                <w:highlight w:val="none"/>
              </w:rPr>
            </w:pPr>
          </w:p>
        </w:tc>
      </w:tr>
      <w:tr w14:paraId="6082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386" w:type="dxa"/>
            <w:gridSpan w:val="2"/>
            <w:vAlign w:val="center"/>
          </w:tcPr>
          <w:p w14:paraId="04E140E7">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所有产品成本合计（a）</w:t>
            </w:r>
          </w:p>
        </w:tc>
        <w:tc>
          <w:tcPr>
            <w:tcW w:w="4052" w:type="dxa"/>
            <w:gridSpan w:val="2"/>
            <w:vAlign w:val="center"/>
          </w:tcPr>
          <w:p w14:paraId="50838495">
            <w:pPr>
              <w:jc w:val="center"/>
              <w:rPr>
                <w:rFonts w:ascii="宋体" w:hAnsi="宋体" w:cs="宋体"/>
                <w:color w:val="auto"/>
                <w:szCs w:val="21"/>
                <w:highlight w:val="none"/>
              </w:rPr>
            </w:pPr>
          </w:p>
        </w:tc>
      </w:tr>
      <w:tr w14:paraId="34ED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386" w:type="dxa"/>
            <w:gridSpan w:val="2"/>
            <w:vAlign w:val="center"/>
          </w:tcPr>
          <w:p w14:paraId="79CB8ADE">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符合本国产品标准的产品成本合计（b）</w:t>
            </w:r>
          </w:p>
        </w:tc>
        <w:tc>
          <w:tcPr>
            <w:tcW w:w="4052" w:type="dxa"/>
            <w:gridSpan w:val="2"/>
            <w:vAlign w:val="center"/>
          </w:tcPr>
          <w:p w14:paraId="109B67E7">
            <w:pPr>
              <w:jc w:val="center"/>
              <w:rPr>
                <w:rFonts w:ascii="宋体" w:hAnsi="宋体" w:cs="宋体"/>
                <w:color w:val="auto"/>
                <w:szCs w:val="21"/>
                <w:highlight w:val="none"/>
              </w:rPr>
            </w:pPr>
          </w:p>
        </w:tc>
      </w:tr>
      <w:tr w14:paraId="4DED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386" w:type="dxa"/>
            <w:gridSpan w:val="2"/>
            <w:vAlign w:val="center"/>
          </w:tcPr>
          <w:p w14:paraId="2149EA61">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符合本国产品标准的产品成本占比（c=b/a*100%）</w:t>
            </w:r>
          </w:p>
        </w:tc>
        <w:tc>
          <w:tcPr>
            <w:tcW w:w="4052" w:type="dxa"/>
            <w:gridSpan w:val="2"/>
            <w:vAlign w:val="center"/>
          </w:tcPr>
          <w:p w14:paraId="2BB15A97">
            <w:pPr>
              <w:jc w:val="center"/>
              <w:rPr>
                <w:rFonts w:ascii="宋体" w:hAnsi="宋体" w:cs="宋体"/>
                <w:color w:val="auto"/>
                <w:szCs w:val="21"/>
                <w:highlight w:val="none"/>
              </w:rPr>
            </w:pPr>
          </w:p>
        </w:tc>
      </w:tr>
      <w:tr w14:paraId="467C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4386" w:type="dxa"/>
            <w:gridSpan w:val="2"/>
            <w:vAlign w:val="center"/>
          </w:tcPr>
          <w:p w14:paraId="1B26C4E3">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是否价格扣除</w:t>
            </w:r>
          </w:p>
          <w:p w14:paraId="395BF89B">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注：（c）达到80%以上的，对全部产品给予20%价格扣除，用扣除后的价格参与评审</w:t>
            </w:r>
          </w:p>
        </w:tc>
        <w:tc>
          <w:tcPr>
            <w:tcW w:w="4052" w:type="dxa"/>
            <w:gridSpan w:val="2"/>
            <w:vAlign w:val="center"/>
          </w:tcPr>
          <w:p w14:paraId="185D185F">
            <w:pPr>
              <w:jc w:val="center"/>
              <w:rPr>
                <w:rFonts w:ascii="宋体" w:hAnsi="宋体" w:cs="宋体"/>
                <w:color w:val="auto"/>
                <w:szCs w:val="21"/>
                <w:highlight w:val="none"/>
              </w:rPr>
            </w:pPr>
            <w:r>
              <w:rPr>
                <w:rFonts w:hint="eastAsia" w:ascii="宋体" w:hAnsi="宋体" w:cs="宋体"/>
                <w:color w:val="auto"/>
                <w:szCs w:val="21"/>
                <w:highlight w:val="none"/>
              </w:rPr>
              <w:t>是/否</w:t>
            </w:r>
          </w:p>
        </w:tc>
      </w:tr>
    </w:tbl>
    <w:p w14:paraId="36511193">
      <w:pPr>
        <w:rPr>
          <w:rFonts w:ascii="宋体" w:hAnsi="宋体" w:cs="宋体"/>
          <w:color w:val="auto"/>
          <w:sz w:val="24"/>
          <w:highlight w:val="none"/>
        </w:rPr>
      </w:pPr>
    </w:p>
    <w:p w14:paraId="5F1C12CF">
      <w:pPr>
        <w:pStyle w:val="172"/>
        <w:spacing w:line="360" w:lineRule="auto"/>
        <w:ind w:firstLine="210" w:firstLineChars="100"/>
        <w:rPr>
          <w:rFonts w:hint="default" w:ascii="宋体" w:hAnsi="宋体" w:eastAsia="宋体" w:cs="宋体"/>
          <w:color w:val="auto"/>
          <w:sz w:val="21"/>
          <w:szCs w:val="21"/>
          <w:highlight w:val="none"/>
        </w:rPr>
      </w:pPr>
      <w:r>
        <w:rPr>
          <w:rFonts w:ascii="宋体" w:hAnsi="宋体" w:eastAsia="宋体" w:cs="宋体"/>
          <w:color w:val="auto"/>
          <w:sz w:val="21"/>
          <w:szCs w:val="21"/>
          <w:highlight w:val="none"/>
        </w:rPr>
        <w:t>本公司（单位）对上述承诺内容的真实性负责。如有虚假，愿承担相应法律责任。</w:t>
      </w:r>
    </w:p>
    <w:p w14:paraId="530A8A4E">
      <w:pPr>
        <w:pStyle w:val="172"/>
        <w:spacing w:line="360" w:lineRule="auto"/>
        <w:ind w:firstLine="4006" w:firstLineChars="1900"/>
        <w:rPr>
          <w:rFonts w:hint="default" w:ascii="宋体" w:hAnsi="宋体" w:eastAsia="宋体" w:cs="宋体"/>
          <w:color w:val="auto"/>
          <w:sz w:val="21"/>
          <w:szCs w:val="21"/>
          <w:highlight w:val="none"/>
        </w:rPr>
      </w:pPr>
      <w:r>
        <w:rPr>
          <w:rFonts w:ascii="宋体" w:hAnsi="宋体" w:eastAsia="宋体" w:cs="宋体"/>
          <w:b/>
          <w:color w:val="auto"/>
          <w:sz w:val="21"/>
          <w:szCs w:val="21"/>
          <w:highlight w:val="none"/>
        </w:rPr>
        <w:t>公司（单位）名称（盖章）：</w:t>
      </w:r>
      <w:r>
        <w:rPr>
          <w:rFonts w:ascii="宋体" w:hAnsi="宋体" w:eastAsia="宋体" w:cs="宋体"/>
          <w:color w:val="auto"/>
          <w:sz w:val="21"/>
          <w:szCs w:val="21"/>
          <w:highlight w:val="none"/>
        </w:rPr>
        <w:t xml:space="preserve">        </w:t>
      </w:r>
    </w:p>
    <w:p w14:paraId="5668BCE2">
      <w:pPr>
        <w:pStyle w:val="172"/>
        <w:spacing w:line="360" w:lineRule="auto"/>
        <w:jc w:val="center"/>
        <w:rPr>
          <w:rFonts w:hint="default" w:ascii="宋体" w:hAnsi="宋体" w:eastAsia="宋体" w:cs="宋体"/>
          <w:color w:val="auto"/>
          <w:sz w:val="21"/>
          <w:szCs w:val="21"/>
          <w:highlight w:val="none"/>
        </w:rPr>
      </w:pPr>
      <w:r>
        <w:rPr>
          <w:rFonts w:ascii="宋体" w:hAnsi="宋体" w:eastAsia="宋体" w:cs="宋体"/>
          <w:b/>
          <w:color w:val="auto"/>
          <w:sz w:val="21"/>
          <w:szCs w:val="21"/>
          <w:highlight w:val="none"/>
          <w:lang w:eastAsia="zh-CN"/>
        </w:rPr>
        <w:t xml:space="preserve">                    </w:t>
      </w:r>
      <w:r>
        <w:rPr>
          <w:rFonts w:ascii="宋体" w:hAnsi="宋体" w:eastAsia="宋体" w:cs="宋体"/>
          <w:b/>
          <w:color w:val="auto"/>
          <w:sz w:val="21"/>
          <w:szCs w:val="21"/>
          <w:highlight w:val="none"/>
        </w:rPr>
        <w:t>日期：</w:t>
      </w:r>
      <w:r>
        <w:rPr>
          <w:rFonts w:ascii="宋体" w:hAnsi="宋体" w:eastAsia="宋体" w:cs="宋体"/>
          <w:b/>
          <w:color w:val="auto"/>
          <w:sz w:val="21"/>
          <w:szCs w:val="21"/>
          <w:highlight w:val="none"/>
          <w:u w:val="single"/>
          <w:lang w:eastAsia="zh-CN"/>
        </w:rPr>
        <w:t xml:space="preserve">      </w:t>
      </w:r>
      <w:r>
        <w:rPr>
          <w:rFonts w:ascii="宋体" w:hAnsi="宋体" w:eastAsia="宋体" w:cs="宋体"/>
          <w:color w:val="auto"/>
          <w:sz w:val="21"/>
          <w:szCs w:val="21"/>
          <w:highlight w:val="none"/>
        </w:rPr>
        <w:t>年</w:t>
      </w:r>
      <w:r>
        <w:rPr>
          <w:rFonts w:ascii="宋体" w:hAnsi="宋体" w:eastAsia="宋体" w:cs="宋体"/>
          <w:color w:val="auto"/>
          <w:sz w:val="21"/>
          <w:szCs w:val="21"/>
          <w:highlight w:val="none"/>
          <w:u w:val="single"/>
          <w:lang w:eastAsia="zh-CN"/>
        </w:rPr>
        <w:t xml:space="preserve">      </w:t>
      </w:r>
      <w:r>
        <w:rPr>
          <w:rFonts w:ascii="宋体" w:hAnsi="宋体" w:eastAsia="宋体" w:cs="宋体"/>
          <w:color w:val="auto"/>
          <w:sz w:val="21"/>
          <w:szCs w:val="21"/>
          <w:highlight w:val="none"/>
        </w:rPr>
        <w:t>月</w:t>
      </w:r>
      <w:r>
        <w:rPr>
          <w:rFonts w:ascii="宋体" w:hAnsi="宋体" w:eastAsia="宋体" w:cs="宋体"/>
          <w:color w:val="auto"/>
          <w:sz w:val="21"/>
          <w:szCs w:val="21"/>
          <w:highlight w:val="none"/>
          <w:u w:val="single"/>
          <w:lang w:eastAsia="zh-CN"/>
        </w:rPr>
        <w:t xml:space="preserve">    </w:t>
      </w:r>
      <w:r>
        <w:rPr>
          <w:rFonts w:ascii="宋体" w:hAnsi="宋体" w:eastAsia="宋体" w:cs="宋体"/>
          <w:color w:val="auto"/>
          <w:sz w:val="21"/>
          <w:szCs w:val="21"/>
          <w:highlight w:val="none"/>
        </w:rPr>
        <w:t>日</w:t>
      </w:r>
    </w:p>
    <w:p w14:paraId="0B230F2F">
      <w:pPr>
        <w:widowControl/>
        <w:spacing w:line="360" w:lineRule="auto"/>
        <w:rPr>
          <w:rFonts w:ascii="宋体" w:hAnsi="宋体" w:cs="宋体"/>
          <w:color w:val="auto"/>
          <w:szCs w:val="21"/>
          <w:highlight w:val="none"/>
        </w:rPr>
        <w:sectPr>
          <w:headerReference r:id="rId8" w:type="first"/>
          <w:footerReference r:id="rId10" w:type="first"/>
          <w:footerReference r:id="rId9" w:type="default"/>
          <w:pgSz w:w="11922" w:h="16838"/>
          <w:pgMar w:top="1417" w:right="1417" w:bottom="1417" w:left="1417" w:header="624" w:footer="624" w:gutter="283"/>
          <w:cols w:space="0" w:num="1"/>
          <w:titlePg/>
          <w:docGrid w:linePitch="306" w:charSpace="0"/>
        </w:sectPr>
      </w:pPr>
      <w:r>
        <w:rPr>
          <w:rFonts w:hint="eastAsia" w:ascii="宋体" w:hAnsi="宋体" w:cs="宋体"/>
          <w:color w:val="auto"/>
          <w:szCs w:val="21"/>
          <w:highlight w:val="none"/>
        </w:rPr>
        <w:t>注：“是否符合本国产品标准”一栏供应商应根据《国务院办公厅关于在政府采购中实施本国产品标准及相关政策的通知》（国办发〔2025〕34号）的规定填写。填“是”的，还需按规定填写《关于符合本国产品标准的声明函》或财政部会同有关部门规定的有关证明文件（若有）。</w:t>
      </w:r>
    </w:p>
    <w:p w14:paraId="1BDB48F3">
      <w:pPr>
        <w:pStyle w:val="172"/>
        <w:outlineLvl w:val="2"/>
        <w:rPr>
          <w:rFonts w:hint="eastAsia"/>
          <w:b/>
          <w:color w:val="auto"/>
          <w:sz w:val="24"/>
          <w:szCs w:val="24"/>
          <w:highlight w:val="none"/>
          <w:lang w:val="en-US" w:eastAsia="zh-CN"/>
        </w:rPr>
      </w:pPr>
      <w:r>
        <w:rPr>
          <w:b/>
          <w:color w:val="auto"/>
          <w:sz w:val="24"/>
          <w:szCs w:val="24"/>
          <w:highlight w:val="none"/>
          <w:lang w:eastAsia="zh-CN"/>
        </w:rPr>
        <w:t>2、</w:t>
      </w:r>
      <w:r>
        <w:rPr>
          <w:rFonts w:hint="eastAsia"/>
          <w:b/>
          <w:color w:val="auto"/>
          <w:sz w:val="24"/>
          <w:szCs w:val="24"/>
          <w:highlight w:val="none"/>
          <w:lang w:val="en-US" w:eastAsia="zh-CN"/>
        </w:rPr>
        <w:t>代理服务费交纳承诺函</w:t>
      </w:r>
    </w:p>
    <w:p w14:paraId="07EDAADF">
      <w:pPr>
        <w:spacing w:before="62" w:line="227" w:lineRule="auto"/>
        <w:ind w:left="348"/>
        <w:rPr>
          <w:rFonts w:ascii="宋体" w:hAnsi="宋体" w:eastAsia="宋体" w:cs="宋体"/>
          <w:color w:val="auto"/>
          <w:spacing w:val="19"/>
          <w:sz w:val="19"/>
          <w:szCs w:val="19"/>
          <w:highlight w:val="none"/>
        </w:rPr>
      </w:pPr>
    </w:p>
    <w:p w14:paraId="1A278D3E">
      <w:pPr>
        <w:spacing w:before="62" w:line="360" w:lineRule="auto"/>
        <w:ind w:left="348"/>
        <w:rPr>
          <w:rFonts w:ascii="宋体" w:hAnsi="宋体" w:eastAsia="宋体" w:cs="宋体"/>
          <w:color w:val="auto"/>
          <w:spacing w:val="19"/>
          <w:sz w:val="19"/>
          <w:szCs w:val="19"/>
          <w:highlight w:val="none"/>
        </w:rPr>
      </w:pPr>
    </w:p>
    <w:p w14:paraId="37ED2C89">
      <w:pPr>
        <w:spacing w:before="62" w:line="360" w:lineRule="auto"/>
        <w:rPr>
          <w:rFonts w:ascii="宋体" w:hAnsi="宋体" w:eastAsia="宋体" w:cs="宋体"/>
          <w:color w:val="auto"/>
          <w:sz w:val="21"/>
          <w:szCs w:val="21"/>
          <w:highlight w:val="none"/>
        </w:rPr>
      </w:pPr>
      <w:r>
        <w:rPr>
          <w:rFonts w:ascii="宋体" w:hAnsi="宋体" w:eastAsia="宋体" w:cs="宋体"/>
          <w:color w:val="auto"/>
          <w:spacing w:val="19"/>
          <w:sz w:val="21"/>
          <w:szCs w:val="21"/>
          <w:highlight w:val="none"/>
        </w:rPr>
        <w:t>致</w:t>
      </w:r>
      <w:r>
        <w:rPr>
          <w:rFonts w:ascii="宋体" w:hAnsi="宋体" w:eastAsia="宋体" w:cs="宋体"/>
          <w:color w:val="auto"/>
          <w:spacing w:val="-7"/>
          <w:sz w:val="21"/>
          <w:szCs w:val="21"/>
          <w:highlight w:val="none"/>
        </w:rPr>
        <w:t>：</w:t>
      </w:r>
      <w:r>
        <w:rPr>
          <w:rFonts w:ascii="宋体" w:hAnsi="宋体" w:eastAsia="宋体" w:cs="宋体"/>
          <w:color w:val="auto"/>
          <w:spacing w:val="1"/>
          <w:sz w:val="21"/>
          <w:szCs w:val="21"/>
          <w:highlight w:val="none"/>
          <w:u w:val="single" w:color="auto"/>
        </w:rPr>
        <w:t xml:space="preserve">                     </w:t>
      </w:r>
      <w:r>
        <w:rPr>
          <w:rFonts w:ascii="宋体" w:hAnsi="宋体" w:eastAsia="宋体" w:cs="宋体"/>
          <w:color w:val="auto"/>
          <w:sz w:val="21"/>
          <w:szCs w:val="21"/>
          <w:highlight w:val="none"/>
          <w:u w:val="single" w:color="auto"/>
        </w:rPr>
        <w:t xml:space="preserve">   </w:t>
      </w:r>
      <w:r>
        <w:rPr>
          <w:rFonts w:ascii="宋体" w:hAnsi="宋体" w:eastAsia="宋体" w:cs="宋体"/>
          <w:color w:val="auto"/>
          <w:spacing w:val="-7"/>
          <w:sz w:val="21"/>
          <w:szCs w:val="21"/>
          <w:highlight w:val="none"/>
        </w:rPr>
        <w:t>（</w:t>
      </w:r>
      <w:r>
        <w:rPr>
          <w:rFonts w:ascii="宋体" w:hAnsi="宋体" w:eastAsia="宋体" w:cs="宋体"/>
          <w:color w:val="auto"/>
          <w:spacing w:val="19"/>
          <w:sz w:val="21"/>
          <w:szCs w:val="21"/>
          <w:highlight w:val="none"/>
        </w:rPr>
        <w:t>填写采购代理机构名称）</w:t>
      </w:r>
    </w:p>
    <w:p w14:paraId="70E4B7BA">
      <w:pPr>
        <w:widowControl/>
        <w:spacing w:line="360" w:lineRule="auto"/>
        <w:ind w:firstLine="476" w:firstLineChars="200"/>
        <w:rPr>
          <w:rFonts w:hint="eastAsia" w:ascii="宋体" w:hAnsi="宋体" w:eastAsia="宋体" w:cs="宋体"/>
          <w:color w:val="auto"/>
          <w:szCs w:val="21"/>
          <w:highlight w:val="none"/>
        </w:rPr>
      </w:pPr>
      <w:r>
        <w:rPr>
          <w:rFonts w:ascii="宋体" w:hAnsi="宋体" w:eastAsia="宋体" w:cs="宋体"/>
          <w:color w:val="auto"/>
          <w:spacing w:val="14"/>
          <w:sz w:val="21"/>
          <w:szCs w:val="21"/>
          <w:highlight w:val="none"/>
        </w:rPr>
        <w:t>我们在贵公司组织的</w:t>
      </w:r>
      <w:r>
        <w:rPr>
          <w:rFonts w:ascii="宋体" w:hAnsi="宋体" w:eastAsia="宋体" w:cs="宋体"/>
          <w:color w:val="auto"/>
          <w:spacing w:val="-70"/>
          <w:sz w:val="21"/>
          <w:szCs w:val="21"/>
          <w:highlight w:val="none"/>
        </w:rPr>
        <w:t xml:space="preserve"> </w:t>
      </w:r>
      <w:r>
        <w:rPr>
          <w:rFonts w:ascii="宋体" w:hAnsi="宋体" w:eastAsia="宋体" w:cs="宋体"/>
          <w:color w:val="auto"/>
          <w:spacing w:val="14"/>
          <w:sz w:val="21"/>
          <w:szCs w:val="21"/>
          <w:highlight w:val="none"/>
          <w:u w:val="single" w:color="auto"/>
        </w:rPr>
        <w:t xml:space="preserve">                      </w:t>
      </w:r>
      <w:r>
        <w:rPr>
          <w:rFonts w:ascii="宋体" w:hAnsi="宋体" w:eastAsia="宋体" w:cs="宋体"/>
          <w:color w:val="auto"/>
          <w:spacing w:val="14"/>
          <w:sz w:val="21"/>
          <w:szCs w:val="21"/>
          <w:highlight w:val="none"/>
        </w:rPr>
        <w:t>（填写项目名称</w:t>
      </w:r>
      <w:r>
        <w:rPr>
          <w:rFonts w:hint="eastAsia" w:ascii="宋体" w:hAnsi="宋体" w:eastAsia="宋体" w:cs="宋体"/>
          <w:color w:val="auto"/>
          <w:spacing w:val="14"/>
          <w:sz w:val="21"/>
          <w:szCs w:val="21"/>
          <w:highlight w:val="none"/>
          <w:lang w:eastAsia="zh-CN"/>
        </w:rPr>
        <w:t>、采购编号</w:t>
      </w:r>
      <w:r>
        <w:rPr>
          <w:rFonts w:ascii="宋体" w:hAnsi="宋体" w:eastAsia="宋体" w:cs="宋体"/>
          <w:color w:val="auto"/>
          <w:spacing w:val="14"/>
          <w:sz w:val="21"/>
          <w:szCs w:val="21"/>
          <w:highlight w:val="none"/>
        </w:rPr>
        <w:t>）</w:t>
      </w:r>
      <w:r>
        <w:rPr>
          <w:rFonts w:hint="eastAsia" w:ascii="宋体" w:hAnsi="宋体" w:eastAsia="宋体" w:cs="宋体"/>
          <w:color w:val="auto"/>
          <w:sz w:val="21"/>
          <w:szCs w:val="21"/>
          <w:highlight w:val="none"/>
        </w:rPr>
        <w:t>招标活动中若被确定为中标人，我单位保证在领取中标通知书前按招标文</w:t>
      </w:r>
      <w:r>
        <w:rPr>
          <w:rFonts w:hint="eastAsia" w:ascii="宋体" w:hAnsi="宋体" w:eastAsia="宋体" w:cs="宋体"/>
          <w:color w:val="auto"/>
          <w:szCs w:val="21"/>
          <w:highlight w:val="none"/>
        </w:rPr>
        <w:t>件的规定， 以银行转账或现金的形式， 向贵公司一次性支付代理服务费。</w:t>
      </w:r>
    </w:p>
    <w:p w14:paraId="0096AACA">
      <w:pPr>
        <w:widowControl/>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如我方</w:t>
      </w:r>
      <w:r>
        <w:rPr>
          <w:rFonts w:hint="eastAsia" w:ascii="宋体" w:hAnsi="宋体" w:eastAsia="宋体" w:cs="宋体"/>
          <w:color w:val="auto"/>
          <w:szCs w:val="21"/>
          <w:highlight w:val="none"/>
        </w:rPr>
        <w:t>无正当理由拖延/拒绝支付招标代理服务费用，导致招标代理机构通过诉讼/仲裁维权的，</w:t>
      </w:r>
      <w:r>
        <w:rPr>
          <w:rFonts w:hint="eastAsia" w:ascii="宋体" w:hAnsi="宋体" w:eastAsia="宋体" w:cs="宋体"/>
          <w:color w:val="auto"/>
          <w:szCs w:val="21"/>
          <w:highlight w:val="none"/>
          <w:lang w:eastAsia="zh-CN"/>
        </w:rPr>
        <w:t>我方除支付正常招标代理服务费之外，还</w:t>
      </w:r>
      <w:r>
        <w:rPr>
          <w:rFonts w:hint="eastAsia" w:ascii="宋体" w:hAnsi="宋体" w:eastAsia="宋体" w:cs="宋体"/>
          <w:color w:val="auto"/>
          <w:szCs w:val="21"/>
          <w:highlight w:val="none"/>
        </w:rPr>
        <w:t>应赔偿代理机构维权产生的合理费用，包括但不限于诉讼费、保全费、利息、律师费，差旅费等。</w:t>
      </w:r>
    </w:p>
    <w:p w14:paraId="782C5D51">
      <w:pPr>
        <w:widowControl/>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我公司声明放弃对此提出任何异议和追索的权利。</w:t>
      </w:r>
    </w:p>
    <w:p w14:paraId="40A72C72">
      <w:pPr>
        <w:widowControl/>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576581F7">
      <w:pPr>
        <w:pStyle w:val="15"/>
        <w:spacing w:line="259" w:lineRule="auto"/>
        <w:rPr>
          <w:color w:val="auto"/>
          <w:highlight w:val="none"/>
        </w:rPr>
      </w:pPr>
    </w:p>
    <w:p w14:paraId="1D4AF864">
      <w:pPr>
        <w:pStyle w:val="15"/>
        <w:spacing w:line="260" w:lineRule="auto"/>
        <w:rPr>
          <w:color w:val="auto"/>
          <w:highlight w:val="none"/>
        </w:rPr>
      </w:pPr>
    </w:p>
    <w:p w14:paraId="27225A20">
      <w:pPr>
        <w:pStyle w:val="15"/>
        <w:spacing w:line="260" w:lineRule="auto"/>
        <w:rPr>
          <w:color w:val="auto"/>
          <w:highlight w:val="none"/>
        </w:rPr>
      </w:pPr>
    </w:p>
    <w:p w14:paraId="26E0198F">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（单位电子印章）</w:t>
      </w:r>
    </w:p>
    <w:p w14:paraId="2BD706B9">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（电子签章或签字）</w:t>
      </w:r>
    </w:p>
    <w:p w14:paraId="7FCF87D6">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0631906">
      <w:pPr>
        <w:rPr>
          <w:b/>
          <w:color w:val="auto"/>
          <w:sz w:val="24"/>
          <w:szCs w:val="24"/>
          <w:highlight w:val="none"/>
          <w:lang w:eastAsia="zh-CN"/>
        </w:rPr>
      </w:pPr>
      <w:r>
        <w:rPr>
          <w:b/>
          <w:color w:val="auto"/>
          <w:sz w:val="24"/>
          <w:szCs w:val="24"/>
          <w:highlight w:val="none"/>
          <w:lang w:eastAsia="zh-CN"/>
        </w:rPr>
        <w:br w:type="page"/>
      </w:r>
    </w:p>
    <w:p w14:paraId="5B0A32D3">
      <w:pPr>
        <w:pStyle w:val="172"/>
        <w:outlineLvl w:val="2"/>
        <w:rPr>
          <w:rFonts w:hint="default"/>
          <w:b/>
          <w:color w:val="auto"/>
          <w:sz w:val="24"/>
          <w:szCs w:val="24"/>
          <w:highlight w:val="none"/>
          <w:lang w:eastAsia="zh-CN"/>
        </w:rPr>
      </w:pPr>
      <w:r>
        <w:rPr>
          <w:rFonts w:hint="eastAsia"/>
          <w:b/>
          <w:color w:val="auto"/>
          <w:sz w:val="24"/>
          <w:szCs w:val="24"/>
          <w:highlight w:val="none"/>
          <w:lang w:val="en-US" w:eastAsia="zh-CN"/>
        </w:rPr>
        <w:t>3、</w:t>
      </w:r>
      <w:r>
        <w:rPr>
          <w:b/>
          <w:color w:val="auto"/>
          <w:sz w:val="24"/>
          <w:szCs w:val="24"/>
          <w:highlight w:val="none"/>
          <w:lang w:eastAsia="zh-CN"/>
        </w:rPr>
        <w:t>投标人认为需要提供的其他资料</w:t>
      </w:r>
    </w:p>
    <w:sectPr>
      <w:pgSz w:w="11922" w:h="16838"/>
      <w:pgMar w:top="1417" w:right="1417" w:bottom="1417" w:left="1417" w:header="624" w:footer="624" w:gutter="283"/>
      <w:cols w:space="0" w:num="1"/>
      <w:titlePg/>
      <w:docGrid w:linePitch="3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CBAA3F9-1227-4775-AD4B-FA46CAF0170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690A19C7-B928-433A-A961-9E62364FBE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nsolas">
    <w:panose1 w:val="020B0609020204030204"/>
    <w:charset w:val="00"/>
    <w:family w:val="modern"/>
    <w:pitch w:val="default"/>
    <w:sig w:usb0="E00006FF" w:usb1="0000FCFF" w:usb2="00000001" w:usb3="00000000" w:csb0="6000019F" w:csb1="DFD70000"/>
  </w:font>
  <w:font w:name="华文楷体">
    <w:panose1 w:val="02010600040101010101"/>
    <w:charset w:val="86"/>
    <w:family w:val="auto"/>
    <w:pitch w:val="default"/>
    <w:sig w:usb0="00000287" w:usb1="080F0000" w:usb2="00000000" w:usb3="00000000" w:csb0="0004009F" w:csb1="DFD70000"/>
    <w:embedRegular r:id="rId3" w:fontKey="{00D8D2FB-410E-4D88-AC20-E748FD7C39BF}"/>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embedRegular r:id="rId4" w:fontKey="{8DFF3EAF-A962-4F5E-83C4-19E730CE117E}"/>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Noto Sans CJK JP Regular">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5" w:fontKey="{5D6F9B82-64C9-42F5-AA7D-0E7E586FE512}"/>
  </w:font>
  <w:font w:name="新宋体">
    <w:panose1 w:val="02010609030101010101"/>
    <w:charset w:val="86"/>
    <w:family w:val="modern"/>
    <w:pitch w:val="default"/>
    <w:sig w:usb0="00000203" w:usb1="288F0000" w:usb2="00000006" w:usb3="00000000" w:csb0="00040001" w:csb1="00000000"/>
    <w:embedRegular r:id="rId6" w:fontKey="{AC6E7246-4122-4619-B3D1-3E206B0A34BB}"/>
  </w:font>
  <w:font w:name="华文中宋">
    <w:altName w:val="宋体"/>
    <w:panose1 w:val="02010600040101010101"/>
    <w:charset w:val="86"/>
    <w:family w:val="auto"/>
    <w:pitch w:val="default"/>
    <w:sig w:usb0="00000000" w:usb1="00000000" w:usb2="00000010" w:usb3="00000000" w:csb0="0004009F" w:csb1="00000000"/>
    <w:embedRegular r:id="rId7" w:fontKey="{9D04C861-C091-40B5-A51B-0F5384E497C0}"/>
  </w:font>
  <w:font w:name="WPSEMBED3">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BF235">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19245">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1419245">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282BA">
    <w:pPr>
      <w:pStyle w:val="22"/>
      <w:tabs>
        <w:tab w:val="clear" w:pos="4153"/>
      </w:tabs>
      <w:jc w:val="center"/>
    </w:pPr>
    <w:r>
      <mc:AlternateContent>
        <mc:Choice Requires="wps">
          <w:drawing>
            <wp:anchor distT="0" distB="0" distL="114300" distR="114300" simplePos="0" relativeHeight="251662336" behindDoc="0" locked="0" layoutInCell="1" allowOverlap="1">
              <wp:simplePos x="0" y="0"/>
              <wp:positionH relativeFrom="margin">
                <wp:posOffset>2311400</wp:posOffset>
              </wp:positionH>
              <wp:positionV relativeFrom="paragraph">
                <wp:posOffset>-29845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A1CA1">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82pt;margin-top:-2.35pt;height:144pt;width:144pt;mso-position-horizontal-relative:margin;mso-wrap-style:none;z-index:251662336;mso-width-relative:page;mso-height-relative:page;" filled="f" stroked="f" coordsize="21600,21600" o:gfxdata="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Rr/t+2AAAAAoBAAAPAAAAAAAAAAEAIAAAACIAAABkcnMvZG93bnJldi54bWxQSwECFAAU&#10;AAAACACHTuJAJtVacyoCAABVBAAADgAAAAAAAAABACAAAAAnAQAAZHJzL2Uyb0RvYy54bWxQSwUG&#10;AAAAAAYABgBZAQAAwwUAAAAA&#10;">
              <v:fill on="f" focussize="0,0"/>
              <v:stroke on="f" weight="0.5pt"/>
              <v:imagedata o:title=""/>
              <o:lock v:ext="edit" aspectratio="f"/>
              <v:textbox inset="0mm,0mm,0mm,0mm" style="mso-fit-shape-to-text:t;">
                <w:txbxContent>
                  <w:p w14:paraId="020A1CA1">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90</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A5565">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6C032C">
                          <w:pPr>
                            <w:pStyle w:val="22"/>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127</w:t>
                          </w:r>
                          <w:r>
                            <w:fldChar w:fldCharType="end"/>
                          </w:r>
                          <w:r>
                            <w:t xml:space="preserve"> 页页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76C032C">
                    <w:pPr>
                      <w:pStyle w:val="22"/>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127</w:t>
                    </w:r>
                    <w:r>
                      <w:fldChar w:fldCharType="end"/>
                    </w:r>
                    <w:r>
                      <w:t xml:space="preserve"> 页页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825ED">
    <w:pPr>
      <w:pStyle w:val="2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3D8953">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63D8953">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90</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09254">
    <w:pPr>
      <w:pStyle w:val="2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C39A3">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D5C39A3">
                    <w:pPr>
                      <w:pStyle w:val="2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89AB8">
    <w:pPr>
      <w:pStyle w:val="12"/>
      <w:pBdr>
        <w:bottom w:val="thinThickSmallGap" w:color="800000" w:sz="12" w:space="0"/>
      </w:pBdr>
      <w:spacing w:line="500" w:lineRule="exact"/>
    </w:pPr>
    <w:r>
      <w:rPr>
        <w:rFonts w:hint="eastAsia" w:cs="宋体"/>
        <w:sz w:val="16"/>
        <w:szCs w:val="16"/>
      </w:rPr>
      <w:t>河南省科学院光资源与环境科学研究所红外检测实验平台（二期）项目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819DB">
    <w:pPr>
      <w:pStyle w:val="12"/>
      <w:spacing w:line="500" w:lineRule="exact"/>
      <w:rPr>
        <w:rFonts w:ascii="新宋体" w:hAnsi="新宋体"/>
        <w:color w:val="C0C0C0"/>
        <w:w w:val="13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EB7B">
    <w:pPr>
      <w:pStyle w:val="12"/>
      <w:pBdr>
        <w:bottom w:val="thinThickSmallGap" w:color="800000" w:sz="12" w:space="0"/>
      </w:pBdr>
      <w:spacing w:line="500" w:lineRule="exact"/>
    </w:pPr>
    <w:r>
      <w:rPr>
        <w:rFonts w:hint="eastAsia" w:cs="宋体"/>
        <w:sz w:val="16"/>
        <w:szCs w:val="16"/>
      </w:rPr>
      <w:t>河南省科学院光资源与环境科学研究所红外检测实验平台（二期）项目招标文件</w:t>
    </w:r>
  </w:p>
  <w:p w14:paraId="69F48308">
    <w:pPr>
      <w:pStyle w:val="2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D872E6"/>
    <w:multiLevelType w:val="singleLevel"/>
    <w:tmpl w:val="8ED872E6"/>
    <w:lvl w:ilvl="0" w:tentative="0">
      <w:start w:val="1"/>
      <w:numFmt w:val="decimal"/>
      <w:suff w:val="nothing"/>
      <w:lvlText w:val="%1、"/>
      <w:lvlJc w:val="left"/>
    </w:lvl>
  </w:abstractNum>
  <w:abstractNum w:abstractNumId="1">
    <w:nsid w:val="A8889EFC"/>
    <w:multiLevelType w:val="singleLevel"/>
    <w:tmpl w:val="A8889EFC"/>
    <w:lvl w:ilvl="0" w:tentative="0">
      <w:start w:val="2"/>
      <w:numFmt w:val="chineseCounting"/>
      <w:suff w:val="nothing"/>
      <w:lvlText w:val="（%1）"/>
      <w:lvlJc w:val="left"/>
      <w:rPr>
        <w:rFonts w:hint="eastAsia"/>
      </w:rPr>
    </w:lvl>
  </w:abstractNum>
  <w:abstractNum w:abstractNumId="2">
    <w:nsid w:val="AD3BA99F"/>
    <w:multiLevelType w:val="singleLevel"/>
    <w:tmpl w:val="AD3BA99F"/>
    <w:lvl w:ilvl="0" w:tentative="0">
      <w:start w:val="3"/>
      <w:numFmt w:val="chineseCounting"/>
      <w:suff w:val="space"/>
      <w:lvlText w:val="第%1节"/>
      <w:lvlJc w:val="left"/>
      <w:rPr>
        <w:rFonts w:hint="eastAsia"/>
      </w:rPr>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ECCD0613"/>
    <w:multiLevelType w:val="singleLevel"/>
    <w:tmpl w:val="ECCD0613"/>
    <w:lvl w:ilvl="0" w:tentative="0">
      <w:start w:val="1"/>
      <w:numFmt w:val="decimal"/>
      <w:suff w:val="nothing"/>
      <w:lvlText w:val="%1、"/>
      <w:lvlJc w:val="left"/>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FFFFFFFB"/>
    <w:multiLevelType w:val="multilevel"/>
    <w:tmpl w:val="FFFFFFFB"/>
    <w:lvl w:ilvl="0" w:tentative="0">
      <w:start w:val="1"/>
      <w:numFmt w:val="chineseCountingThousand"/>
      <w:pStyle w:val="2"/>
      <w:lvlText w:val="%1."/>
      <w:legacy w:legacy="1" w:legacySpace="113" w:legacyIndent="425"/>
      <w:lvlJc w:val="left"/>
      <w:pPr>
        <w:ind w:left="425" w:hanging="425"/>
      </w:pPr>
      <w:rPr>
        <w:rFonts w:cs="Times New Roman"/>
      </w:rPr>
    </w:lvl>
    <w:lvl w:ilvl="1" w:tentative="0">
      <w:start w:val="1"/>
      <w:numFmt w:val="decimal"/>
      <w:lvlText w:val="%2."/>
      <w:legacy w:legacy="1" w:legacySpace="0" w:legacyIndent="425"/>
      <w:lvlJc w:val="left"/>
      <w:pPr>
        <w:ind w:left="851" w:hanging="425"/>
      </w:pPr>
      <w:rPr>
        <w:rFonts w:cs="Times New Roman"/>
      </w:rPr>
    </w:lvl>
    <w:lvl w:ilvl="2" w:tentative="0">
      <w:start w:val="1"/>
      <w:numFmt w:val="none"/>
      <w:pStyle w:val="4"/>
      <w:suff w:val="nothing"/>
      <w:lvlText w:val=""/>
      <w:lvlJc w:val="left"/>
      <w:pPr>
        <w:ind w:left="851" w:hanging="425"/>
      </w:pPr>
      <w:rPr>
        <w:rFonts w:cs="Times New Roman"/>
      </w:rPr>
    </w:lvl>
    <w:lvl w:ilvl="3" w:tentative="0">
      <w:start w:val="1"/>
      <w:numFmt w:val="lowerLetter"/>
      <w:pStyle w:val="5"/>
      <w:lvlText w:val="%4)"/>
      <w:legacy w:legacy="1" w:legacySpace="0" w:legacyIndent="425"/>
      <w:lvlJc w:val="left"/>
      <w:pPr>
        <w:ind w:left="1700" w:hanging="425"/>
      </w:pPr>
      <w:rPr>
        <w:rFonts w:cs="Times New Roman"/>
      </w:rPr>
    </w:lvl>
    <w:lvl w:ilvl="4" w:tentative="0">
      <w:start w:val="1"/>
      <w:numFmt w:val="decimal"/>
      <w:pStyle w:val="6"/>
      <w:lvlText w:val="(%5)"/>
      <w:legacy w:legacy="1" w:legacySpace="0" w:legacyIndent="425"/>
      <w:lvlJc w:val="left"/>
      <w:pPr>
        <w:ind w:left="2125" w:hanging="425"/>
      </w:pPr>
      <w:rPr>
        <w:rFonts w:cs="Times New Roman"/>
      </w:rPr>
    </w:lvl>
    <w:lvl w:ilvl="5" w:tentative="0">
      <w:start w:val="1"/>
      <w:numFmt w:val="lowerLetter"/>
      <w:pStyle w:val="7"/>
      <w:lvlText w:val="(%6)"/>
      <w:legacy w:legacy="1" w:legacySpace="0" w:legacyIndent="425"/>
      <w:lvlJc w:val="left"/>
      <w:pPr>
        <w:ind w:left="2550" w:hanging="425"/>
      </w:pPr>
      <w:rPr>
        <w:rFonts w:cs="Times New Roman"/>
      </w:rPr>
    </w:lvl>
    <w:lvl w:ilvl="6" w:tentative="0">
      <w:start w:val="1"/>
      <w:numFmt w:val="lowerRoman"/>
      <w:pStyle w:val="8"/>
      <w:lvlText w:val="(%7)"/>
      <w:legacy w:legacy="1" w:legacySpace="0" w:legacyIndent="425"/>
      <w:lvlJc w:val="left"/>
      <w:pPr>
        <w:ind w:left="2975" w:hanging="425"/>
      </w:pPr>
      <w:rPr>
        <w:rFonts w:cs="Times New Roman"/>
      </w:rPr>
    </w:lvl>
    <w:lvl w:ilvl="7" w:tentative="0">
      <w:start w:val="1"/>
      <w:numFmt w:val="lowerLetter"/>
      <w:pStyle w:val="9"/>
      <w:lvlText w:val="(%8)"/>
      <w:legacy w:legacy="1" w:legacySpace="0" w:legacyIndent="425"/>
      <w:lvlJc w:val="left"/>
      <w:pPr>
        <w:ind w:left="3400" w:hanging="425"/>
      </w:pPr>
      <w:rPr>
        <w:rFonts w:cs="Times New Roman"/>
      </w:rPr>
    </w:lvl>
    <w:lvl w:ilvl="8" w:tentative="0">
      <w:start w:val="1"/>
      <w:numFmt w:val="lowerRoman"/>
      <w:pStyle w:val="10"/>
      <w:lvlText w:val="(%9)"/>
      <w:legacy w:legacy="1" w:legacySpace="0" w:legacyIndent="425"/>
      <w:lvlJc w:val="left"/>
      <w:pPr>
        <w:ind w:left="3825" w:hanging="425"/>
      </w:pPr>
      <w:rPr>
        <w:rFonts w:cs="Times New Roman"/>
      </w:rPr>
    </w:lvl>
  </w:abstractNum>
  <w:abstractNum w:abstractNumId="9">
    <w:nsid w:val="1B6771E7"/>
    <w:multiLevelType w:val="singleLevel"/>
    <w:tmpl w:val="1B6771E7"/>
    <w:lvl w:ilvl="0" w:tentative="0">
      <w:start w:val="1"/>
      <w:numFmt w:val="decimal"/>
      <w:lvlText w:val="%1."/>
      <w:lvlJc w:val="left"/>
      <w:pPr>
        <w:tabs>
          <w:tab w:val="left" w:pos="312"/>
        </w:tabs>
      </w:pPr>
    </w:lvl>
  </w:abstractNum>
  <w:abstractNum w:abstractNumId="10">
    <w:nsid w:val="33DD3C57"/>
    <w:multiLevelType w:val="singleLevel"/>
    <w:tmpl w:val="33DD3C57"/>
    <w:lvl w:ilvl="0" w:tentative="0">
      <w:start w:val="7"/>
      <w:numFmt w:val="decimal"/>
      <w:suff w:val="nothing"/>
      <w:lvlText w:val="（%1）"/>
      <w:lvlJc w:val="left"/>
    </w:lvl>
  </w:abstractNum>
  <w:abstractNum w:abstractNumId="11">
    <w:nsid w:val="61BE4523"/>
    <w:multiLevelType w:val="singleLevel"/>
    <w:tmpl w:val="61BE4523"/>
    <w:lvl w:ilvl="0" w:tentative="0">
      <w:start w:val="3"/>
      <w:numFmt w:val="chineseCounting"/>
      <w:suff w:val="space"/>
      <w:lvlText w:val="第%1章"/>
      <w:lvlJc w:val="left"/>
      <w:rPr>
        <w:rFonts w:hint="eastAsia"/>
      </w:rPr>
    </w:lvl>
  </w:abstractNum>
  <w:abstractNum w:abstractNumId="12">
    <w:nsid w:val="6EE40928"/>
    <w:multiLevelType w:val="singleLevel"/>
    <w:tmpl w:val="6EE40928"/>
    <w:lvl w:ilvl="0" w:tentative="0">
      <w:start w:val="19"/>
      <w:numFmt w:val="decimal"/>
      <w:suff w:val="space"/>
      <w:lvlText w:val="%1."/>
      <w:lvlJc w:val="left"/>
    </w:lvl>
  </w:abstractNum>
  <w:abstractNum w:abstractNumId="13">
    <w:nsid w:val="7A0F6431"/>
    <w:multiLevelType w:val="singleLevel"/>
    <w:tmpl w:val="7A0F6431"/>
    <w:lvl w:ilvl="0" w:tentative="0">
      <w:start w:val="1"/>
      <w:numFmt w:val="decimal"/>
      <w:suff w:val="space"/>
      <w:lvlText w:val="%1."/>
      <w:lvlJc w:val="left"/>
    </w:lvl>
  </w:abstractNum>
  <w:num w:numId="1">
    <w:abstractNumId w:val="8"/>
  </w:num>
  <w:num w:numId="2">
    <w:abstractNumId w:val="11"/>
  </w:num>
  <w:num w:numId="3">
    <w:abstractNumId w:val="13"/>
  </w:num>
  <w:num w:numId="4">
    <w:abstractNumId w:val="3"/>
  </w:num>
  <w:num w:numId="5">
    <w:abstractNumId w:val="10"/>
  </w:num>
  <w:num w:numId="6">
    <w:abstractNumId w:val="7"/>
  </w:num>
  <w:num w:numId="7">
    <w:abstractNumId w:val="5"/>
  </w:num>
  <w:num w:numId="8">
    <w:abstractNumId w:val="4"/>
  </w:num>
  <w:num w:numId="9">
    <w:abstractNumId w:val="12"/>
  </w:num>
  <w:num w:numId="10">
    <w:abstractNumId w:val="2"/>
  </w:num>
  <w:num w:numId="11">
    <w:abstractNumId w:val="9"/>
  </w:num>
  <w:num w:numId="12">
    <w:abstractNumId w:val="6"/>
  </w:num>
  <w:num w:numId="13">
    <w:abstractNumId w:val="0"/>
  </w:num>
  <w:num w:numId="1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中建山河程萌">
    <w15:presenceInfo w15:providerId="None" w15:userId="中建山河程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210"/>
  <w:drawingGridVerticalSpacing w:val="-794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zY2Q5MzE0NTQ4MDNjZDllMjRmOThhMDVkMjMyZmEifQ=="/>
  </w:docVars>
  <w:rsids>
    <w:rsidRoot w:val="00A633CF"/>
    <w:rsid w:val="000110EC"/>
    <w:rsid w:val="00025463"/>
    <w:rsid w:val="00027B57"/>
    <w:rsid w:val="00033FC1"/>
    <w:rsid w:val="000366E9"/>
    <w:rsid w:val="00042722"/>
    <w:rsid w:val="00050236"/>
    <w:rsid w:val="0005617D"/>
    <w:rsid w:val="00077619"/>
    <w:rsid w:val="000939B2"/>
    <w:rsid w:val="000A1311"/>
    <w:rsid w:val="000A23FE"/>
    <w:rsid w:val="000A31A0"/>
    <w:rsid w:val="000A47AD"/>
    <w:rsid w:val="000A4D37"/>
    <w:rsid w:val="000B068C"/>
    <w:rsid w:val="000C6683"/>
    <w:rsid w:val="000E15CA"/>
    <w:rsid w:val="000E3725"/>
    <w:rsid w:val="000F656E"/>
    <w:rsid w:val="001202E3"/>
    <w:rsid w:val="001209EE"/>
    <w:rsid w:val="0013496C"/>
    <w:rsid w:val="0014001B"/>
    <w:rsid w:val="001410F0"/>
    <w:rsid w:val="00141DF7"/>
    <w:rsid w:val="001521E2"/>
    <w:rsid w:val="001539B0"/>
    <w:rsid w:val="00164FF6"/>
    <w:rsid w:val="001657A0"/>
    <w:rsid w:val="00171199"/>
    <w:rsid w:val="00172959"/>
    <w:rsid w:val="001733A6"/>
    <w:rsid w:val="00177E45"/>
    <w:rsid w:val="00191552"/>
    <w:rsid w:val="001B3916"/>
    <w:rsid w:val="001C6FFC"/>
    <w:rsid w:val="001D72E9"/>
    <w:rsid w:val="001E087C"/>
    <w:rsid w:val="001E3D2C"/>
    <w:rsid w:val="00201689"/>
    <w:rsid w:val="002153C7"/>
    <w:rsid w:val="00222A44"/>
    <w:rsid w:val="00223E00"/>
    <w:rsid w:val="00223F74"/>
    <w:rsid w:val="002245B9"/>
    <w:rsid w:val="00233B95"/>
    <w:rsid w:val="00247246"/>
    <w:rsid w:val="00252B65"/>
    <w:rsid w:val="00254C88"/>
    <w:rsid w:val="002559E5"/>
    <w:rsid w:val="0026463B"/>
    <w:rsid w:val="002940AA"/>
    <w:rsid w:val="00294AB2"/>
    <w:rsid w:val="0029571D"/>
    <w:rsid w:val="002A0478"/>
    <w:rsid w:val="002A30A2"/>
    <w:rsid w:val="002B1F5B"/>
    <w:rsid w:val="002C18C1"/>
    <w:rsid w:val="002C7610"/>
    <w:rsid w:val="002D0098"/>
    <w:rsid w:val="002D09C7"/>
    <w:rsid w:val="002D1F66"/>
    <w:rsid w:val="002D2C76"/>
    <w:rsid w:val="002D483F"/>
    <w:rsid w:val="002F1F9B"/>
    <w:rsid w:val="002F611A"/>
    <w:rsid w:val="00302AB3"/>
    <w:rsid w:val="003040DD"/>
    <w:rsid w:val="00320650"/>
    <w:rsid w:val="003260BC"/>
    <w:rsid w:val="00327FEF"/>
    <w:rsid w:val="003307D1"/>
    <w:rsid w:val="00330C02"/>
    <w:rsid w:val="00331595"/>
    <w:rsid w:val="00333D84"/>
    <w:rsid w:val="003344A4"/>
    <w:rsid w:val="00357868"/>
    <w:rsid w:val="003615CC"/>
    <w:rsid w:val="00364327"/>
    <w:rsid w:val="00366F1F"/>
    <w:rsid w:val="00377E95"/>
    <w:rsid w:val="0038100B"/>
    <w:rsid w:val="00392139"/>
    <w:rsid w:val="00392853"/>
    <w:rsid w:val="0039781F"/>
    <w:rsid w:val="003D068E"/>
    <w:rsid w:val="003D3CE9"/>
    <w:rsid w:val="003E16F9"/>
    <w:rsid w:val="003E508B"/>
    <w:rsid w:val="003E6B3A"/>
    <w:rsid w:val="003F3697"/>
    <w:rsid w:val="003F48E7"/>
    <w:rsid w:val="0040269A"/>
    <w:rsid w:val="00406ACC"/>
    <w:rsid w:val="00412FBC"/>
    <w:rsid w:val="004173E3"/>
    <w:rsid w:val="00426362"/>
    <w:rsid w:val="004305A8"/>
    <w:rsid w:val="004421D4"/>
    <w:rsid w:val="004600B8"/>
    <w:rsid w:val="004604B6"/>
    <w:rsid w:val="004620DA"/>
    <w:rsid w:val="00466F8C"/>
    <w:rsid w:val="00476B93"/>
    <w:rsid w:val="004A1E53"/>
    <w:rsid w:val="004C034D"/>
    <w:rsid w:val="004C6199"/>
    <w:rsid w:val="004C7438"/>
    <w:rsid w:val="004C7AED"/>
    <w:rsid w:val="004D7679"/>
    <w:rsid w:val="004E0DFB"/>
    <w:rsid w:val="004E2247"/>
    <w:rsid w:val="004E50B1"/>
    <w:rsid w:val="004E6DED"/>
    <w:rsid w:val="0050707E"/>
    <w:rsid w:val="00531329"/>
    <w:rsid w:val="005333E8"/>
    <w:rsid w:val="00540315"/>
    <w:rsid w:val="005447D8"/>
    <w:rsid w:val="00546471"/>
    <w:rsid w:val="00552335"/>
    <w:rsid w:val="005634CB"/>
    <w:rsid w:val="00564FFD"/>
    <w:rsid w:val="005761D9"/>
    <w:rsid w:val="005770B3"/>
    <w:rsid w:val="005810A3"/>
    <w:rsid w:val="0058456A"/>
    <w:rsid w:val="00596818"/>
    <w:rsid w:val="005A45A2"/>
    <w:rsid w:val="005B68FD"/>
    <w:rsid w:val="005C217A"/>
    <w:rsid w:val="005D446A"/>
    <w:rsid w:val="005D4B35"/>
    <w:rsid w:val="005E0079"/>
    <w:rsid w:val="005E15D9"/>
    <w:rsid w:val="005F4E9B"/>
    <w:rsid w:val="005F6330"/>
    <w:rsid w:val="00601C67"/>
    <w:rsid w:val="006078F7"/>
    <w:rsid w:val="006144DD"/>
    <w:rsid w:val="00614BAE"/>
    <w:rsid w:val="00621011"/>
    <w:rsid w:val="00621D0B"/>
    <w:rsid w:val="006266AF"/>
    <w:rsid w:val="00627337"/>
    <w:rsid w:val="00631ED5"/>
    <w:rsid w:val="006328DB"/>
    <w:rsid w:val="00647498"/>
    <w:rsid w:val="00655516"/>
    <w:rsid w:val="00660DEC"/>
    <w:rsid w:val="0066514F"/>
    <w:rsid w:val="006757F0"/>
    <w:rsid w:val="00680980"/>
    <w:rsid w:val="00680E68"/>
    <w:rsid w:val="006901BD"/>
    <w:rsid w:val="00692001"/>
    <w:rsid w:val="0069256E"/>
    <w:rsid w:val="006A7450"/>
    <w:rsid w:val="006C3353"/>
    <w:rsid w:val="006C5163"/>
    <w:rsid w:val="006D3D11"/>
    <w:rsid w:val="006E7910"/>
    <w:rsid w:val="006F0E60"/>
    <w:rsid w:val="006F319A"/>
    <w:rsid w:val="007036D9"/>
    <w:rsid w:val="007061AB"/>
    <w:rsid w:val="00734F51"/>
    <w:rsid w:val="00744B09"/>
    <w:rsid w:val="00744B1F"/>
    <w:rsid w:val="007554C9"/>
    <w:rsid w:val="00771D0C"/>
    <w:rsid w:val="0077320A"/>
    <w:rsid w:val="00780B0E"/>
    <w:rsid w:val="00790E2D"/>
    <w:rsid w:val="007A5CF7"/>
    <w:rsid w:val="007B4009"/>
    <w:rsid w:val="007F106A"/>
    <w:rsid w:val="007F485C"/>
    <w:rsid w:val="00806E5F"/>
    <w:rsid w:val="008103EA"/>
    <w:rsid w:val="008121A6"/>
    <w:rsid w:val="00823A08"/>
    <w:rsid w:val="008300C5"/>
    <w:rsid w:val="00830590"/>
    <w:rsid w:val="00843CC5"/>
    <w:rsid w:val="00853BA1"/>
    <w:rsid w:val="008559F8"/>
    <w:rsid w:val="008577D8"/>
    <w:rsid w:val="00863B59"/>
    <w:rsid w:val="00866594"/>
    <w:rsid w:val="00876D99"/>
    <w:rsid w:val="00881927"/>
    <w:rsid w:val="00882404"/>
    <w:rsid w:val="00895F11"/>
    <w:rsid w:val="008A1BC0"/>
    <w:rsid w:val="008A5EC9"/>
    <w:rsid w:val="008A75B0"/>
    <w:rsid w:val="008B495F"/>
    <w:rsid w:val="008C6926"/>
    <w:rsid w:val="008D3405"/>
    <w:rsid w:val="008E4E0C"/>
    <w:rsid w:val="008E725D"/>
    <w:rsid w:val="008F19EC"/>
    <w:rsid w:val="008F67BD"/>
    <w:rsid w:val="008F6BF7"/>
    <w:rsid w:val="0090240E"/>
    <w:rsid w:val="00922254"/>
    <w:rsid w:val="00924D8D"/>
    <w:rsid w:val="009263BC"/>
    <w:rsid w:val="009271F3"/>
    <w:rsid w:val="009276F4"/>
    <w:rsid w:val="00930E06"/>
    <w:rsid w:val="0095678D"/>
    <w:rsid w:val="00966D6D"/>
    <w:rsid w:val="00995F6D"/>
    <w:rsid w:val="009B6D40"/>
    <w:rsid w:val="009C5FA3"/>
    <w:rsid w:val="009D064E"/>
    <w:rsid w:val="009D4DD5"/>
    <w:rsid w:val="009E7689"/>
    <w:rsid w:val="009E779F"/>
    <w:rsid w:val="009F07B7"/>
    <w:rsid w:val="009F2C2C"/>
    <w:rsid w:val="009F396B"/>
    <w:rsid w:val="009F4D13"/>
    <w:rsid w:val="009F65E7"/>
    <w:rsid w:val="00A14D12"/>
    <w:rsid w:val="00A17A76"/>
    <w:rsid w:val="00A27975"/>
    <w:rsid w:val="00A30303"/>
    <w:rsid w:val="00A3296E"/>
    <w:rsid w:val="00A333AC"/>
    <w:rsid w:val="00A35D5E"/>
    <w:rsid w:val="00A50755"/>
    <w:rsid w:val="00A51025"/>
    <w:rsid w:val="00A5130E"/>
    <w:rsid w:val="00A54E96"/>
    <w:rsid w:val="00A553AF"/>
    <w:rsid w:val="00A633CF"/>
    <w:rsid w:val="00A64B3E"/>
    <w:rsid w:val="00A677D5"/>
    <w:rsid w:val="00A724D6"/>
    <w:rsid w:val="00A73910"/>
    <w:rsid w:val="00A73A94"/>
    <w:rsid w:val="00A870ED"/>
    <w:rsid w:val="00A93A48"/>
    <w:rsid w:val="00A952CB"/>
    <w:rsid w:val="00A95C5D"/>
    <w:rsid w:val="00AA4573"/>
    <w:rsid w:val="00AB00C8"/>
    <w:rsid w:val="00AC5356"/>
    <w:rsid w:val="00AD228F"/>
    <w:rsid w:val="00AE01F2"/>
    <w:rsid w:val="00AF61C9"/>
    <w:rsid w:val="00B0721F"/>
    <w:rsid w:val="00B10C62"/>
    <w:rsid w:val="00B129AE"/>
    <w:rsid w:val="00B17099"/>
    <w:rsid w:val="00B3101B"/>
    <w:rsid w:val="00B37711"/>
    <w:rsid w:val="00B478ED"/>
    <w:rsid w:val="00B50435"/>
    <w:rsid w:val="00B57AEA"/>
    <w:rsid w:val="00B6472E"/>
    <w:rsid w:val="00B66B73"/>
    <w:rsid w:val="00B66F85"/>
    <w:rsid w:val="00BB1A4B"/>
    <w:rsid w:val="00BB3F71"/>
    <w:rsid w:val="00BC7AA7"/>
    <w:rsid w:val="00BE6513"/>
    <w:rsid w:val="00BF0948"/>
    <w:rsid w:val="00BF0E19"/>
    <w:rsid w:val="00C0154D"/>
    <w:rsid w:val="00C0618B"/>
    <w:rsid w:val="00C22B4D"/>
    <w:rsid w:val="00C24802"/>
    <w:rsid w:val="00C3345C"/>
    <w:rsid w:val="00C33908"/>
    <w:rsid w:val="00C37944"/>
    <w:rsid w:val="00C528CE"/>
    <w:rsid w:val="00C621A8"/>
    <w:rsid w:val="00C90411"/>
    <w:rsid w:val="00C91302"/>
    <w:rsid w:val="00C9776C"/>
    <w:rsid w:val="00CA324F"/>
    <w:rsid w:val="00CA7EEA"/>
    <w:rsid w:val="00CB2B96"/>
    <w:rsid w:val="00CB6B44"/>
    <w:rsid w:val="00CB75E7"/>
    <w:rsid w:val="00CC69D5"/>
    <w:rsid w:val="00CD143B"/>
    <w:rsid w:val="00CF798D"/>
    <w:rsid w:val="00D04489"/>
    <w:rsid w:val="00D06C91"/>
    <w:rsid w:val="00D231A6"/>
    <w:rsid w:val="00D301F7"/>
    <w:rsid w:val="00D369B3"/>
    <w:rsid w:val="00D42ED9"/>
    <w:rsid w:val="00D43F45"/>
    <w:rsid w:val="00D5120E"/>
    <w:rsid w:val="00D51960"/>
    <w:rsid w:val="00D52E46"/>
    <w:rsid w:val="00D60B12"/>
    <w:rsid w:val="00D77693"/>
    <w:rsid w:val="00D77D8E"/>
    <w:rsid w:val="00D83BD7"/>
    <w:rsid w:val="00DA1A3F"/>
    <w:rsid w:val="00DA7A4C"/>
    <w:rsid w:val="00DC0447"/>
    <w:rsid w:val="00DD01AE"/>
    <w:rsid w:val="00DD3A1C"/>
    <w:rsid w:val="00DD54DE"/>
    <w:rsid w:val="00DD5858"/>
    <w:rsid w:val="00DF19DB"/>
    <w:rsid w:val="00DF51CA"/>
    <w:rsid w:val="00E01B30"/>
    <w:rsid w:val="00E038AE"/>
    <w:rsid w:val="00E04C04"/>
    <w:rsid w:val="00E05CAB"/>
    <w:rsid w:val="00E14408"/>
    <w:rsid w:val="00E14F64"/>
    <w:rsid w:val="00E35D0E"/>
    <w:rsid w:val="00E4428C"/>
    <w:rsid w:val="00E46C54"/>
    <w:rsid w:val="00E56425"/>
    <w:rsid w:val="00E60306"/>
    <w:rsid w:val="00E77597"/>
    <w:rsid w:val="00E81271"/>
    <w:rsid w:val="00E87DA6"/>
    <w:rsid w:val="00E934A3"/>
    <w:rsid w:val="00EA047C"/>
    <w:rsid w:val="00EA7A0D"/>
    <w:rsid w:val="00EB78D3"/>
    <w:rsid w:val="00EC16B2"/>
    <w:rsid w:val="00EC393D"/>
    <w:rsid w:val="00EC4502"/>
    <w:rsid w:val="00EC65B4"/>
    <w:rsid w:val="00ED12E2"/>
    <w:rsid w:val="00ED17F0"/>
    <w:rsid w:val="00ED3DB7"/>
    <w:rsid w:val="00EE4601"/>
    <w:rsid w:val="00EF471A"/>
    <w:rsid w:val="00F116F8"/>
    <w:rsid w:val="00F11D65"/>
    <w:rsid w:val="00F13838"/>
    <w:rsid w:val="00F1563B"/>
    <w:rsid w:val="00F223FC"/>
    <w:rsid w:val="00F23098"/>
    <w:rsid w:val="00F23B0D"/>
    <w:rsid w:val="00F41F5E"/>
    <w:rsid w:val="00F47B22"/>
    <w:rsid w:val="00F52A8D"/>
    <w:rsid w:val="00F57FEF"/>
    <w:rsid w:val="00F619A2"/>
    <w:rsid w:val="00F6543D"/>
    <w:rsid w:val="00F718F2"/>
    <w:rsid w:val="00F74110"/>
    <w:rsid w:val="00F832EA"/>
    <w:rsid w:val="00F84532"/>
    <w:rsid w:val="00F84D40"/>
    <w:rsid w:val="00F920A6"/>
    <w:rsid w:val="00F929EB"/>
    <w:rsid w:val="00FA45F2"/>
    <w:rsid w:val="00FA610C"/>
    <w:rsid w:val="00FB1DBF"/>
    <w:rsid w:val="00FC62D3"/>
    <w:rsid w:val="00FD7384"/>
    <w:rsid w:val="00FF256A"/>
    <w:rsid w:val="010468FB"/>
    <w:rsid w:val="010F1DA1"/>
    <w:rsid w:val="011253ED"/>
    <w:rsid w:val="01235B0A"/>
    <w:rsid w:val="013B48B1"/>
    <w:rsid w:val="013D5CC2"/>
    <w:rsid w:val="01401F5A"/>
    <w:rsid w:val="014C6B51"/>
    <w:rsid w:val="014F4893"/>
    <w:rsid w:val="015123B9"/>
    <w:rsid w:val="01620E31"/>
    <w:rsid w:val="01A12E93"/>
    <w:rsid w:val="01B3619C"/>
    <w:rsid w:val="01B96661"/>
    <w:rsid w:val="01C63133"/>
    <w:rsid w:val="01CA3F1A"/>
    <w:rsid w:val="01CC1A40"/>
    <w:rsid w:val="01E12691"/>
    <w:rsid w:val="01F312EA"/>
    <w:rsid w:val="023D293E"/>
    <w:rsid w:val="02425A7E"/>
    <w:rsid w:val="024831C2"/>
    <w:rsid w:val="02533F0F"/>
    <w:rsid w:val="025C1016"/>
    <w:rsid w:val="026B3007"/>
    <w:rsid w:val="027F235A"/>
    <w:rsid w:val="02896512"/>
    <w:rsid w:val="029D217C"/>
    <w:rsid w:val="02A975E9"/>
    <w:rsid w:val="02E90A19"/>
    <w:rsid w:val="03201783"/>
    <w:rsid w:val="0320446A"/>
    <w:rsid w:val="0323483B"/>
    <w:rsid w:val="03241D96"/>
    <w:rsid w:val="033D72BC"/>
    <w:rsid w:val="037B196F"/>
    <w:rsid w:val="039667A9"/>
    <w:rsid w:val="039D04A3"/>
    <w:rsid w:val="03C82140"/>
    <w:rsid w:val="04194CE4"/>
    <w:rsid w:val="041B1889"/>
    <w:rsid w:val="04277401"/>
    <w:rsid w:val="04357D70"/>
    <w:rsid w:val="043E429C"/>
    <w:rsid w:val="04625914"/>
    <w:rsid w:val="04635C6F"/>
    <w:rsid w:val="048C038D"/>
    <w:rsid w:val="04954A53"/>
    <w:rsid w:val="049D2F22"/>
    <w:rsid w:val="04A25DB0"/>
    <w:rsid w:val="04B0389B"/>
    <w:rsid w:val="04B75381"/>
    <w:rsid w:val="04BC3FEE"/>
    <w:rsid w:val="04BC5360"/>
    <w:rsid w:val="04D01847"/>
    <w:rsid w:val="04D9665A"/>
    <w:rsid w:val="04DF5F2E"/>
    <w:rsid w:val="050B0AD1"/>
    <w:rsid w:val="053979D4"/>
    <w:rsid w:val="054166BC"/>
    <w:rsid w:val="054F58B7"/>
    <w:rsid w:val="05534B36"/>
    <w:rsid w:val="0568160E"/>
    <w:rsid w:val="056B57EE"/>
    <w:rsid w:val="056B77C2"/>
    <w:rsid w:val="05926AFC"/>
    <w:rsid w:val="05995C27"/>
    <w:rsid w:val="059C5BCD"/>
    <w:rsid w:val="059F550F"/>
    <w:rsid w:val="05BB24F7"/>
    <w:rsid w:val="061249F3"/>
    <w:rsid w:val="0623356C"/>
    <w:rsid w:val="06345CDA"/>
    <w:rsid w:val="06450847"/>
    <w:rsid w:val="06526B6D"/>
    <w:rsid w:val="065A1D10"/>
    <w:rsid w:val="065F53CD"/>
    <w:rsid w:val="066C559F"/>
    <w:rsid w:val="06A50AB1"/>
    <w:rsid w:val="06E65352"/>
    <w:rsid w:val="06EB6E0C"/>
    <w:rsid w:val="06F061D0"/>
    <w:rsid w:val="071149CE"/>
    <w:rsid w:val="0717375D"/>
    <w:rsid w:val="072C44ED"/>
    <w:rsid w:val="07320597"/>
    <w:rsid w:val="07355433"/>
    <w:rsid w:val="073C0ED4"/>
    <w:rsid w:val="07416A2C"/>
    <w:rsid w:val="075C28A3"/>
    <w:rsid w:val="07834FAC"/>
    <w:rsid w:val="07A663A6"/>
    <w:rsid w:val="07BF5211"/>
    <w:rsid w:val="07D909C7"/>
    <w:rsid w:val="07D93108"/>
    <w:rsid w:val="07DE427B"/>
    <w:rsid w:val="07E53700"/>
    <w:rsid w:val="07F13FAE"/>
    <w:rsid w:val="07F341CA"/>
    <w:rsid w:val="07F95559"/>
    <w:rsid w:val="080056E9"/>
    <w:rsid w:val="0813172F"/>
    <w:rsid w:val="082500FC"/>
    <w:rsid w:val="08287FD9"/>
    <w:rsid w:val="0831084F"/>
    <w:rsid w:val="08320A23"/>
    <w:rsid w:val="08431076"/>
    <w:rsid w:val="084B239C"/>
    <w:rsid w:val="08507CAF"/>
    <w:rsid w:val="0858402D"/>
    <w:rsid w:val="08766BA9"/>
    <w:rsid w:val="087A30DD"/>
    <w:rsid w:val="087D5842"/>
    <w:rsid w:val="08A92ADB"/>
    <w:rsid w:val="08BE77B5"/>
    <w:rsid w:val="08C16F79"/>
    <w:rsid w:val="08D01723"/>
    <w:rsid w:val="08D35DAA"/>
    <w:rsid w:val="08D77648"/>
    <w:rsid w:val="08D86F1C"/>
    <w:rsid w:val="08DA08BA"/>
    <w:rsid w:val="08DB219A"/>
    <w:rsid w:val="08F36A04"/>
    <w:rsid w:val="091A7535"/>
    <w:rsid w:val="09202B8C"/>
    <w:rsid w:val="092263E9"/>
    <w:rsid w:val="0926237D"/>
    <w:rsid w:val="09287EA3"/>
    <w:rsid w:val="09324036"/>
    <w:rsid w:val="0946032A"/>
    <w:rsid w:val="09475E50"/>
    <w:rsid w:val="09524F20"/>
    <w:rsid w:val="096864F2"/>
    <w:rsid w:val="096D7AD9"/>
    <w:rsid w:val="096F4441"/>
    <w:rsid w:val="0972111F"/>
    <w:rsid w:val="09734AA1"/>
    <w:rsid w:val="09A33F5B"/>
    <w:rsid w:val="09B4048F"/>
    <w:rsid w:val="09D45DF8"/>
    <w:rsid w:val="09E15147"/>
    <w:rsid w:val="0A075CA9"/>
    <w:rsid w:val="0A0A57FB"/>
    <w:rsid w:val="0A0B50CF"/>
    <w:rsid w:val="0A12645E"/>
    <w:rsid w:val="0A3B59B5"/>
    <w:rsid w:val="0A430D0D"/>
    <w:rsid w:val="0A472688"/>
    <w:rsid w:val="0A7100A0"/>
    <w:rsid w:val="0A7B4003"/>
    <w:rsid w:val="0ACF434F"/>
    <w:rsid w:val="0AD61B81"/>
    <w:rsid w:val="0ADC0886"/>
    <w:rsid w:val="0AE468D6"/>
    <w:rsid w:val="0AE71698"/>
    <w:rsid w:val="0AE9430C"/>
    <w:rsid w:val="0AFA5870"/>
    <w:rsid w:val="0B00275A"/>
    <w:rsid w:val="0B0F38F8"/>
    <w:rsid w:val="0B1C1D90"/>
    <w:rsid w:val="0B2A4EC5"/>
    <w:rsid w:val="0B306D5D"/>
    <w:rsid w:val="0B3222C4"/>
    <w:rsid w:val="0B354AFA"/>
    <w:rsid w:val="0B753148"/>
    <w:rsid w:val="0B7D76AD"/>
    <w:rsid w:val="0B7E024F"/>
    <w:rsid w:val="0B9510F4"/>
    <w:rsid w:val="0B974E6D"/>
    <w:rsid w:val="0B9A722C"/>
    <w:rsid w:val="0BA457DB"/>
    <w:rsid w:val="0BAD2117"/>
    <w:rsid w:val="0BAD28E2"/>
    <w:rsid w:val="0BCA3494"/>
    <w:rsid w:val="0BD936D7"/>
    <w:rsid w:val="0BE715C2"/>
    <w:rsid w:val="0BF056CB"/>
    <w:rsid w:val="0BF51D33"/>
    <w:rsid w:val="0C0D15D3"/>
    <w:rsid w:val="0C25691C"/>
    <w:rsid w:val="0C267E1D"/>
    <w:rsid w:val="0C525237"/>
    <w:rsid w:val="0C547201"/>
    <w:rsid w:val="0C7B653C"/>
    <w:rsid w:val="0C8573BB"/>
    <w:rsid w:val="0C8A2C23"/>
    <w:rsid w:val="0C8C4A6B"/>
    <w:rsid w:val="0C913FB2"/>
    <w:rsid w:val="0C9E7A71"/>
    <w:rsid w:val="0CBB026A"/>
    <w:rsid w:val="0CBD0903"/>
    <w:rsid w:val="0CBE53E2"/>
    <w:rsid w:val="0CD0741C"/>
    <w:rsid w:val="0D0522AA"/>
    <w:rsid w:val="0D1C7510"/>
    <w:rsid w:val="0D2114F4"/>
    <w:rsid w:val="0D330BC5"/>
    <w:rsid w:val="0D441024"/>
    <w:rsid w:val="0D58687D"/>
    <w:rsid w:val="0D613EA2"/>
    <w:rsid w:val="0D7B09F1"/>
    <w:rsid w:val="0D805053"/>
    <w:rsid w:val="0D933D59"/>
    <w:rsid w:val="0D9B08B8"/>
    <w:rsid w:val="0DD405FA"/>
    <w:rsid w:val="0E176739"/>
    <w:rsid w:val="0E1C3D4F"/>
    <w:rsid w:val="0E3177FA"/>
    <w:rsid w:val="0E743502"/>
    <w:rsid w:val="0E9164DF"/>
    <w:rsid w:val="0E922FED"/>
    <w:rsid w:val="0EA93835"/>
    <w:rsid w:val="0EC86A0D"/>
    <w:rsid w:val="0ED939EE"/>
    <w:rsid w:val="0EDD2542"/>
    <w:rsid w:val="0F0F11BE"/>
    <w:rsid w:val="0F1130C0"/>
    <w:rsid w:val="0F2C6F70"/>
    <w:rsid w:val="0F452E31"/>
    <w:rsid w:val="0F73513F"/>
    <w:rsid w:val="0F7554C5"/>
    <w:rsid w:val="0F890F70"/>
    <w:rsid w:val="0F9022FF"/>
    <w:rsid w:val="0FC63F72"/>
    <w:rsid w:val="0FC65D20"/>
    <w:rsid w:val="0FE151E5"/>
    <w:rsid w:val="0FE86907"/>
    <w:rsid w:val="0FEC465E"/>
    <w:rsid w:val="0FF83FE9"/>
    <w:rsid w:val="0FF860F6"/>
    <w:rsid w:val="0FFC1742"/>
    <w:rsid w:val="100D7B8C"/>
    <w:rsid w:val="1017020D"/>
    <w:rsid w:val="101953C4"/>
    <w:rsid w:val="103C68E7"/>
    <w:rsid w:val="103E4516"/>
    <w:rsid w:val="10645539"/>
    <w:rsid w:val="106638CC"/>
    <w:rsid w:val="106816EF"/>
    <w:rsid w:val="106835DE"/>
    <w:rsid w:val="106B4B1A"/>
    <w:rsid w:val="106F63B8"/>
    <w:rsid w:val="107B4D5D"/>
    <w:rsid w:val="107C6D27"/>
    <w:rsid w:val="10881228"/>
    <w:rsid w:val="108A4FA0"/>
    <w:rsid w:val="108D5ABF"/>
    <w:rsid w:val="109531FC"/>
    <w:rsid w:val="10BB0D34"/>
    <w:rsid w:val="10BE4C49"/>
    <w:rsid w:val="10CD1330"/>
    <w:rsid w:val="10D34B99"/>
    <w:rsid w:val="10DB3A4D"/>
    <w:rsid w:val="10E32D0D"/>
    <w:rsid w:val="10E4150A"/>
    <w:rsid w:val="1112388E"/>
    <w:rsid w:val="112F7E8F"/>
    <w:rsid w:val="1134315E"/>
    <w:rsid w:val="11382DD4"/>
    <w:rsid w:val="113D0264"/>
    <w:rsid w:val="11802A9D"/>
    <w:rsid w:val="11847C41"/>
    <w:rsid w:val="118706F3"/>
    <w:rsid w:val="1189484A"/>
    <w:rsid w:val="11A93B4C"/>
    <w:rsid w:val="11AB1672"/>
    <w:rsid w:val="11D706B9"/>
    <w:rsid w:val="11EF7427"/>
    <w:rsid w:val="11F64A0A"/>
    <w:rsid w:val="11F823DD"/>
    <w:rsid w:val="11F8740F"/>
    <w:rsid w:val="121D1E44"/>
    <w:rsid w:val="122B6444"/>
    <w:rsid w:val="122E5E1C"/>
    <w:rsid w:val="122F67F7"/>
    <w:rsid w:val="12372F05"/>
    <w:rsid w:val="12490E8B"/>
    <w:rsid w:val="12511B36"/>
    <w:rsid w:val="126F08F1"/>
    <w:rsid w:val="127F5D48"/>
    <w:rsid w:val="129245E0"/>
    <w:rsid w:val="12B409FA"/>
    <w:rsid w:val="12BA2945"/>
    <w:rsid w:val="12BB27C8"/>
    <w:rsid w:val="12C0274B"/>
    <w:rsid w:val="12DB247A"/>
    <w:rsid w:val="12DE7825"/>
    <w:rsid w:val="12E070F9"/>
    <w:rsid w:val="12F02051"/>
    <w:rsid w:val="12F42BA4"/>
    <w:rsid w:val="12F62DC0"/>
    <w:rsid w:val="12FE1373"/>
    <w:rsid w:val="130A724C"/>
    <w:rsid w:val="131B2827"/>
    <w:rsid w:val="1324605E"/>
    <w:rsid w:val="1338461B"/>
    <w:rsid w:val="1340228E"/>
    <w:rsid w:val="135F7871"/>
    <w:rsid w:val="13742C42"/>
    <w:rsid w:val="13765CAF"/>
    <w:rsid w:val="137C5A85"/>
    <w:rsid w:val="13985C26"/>
    <w:rsid w:val="139B5716"/>
    <w:rsid w:val="13A46379"/>
    <w:rsid w:val="13B87084"/>
    <w:rsid w:val="13C54541"/>
    <w:rsid w:val="13C5585C"/>
    <w:rsid w:val="13C65F7C"/>
    <w:rsid w:val="13CE5AEB"/>
    <w:rsid w:val="13E744B7"/>
    <w:rsid w:val="14155180"/>
    <w:rsid w:val="142B0848"/>
    <w:rsid w:val="14305E5E"/>
    <w:rsid w:val="14333BA0"/>
    <w:rsid w:val="14707830"/>
    <w:rsid w:val="148D505F"/>
    <w:rsid w:val="149E54BE"/>
    <w:rsid w:val="14A779A2"/>
    <w:rsid w:val="14B44CE1"/>
    <w:rsid w:val="14B85614"/>
    <w:rsid w:val="14BA5D6D"/>
    <w:rsid w:val="14CC2FE4"/>
    <w:rsid w:val="14F5074A"/>
    <w:rsid w:val="14FA5606"/>
    <w:rsid w:val="14FE41AE"/>
    <w:rsid w:val="150C0679"/>
    <w:rsid w:val="152D3042"/>
    <w:rsid w:val="153176B5"/>
    <w:rsid w:val="155F3BEE"/>
    <w:rsid w:val="155F49F6"/>
    <w:rsid w:val="157B14CD"/>
    <w:rsid w:val="158A3C94"/>
    <w:rsid w:val="15A24B3A"/>
    <w:rsid w:val="15A57AFA"/>
    <w:rsid w:val="15B16692"/>
    <w:rsid w:val="15B4486D"/>
    <w:rsid w:val="15E1607E"/>
    <w:rsid w:val="15EC04AB"/>
    <w:rsid w:val="15F15AC1"/>
    <w:rsid w:val="15FF01DE"/>
    <w:rsid w:val="166513BE"/>
    <w:rsid w:val="166B13D0"/>
    <w:rsid w:val="16806AF2"/>
    <w:rsid w:val="16900E36"/>
    <w:rsid w:val="16976811"/>
    <w:rsid w:val="16AC5F27"/>
    <w:rsid w:val="16BA4105"/>
    <w:rsid w:val="16BE3BF5"/>
    <w:rsid w:val="16E178E4"/>
    <w:rsid w:val="16F2389F"/>
    <w:rsid w:val="16FC296F"/>
    <w:rsid w:val="170B180B"/>
    <w:rsid w:val="17273D33"/>
    <w:rsid w:val="173E4D36"/>
    <w:rsid w:val="174A03C5"/>
    <w:rsid w:val="17567B57"/>
    <w:rsid w:val="175B5C19"/>
    <w:rsid w:val="17852965"/>
    <w:rsid w:val="179B5CE4"/>
    <w:rsid w:val="179D6387"/>
    <w:rsid w:val="17A76437"/>
    <w:rsid w:val="17BB10F0"/>
    <w:rsid w:val="17C2573F"/>
    <w:rsid w:val="17CC0594"/>
    <w:rsid w:val="17D7406B"/>
    <w:rsid w:val="17D80CE7"/>
    <w:rsid w:val="17DF775F"/>
    <w:rsid w:val="17E057D7"/>
    <w:rsid w:val="17ED620D"/>
    <w:rsid w:val="17FF44C5"/>
    <w:rsid w:val="180E295A"/>
    <w:rsid w:val="1821268E"/>
    <w:rsid w:val="18285F1D"/>
    <w:rsid w:val="182D4AF6"/>
    <w:rsid w:val="183028D1"/>
    <w:rsid w:val="18397C4D"/>
    <w:rsid w:val="184E61EE"/>
    <w:rsid w:val="185365BF"/>
    <w:rsid w:val="185709D3"/>
    <w:rsid w:val="186E164B"/>
    <w:rsid w:val="18700F1F"/>
    <w:rsid w:val="1876005D"/>
    <w:rsid w:val="187F73B4"/>
    <w:rsid w:val="18916735"/>
    <w:rsid w:val="18AD0DAE"/>
    <w:rsid w:val="18BC31EC"/>
    <w:rsid w:val="18D47F0F"/>
    <w:rsid w:val="18DD7653"/>
    <w:rsid w:val="190873AA"/>
    <w:rsid w:val="192266C1"/>
    <w:rsid w:val="19256F64"/>
    <w:rsid w:val="192B218B"/>
    <w:rsid w:val="192D5062"/>
    <w:rsid w:val="193E2DCB"/>
    <w:rsid w:val="19506345"/>
    <w:rsid w:val="1950650E"/>
    <w:rsid w:val="19550115"/>
    <w:rsid w:val="19581F4D"/>
    <w:rsid w:val="196565AA"/>
    <w:rsid w:val="1969465F"/>
    <w:rsid w:val="196A6A3A"/>
    <w:rsid w:val="19807126"/>
    <w:rsid w:val="1981715C"/>
    <w:rsid w:val="1986413D"/>
    <w:rsid w:val="19BB08C0"/>
    <w:rsid w:val="19BF7372"/>
    <w:rsid w:val="19C80BAA"/>
    <w:rsid w:val="19D47410"/>
    <w:rsid w:val="19EF056A"/>
    <w:rsid w:val="1A0F5932"/>
    <w:rsid w:val="1A200723"/>
    <w:rsid w:val="1A27558E"/>
    <w:rsid w:val="1A376E4F"/>
    <w:rsid w:val="1A4C1518"/>
    <w:rsid w:val="1A5031DF"/>
    <w:rsid w:val="1A6C5716"/>
    <w:rsid w:val="1A805517"/>
    <w:rsid w:val="1A83797A"/>
    <w:rsid w:val="1AA2382E"/>
    <w:rsid w:val="1AD00E1F"/>
    <w:rsid w:val="1AF57E02"/>
    <w:rsid w:val="1AFA5418"/>
    <w:rsid w:val="1B09565B"/>
    <w:rsid w:val="1B0B106C"/>
    <w:rsid w:val="1B1A295C"/>
    <w:rsid w:val="1B210BF7"/>
    <w:rsid w:val="1B3C333B"/>
    <w:rsid w:val="1B3F2E2B"/>
    <w:rsid w:val="1B4072CF"/>
    <w:rsid w:val="1B6034CD"/>
    <w:rsid w:val="1B72336C"/>
    <w:rsid w:val="1B7868A5"/>
    <w:rsid w:val="1B7B1634"/>
    <w:rsid w:val="1B7D188D"/>
    <w:rsid w:val="1B8E37DE"/>
    <w:rsid w:val="1B8F3DB2"/>
    <w:rsid w:val="1B9A4616"/>
    <w:rsid w:val="1BA333BA"/>
    <w:rsid w:val="1BBB0703"/>
    <w:rsid w:val="1BC25F36"/>
    <w:rsid w:val="1BCA4DEA"/>
    <w:rsid w:val="1BCA6B98"/>
    <w:rsid w:val="1BCC1CEF"/>
    <w:rsid w:val="1BEB27DD"/>
    <w:rsid w:val="1BFB4FA4"/>
    <w:rsid w:val="1C2657A6"/>
    <w:rsid w:val="1C3D55BC"/>
    <w:rsid w:val="1C420E24"/>
    <w:rsid w:val="1C545BA3"/>
    <w:rsid w:val="1C56042C"/>
    <w:rsid w:val="1C662D65"/>
    <w:rsid w:val="1C760ACE"/>
    <w:rsid w:val="1C9B0535"/>
    <w:rsid w:val="1C9D34A0"/>
    <w:rsid w:val="1CB64253"/>
    <w:rsid w:val="1CC73859"/>
    <w:rsid w:val="1CDA105D"/>
    <w:rsid w:val="1CE8653B"/>
    <w:rsid w:val="1CF66731"/>
    <w:rsid w:val="1CFA37F3"/>
    <w:rsid w:val="1D300C7D"/>
    <w:rsid w:val="1D570900"/>
    <w:rsid w:val="1D5D7162"/>
    <w:rsid w:val="1D7F08B9"/>
    <w:rsid w:val="1D9246A9"/>
    <w:rsid w:val="1DC256AB"/>
    <w:rsid w:val="1DD109F2"/>
    <w:rsid w:val="1DD666D0"/>
    <w:rsid w:val="1DE32193"/>
    <w:rsid w:val="1DF826DE"/>
    <w:rsid w:val="1E0C16EA"/>
    <w:rsid w:val="1E0C592E"/>
    <w:rsid w:val="1E0D7210"/>
    <w:rsid w:val="1E131CF1"/>
    <w:rsid w:val="1E1710F9"/>
    <w:rsid w:val="1E2619CF"/>
    <w:rsid w:val="1E2C6297"/>
    <w:rsid w:val="1E2D0D47"/>
    <w:rsid w:val="1E480248"/>
    <w:rsid w:val="1E5F5CBE"/>
    <w:rsid w:val="1E767CD6"/>
    <w:rsid w:val="1E911BEF"/>
    <w:rsid w:val="1E985E45"/>
    <w:rsid w:val="1EEC146E"/>
    <w:rsid w:val="1EEF1347"/>
    <w:rsid w:val="1F0829B6"/>
    <w:rsid w:val="1F503858"/>
    <w:rsid w:val="1F550E6F"/>
    <w:rsid w:val="1F552C1D"/>
    <w:rsid w:val="1F7A08D5"/>
    <w:rsid w:val="1F843502"/>
    <w:rsid w:val="1F8A25A5"/>
    <w:rsid w:val="1F9728E9"/>
    <w:rsid w:val="1FA97878"/>
    <w:rsid w:val="1FB45B95"/>
    <w:rsid w:val="1FB5049D"/>
    <w:rsid w:val="1FBF1254"/>
    <w:rsid w:val="1FCD658F"/>
    <w:rsid w:val="1FCF6E73"/>
    <w:rsid w:val="1FD57E31"/>
    <w:rsid w:val="1FE12A79"/>
    <w:rsid w:val="20005844"/>
    <w:rsid w:val="20032679"/>
    <w:rsid w:val="204001F8"/>
    <w:rsid w:val="204F1D62"/>
    <w:rsid w:val="20517888"/>
    <w:rsid w:val="206A7CD8"/>
    <w:rsid w:val="2072149F"/>
    <w:rsid w:val="207F10D5"/>
    <w:rsid w:val="20931C4F"/>
    <w:rsid w:val="209602CA"/>
    <w:rsid w:val="209B2E36"/>
    <w:rsid w:val="209D060D"/>
    <w:rsid w:val="20A7394C"/>
    <w:rsid w:val="20AF0BE5"/>
    <w:rsid w:val="20D34741"/>
    <w:rsid w:val="212952B5"/>
    <w:rsid w:val="2136082C"/>
    <w:rsid w:val="21414218"/>
    <w:rsid w:val="21466CC1"/>
    <w:rsid w:val="21505D92"/>
    <w:rsid w:val="21537630"/>
    <w:rsid w:val="2155436D"/>
    <w:rsid w:val="215A09BE"/>
    <w:rsid w:val="2169159B"/>
    <w:rsid w:val="21696E53"/>
    <w:rsid w:val="217355DC"/>
    <w:rsid w:val="217C2840"/>
    <w:rsid w:val="219B7726"/>
    <w:rsid w:val="21B856E5"/>
    <w:rsid w:val="21C806DA"/>
    <w:rsid w:val="21CA26AF"/>
    <w:rsid w:val="21DF2D22"/>
    <w:rsid w:val="220B1CB9"/>
    <w:rsid w:val="22145011"/>
    <w:rsid w:val="2217240B"/>
    <w:rsid w:val="22172BBE"/>
    <w:rsid w:val="22280ABD"/>
    <w:rsid w:val="22482F0D"/>
    <w:rsid w:val="225B49EE"/>
    <w:rsid w:val="22743D02"/>
    <w:rsid w:val="228C4BA7"/>
    <w:rsid w:val="22914F59"/>
    <w:rsid w:val="229671BB"/>
    <w:rsid w:val="229E2F22"/>
    <w:rsid w:val="229F3129"/>
    <w:rsid w:val="22A2261D"/>
    <w:rsid w:val="22AA3280"/>
    <w:rsid w:val="22AC349C"/>
    <w:rsid w:val="22BB36DF"/>
    <w:rsid w:val="22BE4F7D"/>
    <w:rsid w:val="22D7642A"/>
    <w:rsid w:val="22E72B8D"/>
    <w:rsid w:val="22E9024C"/>
    <w:rsid w:val="23024E6A"/>
    <w:rsid w:val="2308260C"/>
    <w:rsid w:val="231B15DB"/>
    <w:rsid w:val="232E3EB1"/>
    <w:rsid w:val="233F0975"/>
    <w:rsid w:val="2347775E"/>
    <w:rsid w:val="234A05BF"/>
    <w:rsid w:val="235B7B07"/>
    <w:rsid w:val="237F2508"/>
    <w:rsid w:val="237F295E"/>
    <w:rsid w:val="23854C9A"/>
    <w:rsid w:val="238B3987"/>
    <w:rsid w:val="238E0FA9"/>
    <w:rsid w:val="23A45DB3"/>
    <w:rsid w:val="23AE0F81"/>
    <w:rsid w:val="23B2207B"/>
    <w:rsid w:val="23D44047"/>
    <w:rsid w:val="23F549CE"/>
    <w:rsid w:val="23F724F4"/>
    <w:rsid w:val="23FD19CC"/>
    <w:rsid w:val="24052587"/>
    <w:rsid w:val="242407F4"/>
    <w:rsid w:val="243674C1"/>
    <w:rsid w:val="24386CF5"/>
    <w:rsid w:val="24443260"/>
    <w:rsid w:val="24602141"/>
    <w:rsid w:val="24724271"/>
    <w:rsid w:val="24975A86"/>
    <w:rsid w:val="24A01889"/>
    <w:rsid w:val="24A47DD7"/>
    <w:rsid w:val="24A81A41"/>
    <w:rsid w:val="24B80EEA"/>
    <w:rsid w:val="24D43B95"/>
    <w:rsid w:val="24D5337D"/>
    <w:rsid w:val="2524556B"/>
    <w:rsid w:val="25311A36"/>
    <w:rsid w:val="254E0526"/>
    <w:rsid w:val="254F4399"/>
    <w:rsid w:val="25513E86"/>
    <w:rsid w:val="257B7624"/>
    <w:rsid w:val="25867FD4"/>
    <w:rsid w:val="25916979"/>
    <w:rsid w:val="25AE6883"/>
    <w:rsid w:val="25C60ECD"/>
    <w:rsid w:val="25C82446"/>
    <w:rsid w:val="25E116AE"/>
    <w:rsid w:val="25E62821"/>
    <w:rsid w:val="25E70CC0"/>
    <w:rsid w:val="25F72072"/>
    <w:rsid w:val="25FB6488"/>
    <w:rsid w:val="260333D3"/>
    <w:rsid w:val="26071543"/>
    <w:rsid w:val="260809E9"/>
    <w:rsid w:val="262275D1"/>
    <w:rsid w:val="265C0D35"/>
    <w:rsid w:val="26630315"/>
    <w:rsid w:val="26AB75C6"/>
    <w:rsid w:val="26BD0DE6"/>
    <w:rsid w:val="26E43385"/>
    <w:rsid w:val="26F947D6"/>
    <w:rsid w:val="2707582D"/>
    <w:rsid w:val="270F3FF9"/>
    <w:rsid w:val="272A2532"/>
    <w:rsid w:val="27313F6F"/>
    <w:rsid w:val="274517C9"/>
    <w:rsid w:val="275F53B8"/>
    <w:rsid w:val="276E2ACE"/>
    <w:rsid w:val="27706A3C"/>
    <w:rsid w:val="277D4548"/>
    <w:rsid w:val="27952750"/>
    <w:rsid w:val="279904E5"/>
    <w:rsid w:val="279A7D67"/>
    <w:rsid w:val="27A720F5"/>
    <w:rsid w:val="27B801ED"/>
    <w:rsid w:val="27CB43C4"/>
    <w:rsid w:val="27D701CB"/>
    <w:rsid w:val="27DD5EA5"/>
    <w:rsid w:val="27DE34D8"/>
    <w:rsid w:val="27DF3EE1"/>
    <w:rsid w:val="280276BA"/>
    <w:rsid w:val="28033B5E"/>
    <w:rsid w:val="280E26E9"/>
    <w:rsid w:val="28180D1B"/>
    <w:rsid w:val="284740A9"/>
    <w:rsid w:val="284E5580"/>
    <w:rsid w:val="286839C1"/>
    <w:rsid w:val="286D7229"/>
    <w:rsid w:val="286E6AFD"/>
    <w:rsid w:val="28773C04"/>
    <w:rsid w:val="287871B2"/>
    <w:rsid w:val="289F3D45"/>
    <w:rsid w:val="28B22E8E"/>
    <w:rsid w:val="28D76D98"/>
    <w:rsid w:val="28DC7F0B"/>
    <w:rsid w:val="28E079FB"/>
    <w:rsid w:val="28FC627B"/>
    <w:rsid w:val="290D515A"/>
    <w:rsid w:val="292813A2"/>
    <w:rsid w:val="292D6432"/>
    <w:rsid w:val="294B1200"/>
    <w:rsid w:val="294F4B81"/>
    <w:rsid w:val="2952661D"/>
    <w:rsid w:val="29613037"/>
    <w:rsid w:val="29852F00"/>
    <w:rsid w:val="29891E41"/>
    <w:rsid w:val="29982084"/>
    <w:rsid w:val="29C42E79"/>
    <w:rsid w:val="29D07A70"/>
    <w:rsid w:val="29D452B5"/>
    <w:rsid w:val="29E470E5"/>
    <w:rsid w:val="29F51284"/>
    <w:rsid w:val="2A10072A"/>
    <w:rsid w:val="2A3170A8"/>
    <w:rsid w:val="2A374298"/>
    <w:rsid w:val="2A430C0E"/>
    <w:rsid w:val="2A6D3510"/>
    <w:rsid w:val="2A816FBC"/>
    <w:rsid w:val="2A9F4D85"/>
    <w:rsid w:val="2A9F7442"/>
    <w:rsid w:val="2AA35184"/>
    <w:rsid w:val="2AA50EFC"/>
    <w:rsid w:val="2AB47391"/>
    <w:rsid w:val="2ACA6858"/>
    <w:rsid w:val="2ADE440E"/>
    <w:rsid w:val="2AEC6B2B"/>
    <w:rsid w:val="2AF21AFD"/>
    <w:rsid w:val="2B0D0850"/>
    <w:rsid w:val="2B1B2F6C"/>
    <w:rsid w:val="2B25203D"/>
    <w:rsid w:val="2B5B3046"/>
    <w:rsid w:val="2B6366C1"/>
    <w:rsid w:val="2B64724D"/>
    <w:rsid w:val="2B6B12F3"/>
    <w:rsid w:val="2B70250D"/>
    <w:rsid w:val="2B786611"/>
    <w:rsid w:val="2B981195"/>
    <w:rsid w:val="2BA91573"/>
    <w:rsid w:val="2BBD471E"/>
    <w:rsid w:val="2BC21C36"/>
    <w:rsid w:val="2BDA2E28"/>
    <w:rsid w:val="2BDD6474"/>
    <w:rsid w:val="2C0C0B07"/>
    <w:rsid w:val="2C276ED8"/>
    <w:rsid w:val="2C306C29"/>
    <w:rsid w:val="2C4D04F5"/>
    <w:rsid w:val="2C4E7372"/>
    <w:rsid w:val="2C500BEB"/>
    <w:rsid w:val="2C5A783C"/>
    <w:rsid w:val="2C83526D"/>
    <w:rsid w:val="2C9D6BAD"/>
    <w:rsid w:val="2CB2345D"/>
    <w:rsid w:val="2CBC7C58"/>
    <w:rsid w:val="2CF57F58"/>
    <w:rsid w:val="2CF744CF"/>
    <w:rsid w:val="2D0D2D89"/>
    <w:rsid w:val="2D0D7BE4"/>
    <w:rsid w:val="2D0F670E"/>
    <w:rsid w:val="2D1E73A5"/>
    <w:rsid w:val="2D235645"/>
    <w:rsid w:val="2D433A9A"/>
    <w:rsid w:val="2D5B7F98"/>
    <w:rsid w:val="2D6F1D4B"/>
    <w:rsid w:val="2DA866CD"/>
    <w:rsid w:val="2DB31B82"/>
    <w:rsid w:val="2DC759FB"/>
    <w:rsid w:val="2DC96E15"/>
    <w:rsid w:val="2DF16206"/>
    <w:rsid w:val="2DF41BCB"/>
    <w:rsid w:val="2E0940D7"/>
    <w:rsid w:val="2E102161"/>
    <w:rsid w:val="2E24038A"/>
    <w:rsid w:val="2E276A03"/>
    <w:rsid w:val="2E2C36E3"/>
    <w:rsid w:val="2E310CF9"/>
    <w:rsid w:val="2E3F51C4"/>
    <w:rsid w:val="2E475117"/>
    <w:rsid w:val="2E491D76"/>
    <w:rsid w:val="2E5642BC"/>
    <w:rsid w:val="2E57625B"/>
    <w:rsid w:val="2E5944BD"/>
    <w:rsid w:val="2E647527"/>
    <w:rsid w:val="2E6E5AA9"/>
    <w:rsid w:val="2E7D5CEC"/>
    <w:rsid w:val="2E814156"/>
    <w:rsid w:val="2E8974F1"/>
    <w:rsid w:val="2E8E1CA7"/>
    <w:rsid w:val="2E960B5C"/>
    <w:rsid w:val="2E982B26"/>
    <w:rsid w:val="2EA96AE1"/>
    <w:rsid w:val="2EAF223A"/>
    <w:rsid w:val="2EBB5F58"/>
    <w:rsid w:val="2EE316FD"/>
    <w:rsid w:val="2EFF4953"/>
    <w:rsid w:val="2EFF6701"/>
    <w:rsid w:val="2F026F07"/>
    <w:rsid w:val="2F0B779C"/>
    <w:rsid w:val="2F2A257E"/>
    <w:rsid w:val="2F402F7B"/>
    <w:rsid w:val="2F5C3B54"/>
    <w:rsid w:val="2F5C7FF7"/>
    <w:rsid w:val="2F6D4B31"/>
    <w:rsid w:val="2F7B222C"/>
    <w:rsid w:val="2F926710"/>
    <w:rsid w:val="2F947791"/>
    <w:rsid w:val="2F967065"/>
    <w:rsid w:val="2F967754"/>
    <w:rsid w:val="2F995402"/>
    <w:rsid w:val="2F9D3D0C"/>
    <w:rsid w:val="2FC34896"/>
    <w:rsid w:val="2FD61B58"/>
    <w:rsid w:val="2FF52573"/>
    <w:rsid w:val="2FF62B88"/>
    <w:rsid w:val="300A34A7"/>
    <w:rsid w:val="30180C08"/>
    <w:rsid w:val="302C5C1C"/>
    <w:rsid w:val="305B3E0B"/>
    <w:rsid w:val="30744ECD"/>
    <w:rsid w:val="307B5F05"/>
    <w:rsid w:val="30A25EDE"/>
    <w:rsid w:val="30A95E8F"/>
    <w:rsid w:val="30BF439A"/>
    <w:rsid w:val="30C45E54"/>
    <w:rsid w:val="30D030C8"/>
    <w:rsid w:val="30DE1FC6"/>
    <w:rsid w:val="30EB33E1"/>
    <w:rsid w:val="30F32296"/>
    <w:rsid w:val="30F834DA"/>
    <w:rsid w:val="31085D41"/>
    <w:rsid w:val="31293F09"/>
    <w:rsid w:val="312D796D"/>
    <w:rsid w:val="31374878"/>
    <w:rsid w:val="3139239E"/>
    <w:rsid w:val="31437726"/>
    <w:rsid w:val="31497C61"/>
    <w:rsid w:val="314B20D2"/>
    <w:rsid w:val="316B2774"/>
    <w:rsid w:val="317409D9"/>
    <w:rsid w:val="31921AAF"/>
    <w:rsid w:val="31A517E2"/>
    <w:rsid w:val="31C3435E"/>
    <w:rsid w:val="31C854D0"/>
    <w:rsid w:val="31D64091"/>
    <w:rsid w:val="31EA5447"/>
    <w:rsid w:val="31F42769"/>
    <w:rsid w:val="31F664E1"/>
    <w:rsid w:val="31FD17DE"/>
    <w:rsid w:val="3208253A"/>
    <w:rsid w:val="3212499D"/>
    <w:rsid w:val="32144BB9"/>
    <w:rsid w:val="321626E0"/>
    <w:rsid w:val="32230959"/>
    <w:rsid w:val="32267AFD"/>
    <w:rsid w:val="32342B66"/>
    <w:rsid w:val="323B3EF4"/>
    <w:rsid w:val="324C2E51"/>
    <w:rsid w:val="325D6FE1"/>
    <w:rsid w:val="3271107D"/>
    <w:rsid w:val="329D070B"/>
    <w:rsid w:val="32D103B5"/>
    <w:rsid w:val="32DF6F75"/>
    <w:rsid w:val="32FC0441"/>
    <w:rsid w:val="33044C5B"/>
    <w:rsid w:val="330907C6"/>
    <w:rsid w:val="330F10BA"/>
    <w:rsid w:val="331050B3"/>
    <w:rsid w:val="33410355"/>
    <w:rsid w:val="3355672F"/>
    <w:rsid w:val="335C2374"/>
    <w:rsid w:val="336A2CE3"/>
    <w:rsid w:val="336E4BD9"/>
    <w:rsid w:val="336F02F9"/>
    <w:rsid w:val="33897E1B"/>
    <w:rsid w:val="338A5133"/>
    <w:rsid w:val="338F44F8"/>
    <w:rsid w:val="33A87367"/>
    <w:rsid w:val="33AD2BD0"/>
    <w:rsid w:val="33B0446E"/>
    <w:rsid w:val="33D64169"/>
    <w:rsid w:val="33DF783C"/>
    <w:rsid w:val="33F508A6"/>
    <w:rsid w:val="33F86C05"/>
    <w:rsid w:val="33FE7360"/>
    <w:rsid w:val="342750AF"/>
    <w:rsid w:val="342D5F64"/>
    <w:rsid w:val="3439114E"/>
    <w:rsid w:val="343B642D"/>
    <w:rsid w:val="345614B9"/>
    <w:rsid w:val="34640730"/>
    <w:rsid w:val="346A0AC1"/>
    <w:rsid w:val="34897199"/>
    <w:rsid w:val="34A843EE"/>
    <w:rsid w:val="34DF325D"/>
    <w:rsid w:val="351C2665"/>
    <w:rsid w:val="352167CF"/>
    <w:rsid w:val="352B46F4"/>
    <w:rsid w:val="353A0493"/>
    <w:rsid w:val="35414B88"/>
    <w:rsid w:val="355143BC"/>
    <w:rsid w:val="35827EC8"/>
    <w:rsid w:val="359B692C"/>
    <w:rsid w:val="35AA187C"/>
    <w:rsid w:val="35C828C9"/>
    <w:rsid w:val="35DE50FA"/>
    <w:rsid w:val="35E34207"/>
    <w:rsid w:val="35FF348B"/>
    <w:rsid w:val="3612564F"/>
    <w:rsid w:val="361C403D"/>
    <w:rsid w:val="3623361D"/>
    <w:rsid w:val="363657F1"/>
    <w:rsid w:val="36394BEF"/>
    <w:rsid w:val="36463C3A"/>
    <w:rsid w:val="364C10C0"/>
    <w:rsid w:val="365B57C9"/>
    <w:rsid w:val="366A2FFA"/>
    <w:rsid w:val="3689036D"/>
    <w:rsid w:val="368D5533"/>
    <w:rsid w:val="36903146"/>
    <w:rsid w:val="36941E25"/>
    <w:rsid w:val="36C35A24"/>
    <w:rsid w:val="36D16BD5"/>
    <w:rsid w:val="36D641EB"/>
    <w:rsid w:val="36DB7A54"/>
    <w:rsid w:val="36E46A23"/>
    <w:rsid w:val="36F32FEF"/>
    <w:rsid w:val="371A057C"/>
    <w:rsid w:val="371D3646"/>
    <w:rsid w:val="372D74CC"/>
    <w:rsid w:val="37461371"/>
    <w:rsid w:val="375872F6"/>
    <w:rsid w:val="375C1CE0"/>
    <w:rsid w:val="37645C9B"/>
    <w:rsid w:val="377C4D93"/>
    <w:rsid w:val="377D5607"/>
    <w:rsid w:val="37873738"/>
    <w:rsid w:val="378E4AC6"/>
    <w:rsid w:val="379874C1"/>
    <w:rsid w:val="37A866A3"/>
    <w:rsid w:val="37B81B43"/>
    <w:rsid w:val="37C812AE"/>
    <w:rsid w:val="37DA41AF"/>
    <w:rsid w:val="38190834"/>
    <w:rsid w:val="38383CCB"/>
    <w:rsid w:val="384E39DC"/>
    <w:rsid w:val="38517A5C"/>
    <w:rsid w:val="38591578"/>
    <w:rsid w:val="3868066D"/>
    <w:rsid w:val="386A6622"/>
    <w:rsid w:val="387F1216"/>
    <w:rsid w:val="3890366F"/>
    <w:rsid w:val="38A722E3"/>
    <w:rsid w:val="38AA421E"/>
    <w:rsid w:val="38C5276A"/>
    <w:rsid w:val="38C74B99"/>
    <w:rsid w:val="38CA7D80"/>
    <w:rsid w:val="38E54BBA"/>
    <w:rsid w:val="38F66DC7"/>
    <w:rsid w:val="38FA1BB8"/>
    <w:rsid w:val="39070FD4"/>
    <w:rsid w:val="39082BCA"/>
    <w:rsid w:val="390C0398"/>
    <w:rsid w:val="39472B23"/>
    <w:rsid w:val="395539E3"/>
    <w:rsid w:val="397F3D71"/>
    <w:rsid w:val="398B5761"/>
    <w:rsid w:val="39B45F1E"/>
    <w:rsid w:val="39C92027"/>
    <w:rsid w:val="39CB45DC"/>
    <w:rsid w:val="39D005FC"/>
    <w:rsid w:val="39ED1F78"/>
    <w:rsid w:val="39F86F1C"/>
    <w:rsid w:val="3A0A5499"/>
    <w:rsid w:val="3A0D38CD"/>
    <w:rsid w:val="3A125E82"/>
    <w:rsid w:val="3A1846D0"/>
    <w:rsid w:val="3A2A1651"/>
    <w:rsid w:val="3A5C0EAC"/>
    <w:rsid w:val="3A611FFE"/>
    <w:rsid w:val="3A82388C"/>
    <w:rsid w:val="3A9B19D4"/>
    <w:rsid w:val="3AC0143A"/>
    <w:rsid w:val="3ACF5B21"/>
    <w:rsid w:val="3AD46C94"/>
    <w:rsid w:val="3AE758D2"/>
    <w:rsid w:val="3AE83A19"/>
    <w:rsid w:val="3B1D0F8F"/>
    <w:rsid w:val="3B457B92"/>
    <w:rsid w:val="3B476F2C"/>
    <w:rsid w:val="3B551E0E"/>
    <w:rsid w:val="3B7B7286"/>
    <w:rsid w:val="3B8C62A3"/>
    <w:rsid w:val="3B8E32E7"/>
    <w:rsid w:val="3B9A612F"/>
    <w:rsid w:val="3B9B0ACE"/>
    <w:rsid w:val="3BBA40DC"/>
    <w:rsid w:val="3BC8614D"/>
    <w:rsid w:val="3BF0614F"/>
    <w:rsid w:val="3BF13876"/>
    <w:rsid w:val="3BFB376B"/>
    <w:rsid w:val="3C03026C"/>
    <w:rsid w:val="3C0F6B8E"/>
    <w:rsid w:val="3C1E0B0E"/>
    <w:rsid w:val="3C21415B"/>
    <w:rsid w:val="3C6109FB"/>
    <w:rsid w:val="3C8A1D00"/>
    <w:rsid w:val="3CA628B2"/>
    <w:rsid w:val="3CA93776"/>
    <w:rsid w:val="3CC27893"/>
    <w:rsid w:val="3CCB40C7"/>
    <w:rsid w:val="3CEA2DC1"/>
    <w:rsid w:val="3D224E5C"/>
    <w:rsid w:val="3D23371B"/>
    <w:rsid w:val="3D3D4FD0"/>
    <w:rsid w:val="3D4225DB"/>
    <w:rsid w:val="3D4D2D2E"/>
    <w:rsid w:val="3D9B7F3D"/>
    <w:rsid w:val="3DAE1A1E"/>
    <w:rsid w:val="3DB42DAD"/>
    <w:rsid w:val="3DBA55FA"/>
    <w:rsid w:val="3DF00289"/>
    <w:rsid w:val="3E18158D"/>
    <w:rsid w:val="3E210442"/>
    <w:rsid w:val="3E214783"/>
    <w:rsid w:val="3E29379B"/>
    <w:rsid w:val="3E494005"/>
    <w:rsid w:val="3E506F79"/>
    <w:rsid w:val="3E946E66"/>
    <w:rsid w:val="3E9C2984"/>
    <w:rsid w:val="3EA01CAF"/>
    <w:rsid w:val="3EA67062"/>
    <w:rsid w:val="3EB176AB"/>
    <w:rsid w:val="3EDC25BB"/>
    <w:rsid w:val="3EE945C3"/>
    <w:rsid w:val="3EEE3C93"/>
    <w:rsid w:val="3EEF6A08"/>
    <w:rsid w:val="3EF038F1"/>
    <w:rsid w:val="3EFE0783"/>
    <w:rsid w:val="3F0006E1"/>
    <w:rsid w:val="3F0F2990"/>
    <w:rsid w:val="3F1955BD"/>
    <w:rsid w:val="3F2A1578"/>
    <w:rsid w:val="3F423B10"/>
    <w:rsid w:val="3F433DE5"/>
    <w:rsid w:val="3F52306E"/>
    <w:rsid w:val="3F710F55"/>
    <w:rsid w:val="3F76656C"/>
    <w:rsid w:val="3F8E1B07"/>
    <w:rsid w:val="3F9F1F66"/>
    <w:rsid w:val="3FA0183A"/>
    <w:rsid w:val="3FA3598F"/>
    <w:rsid w:val="3FAE03FB"/>
    <w:rsid w:val="3FBB6F9C"/>
    <w:rsid w:val="3FBC4A1D"/>
    <w:rsid w:val="3FC87681"/>
    <w:rsid w:val="3FF962EE"/>
    <w:rsid w:val="401F4E55"/>
    <w:rsid w:val="4044147E"/>
    <w:rsid w:val="404E74E8"/>
    <w:rsid w:val="405A5E8D"/>
    <w:rsid w:val="405F5252"/>
    <w:rsid w:val="40681C47"/>
    <w:rsid w:val="40780661"/>
    <w:rsid w:val="407E66C5"/>
    <w:rsid w:val="408F64C6"/>
    <w:rsid w:val="40C31C84"/>
    <w:rsid w:val="40CE5B0D"/>
    <w:rsid w:val="40D043A1"/>
    <w:rsid w:val="40DC3159"/>
    <w:rsid w:val="40E012FC"/>
    <w:rsid w:val="40E12719"/>
    <w:rsid w:val="40F2256A"/>
    <w:rsid w:val="40F41E3E"/>
    <w:rsid w:val="41004C87"/>
    <w:rsid w:val="41166E71"/>
    <w:rsid w:val="411A4C6D"/>
    <w:rsid w:val="411C3143"/>
    <w:rsid w:val="41395AA3"/>
    <w:rsid w:val="413A14CE"/>
    <w:rsid w:val="41526B64"/>
    <w:rsid w:val="4162324B"/>
    <w:rsid w:val="41636FC4"/>
    <w:rsid w:val="416A6338"/>
    <w:rsid w:val="418D3517"/>
    <w:rsid w:val="41A003C1"/>
    <w:rsid w:val="41C21F3C"/>
    <w:rsid w:val="41DB1250"/>
    <w:rsid w:val="41DD24AB"/>
    <w:rsid w:val="41ED47FB"/>
    <w:rsid w:val="420F4A55"/>
    <w:rsid w:val="42176A11"/>
    <w:rsid w:val="42186000"/>
    <w:rsid w:val="42187667"/>
    <w:rsid w:val="42224F20"/>
    <w:rsid w:val="422B5D33"/>
    <w:rsid w:val="42576B28"/>
    <w:rsid w:val="426D58FF"/>
    <w:rsid w:val="42711413"/>
    <w:rsid w:val="42713B25"/>
    <w:rsid w:val="42935A90"/>
    <w:rsid w:val="429A331F"/>
    <w:rsid w:val="429F402B"/>
    <w:rsid w:val="42B314E1"/>
    <w:rsid w:val="42ED123B"/>
    <w:rsid w:val="42F44DF3"/>
    <w:rsid w:val="42F75C15"/>
    <w:rsid w:val="430B2FDB"/>
    <w:rsid w:val="43140575"/>
    <w:rsid w:val="432033BE"/>
    <w:rsid w:val="43222685"/>
    <w:rsid w:val="434F77FF"/>
    <w:rsid w:val="435A6F40"/>
    <w:rsid w:val="435D4F14"/>
    <w:rsid w:val="43690B0F"/>
    <w:rsid w:val="4387343D"/>
    <w:rsid w:val="43921EAF"/>
    <w:rsid w:val="439E2535"/>
    <w:rsid w:val="43D46490"/>
    <w:rsid w:val="441E11AB"/>
    <w:rsid w:val="44246EDE"/>
    <w:rsid w:val="4427719E"/>
    <w:rsid w:val="442E38B9"/>
    <w:rsid w:val="442F13DF"/>
    <w:rsid w:val="443C4567"/>
    <w:rsid w:val="4458094A"/>
    <w:rsid w:val="445A0329"/>
    <w:rsid w:val="446D66E7"/>
    <w:rsid w:val="4473751E"/>
    <w:rsid w:val="4496320C"/>
    <w:rsid w:val="4497571C"/>
    <w:rsid w:val="44AA4BA9"/>
    <w:rsid w:val="44C164DB"/>
    <w:rsid w:val="44C625FA"/>
    <w:rsid w:val="44CB1108"/>
    <w:rsid w:val="44CB735A"/>
    <w:rsid w:val="44D167CA"/>
    <w:rsid w:val="44D31E62"/>
    <w:rsid w:val="450D1720"/>
    <w:rsid w:val="4517110E"/>
    <w:rsid w:val="45173EE8"/>
    <w:rsid w:val="453F5652"/>
    <w:rsid w:val="4579257A"/>
    <w:rsid w:val="45C36283"/>
    <w:rsid w:val="45CA5863"/>
    <w:rsid w:val="45D73ADC"/>
    <w:rsid w:val="4609638B"/>
    <w:rsid w:val="46252A99"/>
    <w:rsid w:val="463B22BD"/>
    <w:rsid w:val="465A4BC4"/>
    <w:rsid w:val="46623CEE"/>
    <w:rsid w:val="46766CA4"/>
    <w:rsid w:val="467700D1"/>
    <w:rsid w:val="467D4684"/>
    <w:rsid w:val="46821C9A"/>
    <w:rsid w:val="46840346"/>
    <w:rsid w:val="468E063F"/>
    <w:rsid w:val="469D0882"/>
    <w:rsid w:val="46DD6BF3"/>
    <w:rsid w:val="46E75FA1"/>
    <w:rsid w:val="46E91D19"/>
    <w:rsid w:val="46ED1809"/>
    <w:rsid w:val="470E1780"/>
    <w:rsid w:val="47170634"/>
    <w:rsid w:val="472559F5"/>
    <w:rsid w:val="47297D13"/>
    <w:rsid w:val="472E3BD0"/>
    <w:rsid w:val="47975C19"/>
    <w:rsid w:val="47A331BA"/>
    <w:rsid w:val="47AF2F63"/>
    <w:rsid w:val="47B2035D"/>
    <w:rsid w:val="47B642F1"/>
    <w:rsid w:val="47C02A7A"/>
    <w:rsid w:val="47C22C96"/>
    <w:rsid w:val="47C87B80"/>
    <w:rsid w:val="47CA7D9C"/>
    <w:rsid w:val="47F0285D"/>
    <w:rsid w:val="47F56622"/>
    <w:rsid w:val="47F941DE"/>
    <w:rsid w:val="480D4C76"/>
    <w:rsid w:val="48290C99"/>
    <w:rsid w:val="48621D83"/>
    <w:rsid w:val="48CE11C6"/>
    <w:rsid w:val="48D01ACB"/>
    <w:rsid w:val="48D82045"/>
    <w:rsid w:val="48F14E41"/>
    <w:rsid w:val="48F84495"/>
    <w:rsid w:val="49046F2E"/>
    <w:rsid w:val="4924363F"/>
    <w:rsid w:val="493A685C"/>
    <w:rsid w:val="49467FBD"/>
    <w:rsid w:val="4961203A"/>
    <w:rsid w:val="496979C2"/>
    <w:rsid w:val="497B0929"/>
    <w:rsid w:val="49951AC7"/>
    <w:rsid w:val="49A1586A"/>
    <w:rsid w:val="49A34401"/>
    <w:rsid w:val="49AA1C33"/>
    <w:rsid w:val="49AF4F85"/>
    <w:rsid w:val="49BE748D"/>
    <w:rsid w:val="49CF3448"/>
    <w:rsid w:val="49EB1918"/>
    <w:rsid w:val="49F11610"/>
    <w:rsid w:val="4A011472"/>
    <w:rsid w:val="4A11593B"/>
    <w:rsid w:val="4A280DAA"/>
    <w:rsid w:val="4A332606"/>
    <w:rsid w:val="4A3414FD"/>
    <w:rsid w:val="4A407EA2"/>
    <w:rsid w:val="4A5D0A54"/>
    <w:rsid w:val="4A625CCF"/>
    <w:rsid w:val="4A64447A"/>
    <w:rsid w:val="4A674A28"/>
    <w:rsid w:val="4A6F2535"/>
    <w:rsid w:val="4A783AE0"/>
    <w:rsid w:val="4A9621B8"/>
    <w:rsid w:val="4ACC5BD9"/>
    <w:rsid w:val="4AD34597"/>
    <w:rsid w:val="4AE03767"/>
    <w:rsid w:val="4AF415EB"/>
    <w:rsid w:val="4AFC5379"/>
    <w:rsid w:val="4AFD2237"/>
    <w:rsid w:val="4B052E99"/>
    <w:rsid w:val="4B074E64"/>
    <w:rsid w:val="4B203D52"/>
    <w:rsid w:val="4B330864"/>
    <w:rsid w:val="4B3774F7"/>
    <w:rsid w:val="4B5A1437"/>
    <w:rsid w:val="4B7324F9"/>
    <w:rsid w:val="4B7A73E4"/>
    <w:rsid w:val="4B985ABC"/>
    <w:rsid w:val="4BA12BC2"/>
    <w:rsid w:val="4BD362C5"/>
    <w:rsid w:val="4BF01A78"/>
    <w:rsid w:val="4BFE0443"/>
    <w:rsid w:val="4C190454"/>
    <w:rsid w:val="4C300A0A"/>
    <w:rsid w:val="4C3B3017"/>
    <w:rsid w:val="4C3E5C30"/>
    <w:rsid w:val="4C5B3A85"/>
    <w:rsid w:val="4C6859DD"/>
    <w:rsid w:val="4C697AF3"/>
    <w:rsid w:val="4C76511D"/>
    <w:rsid w:val="4C7D0AB1"/>
    <w:rsid w:val="4C7E73A7"/>
    <w:rsid w:val="4C885B30"/>
    <w:rsid w:val="4CB715E9"/>
    <w:rsid w:val="4CC27166"/>
    <w:rsid w:val="4CCC7294"/>
    <w:rsid w:val="4CDF1419"/>
    <w:rsid w:val="4CE47978"/>
    <w:rsid w:val="4CF23279"/>
    <w:rsid w:val="4D041D6E"/>
    <w:rsid w:val="4D16138E"/>
    <w:rsid w:val="4D1B14CB"/>
    <w:rsid w:val="4D467EC5"/>
    <w:rsid w:val="4D4E28D6"/>
    <w:rsid w:val="4D5D10BD"/>
    <w:rsid w:val="4D665E71"/>
    <w:rsid w:val="4D6E4D8F"/>
    <w:rsid w:val="4D6F6D4A"/>
    <w:rsid w:val="4DA0029E"/>
    <w:rsid w:val="4DB72B71"/>
    <w:rsid w:val="4DBA6108"/>
    <w:rsid w:val="4DD00022"/>
    <w:rsid w:val="4DD252B5"/>
    <w:rsid w:val="4DDA23BB"/>
    <w:rsid w:val="4DDA799C"/>
    <w:rsid w:val="4DEB7471"/>
    <w:rsid w:val="4DF27705"/>
    <w:rsid w:val="4E1314C9"/>
    <w:rsid w:val="4E1458CD"/>
    <w:rsid w:val="4E1F4272"/>
    <w:rsid w:val="4E233D62"/>
    <w:rsid w:val="4E235B10"/>
    <w:rsid w:val="4E2F473E"/>
    <w:rsid w:val="4E460F15"/>
    <w:rsid w:val="4E475EAE"/>
    <w:rsid w:val="4E50267E"/>
    <w:rsid w:val="4EB26B12"/>
    <w:rsid w:val="4EC55B2F"/>
    <w:rsid w:val="4EC72940"/>
    <w:rsid w:val="4ECC7F56"/>
    <w:rsid w:val="4ED6632E"/>
    <w:rsid w:val="4ED96B17"/>
    <w:rsid w:val="4EDB7799"/>
    <w:rsid w:val="4EE932AC"/>
    <w:rsid w:val="4F11005F"/>
    <w:rsid w:val="4F165675"/>
    <w:rsid w:val="4F253B0A"/>
    <w:rsid w:val="4F2550BE"/>
    <w:rsid w:val="4F2C37F4"/>
    <w:rsid w:val="4F2C6C47"/>
    <w:rsid w:val="4F3B623D"/>
    <w:rsid w:val="4F3E4570"/>
    <w:rsid w:val="4F41000A"/>
    <w:rsid w:val="4F42646A"/>
    <w:rsid w:val="4F4D2B37"/>
    <w:rsid w:val="4F551F67"/>
    <w:rsid w:val="4F5B752C"/>
    <w:rsid w:val="4F6B59C1"/>
    <w:rsid w:val="4F957301"/>
    <w:rsid w:val="4FA4194D"/>
    <w:rsid w:val="4FA827DD"/>
    <w:rsid w:val="4FB76E58"/>
    <w:rsid w:val="4FC82E13"/>
    <w:rsid w:val="4FDC241B"/>
    <w:rsid w:val="4FE237A9"/>
    <w:rsid w:val="4FE45773"/>
    <w:rsid w:val="4FE45791"/>
    <w:rsid w:val="4FE614EB"/>
    <w:rsid w:val="4FF77255"/>
    <w:rsid w:val="500D0826"/>
    <w:rsid w:val="50150273"/>
    <w:rsid w:val="502D711A"/>
    <w:rsid w:val="50306C0B"/>
    <w:rsid w:val="50310F75"/>
    <w:rsid w:val="50395ABF"/>
    <w:rsid w:val="503D1E33"/>
    <w:rsid w:val="504601DC"/>
    <w:rsid w:val="507C3BFE"/>
    <w:rsid w:val="507C59AC"/>
    <w:rsid w:val="509C7DFC"/>
    <w:rsid w:val="50AB2BA1"/>
    <w:rsid w:val="50AF158D"/>
    <w:rsid w:val="50B031B2"/>
    <w:rsid w:val="50B553B6"/>
    <w:rsid w:val="50B96C00"/>
    <w:rsid w:val="50D6330E"/>
    <w:rsid w:val="50EE68AA"/>
    <w:rsid w:val="50F804CD"/>
    <w:rsid w:val="51022355"/>
    <w:rsid w:val="510936E3"/>
    <w:rsid w:val="510F05CE"/>
    <w:rsid w:val="510F6820"/>
    <w:rsid w:val="51137A93"/>
    <w:rsid w:val="51165C3E"/>
    <w:rsid w:val="511F6336"/>
    <w:rsid w:val="512B1036"/>
    <w:rsid w:val="513E4F39"/>
    <w:rsid w:val="51416E8D"/>
    <w:rsid w:val="515B3052"/>
    <w:rsid w:val="516C3454"/>
    <w:rsid w:val="51752B27"/>
    <w:rsid w:val="519333E2"/>
    <w:rsid w:val="51986815"/>
    <w:rsid w:val="51A039EA"/>
    <w:rsid w:val="51E21858"/>
    <w:rsid w:val="51E36659"/>
    <w:rsid w:val="51E43809"/>
    <w:rsid w:val="51F351AA"/>
    <w:rsid w:val="51F872B4"/>
    <w:rsid w:val="52075749"/>
    <w:rsid w:val="52100AA2"/>
    <w:rsid w:val="52187956"/>
    <w:rsid w:val="52574038"/>
    <w:rsid w:val="525A142D"/>
    <w:rsid w:val="525B76A6"/>
    <w:rsid w:val="526B3F2A"/>
    <w:rsid w:val="527903F5"/>
    <w:rsid w:val="527E6CE5"/>
    <w:rsid w:val="527F1783"/>
    <w:rsid w:val="528374C6"/>
    <w:rsid w:val="52A01E26"/>
    <w:rsid w:val="52A66D10"/>
    <w:rsid w:val="52DB04A9"/>
    <w:rsid w:val="52DB2E5E"/>
    <w:rsid w:val="52E15F9A"/>
    <w:rsid w:val="52E5023B"/>
    <w:rsid w:val="52EA2791"/>
    <w:rsid w:val="52EA30A1"/>
    <w:rsid w:val="531719BC"/>
    <w:rsid w:val="53177C0E"/>
    <w:rsid w:val="5322325A"/>
    <w:rsid w:val="532365B3"/>
    <w:rsid w:val="532F7053"/>
    <w:rsid w:val="53316F22"/>
    <w:rsid w:val="533B4936"/>
    <w:rsid w:val="533E0261"/>
    <w:rsid w:val="53444904"/>
    <w:rsid w:val="53476745"/>
    <w:rsid w:val="535A6478"/>
    <w:rsid w:val="535C1944"/>
    <w:rsid w:val="53852DC9"/>
    <w:rsid w:val="53911D9C"/>
    <w:rsid w:val="539622A1"/>
    <w:rsid w:val="53A96D2C"/>
    <w:rsid w:val="53D77AC9"/>
    <w:rsid w:val="53E47AF0"/>
    <w:rsid w:val="53E70726"/>
    <w:rsid w:val="540510C8"/>
    <w:rsid w:val="541D2DAE"/>
    <w:rsid w:val="543B7649"/>
    <w:rsid w:val="544F3B03"/>
    <w:rsid w:val="54501629"/>
    <w:rsid w:val="545D390A"/>
    <w:rsid w:val="549040A5"/>
    <w:rsid w:val="54B05021"/>
    <w:rsid w:val="54B90F7D"/>
    <w:rsid w:val="54E40012"/>
    <w:rsid w:val="54ED6E78"/>
    <w:rsid w:val="54F55D2D"/>
    <w:rsid w:val="55132239"/>
    <w:rsid w:val="551F0D2D"/>
    <w:rsid w:val="55361CDD"/>
    <w:rsid w:val="554B6FBF"/>
    <w:rsid w:val="555143A4"/>
    <w:rsid w:val="55767D7B"/>
    <w:rsid w:val="55801A9A"/>
    <w:rsid w:val="558308C7"/>
    <w:rsid w:val="55833339"/>
    <w:rsid w:val="55C749D0"/>
    <w:rsid w:val="55C951EF"/>
    <w:rsid w:val="55D51AF6"/>
    <w:rsid w:val="55DB4F23"/>
    <w:rsid w:val="55DD3509"/>
    <w:rsid w:val="55F26B16"/>
    <w:rsid w:val="55F45FE4"/>
    <w:rsid w:val="561A5A4B"/>
    <w:rsid w:val="56727785"/>
    <w:rsid w:val="56737851"/>
    <w:rsid w:val="56831616"/>
    <w:rsid w:val="56845F1F"/>
    <w:rsid w:val="5696257D"/>
    <w:rsid w:val="569D042A"/>
    <w:rsid w:val="56D4614A"/>
    <w:rsid w:val="56E07A2A"/>
    <w:rsid w:val="56F30A1D"/>
    <w:rsid w:val="56F97D56"/>
    <w:rsid w:val="570C57CE"/>
    <w:rsid w:val="571E5A0F"/>
    <w:rsid w:val="57266671"/>
    <w:rsid w:val="573214BA"/>
    <w:rsid w:val="57547346"/>
    <w:rsid w:val="57571CBA"/>
    <w:rsid w:val="575F1C07"/>
    <w:rsid w:val="57776ECD"/>
    <w:rsid w:val="579F39E7"/>
    <w:rsid w:val="57A858DC"/>
    <w:rsid w:val="57B004F9"/>
    <w:rsid w:val="57B21C5E"/>
    <w:rsid w:val="57B7551B"/>
    <w:rsid w:val="57C543B4"/>
    <w:rsid w:val="57CA0779"/>
    <w:rsid w:val="57EC1669"/>
    <w:rsid w:val="58242BB1"/>
    <w:rsid w:val="58360B36"/>
    <w:rsid w:val="584B392F"/>
    <w:rsid w:val="584D65AC"/>
    <w:rsid w:val="586133E2"/>
    <w:rsid w:val="586C08D7"/>
    <w:rsid w:val="58893338"/>
    <w:rsid w:val="58A837E2"/>
    <w:rsid w:val="58B57CAD"/>
    <w:rsid w:val="58B71C77"/>
    <w:rsid w:val="58CD3249"/>
    <w:rsid w:val="58D02427"/>
    <w:rsid w:val="58E14F46"/>
    <w:rsid w:val="58EB1921"/>
    <w:rsid w:val="58EF4A10"/>
    <w:rsid w:val="58F928DB"/>
    <w:rsid w:val="590957CC"/>
    <w:rsid w:val="59162E41"/>
    <w:rsid w:val="591F15CA"/>
    <w:rsid w:val="59232E69"/>
    <w:rsid w:val="594124F9"/>
    <w:rsid w:val="59417793"/>
    <w:rsid w:val="595C281E"/>
    <w:rsid w:val="5978263A"/>
    <w:rsid w:val="597D4C6F"/>
    <w:rsid w:val="598D29D8"/>
    <w:rsid w:val="59AD4C2F"/>
    <w:rsid w:val="59B81CC8"/>
    <w:rsid w:val="59C06909"/>
    <w:rsid w:val="59FE7432"/>
    <w:rsid w:val="5A120EFA"/>
    <w:rsid w:val="5A19426B"/>
    <w:rsid w:val="5A1B7FE4"/>
    <w:rsid w:val="5A21783D"/>
    <w:rsid w:val="5A3B41BB"/>
    <w:rsid w:val="5A47702B"/>
    <w:rsid w:val="5A4A4609"/>
    <w:rsid w:val="5A666D5E"/>
    <w:rsid w:val="5A680816"/>
    <w:rsid w:val="5A734735"/>
    <w:rsid w:val="5A835EE9"/>
    <w:rsid w:val="5A8E2EAB"/>
    <w:rsid w:val="5AA81FF6"/>
    <w:rsid w:val="5AA91A93"/>
    <w:rsid w:val="5AEB1E12"/>
    <w:rsid w:val="5AF96577"/>
    <w:rsid w:val="5B135AB2"/>
    <w:rsid w:val="5B1E2B6F"/>
    <w:rsid w:val="5B286E5C"/>
    <w:rsid w:val="5B593118"/>
    <w:rsid w:val="5B5A55A8"/>
    <w:rsid w:val="5B693952"/>
    <w:rsid w:val="5B751A8B"/>
    <w:rsid w:val="5B7B51DE"/>
    <w:rsid w:val="5B874DB5"/>
    <w:rsid w:val="5B9E711E"/>
    <w:rsid w:val="5BBF3F00"/>
    <w:rsid w:val="5BC522BB"/>
    <w:rsid w:val="5BED775E"/>
    <w:rsid w:val="5BFC7921"/>
    <w:rsid w:val="5C337866"/>
    <w:rsid w:val="5C3A6E47"/>
    <w:rsid w:val="5C3B2BBF"/>
    <w:rsid w:val="5C45759A"/>
    <w:rsid w:val="5C4C26D6"/>
    <w:rsid w:val="5C52370C"/>
    <w:rsid w:val="5C5F065B"/>
    <w:rsid w:val="5C7C7972"/>
    <w:rsid w:val="5C844A63"/>
    <w:rsid w:val="5C901847"/>
    <w:rsid w:val="5C974299"/>
    <w:rsid w:val="5CA73DB1"/>
    <w:rsid w:val="5CB25BCE"/>
    <w:rsid w:val="5CCA72CA"/>
    <w:rsid w:val="5CD524AD"/>
    <w:rsid w:val="5CD556C8"/>
    <w:rsid w:val="5D052C7B"/>
    <w:rsid w:val="5D2370AB"/>
    <w:rsid w:val="5D24642F"/>
    <w:rsid w:val="5D267DAB"/>
    <w:rsid w:val="5D3F42A1"/>
    <w:rsid w:val="5D5616B4"/>
    <w:rsid w:val="5D6323CD"/>
    <w:rsid w:val="5D641CA2"/>
    <w:rsid w:val="5D6D6DA8"/>
    <w:rsid w:val="5D7E2D63"/>
    <w:rsid w:val="5D83037A"/>
    <w:rsid w:val="5D850596"/>
    <w:rsid w:val="5DBE7604"/>
    <w:rsid w:val="5DC0749A"/>
    <w:rsid w:val="5DCE1FA7"/>
    <w:rsid w:val="5DCE5755"/>
    <w:rsid w:val="5DE569D7"/>
    <w:rsid w:val="5E0E1185"/>
    <w:rsid w:val="5E2A6A47"/>
    <w:rsid w:val="5E3B0C54"/>
    <w:rsid w:val="5E440E1B"/>
    <w:rsid w:val="5E4473E0"/>
    <w:rsid w:val="5E55795B"/>
    <w:rsid w:val="5E5B12F6"/>
    <w:rsid w:val="5E7D301B"/>
    <w:rsid w:val="5E8249F3"/>
    <w:rsid w:val="5E8E347A"/>
    <w:rsid w:val="5E8E6FD6"/>
    <w:rsid w:val="5EA93E10"/>
    <w:rsid w:val="5EDB5F93"/>
    <w:rsid w:val="5EE65064"/>
    <w:rsid w:val="5F033926"/>
    <w:rsid w:val="5F047DE2"/>
    <w:rsid w:val="5F1D65AC"/>
    <w:rsid w:val="5F2B6F1B"/>
    <w:rsid w:val="5F302471"/>
    <w:rsid w:val="5F3E157F"/>
    <w:rsid w:val="5F4B4EC7"/>
    <w:rsid w:val="5F50254E"/>
    <w:rsid w:val="5F5E28DD"/>
    <w:rsid w:val="5F697A43"/>
    <w:rsid w:val="5F824661"/>
    <w:rsid w:val="5F943345"/>
    <w:rsid w:val="5FA41BF6"/>
    <w:rsid w:val="5FB46F10"/>
    <w:rsid w:val="5FBB029F"/>
    <w:rsid w:val="5FE20012"/>
    <w:rsid w:val="5FF4730D"/>
    <w:rsid w:val="60086104"/>
    <w:rsid w:val="60107EBF"/>
    <w:rsid w:val="60366195"/>
    <w:rsid w:val="60471B32"/>
    <w:rsid w:val="607D37A6"/>
    <w:rsid w:val="607F065F"/>
    <w:rsid w:val="608A068D"/>
    <w:rsid w:val="60B1344C"/>
    <w:rsid w:val="60C20EC3"/>
    <w:rsid w:val="60D61269"/>
    <w:rsid w:val="60DB227B"/>
    <w:rsid w:val="60FF41BB"/>
    <w:rsid w:val="61023CAB"/>
    <w:rsid w:val="611A41FB"/>
    <w:rsid w:val="613D4CE3"/>
    <w:rsid w:val="61686BC3"/>
    <w:rsid w:val="619F774C"/>
    <w:rsid w:val="61AB32F4"/>
    <w:rsid w:val="61C3343B"/>
    <w:rsid w:val="61F656FB"/>
    <w:rsid w:val="62022F83"/>
    <w:rsid w:val="62110288"/>
    <w:rsid w:val="62150D2E"/>
    <w:rsid w:val="62203DD2"/>
    <w:rsid w:val="62397BA1"/>
    <w:rsid w:val="623C4F9B"/>
    <w:rsid w:val="62481C53"/>
    <w:rsid w:val="629152E7"/>
    <w:rsid w:val="629D3C8C"/>
    <w:rsid w:val="62A50D92"/>
    <w:rsid w:val="62AE40EB"/>
    <w:rsid w:val="62BE3C02"/>
    <w:rsid w:val="62EA0E9B"/>
    <w:rsid w:val="62EF200D"/>
    <w:rsid w:val="62F67840"/>
    <w:rsid w:val="631D301E"/>
    <w:rsid w:val="631F16B1"/>
    <w:rsid w:val="634405AB"/>
    <w:rsid w:val="63556F97"/>
    <w:rsid w:val="63660521"/>
    <w:rsid w:val="63676048"/>
    <w:rsid w:val="63A66B70"/>
    <w:rsid w:val="63A70597"/>
    <w:rsid w:val="63C74D38"/>
    <w:rsid w:val="63CD67F3"/>
    <w:rsid w:val="63DC6F09"/>
    <w:rsid w:val="63F8360A"/>
    <w:rsid w:val="640D1A65"/>
    <w:rsid w:val="641E2BAA"/>
    <w:rsid w:val="64483E45"/>
    <w:rsid w:val="64596999"/>
    <w:rsid w:val="64664551"/>
    <w:rsid w:val="646A5DEF"/>
    <w:rsid w:val="64781B84"/>
    <w:rsid w:val="64872E45"/>
    <w:rsid w:val="648B0FD2"/>
    <w:rsid w:val="649B069F"/>
    <w:rsid w:val="64A554AA"/>
    <w:rsid w:val="64C80D68"/>
    <w:rsid w:val="650C7AFB"/>
    <w:rsid w:val="65167D25"/>
    <w:rsid w:val="657C0F27"/>
    <w:rsid w:val="658B0713"/>
    <w:rsid w:val="658B3776"/>
    <w:rsid w:val="659571A1"/>
    <w:rsid w:val="65973490"/>
    <w:rsid w:val="659F49F5"/>
    <w:rsid w:val="65D22252"/>
    <w:rsid w:val="65DF6369"/>
    <w:rsid w:val="65E47E23"/>
    <w:rsid w:val="65ED4F2A"/>
    <w:rsid w:val="65F17205"/>
    <w:rsid w:val="65F362B8"/>
    <w:rsid w:val="661B4E97"/>
    <w:rsid w:val="661D5DA5"/>
    <w:rsid w:val="66271A47"/>
    <w:rsid w:val="66287D10"/>
    <w:rsid w:val="662E5970"/>
    <w:rsid w:val="6650413E"/>
    <w:rsid w:val="66522FDF"/>
    <w:rsid w:val="665F56FC"/>
    <w:rsid w:val="66613222"/>
    <w:rsid w:val="666845B1"/>
    <w:rsid w:val="66AF7CB4"/>
    <w:rsid w:val="66C33EDD"/>
    <w:rsid w:val="66C9311D"/>
    <w:rsid w:val="66DE3736"/>
    <w:rsid w:val="66EA1469"/>
    <w:rsid w:val="66F65041"/>
    <w:rsid w:val="670C13E0"/>
    <w:rsid w:val="671604B0"/>
    <w:rsid w:val="67242BCD"/>
    <w:rsid w:val="67334BBF"/>
    <w:rsid w:val="673A486F"/>
    <w:rsid w:val="67441712"/>
    <w:rsid w:val="67662C1A"/>
    <w:rsid w:val="6780592A"/>
    <w:rsid w:val="678A3C88"/>
    <w:rsid w:val="67950F68"/>
    <w:rsid w:val="67A07D7A"/>
    <w:rsid w:val="67B101D9"/>
    <w:rsid w:val="67B42E10"/>
    <w:rsid w:val="67DD2D7C"/>
    <w:rsid w:val="67EB7A29"/>
    <w:rsid w:val="68076267"/>
    <w:rsid w:val="681542C4"/>
    <w:rsid w:val="68307350"/>
    <w:rsid w:val="68315CCC"/>
    <w:rsid w:val="683D381B"/>
    <w:rsid w:val="683F3A37"/>
    <w:rsid w:val="68462062"/>
    <w:rsid w:val="684F6460"/>
    <w:rsid w:val="686314D3"/>
    <w:rsid w:val="687847F5"/>
    <w:rsid w:val="68802085"/>
    <w:rsid w:val="688A4CB2"/>
    <w:rsid w:val="68975621"/>
    <w:rsid w:val="68AB4D39"/>
    <w:rsid w:val="68B05B70"/>
    <w:rsid w:val="68B30AF3"/>
    <w:rsid w:val="68CF4DBB"/>
    <w:rsid w:val="68E048D2"/>
    <w:rsid w:val="68EC771B"/>
    <w:rsid w:val="68EE18AA"/>
    <w:rsid w:val="68F90F97"/>
    <w:rsid w:val="69132EFA"/>
    <w:rsid w:val="691F339B"/>
    <w:rsid w:val="69417FC4"/>
    <w:rsid w:val="69496146"/>
    <w:rsid w:val="696C43B8"/>
    <w:rsid w:val="696F3EA8"/>
    <w:rsid w:val="699F29DF"/>
    <w:rsid w:val="69A022B3"/>
    <w:rsid w:val="69A47FF6"/>
    <w:rsid w:val="69D501AF"/>
    <w:rsid w:val="69D7738B"/>
    <w:rsid w:val="69DA0037"/>
    <w:rsid w:val="69DA38BA"/>
    <w:rsid w:val="69DA3A17"/>
    <w:rsid w:val="69DC26B1"/>
    <w:rsid w:val="6A103542"/>
    <w:rsid w:val="6A1E33B7"/>
    <w:rsid w:val="6A2353BE"/>
    <w:rsid w:val="6A397647"/>
    <w:rsid w:val="6A4E5EC5"/>
    <w:rsid w:val="6A7344C2"/>
    <w:rsid w:val="6A7A6FA8"/>
    <w:rsid w:val="6A7BFFE4"/>
    <w:rsid w:val="6A861866"/>
    <w:rsid w:val="6ADC37BF"/>
    <w:rsid w:val="6AEA1A38"/>
    <w:rsid w:val="6AEA7C8A"/>
    <w:rsid w:val="6AF74155"/>
    <w:rsid w:val="6B0625EA"/>
    <w:rsid w:val="6B194614"/>
    <w:rsid w:val="6B1F2492"/>
    <w:rsid w:val="6B250CC2"/>
    <w:rsid w:val="6B3138F7"/>
    <w:rsid w:val="6B321631"/>
    <w:rsid w:val="6B3330DB"/>
    <w:rsid w:val="6B405AFC"/>
    <w:rsid w:val="6B50559A"/>
    <w:rsid w:val="6B5B0B88"/>
    <w:rsid w:val="6B5F1CFB"/>
    <w:rsid w:val="6B6317EA"/>
    <w:rsid w:val="6B8A4FC9"/>
    <w:rsid w:val="6B8F2403"/>
    <w:rsid w:val="6B946502"/>
    <w:rsid w:val="6B9B0F84"/>
    <w:rsid w:val="6BCC3834"/>
    <w:rsid w:val="6BDB3A77"/>
    <w:rsid w:val="6BE75F78"/>
    <w:rsid w:val="6BEA3CBA"/>
    <w:rsid w:val="6BEC17E0"/>
    <w:rsid w:val="6BF16DF6"/>
    <w:rsid w:val="6BF95CAB"/>
    <w:rsid w:val="6C0C3C30"/>
    <w:rsid w:val="6C1D3517"/>
    <w:rsid w:val="6C357C24"/>
    <w:rsid w:val="6C4433CA"/>
    <w:rsid w:val="6C481841"/>
    <w:rsid w:val="6C494E84"/>
    <w:rsid w:val="6C5F5A03"/>
    <w:rsid w:val="6C692E30"/>
    <w:rsid w:val="6C757A27"/>
    <w:rsid w:val="6C941525"/>
    <w:rsid w:val="6C9707CF"/>
    <w:rsid w:val="6C97799E"/>
    <w:rsid w:val="6C9F262D"/>
    <w:rsid w:val="6CA939B9"/>
    <w:rsid w:val="6CBC7404"/>
    <w:rsid w:val="6CD81D64"/>
    <w:rsid w:val="6CDE3A47"/>
    <w:rsid w:val="6CE01AA5"/>
    <w:rsid w:val="6CE70C31"/>
    <w:rsid w:val="6CF90658"/>
    <w:rsid w:val="6D0668D1"/>
    <w:rsid w:val="6D0D6267"/>
    <w:rsid w:val="6D6431D6"/>
    <w:rsid w:val="6D6D6950"/>
    <w:rsid w:val="6D8B6DD7"/>
    <w:rsid w:val="6DC65406"/>
    <w:rsid w:val="6DD70AFF"/>
    <w:rsid w:val="6E04380A"/>
    <w:rsid w:val="6E2E4E0D"/>
    <w:rsid w:val="6E45376A"/>
    <w:rsid w:val="6E6C09B6"/>
    <w:rsid w:val="6E7E5910"/>
    <w:rsid w:val="6E8403F6"/>
    <w:rsid w:val="6EB84B6B"/>
    <w:rsid w:val="6EBC36EB"/>
    <w:rsid w:val="6EC25267"/>
    <w:rsid w:val="6ED76777"/>
    <w:rsid w:val="6EF523D4"/>
    <w:rsid w:val="6F0741F3"/>
    <w:rsid w:val="6F11762D"/>
    <w:rsid w:val="6F307C36"/>
    <w:rsid w:val="6F3C663E"/>
    <w:rsid w:val="6F4436E1"/>
    <w:rsid w:val="6F5002D8"/>
    <w:rsid w:val="6F565330"/>
    <w:rsid w:val="6F5C4ECE"/>
    <w:rsid w:val="6F5E2169"/>
    <w:rsid w:val="6F7B5355"/>
    <w:rsid w:val="6F946D6A"/>
    <w:rsid w:val="6F974FB6"/>
    <w:rsid w:val="6FA33412"/>
    <w:rsid w:val="6FB54509"/>
    <w:rsid w:val="6FD25527"/>
    <w:rsid w:val="6FDC257D"/>
    <w:rsid w:val="6FED3D79"/>
    <w:rsid w:val="6FFB46E7"/>
    <w:rsid w:val="700417EE"/>
    <w:rsid w:val="70083D43"/>
    <w:rsid w:val="7016507D"/>
    <w:rsid w:val="708D34F0"/>
    <w:rsid w:val="70903082"/>
    <w:rsid w:val="70AC7E34"/>
    <w:rsid w:val="70AE6490"/>
    <w:rsid w:val="70D0347E"/>
    <w:rsid w:val="70D07578"/>
    <w:rsid w:val="70D31883"/>
    <w:rsid w:val="70E7351F"/>
    <w:rsid w:val="710B6BAC"/>
    <w:rsid w:val="71151CC4"/>
    <w:rsid w:val="71214055"/>
    <w:rsid w:val="71347EB1"/>
    <w:rsid w:val="71467BE4"/>
    <w:rsid w:val="71695D1D"/>
    <w:rsid w:val="716A38D3"/>
    <w:rsid w:val="717604C9"/>
    <w:rsid w:val="718208BF"/>
    <w:rsid w:val="718D7C27"/>
    <w:rsid w:val="71A24560"/>
    <w:rsid w:val="71BF76BF"/>
    <w:rsid w:val="71D47071"/>
    <w:rsid w:val="71D543D4"/>
    <w:rsid w:val="71D97200"/>
    <w:rsid w:val="71DB40C5"/>
    <w:rsid w:val="71F92933"/>
    <w:rsid w:val="71F92EA9"/>
    <w:rsid w:val="71FF5C56"/>
    <w:rsid w:val="72037883"/>
    <w:rsid w:val="72083B6E"/>
    <w:rsid w:val="721E646B"/>
    <w:rsid w:val="72213D09"/>
    <w:rsid w:val="72395894"/>
    <w:rsid w:val="723C307A"/>
    <w:rsid w:val="723C7677"/>
    <w:rsid w:val="72532AAB"/>
    <w:rsid w:val="72616D5F"/>
    <w:rsid w:val="72771BDA"/>
    <w:rsid w:val="72791CF0"/>
    <w:rsid w:val="727F0B5C"/>
    <w:rsid w:val="728C069E"/>
    <w:rsid w:val="72D05AEC"/>
    <w:rsid w:val="72D231ED"/>
    <w:rsid w:val="72D7408E"/>
    <w:rsid w:val="72D944CE"/>
    <w:rsid w:val="72DE474E"/>
    <w:rsid w:val="72E15E16"/>
    <w:rsid w:val="72E31ADA"/>
    <w:rsid w:val="72EB27F1"/>
    <w:rsid w:val="730B69EF"/>
    <w:rsid w:val="731F693F"/>
    <w:rsid w:val="73375A36"/>
    <w:rsid w:val="73552361"/>
    <w:rsid w:val="73B928EF"/>
    <w:rsid w:val="73C973F1"/>
    <w:rsid w:val="73DC65DE"/>
    <w:rsid w:val="73F00142"/>
    <w:rsid w:val="73FF114E"/>
    <w:rsid w:val="74220495"/>
    <w:rsid w:val="74273CFD"/>
    <w:rsid w:val="74312486"/>
    <w:rsid w:val="74324450"/>
    <w:rsid w:val="743A09F5"/>
    <w:rsid w:val="743C0E2B"/>
    <w:rsid w:val="744978D7"/>
    <w:rsid w:val="745368A0"/>
    <w:rsid w:val="746E1D09"/>
    <w:rsid w:val="74716D26"/>
    <w:rsid w:val="748C4322"/>
    <w:rsid w:val="748D0B8F"/>
    <w:rsid w:val="7491561A"/>
    <w:rsid w:val="74AA7630"/>
    <w:rsid w:val="74BD4A2C"/>
    <w:rsid w:val="74BF79A8"/>
    <w:rsid w:val="74C27582"/>
    <w:rsid w:val="74D8338F"/>
    <w:rsid w:val="74E12CBB"/>
    <w:rsid w:val="7507768A"/>
    <w:rsid w:val="751E2DB2"/>
    <w:rsid w:val="7521699E"/>
    <w:rsid w:val="753609E7"/>
    <w:rsid w:val="753753AB"/>
    <w:rsid w:val="753A7A60"/>
    <w:rsid w:val="753F36F1"/>
    <w:rsid w:val="75410DEE"/>
    <w:rsid w:val="754937FF"/>
    <w:rsid w:val="754E350B"/>
    <w:rsid w:val="75633769"/>
    <w:rsid w:val="75755C03"/>
    <w:rsid w:val="757A7E5C"/>
    <w:rsid w:val="75835598"/>
    <w:rsid w:val="75994786"/>
    <w:rsid w:val="75A650F5"/>
    <w:rsid w:val="75BA57C4"/>
    <w:rsid w:val="75BA6C76"/>
    <w:rsid w:val="75BE41ED"/>
    <w:rsid w:val="75C537CD"/>
    <w:rsid w:val="75CE45CC"/>
    <w:rsid w:val="75D221BE"/>
    <w:rsid w:val="760D6F22"/>
    <w:rsid w:val="762B73A9"/>
    <w:rsid w:val="76377AFB"/>
    <w:rsid w:val="76524935"/>
    <w:rsid w:val="765B5EE0"/>
    <w:rsid w:val="765B7C8E"/>
    <w:rsid w:val="766C59F7"/>
    <w:rsid w:val="768A2321"/>
    <w:rsid w:val="769A6A08"/>
    <w:rsid w:val="76B63116"/>
    <w:rsid w:val="770B16B4"/>
    <w:rsid w:val="7722255A"/>
    <w:rsid w:val="77242776"/>
    <w:rsid w:val="772B7660"/>
    <w:rsid w:val="773600ED"/>
    <w:rsid w:val="77460CC4"/>
    <w:rsid w:val="775C1F10"/>
    <w:rsid w:val="77642B72"/>
    <w:rsid w:val="776A4461"/>
    <w:rsid w:val="777036C6"/>
    <w:rsid w:val="77730127"/>
    <w:rsid w:val="77731007"/>
    <w:rsid w:val="777C7EBC"/>
    <w:rsid w:val="777E374F"/>
    <w:rsid w:val="77847AC3"/>
    <w:rsid w:val="77A931E4"/>
    <w:rsid w:val="77BD36DA"/>
    <w:rsid w:val="77D45F4A"/>
    <w:rsid w:val="77E43609"/>
    <w:rsid w:val="77EB2E35"/>
    <w:rsid w:val="77F44883"/>
    <w:rsid w:val="781445D4"/>
    <w:rsid w:val="78160075"/>
    <w:rsid w:val="781D2778"/>
    <w:rsid w:val="78342545"/>
    <w:rsid w:val="78452AE4"/>
    <w:rsid w:val="784D3606"/>
    <w:rsid w:val="784F0609"/>
    <w:rsid w:val="786D3CA8"/>
    <w:rsid w:val="78753333"/>
    <w:rsid w:val="78765870"/>
    <w:rsid w:val="78787717"/>
    <w:rsid w:val="78992CEF"/>
    <w:rsid w:val="78AF2513"/>
    <w:rsid w:val="78B32769"/>
    <w:rsid w:val="78B362FF"/>
    <w:rsid w:val="78BB0EB8"/>
    <w:rsid w:val="78CD7367"/>
    <w:rsid w:val="78D41626"/>
    <w:rsid w:val="78D97FEB"/>
    <w:rsid w:val="78E26444"/>
    <w:rsid w:val="792425B9"/>
    <w:rsid w:val="792702FB"/>
    <w:rsid w:val="792E7DE9"/>
    <w:rsid w:val="794F7227"/>
    <w:rsid w:val="7984574E"/>
    <w:rsid w:val="79A34CD6"/>
    <w:rsid w:val="79AA6DD2"/>
    <w:rsid w:val="79AC4C41"/>
    <w:rsid w:val="79BA2F1D"/>
    <w:rsid w:val="79BA6E69"/>
    <w:rsid w:val="79D044EF"/>
    <w:rsid w:val="79D40D00"/>
    <w:rsid w:val="79DA35C0"/>
    <w:rsid w:val="79F92D8F"/>
    <w:rsid w:val="7A041D0B"/>
    <w:rsid w:val="7A083C89"/>
    <w:rsid w:val="7A122D59"/>
    <w:rsid w:val="7A3819F4"/>
    <w:rsid w:val="7A3902E6"/>
    <w:rsid w:val="7A3C2DEE"/>
    <w:rsid w:val="7A5C5D83"/>
    <w:rsid w:val="7A666C01"/>
    <w:rsid w:val="7A877EFA"/>
    <w:rsid w:val="7A901B73"/>
    <w:rsid w:val="7AC027B5"/>
    <w:rsid w:val="7ACC3210"/>
    <w:rsid w:val="7AE85868"/>
    <w:rsid w:val="7AF1471D"/>
    <w:rsid w:val="7B276391"/>
    <w:rsid w:val="7B346CFF"/>
    <w:rsid w:val="7B354F51"/>
    <w:rsid w:val="7B4231CA"/>
    <w:rsid w:val="7B5F392D"/>
    <w:rsid w:val="7B8732D3"/>
    <w:rsid w:val="7B8A3624"/>
    <w:rsid w:val="7B8C6350"/>
    <w:rsid w:val="7BB331C4"/>
    <w:rsid w:val="7BB340C8"/>
    <w:rsid w:val="7BC97448"/>
    <w:rsid w:val="7BCB5C34"/>
    <w:rsid w:val="7C013085"/>
    <w:rsid w:val="7C0755E3"/>
    <w:rsid w:val="7C0E12FE"/>
    <w:rsid w:val="7C1014C2"/>
    <w:rsid w:val="7C1A601F"/>
    <w:rsid w:val="7C490589"/>
    <w:rsid w:val="7C5E2286"/>
    <w:rsid w:val="7C6B04FF"/>
    <w:rsid w:val="7C6D3765"/>
    <w:rsid w:val="7C7E1DBC"/>
    <w:rsid w:val="7C7E7CDC"/>
    <w:rsid w:val="7CA66056"/>
    <w:rsid w:val="7CAA1027"/>
    <w:rsid w:val="7CB400F8"/>
    <w:rsid w:val="7CB77BE8"/>
    <w:rsid w:val="7CC06A9D"/>
    <w:rsid w:val="7CC74D90"/>
    <w:rsid w:val="7CD70323"/>
    <w:rsid w:val="7CF66E16"/>
    <w:rsid w:val="7CFF4918"/>
    <w:rsid w:val="7D047248"/>
    <w:rsid w:val="7D0E5A5A"/>
    <w:rsid w:val="7D1B0177"/>
    <w:rsid w:val="7D1E3461"/>
    <w:rsid w:val="7D3E7A94"/>
    <w:rsid w:val="7D523EE8"/>
    <w:rsid w:val="7D6D3609"/>
    <w:rsid w:val="7D8555F0"/>
    <w:rsid w:val="7D8775BA"/>
    <w:rsid w:val="7D8E26E1"/>
    <w:rsid w:val="7DA41F1A"/>
    <w:rsid w:val="7DB14637"/>
    <w:rsid w:val="7DB54CF6"/>
    <w:rsid w:val="7DDB3462"/>
    <w:rsid w:val="7DDD367E"/>
    <w:rsid w:val="7DF95728"/>
    <w:rsid w:val="7E0B3D48"/>
    <w:rsid w:val="7E152E18"/>
    <w:rsid w:val="7E3248B2"/>
    <w:rsid w:val="7E366F03"/>
    <w:rsid w:val="7E7A711F"/>
    <w:rsid w:val="7E865AC4"/>
    <w:rsid w:val="7E883D02"/>
    <w:rsid w:val="7E91163C"/>
    <w:rsid w:val="7E963060"/>
    <w:rsid w:val="7EA83D71"/>
    <w:rsid w:val="7EAA3560"/>
    <w:rsid w:val="7ECC2A13"/>
    <w:rsid w:val="7ED92098"/>
    <w:rsid w:val="7EE26C6D"/>
    <w:rsid w:val="7EE37C3B"/>
    <w:rsid w:val="7EE4674F"/>
    <w:rsid w:val="7EEC6E5C"/>
    <w:rsid w:val="7EEF6D5A"/>
    <w:rsid w:val="7EF237DA"/>
    <w:rsid w:val="7EFC7B34"/>
    <w:rsid w:val="7F010C19"/>
    <w:rsid w:val="7F043C8F"/>
    <w:rsid w:val="7F0C014F"/>
    <w:rsid w:val="7F102CFA"/>
    <w:rsid w:val="7F453289"/>
    <w:rsid w:val="7F5C5B95"/>
    <w:rsid w:val="7F5E259D"/>
    <w:rsid w:val="7F78365F"/>
    <w:rsid w:val="7F792F33"/>
    <w:rsid w:val="7F7D6EC7"/>
    <w:rsid w:val="7F9543DB"/>
    <w:rsid w:val="7F9B559F"/>
    <w:rsid w:val="7F9D4776"/>
    <w:rsid w:val="7FBC4447"/>
    <w:rsid w:val="7FF54CAF"/>
    <w:rsid w:val="7FFF78DC"/>
    <w:rsid w:val="BBAA3338"/>
    <w:rsid w:val="EEEF1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qFormat="1" w:unhideWhenUsed="0" w:uiPriority="0" w:semiHidden="0" w:name="toc 9" w:locked="1"/>
    <w:lsdException w:qFormat="1" w:unhideWhenUsed="0" w:uiPriority="99" w:semiHidden="0" w:name="Normal Indent"/>
    <w:lsdException w:uiPriority="99" w:name="footnote text" w:locked="1"/>
    <w:lsdException w:qFormat="1" w:uiPriority="99" w:semiHidden="0" w:name="annotation text" w:locked="1"/>
    <w:lsdException w:qFormat="1" w:unhideWhenUsed="0" w:uiPriority="0"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iPriority="99" w:semiHidden="0"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qFormat="1" w:unhideWhenUsed="0" w:uiPriority="99" w:semiHidden="0" w:name="List 4"/>
    <w:lsdException w:qFormat="1" w:unhideWhenUsed="0" w:uiPriority="99" w:semiHidden="0"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qFormat="1"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iPriority="99" w:semiHidden="0"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iPriority="99" w:semiHidden="0" w:name="FollowedHyperlink" w:locked="1"/>
    <w:lsdException w:qFormat="1" w:unhideWhenUsed="0" w:uiPriority="99" w:semiHidden="0" w:name="Strong"/>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iPriority="99" w:semiHidden="0" w:name="Normal (Web)" w:locked="1"/>
    <w:lsdException w:qFormat="1" w:uiPriority="99" w:name="HTML Acronym" w:locked="1"/>
    <w:lsdException w:uiPriority="99" w:name="HTML Address" w:locked="1"/>
    <w:lsdException w:qFormat="1" w:uiPriority="99" w:name="HTML Cite" w:locked="1"/>
    <w:lsdException w:qFormat="1" w:uiPriority="99" w:name="HTML Code" w:locked="1"/>
    <w:lsdException w:qFormat="1" w:uiPriority="99" w:name="HTML Definition" w:locked="1"/>
    <w:lsdException w:qFormat="1" w:uiPriority="99" w:name="HTML Keyboard" w:locked="1"/>
    <w:lsdException w:uiPriority="99" w:name="HTML Preformatted" w:locked="1"/>
    <w:lsdException w:qFormat="1" w:uiPriority="99" w:name="HTML Sample" w:locked="1"/>
    <w:lsdException w:qFormat="1" w:uiPriority="99" w:name="HTML Typewriter" w:locked="1"/>
    <w:lsdException w:qFormat="1" w:uiPriority="99" w:name="HTML Variable" w:locked="1"/>
    <w:lsdException w:qFormat="1" w:uiPriority="99" w:name="Normal Table"/>
    <w:lsdException w:qFormat="1" w:uiPriority="99" w:name="annotation subject" w:locked="1"/>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5"/>
    <w:autoRedefine/>
    <w:qFormat/>
    <w:uiPriority w:val="99"/>
    <w:pPr>
      <w:keepNext/>
      <w:keepLines/>
      <w:numPr>
        <w:ilvl w:val="0"/>
        <w:numId w:val="1"/>
      </w:numPr>
      <w:adjustRightInd w:val="0"/>
      <w:spacing w:before="160" w:after="160" w:line="160" w:lineRule="atLeast"/>
      <w:textAlignment w:val="baseline"/>
      <w:outlineLvl w:val="0"/>
    </w:pPr>
    <w:rPr>
      <w:rFonts w:ascii="黑体" w:eastAsia="黑体"/>
      <w:kern w:val="44"/>
      <w:sz w:val="32"/>
      <w:szCs w:val="20"/>
    </w:rPr>
  </w:style>
  <w:style w:type="paragraph" w:styleId="3">
    <w:name w:val="heading 2"/>
    <w:basedOn w:val="1"/>
    <w:next w:val="1"/>
    <w:link w:val="162"/>
    <w:qFormat/>
    <w:uiPriority w:val="99"/>
    <w:pPr>
      <w:keepNext/>
      <w:keepLines/>
      <w:adjustRightInd w:val="0"/>
      <w:spacing w:before="120" w:after="120" w:line="160" w:lineRule="atLeast"/>
      <w:jc w:val="center"/>
      <w:textAlignment w:val="baseline"/>
      <w:outlineLvl w:val="1"/>
    </w:pPr>
    <w:rPr>
      <w:rFonts w:ascii="宋体" w:hAnsi="宋体" w:cs="宋体"/>
      <w:b/>
      <w:kern w:val="0"/>
      <w:sz w:val="30"/>
      <w:szCs w:val="20"/>
    </w:rPr>
  </w:style>
  <w:style w:type="paragraph" w:styleId="4">
    <w:name w:val="heading 3"/>
    <w:basedOn w:val="1"/>
    <w:next w:val="1"/>
    <w:link w:val="61"/>
    <w:autoRedefine/>
    <w:qFormat/>
    <w:uiPriority w:val="99"/>
    <w:pPr>
      <w:keepNext/>
      <w:keepLines/>
      <w:numPr>
        <w:ilvl w:val="2"/>
        <w:numId w:val="1"/>
      </w:numPr>
      <w:adjustRightInd w:val="0"/>
      <w:spacing w:before="160" w:after="160" w:line="160" w:lineRule="atLeast"/>
      <w:ind w:left="0"/>
      <w:textAlignment w:val="baseline"/>
      <w:outlineLvl w:val="2"/>
    </w:pPr>
    <w:rPr>
      <w:rFonts w:ascii="宋体"/>
      <w:b/>
      <w:kern w:val="0"/>
      <w:sz w:val="28"/>
      <w:szCs w:val="20"/>
    </w:rPr>
  </w:style>
  <w:style w:type="paragraph" w:styleId="5">
    <w:name w:val="heading 4"/>
    <w:basedOn w:val="1"/>
    <w:next w:val="1"/>
    <w:link w:val="60"/>
    <w:autoRedefine/>
    <w:qFormat/>
    <w:uiPriority w:val="99"/>
    <w:pPr>
      <w:keepNext/>
      <w:keepLines/>
      <w:numPr>
        <w:ilvl w:val="3"/>
        <w:numId w:val="1"/>
      </w:numPr>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link w:val="97"/>
    <w:autoRedefine/>
    <w:qFormat/>
    <w:uiPriority w:val="99"/>
    <w:pPr>
      <w:keepNext/>
      <w:keepLines/>
      <w:numPr>
        <w:ilvl w:val="4"/>
        <w:numId w:val="1"/>
      </w:numPr>
      <w:adjustRightInd w:val="0"/>
      <w:spacing w:before="280" w:after="290" w:line="376" w:lineRule="atLeast"/>
      <w:textAlignment w:val="baseline"/>
      <w:outlineLvl w:val="4"/>
    </w:pPr>
    <w:rPr>
      <w:b/>
      <w:kern w:val="0"/>
      <w:sz w:val="28"/>
      <w:szCs w:val="20"/>
    </w:rPr>
  </w:style>
  <w:style w:type="paragraph" w:styleId="7">
    <w:name w:val="heading 6"/>
    <w:basedOn w:val="1"/>
    <w:next w:val="1"/>
    <w:link w:val="98"/>
    <w:autoRedefine/>
    <w:qFormat/>
    <w:uiPriority w:val="99"/>
    <w:pPr>
      <w:keepNext/>
      <w:keepLines/>
      <w:numPr>
        <w:ilvl w:val="5"/>
        <w:numId w:val="1"/>
      </w:numPr>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99"/>
    <w:autoRedefine/>
    <w:qFormat/>
    <w:uiPriority w:val="99"/>
    <w:pPr>
      <w:keepNext/>
      <w:keepLines/>
      <w:numPr>
        <w:ilvl w:val="6"/>
        <w:numId w:val="1"/>
      </w:numPr>
      <w:adjustRightInd w:val="0"/>
      <w:spacing w:before="240" w:after="64" w:line="320" w:lineRule="atLeast"/>
      <w:textAlignment w:val="baseline"/>
      <w:outlineLvl w:val="6"/>
    </w:pPr>
    <w:rPr>
      <w:b/>
      <w:kern w:val="0"/>
      <w:sz w:val="24"/>
      <w:szCs w:val="20"/>
    </w:rPr>
  </w:style>
  <w:style w:type="paragraph" w:styleId="9">
    <w:name w:val="heading 8"/>
    <w:basedOn w:val="1"/>
    <w:next w:val="1"/>
    <w:link w:val="100"/>
    <w:autoRedefine/>
    <w:qFormat/>
    <w:uiPriority w:val="99"/>
    <w:pPr>
      <w:keepNext/>
      <w:keepLines/>
      <w:numPr>
        <w:ilvl w:val="7"/>
        <w:numId w:val="1"/>
      </w:numPr>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101"/>
    <w:autoRedefine/>
    <w:qFormat/>
    <w:uiPriority w:val="99"/>
    <w:pPr>
      <w:keepNext/>
      <w:keepLines/>
      <w:numPr>
        <w:ilvl w:val="8"/>
        <w:numId w:val="1"/>
      </w:numPr>
      <w:adjustRightInd w:val="0"/>
      <w:spacing w:before="240" w:after="64" w:line="320" w:lineRule="atLeast"/>
      <w:textAlignment w:val="baseline"/>
      <w:outlineLvl w:val="8"/>
    </w:pPr>
    <w:rPr>
      <w:rFonts w:ascii="Arial" w:hAnsi="Arial" w:eastAsia="黑体"/>
      <w:kern w:val="0"/>
      <w:szCs w:val="20"/>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2"/>
    <w:autoRedefine/>
    <w:qFormat/>
    <w:uiPriority w:val="99"/>
    <w:pPr>
      <w:ind w:firstLine="420"/>
    </w:pPr>
    <w:rPr>
      <w:szCs w:val="20"/>
    </w:rPr>
  </w:style>
  <w:style w:type="paragraph" w:styleId="12">
    <w:name w:val="Body Text 2"/>
    <w:basedOn w:val="1"/>
    <w:link w:val="112"/>
    <w:autoRedefine/>
    <w:qFormat/>
    <w:uiPriority w:val="99"/>
    <w:pPr>
      <w:autoSpaceDE w:val="0"/>
      <w:autoSpaceDN w:val="0"/>
      <w:adjustRightInd w:val="0"/>
      <w:spacing w:line="480" w:lineRule="exact"/>
      <w:jc w:val="left"/>
    </w:pPr>
    <w:rPr>
      <w:rFonts w:ascii="宋体" w:hAnsi="宋体"/>
      <w:color w:val="000000"/>
      <w:kern w:val="0"/>
      <w:sz w:val="24"/>
    </w:rPr>
  </w:style>
  <w:style w:type="paragraph" w:styleId="13">
    <w:name w:val="Document Map"/>
    <w:basedOn w:val="1"/>
    <w:link w:val="102"/>
    <w:autoRedefine/>
    <w:semiHidden/>
    <w:qFormat/>
    <w:uiPriority w:val="99"/>
    <w:pPr>
      <w:shd w:val="clear" w:color="auto" w:fill="000080"/>
    </w:pPr>
  </w:style>
  <w:style w:type="paragraph" w:styleId="14">
    <w:name w:val="annotation text"/>
    <w:basedOn w:val="1"/>
    <w:link w:val="142"/>
    <w:autoRedefine/>
    <w:unhideWhenUsed/>
    <w:qFormat/>
    <w:locked/>
    <w:uiPriority w:val="99"/>
    <w:pPr>
      <w:jc w:val="left"/>
    </w:pPr>
  </w:style>
  <w:style w:type="paragraph" w:styleId="15">
    <w:name w:val="Body Text"/>
    <w:basedOn w:val="1"/>
    <w:next w:val="1"/>
    <w:link w:val="103"/>
    <w:autoRedefine/>
    <w:qFormat/>
    <w:uiPriority w:val="99"/>
    <w:pPr>
      <w:adjustRightInd w:val="0"/>
      <w:snapToGrid w:val="0"/>
      <w:spacing w:line="440" w:lineRule="exact"/>
      <w:ind w:firstLine="442" w:firstLineChars="200"/>
      <w:jc w:val="left"/>
    </w:pPr>
    <w:rPr>
      <w:rFonts w:ascii="宋体" w:hAnsi="宋体"/>
      <w:b/>
      <w:bCs/>
      <w:sz w:val="22"/>
      <w:szCs w:val="22"/>
    </w:rPr>
  </w:style>
  <w:style w:type="paragraph" w:styleId="16">
    <w:name w:val="Body Text Indent"/>
    <w:basedOn w:val="1"/>
    <w:link w:val="104"/>
    <w:autoRedefine/>
    <w:qFormat/>
    <w:uiPriority w:val="99"/>
    <w:pPr>
      <w:tabs>
        <w:tab w:val="left" w:pos="945"/>
        <w:tab w:val="left" w:pos="1155"/>
      </w:tabs>
      <w:ind w:firstLine="435"/>
    </w:pPr>
    <w:rPr>
      <w:rFonts w:ascii="宋体"/>
      <w:sz w:val="24"/>
      <w:szCs w:val="20"/>
    </w:rPr>
  </w:style>
  <w:style w:type="paragraph" w:styleId="17">
    <w:name w:val="toc 3"/>
    <w:basedOn w:val="1"/>
    <w:next w:val="1"/>
    <w:autoRedefine/>
    <w:qFormat/>
    <w:uiPriority w:val="39"/>
    <w:pPr>
      <w:ind w:left="840" w:leftChars="400"/>
    </w:pPr>
  </w:style>
  <w:style w:type="paragraph" w:styleId="18">
    <w:name w:val="Plain Text"/>
    <w:basedOn w:val="1"/>
    <w:link w:val="105"/>
    <w:autoRedefine/>
    <w:qFormat/>
    <w:uiPriority w:val="0"/>
    <w:rPr>
      <w:rFonts w:ascii="宋体" w:hAnsi="Courier New"/>
      <w:szCs w:val="20"/>
    </w:rPr>
  </w:style>
  <w:style w:type="paragraph" w:styleId="19">
    <w:name w:val="Date"/>
    <w:basedOn w:val="1"/>
    <w:next w:val="1"/>
    <w:link w:val="106"/>
    <w:autoRedefine/>
    <w:qFormat/>
    <w:uiPriority w:val="99"/>
    <w:rPr>
      <w:rFonts w:ascii="宋体"/>
      <w:sz w:val="32"/>
      <w:szCs w:val="20"/>
    </w:rPr>
  </w:style>
  <w:style w:type="paragraph" w:styleId="20">
    <w:name w:val="Body Text Indent 2"/>
    <w:basedOn w:val="1"/>
    <w:link w:val="107"/>
    <w:autoRedefine/>
    <w:qFormat/>
    <w:uiPriority w:val="99"/>
    <w:pPr>
      <w:ind w:firstLine="630"/>
    </w:pPr>
    <w:rPr>
      <w:rFonts w:ascii="宋体"/>
      <w:sz w:val="32"/>
      <w:szCs w:val="20"/>
    </w:rPr>
  </w:style>
  <w:style w:type="paragraph" w:styleId="21">
    <w:name w:val="Balloon Text"/>
    <w:basedOn w:val="1"/>
    <w:link w:val="108"/>
    <w:autoRedefine/>
    <w:semiHidden/>
    <w:qFormat/>
    <w:uiPriority w:val="99"/>
    <w:rPr>
      <w:sz w:val="18"/>
      <w:szCs w:val="18"/>
    </w:rPr>
  </w:style>
  <w:style w:type="paragraph" w:styleId="22">
    <w:name w:val="footer"/>
    <w:basedOn w:val="1"/>
    <w:link w:val="109"/>
    <w:autoRedefine/>
    <w:qFormat/>
    <w:uiPriority w:val="99"/>
    <w:pPr>
      <w:tabs>
        <w:tab w:val="center" w:pos="4153"/>
        <w:tab w:val="right" w:pos="8306"/>
      </w:tabs>
      <w:snapToGrid w:val="0"/>
      <w:jc w:val="left"/>
    </w:pPr>
    <w:rPr>
      <w:sz w:val="18"/>
      <w:szCs w:val="20"/>
    </w:rPr>
  </w:style>
  <w:style w:type="paragraph" w:styleId="23">
    <w:name w:val="envelope return"/>
    <w:basedOn w:val="1"/>
    <w:autoRedefine/>
    <w:unhideWhenUsed/>
    <w:qFormat/>
    <w:locked/>
    <w:uiPriority w:val="99"/>
    <w:pPr>
      <w:snapToGrid w:val="0"/>
    </w:pPr>
    <w:rPr>
      <w:rFonts w:ascii="Arial" w:hAnsi="Arial"/>
    </w:rPr>
  </w:style>
  <w:style w:type="paragraph" w:styleId="24">
    <w:name w:val="header"/>
    <w:basedOn w:val="1"/>
    <w:link w:val="110"/>
    <w:autoRedefine/>
    <w:qFormat/>
    <w:uiPriority w:val="0"/>
    <w:pPr>
      <w:pBdr>
        <w:bottom w:val="single" w:color="auto" w:sz="6" w:space="1"/>
      </w:pBdr>
      <w:tabs>
        <w:tab w:val="center" w:pos="4153"/>
        <w:tab w:val="right" w:pos="8306"/>
      </w:tabs>
      <w:snapToGrid w:val="0"/>
      <w:jc w:val="center"/>
    </w:pPr>
    <w:rPr>
      <w:sz w:val="18"/>
      <w:szCs w:val="20"/>
    </w:rPr>
  </w:style>
  <w:style w:type="paragraph" w:styleId="25">
    <w:name w:val="toc 1"/>
    <w:basedOn w:val="1"/>
    <w:next w:val="1"/>
    <w:autoRedefine/>
    <w:qFormat/>
    <w:uiPriority w:val="39"/>
    <w:pPr>
      <w:spacing w:line="360" w:lineRule="auto"/>
    </w:pPr>
    <w:rPr>
      <w:sz w:val="24"/>
    </w:rPr>
  </w:style>
  <w:style w:type="paragraph" w:styleId="26">
    <w:name w:val="Subtitle"/>
    <w:basedOn w:val="1"/>
    <w:next w:val="1"/>
    <w:autoRedefine/>
    <w:qFormat/>
    <w:locked/>
    <w:uiPriority w:val="11"/>
    <w:pPr>
      <w:spacing w:before="240" w:after="60" w:line="312" w:lineRule="auto"/>
      <w:jc w:val="center"/>
      <w:outlineLvl w:val="1"/>
    </w:pPr>
    <w:rPr>
      <w:rFonts w:asciiTheme="majorHAnsi" w:hAnsiTheme="majorHAnsi" w:cstheme="majorBidi"/>
      <w:b/>
      <w:bCs/>
      <w:kern w:val="28"/>
      <w:sz w:val="32"/>
      <w:szCs w:val="32"/>
    </w:rPr>
  </w:style>
  <w:style w:type="paragraph" w:styleId="27">
    <w:name w:val="List 5"/>
    <w:basedOn w:val="1"/>
    <w:autoRedefine/>
    <w:qFormat/>
    <w:locked/>
    <w:uiPriority w:val="99"/>
    <w:pPr>
      <w:ind w:left="2100" w:hanging="420"/>
    </w:pPr>
    <w:rPr>
      <w:rFonts w:eastAsia="楷体_GB2312"/>
      <w:sz w:val="32"/>
      <w:szCs w:val="20"/>
    </w:rPr>
  </w:style>
  <w:style w:type="paragraph" w:styleId="28">
    <w:name w:val="Body Text Indent 3"/>
    <w:basedOn w:val="1"/>
    <w:link w:val="111"/>
    <w:autoRedefine/>
    <w:qFormat/>
    <w:uiPriority w:val="99"/>
    <w:pPr>
      <w:spacing w:line="400" w:lineRule="exact"/>
      <w:ind w:firstLine="480" w:firstLineChars="200"/>
    </w:pPr>
    <w:rPr>
      <w:rFonts w:ascii="宋体" w:hAnsi="宋体"/>
      <w:color w:val="FF0000"/>
      <w:sz w:val="24"/>
    </w:rPr>
  </w:style>
  <w:style w:type="paragraph" w:styleId="29">
    <w:name w:val="toc 2"/>
    <w:basedOn w:val="1"/>
    <w:next w:val="1"/>
    <w:autoRedefine/>
    <w:qFormat/>
    <w:uiPriority w:val="39"/>
    <w:pPr>
      <w:spacing w:line="360" w:lineRule="auto"/>
      <w:ind w:left="200" w:leftChars="200"/>
    </w:pPr>
  </w:style>
  <w:style w:type="paragraph" w:styleId="30">
    <w:name w:val="toc 9"/>
    <w:next w:val="1"/>
    <w:autoRedefine/>
    <w:qFormat/>
    <w:locked/>
    <w:uiPriority w:val="0"/>
    <w:pPr>
      <w:wordWrap w:val="0"/>
      <w:ind w:left="2975"/>
      <w:jc w:val="both"/>
    </w:pPr>
    <w:rPr>
      <w:rFonts w:ascii="Calibri" w:hAnsi="Calibri" w:eastAsia="宋体" w:cs="Times New Roman"/>
      <w:sz w:val="21"/>
      <w:lang w:val="en-US" w:eastAsia="zh-CN" w:bidi="ar-SA"/>
    </w:rPr>
  </w:style>
  <w:style w:type="paragraph" w:styleId="31">
    <w:name w:val="List 4"/>
    <w:basedOn w:val="1"/>
    <w:autoRedefine/>
    <w:qFormat/>
    <w:uiPriority w:val="99"/>
    <w:pPr>
      <w:ind w:left="1680" w:hanging="420"/>
    </w:pPr>
    <w:rPr>
      <w:rFonts w:eastAsia="楷体_GB2312"/>
      <w:sz w:val="32"/>
      <w:szCs w:val="20"/>
    </w:rPr>
  </w:style>
  <w:style w:type="paragraph" w:styleId="32">
    <w:name w:val="Message Header"/>
    <w:basedOn w:val="1"/>
    <w:autoRedefine/>
    <w:semiHidden/>
    <w:unhideWhenUsed/>
    <w:qFormat/>
    <w:locked/>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33">
    <w:name w:val="Normal (Web)"/>
    <w:basedOn w:val="1"/>
    <w:autoRedefine/>
    <w:unhideWhenUsed/>
    <w:qFormat/>
    <w:locked/>
    <w:uiPriority w:val="99"/>
    <w:pPr>
      <w:spacing w:beforeAutospacing="1" w:afterAutospacing="1"/>
      <w:jc w:val="left"/>
    </w:pPr>
    <w:rPr>
      <w:kern w:val="0"/>
      <w:sz w:val="24"/>
    </w:rPr>
  </w:style>
  <w:style w:type="paragraph" w:styleId="34">
    <w:name w:val="Title"/>
    <w:basedOn w:val="1"/>
    <w:next w:val="1"/>
    <w:autoRedefine/>
    <w:qFormat/>
    <w:locked/>
    <w:uiPriority w:val="10"/>
    <w:pPr>
      <w:spacing w:before="240" w:after="60"/>
      <w:jc w:val="center"/>
      <w:outlineLvl w:val="0"/>
    </w:pPr>
    <w:rPr>
      <w:rFonts w:asciiTheme="majorHAnsi" w:hAnsiTheme="majorHAnsi" w:cstheme="majorBidi"/>
      <w:b/>
      <w:bCs/>
      <w:sz w:val="32"/>
      <w:szCs w:val="32"/>
    </w:rPr>
  </w:style>
  <w:style w:type="paragraph" w:styleId="35">
    <w:name w:val="annotation subject"/>
    <w:basedOn w:val="14"/>
    <w:next w:val="14"/>
    <w:link w:val="143"/>
    <w:autoRedefine/>
    <w:semiHidden/>
    <w:unhideWhenUsed/>
    <w:qFormat/>
    <w:locked/>
    <w:uiPriority w:val="99"/>
    <w:rPr>
      <w:b/>
      <w:bCs/>
    </w:rPr>
  </w:style>
  <w:style w:type="paragraph" w:styleId="36">
    <w:name w:val="Body Text First Indent"/>
    <w:basedOn w:val="15"/>
    <w:link w:val="115"/>
    <w:autoRedefine/>
    <w:unhideWhenUsed/>
    <w:qFormat/>
    <w:locked/>
    <w:uiPriority w:val="99"/>
    <w:pPr>
      <w:spacing w:after="120" w:line="240" w:lineRule="auto"/>
      <w:ind w:firstLine="420" w:firstLineChars="100"/>
    </w:pPr>
    <w:rPr>
      <w:rFonts w:ascii="Times New Roman" w:hAnsi="Times New Roman"/>
      <w:sz w:val="21"/>
    </w:rPr>
  </w:style>
  <w:style w:type="paragraph" w:styleId="37">
    <w:name w:val="Body Text First Indent 2"/>
    <w:basedOn w:val="16"/>
    <w:next w:val="11"/>
    <w:link w:val="148"/>
    <w:autoRedefine/>
    <w:qFormat/>
    <w:locked/>
    <w:uiPriority w:val="0"/>
    <w:pPr>
      <w:ind w:firstLine="420" w:firstLineChars="200"/>
    </w:pPr>
    <w:rPr>
      <w:rFonts w:eastAsia="楷体_GB2312"/>
      <w:b/>
      <w:kern w:val="44"/>
      <w:sz w:val="44"/>
    </w:rPr>
  </w:style>
  <w:style w:type="table" w:styleId="39">
    <w:name w:val="Table Grid"/>
    <w:basedOn w:val="38"/>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autoRedefine/>
    <w:qFormat/>
    <w:uiPriority w:val="99"/>
    <w:rPr>
      <w:rFonts w:cs="Times New Roman"/>
      <w:b/>
    </w:rPr>
  </w:style>
  <w:style w:type="character" w:styleId="42">
    <w:name w:val="page number"/>
    <w:autoRedefine/>
    <w:qFormat/>
    <w:uiPriority w:val="99"/>
    <w:rPr>
      <w:rFonts w:cs="Times New Roman"/>
    </w:rPr>
  </w:style>
  <w:style w:type="character" w:styleId="43">
    <w:name w:val="FollowedHyperlink"/>
    <w:autoRedefine/>
    <w:unhideWhenUsed/>
    <w:qFormat/>
    <w:locked/>
    <w:uiPriority w:val="99"/>
    <w:rPr>
      <w:color w:val="333333"/>
      <w:u w:val="none"/>
    </w:rPr>
  </w:style>
  <w:style w:type="character" w:styleId="44">
    <w:name w:val="Emphasis"/>
    <w:basedOn w:val="40"/>
    <w:autoRedefine/>
    <w:qFormat/>
    <w:locked/>
    <w:uiPriority w:val="20"/>
  </w:style>
  <w:style w:type="character" w:styleId="45">
    <w:name w:val="HTML Definition"/>
    <w:autoRedefine/>
    <w:semiHidden/>
    <w:unhideWhenUsed/>
    <w:qFormat/>
    <w:locked/>
    <w:uiPriority w:val="99"/>
    <w:rPr>
      <w:i/>
      <w:shd w:val="clear" w:color="auto" w:fill="D9534F"/>
    </w:rPr>
  </w:style>
  <w:style w:type="character" w:styleId="46">
    <w:name w:val="HTML Typewriter"/>
    <w:autoRedefine/>
    <w:semiHidden/>
    <w:unhideWhenUsed/>
    <w:qFormat/>
    <w:locked/>
    <w:uiPriority w:val="99"/>
    <w:rPr>
      <w:rFonts w:ascii="monospace" w:hAnsi="monospace" w:eastAsia="monospace" w:cs="monospace"/>
      <w:sz w:val="20"/>
    </w:rPr>
  </w:style>
  <w:style w:type="character" w:styleId="47">
    <w:name w:val="HTML Acronym"/>
    <w:basedOn w:val="40"/>
    <w:autoRedefine/>
    <w:semiHidden/>
    <w:unhideWhenUsed/>
    <w:qFormat/>
    <w:locked/>
    <w:uiPriority w:val="99"/>
  </w:style>
  <w:style w:type="character" w:styleId="48">
    <w:name w:val="HTML Variable"/>
    <w:basedOn w:val="40"/>
    <w:autoRedefine/>
    <w:semiHidden/>
    <w:unhideWhenUsed/>
    <w:qFormat/>
    <w:locked/>
    <w:uiPriority w:val="99"/>
  </w:style>
  <w:style w:type="character" w:styleId="49">
    <w:name w:val="Hyperlink"/>
    <w:autoRedefine/>
    <w:qFormat/>
    <w:uiPriority w:val="99"/>
    <w:rPr>
      <w:rFonts w:cs="Times New Roman"/>
      <w:color w:val="0000FF"/>
      <w:u w:val="single"/>
    </w:rPr>
  </w:style>
  <w:style w:type="character" w:styleId="50">
    <w:name w:val="HTML Code"/>
    <w:autoRedefine/>
    <w:semiHidden/>
    <w:unhideWhenUsed/>
    <w:qFormat/>
    <w:locked/>
    <w:uiPriority w:val="99"/>
    <w:rPr>
      <w:rFonts w:hint="default" w:ascii="Consolas" w:hAnsi="Consolas" w:eastAsia="Consolas" w:cs="Consolas"/>
      <w:color w:val="C7254E"/>
      <w:sz w:val="21"/>
      <w:szCs w:val="21"/>
      <w:shd w:val="clear" w:color="auto" w:fill="F9F2F4"/>
    </w:rPr>
  </w:style>
  <w:style w:type="character" w:styleId="51">
    <w:name w:val="annotation reference"/>
    <w:basedOn w:val="40"/>
    <w:autoRedefine/>
    <w:semiHidden/>
    <w:unhideWhenUsed/>
    <w:qFormat/>
    <w:locked/>
    <w:uiPriority w:val="99"/>
    <w:rPr>
      <w:sz w:val="21"/>
      <w:szCs w:val="21"/>
    </w:rPr>
  </w:style>
  <w:style w:type="character" w:styleId="52">
    <w:name w:val="HTML Cite"/>
    <w:basedOn w:val="40"/>
    <w:autoRedefine/>
    <w:semiHidden/>
    <w:unhideWhenUsed/>
    <w:qFormat/>
    <w:locked/>
    <w:uiPriority w:val="99"/>
  </w:style>
  <w:style w:type="character" w:styleId="53">
    <w:name w:val="HTML Keyboard"/>
    <w:autoRedefine/>
    <w:semiHidden/>
    <w:unhideWhenUsed/>
    <w:qFormat/>
    <w:locked/>
    <w:uiPriority w:val="99"/>
    <w:rPr>
      <w:rFonts w:ascii="Consolas" w:hAnsi="Consolas" w:eastAsia="Consolas" w:cs="Consolas"/>
      <w:color w:val="FFFFFF"/>
      <w:sz w:val="21"/>
      <w:szCs w:val="21"/>
      <w:shd w:val="clear" w:color="auto" w:fill="333333"/>
    </w:rPr>
  </w:style>
  <w:style w:type="character" w:styleId="54">
    <w:name w:val="HTML Sample"/>
    <w:autoRedefine/>
    <w:semiHidden/>
    <w:unhideWhenUsed/>
    <w:qFormat/>
    <w:locked/>
    <w:uiPriority w:val="99"/>
    <w:rPr>
      <w:rFonts w:hint="default" w:ascii="Consolas" w:hAnsi="Consolas" w:eastAsia="Consolas" w:cs="Consolas"/>
      <w:sz w:val="21"/>
      <w:szCs w:val="21"/>
    </w:rPr>
  </w:style>
  <w:style w:type="paragraph" w:customStyle="1" w:styleId="55">
    <w:name w:val="列出段落1"/>
    <w:basedOn w:val="1"/>
    <w:autoRedefine/>
    <w:unhideWhenUsed/>
    <w:qFormat/>
    <w:uiPriority w:val="99"/>
    <w:pPr>
      <w:ind w:firstLine="480" w:firstLineChars="200"/>
    </w:pPr>
  </w:style>
  <w:style w:type="paragraph" w:customStyle="1" w:styleId="56">
    <w:name w:val="Body Text First Indent1"/>
    <w:basedOn w:val="15"/>
    <w:next w:val="57"/>
    <w:autoRedefine/>
    <w:qFormat/>
    <w:uiPriority w:val="0"/>
    <w:pPr>
      <w:ind w:firstLine="420" w:firstLineChars="100"/>
    </w:pPr>
  </w:style>
  <w:style w:type="paragraph" w:customStyle="1" w:styleId="57">
    <w:name w:val="正文首行缩进 21"/>
    <w:basedOn w:val="58"/>
    <w:autoRedefine/>
    <w:qFormat/>
    <w:uiPriority w:val="0"/>
    <w:pPr>
      <w:ind w:firstLine="420" w:firstLineChars="200"/>
    </w:pPr>
  </w:style>
  <w:style w:type="paragraph" w:customStyle="1" w:styleId="58">
    <w:name w:val="正文文本缩进1"/>
    <w:basedOn w:val="1"/>
    <w:autoRedefine/>
    <w:qFormat/>
    <w:uiPriority w:val="0"/>
    <w:pPr>
      <w:spacing w:line="360" w:lineRule="auto"/>
      <w:ind w:firstLine="482" w:firstLineChars="100"/>
      <w:jc w:val="center"/>
    </w:pPr>
    <w:rPr>
      <w:rFonts w:ascii="黑体" w:eastAsia="黑体"/>
      <w:b/>
      <w:sz w:val="48"/>
      <w:szCs w:val="28"/>
    </w:rPr>
  </w:style>
  <w:style w:type="paragraph" w:customStyle="1" w:styleId="59">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60">
    <w:name w:val="标题 4 字符"/>
    <w:link w:val="5"/>
    <w:autoRedefine/>
    <w:semiHidden/>
    <w:qFormat/>
    <w:locked/>
    <w:uiPriority w:val="99"/>
    <w:rPr>
      <w:rFonts w:ascii="Cambria" w:hAnsi="Cambria" w:eastAsia="宋体" w:cs="Times New Roman"/>
      <w:b/>
      <w:bCs/>
      <w:sz w:val="28"/>
      <w:szCs w:val="28"/>
    </w:rPr>
  </w:style>
  <w:style w:type="character" w:customStyle="1" w:styleId="61">
    <w:name w:val="标题 3 字符"/>
    <w:link w:val="4"/>
    <w:autoRedefine/>
    <w:qFormat/>
    <w:locked/>
    <w:uiPriority w:val="99"/>
    <w:rPr>
      <w:rFonts w:ascii="宋体" w:eastAsia="宋体"/>
      <w:b/>
      <w:sz w:val="28"/>
    </w:rPr>
  </w:style>
  <w:style w:type="paragraph" w:customStyle="1" w:styleId="62">
    <w:name w:val="正文1"/>
    <w:basedOn w:val="1"/>
    <w:next w:val="63"/>
    <w:autoRedefine/>
    <w:qFormat/>
    <w:uiPriority w:val="0"/>
    <w:pPr>
      <w:spacing w:line="380" w:lineRule="exact"/>
      <w:jc w:val="center"/>
    </w:pPr>
    <w:rPr>
      <w:rFonts w:ascii="黑体" w:eastAsia="黑体"/>
    </w:rPr>
  </w:style>
  <w:style w:type="paragraph" w:customStyle="1" w:styleId="63">
    <w:name w:val="表格"/>
    <w:basedOn w:val="1"/>
    <w:next w:val="64"/>
    <w:autoRedefine/>
    <w:qFormat/>
    <w:uiPriority w:val="0"/>
    <w:pPr>
      <w:jc w:val="center"/>
    </w:pPr>
    <w:rPr>
      <w:rFonts w:ascii="华文细黑"/>
    </w:rPr>
  </w:style>
  <w:style w:type="paragraph" w:customStyle="1" w:styleId="64">
    <w:name w:val="空半行"/>
    <w:basedOn w:val="1"/>
    <w:next w:val="65"/>
    <w:autoRedefine/>
    <w:qFormat/>
    <w:uiPriority w:val="0"/>
    <w:pPr>
      <w:spacing w:line="120" w:lineRule="exact"/>
    </w:pPr>
    <w:rPr>
      <w:rFonts w:eastAsia="仿宋_GB2312"/>
      <w:color w:val="FFFFFF"/>
      <w:sz w:val="30"/>
    </w:rPr>
  </w:style>
  <w:style w:type="paragraph" w:customStyle="1" w:styleId="65">
    <w:name w:val="样式"/>
    <w:next w:val="66"/>
    <w:autoRedefine/>
    <w:qFormat/>
    <w:uiPriority w:val="0"/>
    <w:pPr>
      <w:widowControl w:val="0"/>
      <w:jc w:val="both"/>
    </w:pPr>
    <w:rPr>
      <w:rFonts w:ascii="Calibri" w:hAnsi="Calibri" w:eastAsia="宋体" w:cs="Times New Roman"/>
      <w:sz w:val="21"/>
      <w:lang w:val="en-US" w:eastAsia="zh-CN" w:bidi="ar-SA"/>
    </w:rPr>
  </w:style>
  <w:style w:type="paragraph" w:customStyle="1" w:styleId="66">
    <w:name w:val="xl81"/>
    <w:basedOn w:val="1"/>
    <w:next w:val="30"/>
    <w:autoRedefine/>
    <w:qFormat/>
    <w:uiPriority w:val="0"/>
    <w:pPr>
      <w:widowControl/>
      <w:shd w:val="clear" w:color="FFFFFF" w:fill="FFFFFF"/>
      <w:spacing w:before="280" w:after="280"/>
      <w:jc w:val="center"/>
    </w:pPr>
    <w:rPr>
      <w:rFonts w:ascii="宋体"/>
      <w:b/>
      <w:sz w:val="24"/>
    </w:rPr>
  </w:style>
  <w:style w:type="paragraph" w:customStyle="1" w:styleId="67">
    <w:name w:val="Default"/>
    <w:basedOn w:val="34"/>
    <w:next w:val="1"/>
    <w:link w:val="114"/>
    <w:autoRedefine/>
    <w:qFormat/>
    <w:uiPriority w:val="0"/>
    <w:pPr>
      <w:autoSpaceDE w:val="0"/>
      <w:autoSpaceDN w:val="0"/>
      <w:adjustRightInd w:val="0"/>
    </w:pPr>
    <w:rPr>
      <w:rFonts w:ascii="宋体" w:hAnsi="Times New Roman" w:cs="宋体"/>
      <w:color w:val="000000"/>
      <w:sz w:val="24"/>
      <w:szCs w:val="24"/>
    </w:rPr>
  </w:style>
  <w:style w:type="paragraph" w:customStyle="1" w:styleId="68">
    <w:name w:val="大标题"/>
    <w:basedOn w:val="1"/>
    <w:next w:val="37"/>
    <w:autoRedefine/>
    <w:qFormat/>
    <w:uiPriority w:val="0"/>
    <w:pPr>
      <w:jc w:val="center"/>
    </w:pPr>
    <w:rPr>
      <w:rFonts w:ascii="Arial" w:hAnsi="Arial"/>
      <w:b/>
      <w:sz w:val="28"/>
    </w:rPr>
  </w:style>
  <w:style w:type="paragraph" w:customStyle="1" w:styleId="69">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70">
    <w:name w:val="文档正文"/>
    <w:basedOn w:val="1"/>
    <w:autoRedefine/>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71">
    <w:name w:val="_Style 2"/>
    <w:basedOn w:val="1"/>
    <w:next w:val="1"/>
    <w:autoRedefine/>
    <w:qFormat/>
    <w:uiPriority w:val="0"/>
    <w:pPr>
      <w:ind w:firstLine="420" w:firstLineChars="200"/>
    </w:pPr>
  </w:style>
  <w:style w:type="paragraph" w:customStyle="1" w:styleId="72">
    <w:name w:val="无间隔1"/>
    <w:basedOn w:val="73"/>
    <w:autoRedefine/>
    <w:qFormat/>
    <w:uiPriority w:val="99"/>
    <w:pPr>
      <w:spacing w:line="400" w:lineRule="exact"/>
    </w:pPr>
    <w:rPr>
      <w:sz w:val="24"/>
    </w:rPr>
  </w:style>
  <w:style w:type="paragraph" w:customStyle="1" w:styleId="73">
    <w:name w:val="正文_0"/>
    <w:next w:val="7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1.1.1.1"/>
    <w:basedOn w:val="1"/>
    <w:autoRedefine/>
    <w:qFormat/>
    <w:uiPriority w:val="99"/>
    <w:pPr>
      <w:tabs>
        <w:tab w:val="left" w:pos="26875"/>
      </w:tabs>
      <w:autoSpaceDE w:val="0"/>
      <w:autoSpaceDN w:val="0"/>
      <w:adjustRightInd w:val="0"/>
      <w:spacing w:before="60" w:after="60" w:line="360" w:lineRule="atLeast"/>
      <w:ind w:left="1134" w:hanging="1134"/>
    </w:pPr>
    <w:rPr>
      <w:rFonts w:ascii="宋体"/>
      <w:kern w:val="0"/>
      <w:sz w:val="24"/>
      <w:szCs w:val="20"/>
    </w:rPr>
  </w:style>
  <w:style w:type="paragraph" w:customStyle="1" w:styleId="75">
    <w:name w:val="Char Char Char Char"/>
    <w:basedOn w:val="1"/>
    <w:autoRedefine/>
    <w:qFormat/>
    <w:uiPriority w:val="99"/>
    <w:rPr>
      <w:rFonts w:ascii="Tahoma" w:hAnsi="Tahoma"/>
      <w:sz w:val="24"/>
      <w:szCs w:val="20"/>
    </w:rPr>
  </w:style>
  <w:style w:type="paragraph" w:customStyle="1" w:styleId="76">
    <w:name w:val="item1.1"/>
    <w:basedOn w:val="1"/>
    <w:autoRedefine/>
    <w:qFormat/>
    <w:uiPriority w:val="99"/>
    <w:pPr>
      <w:adjustRightInd w:val="0"/>
      <w:spacing w:line="480" w:lineRule="exact"/>
      <w:textAlignment w:val="baseline"/>
    </w:pPr>
    <w:rPr>
      <w:rFonts w:ascii="宋体"/>
      <w:sz w:val="28"/>
    </w:rPr>
  </w:style>
  <w:style w:type="paragraph" w:customStyle="1" w:styleId="77">
    <w:name w:val="Char Char1 Char"/>
    <w:basedOn w:val="1"/>
    <w:autoRedefine/>
    <w:qFormat/>
    <w:uiPriority w:val="99"/>
    <w:rPr>
      <w:rFonts w:ascii="Tahoma" w:hAnsi="Tahoma"/>
      <w:sz w:val="24"/>
      <w:szCs w:val="20"/>
    </w:rPr>
  </w:style>
  <w:style w:type="paragraph" w:customStyle="1" w:styleId="78">
    <w:name w:val="样式 标题 2 + Times New Roman 四号 非加粗 段前: 5 磅 段后: 0 磅 行距: 固定值 20..."/>
    <w:basedOn w:val="3"/>
    <w:autoRedefine/>
    <w:qFormat/>
    <w:uiPriority w:val="99"/>
    <w:pPr>
      <w:adjustRightInd/>
      <w:spacing w:before="100" w:after="0" w:line="400" w:lineRule="exact"/>
      <w:textAlignment w:val="auto"/>
    </w:pPr>
    <w:rPr>
      <w:rFonts w:ascii="Times New Roman" w:hAnsi="Times New Roman"/>
      <w:kern w:val="2"/>
    </w:rPr>
  </w:style>
  <w:style w:type="paragraph" w:customStyle="1" w:styleId="79">
    <w:name w:val="Char"/>
    <w:basedOn w:val="1"/>
    <w:autoRedefine/>
    <w:semiHidden/>
    <w:qFormat/>
    <w:uiPriority w:val="99"/>
    <w:pPr>
      <w:widowControl/>
      <w:spacing w:after="160" w:line="240" w:lineRule="exact"/>
      <w:jc w:val="left"/>
    </w:pPr>
    <w:rPr>
      <w:rFonts w:ascii="Arial" w:hAnsi="Arial"/>
      <w:kern w:val="0"/>
      <w:sz w:val="22"/>
      <w:szCs w:val="22"/>
      <w:lang w:eastAsia="en-US"/>
    </w:rPr>
  </w:style>
  <w:style w:type="paragraph" w:customStyle="1" w:styleId="80">
    <w:name w:val="1.1.1.1A-1"/>
    <w:basedOn w:val="81"/>
    <w:autoRedefine/>
    <w:qFormat/>
    <w:uiPriority w:val="99"/>
    <w:pPr>
      <w:tabs>
        <w:tab w:val="left" w:pos="1843"/>
        <w:tab w:val="left" w:pos="1985"/>
      </w:tabs>
      <w:ind w:left="1985" w:hanging="425"/>
    </w:pPr>
  </w:style>
  <w:style w:type="paragraph" w:customStyle="1" w:styleId="81">
    <w:name w:val="1.1.1.1A"/>
    <w:basedOn w:val="74"/>
    <w:autoRedefine/>
    <w:qFormat/>
    <w:uiPriority w:val="99"/>
    <w:pPr>
      <w:tabs>
        <w:tab w:val="left" w:pos="1843"/>
        <w:tab w:val="clear" w:pos="26875"/>
      </w:tabs>
      <w:ind w:left="1560" w:hanging="426"/>
    </w:pPr>
  </w:style>
  <w:style w:type="paragraph" w:customStyle="1" w:styleId="82">
    <w:name w:val="标书正文"/>
    <w:basedOn w:val="1"/>
    <w:autoRedefine/>
    <w:qFormat/>
    <w:uiPriority w:val="99"/>
    <w:pPr>
      <w:tabs>
        <w:tab w:val="left" w:pos="600"/>
      </w:tabs>
      <w:snapToGrid w:val="0"/>
      <w:spacing w:line="480" w:lineRule="atLeast"/>
      <w:ind w:firstLine="480" w:firstLineChars="200"/>
    </w:pPr>
    <w:rPr>
      <w:color w:val="000000"/>
      <w:sz w:val="24"/>
    </w:rPr>
  </w:style>
  <w:style w:type="paragraph" w:customStyle="1" w:styleId="83">
    <w:name w:val="Char1"/>
    <w:basedOn w:val="1"/>
    <w:autoRedefine/>
    <w:qFormat/>
    <w:uiPriority w:val="99"/>
    <w:rPr>
      <w:rFonts w:ascii="Tahoma" w:hAnsi="Tahoma"/>
      <w:sz w:val="24"/>
      <w:szCs w:val="20"/>
    </w:rPr>
  </w:style>
  <w:style w:type="paragraph" w:customStyle="1" w:styleId="84">
    <w:name w:val="样式3"/>
    <w:basedOn w:val="18"/>
    <w:autoRedefine/>
    <w:qFormat/>
    <w:uiPriority w:val="99"/>
    <w:pPr>
      <w:adjustRightInd w:val="0"/>
      <w:spacing w:line="240" w:lineRule="atLeast"/>
      <w:textAlignment w:val="baseline"/>
      <w:outlineLvl w:val="0"/>
    </w:pPr>
    <w:rPr>
      <w:sz w:val="28"/>
    </w:rPr>
  </w:style>
  <w:style w:type="paragraph" w:customStyle="1" w:styleId="85">
    <w:name w:val="默认段落字体 Para Char Char Char Char"/>
    <w:basedOn w:val="1"/>
    <w:autoRedefine/>
    <w:qFormat/>
    <w:uiPriority w:val="99"/>
    <w:pPr>
      <w:snapToGrid w:val="0"/>
      <w:spacing w:line="360" w:lineRule="auto"/>
      <w:ind w:firstLine="200" w:firstLineChars="200"/>
    </w:pPr>
  </w:style>
  <w:style w:type="paragraph" w:customStyle="1" w:styleId="86">
    <w:name w:val="cntrt"/>
    <w:basedOn w:val="1"/>
    <w:autoRedefine/>
    <w:qFormat/>
    <w:uiPriority w:val="99"/>
    <w:pPr>
      <w:widowControl/>
      <w:jc w:val="left"/>
    </w:pPr>
    <w:rPr>
      <w:rFonts w:ascii="Arial" w:hAnsi="Arial" w:cs="Arial"/>
      <w:kern w:val="0"/>
      <w:sz w:val="20"/>
      <w:szCs w:val="20"/>
    </w:rPr>
  </w:style>
  <w:style w:type="paragraph" w:customStyle="1" w:styleId="87">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88">
    <w:name w:val="列表段落1"/>
    <w:basedOn w:val="1"/>
    <w:autoRedefine/>
    <w:unhideWhenUsed/>
    <w:qFormat/>
    <w:uiPriority w:val="34"/>
    <w:pPr>
      <w:ind w:firstLine="420" w:firstLineChars="200"/>
    </w:pPr>
  </w:style>
  <w:style w:type="paragraph" w:customStyle="1" w:styleId="89">
    <w:name w:val="列出段落2"/>
    <w:basedOn w:val="1"/>
    <w:autoRedefine/>
    <w:qFormat/>
    <w:uiPriority w:val="0"/>
    <w:pPr>
      <w:ind w:firstLine="420" w:firstLineChars="200"/>
    </w:pPr>
    <w:rPr>
      <w:rFonts w:ascii="Calibri" w:hAnsi="Calibri"/>
    </w:rPr>
  </w:style>
  <w:style w:type="paragraph" w:customStyle="1" w:styleId="90">
    <w:name w:val="正文_13_0"/>
    <w:basedOn w:val="1"/>
    <w:autoRedefine/>
    <w:qFormat/>
    <w:uiPriority w:val="0"/>
    <w:rPr>
      <w:szCs w:val="21"/>
    </w:rPr>
  </w:style>
  <w:style w:type="paragraph" w:customStyle="1" w:styleId="91">
    <w:name w:val="正文 A"/>
    <w:autoRedefine/>
    <w:qFormat/>
    <w:uiPriority w:val="0"/>
    <w:rPr>
      <w:rFonts w:ascii="宋体" w:hAnsi="宋体" w:eastAsia="宋体" w:cs="宋体"/>
      <w:color w:val="000000"/>
      <w:sz w:val="24"/>
      <w:szCs w:val="24"/>
      <w:u w:color="000000"/>
      <w:lang w:val="en-US" w:eastAsia="zh-CN" w:bidi="ar-SA"/>
    </w:rPr>
  </w:style>
  <w:style w:type="paragraph" w:customStyle="1" w:styleId="92">
    <w:name w:val="shsj2em"/>
    <w:basedOn w:val="1"/>
    <w:autoRedefine/>
    <w:qFormat/>
    <w:uiPriority w:val="0"/>
    <w:pPr>
      <w:ind w:firstLine="420"/>
      <w:jc w:val="left"/>
    </w:pPr>
    <w:rPr>
      <w:kern w:val="0"/>
    </w:rPr>
  </w:style>
  <w:style w:type="paragraph" w:customStyle="1" w:styleId="93">
    <w:name w:val="列出段落3"/>
    <w:basedOn w:val="1"/>
    <w:autoRedefine/>
    <w:qFormat/>
    <w:uiPriority w:val="0"/>
    <w:pPr>
      <w:widowControl/>
      <w:ind w:left="720"/>
      <w:contextualSpacing/>
      <w:jc w:val="left"/>
    </w:pPr>
    <w:rPr>
      <w:rFonts w:ascii="Calibri" w:hAnsi="Calibri"/>
      <w:sz w:val="24"/>
      <w:lang w:eastAsia="en-US"/>
    </w:rPr>
  </w:style>
  <w:style w:type="paragraph" w:customStyle="1" w:styleId="94">
    <w:name w:val="无间隔2"/>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5">
    <w:name w:val="标题 1 字符"/>
    <w:link w:val="2"/>
    <w:autoRedefine/>
    <w:qFormat/>
    <w:locked/>
    <w:uiPriority w:val="99"/>
    <w:rPr>
      <w:rFonts w:ascii="黑体" w:eastAsia="黑体"/>
      <w:kern w:val="44"/>
      <w:sz w:val="32"/>
    </w:rPr>
  </w:style>
  <w:style w:type="character" w:customStyle="1" w:styleId="96">
    <w:name w:val="标题 2 字符"/>
    <w:autoRedefine/>
    <w:qFormat/>
    <w:locked/>
    <w:uiPriority w:val="99"/>
    <w:rPr>
      <w:rFonts w:ascii="宋体" w:hAnsi="宋体" w:cs="宋体"/>
      <w:b/>
      <w:sz w:val="30"/>
    </w:rPr>
  </w:style>
  <w:style w:type="character" w:customStyle="1" w:styleId="97">
    <w:name w:val="标题 5 字符"/>
    <w:link w:val="6"/>
    <w:autoRedefine/>
    <w:semiHidden/>
    <w:qFormat/>
    <w:locked/>
    <w:uiPriority w:val="99"/>
    <w:rPr>
      <w:rFonts w:cs="Times New Roman"/>
      <w:b/>
      <w:bCs/>
      <w:sz w:val="28"/>
      <w:szCs w:val="28"/>
    </w:rPr>
  </w:style>
  <w:style w:type="character" w:customStyle="1" w:styleId="98">
    <w:name w:val="标题 6 字符"/>
    <w:link w:val="7"/>
    <w:autoRedefine/>
    <w:semiHidden/>
    <w:qFormat/>
    <w:locked/>
    <w:uiPriority w:val="99"/>
    <w:rPr>
      <w:rFonts w:ascii="Cambria" w:hAnsi="Cambria" w:eastAsia="宋体" w:cs="Times New Roman"/>
      <w:b/>
      <w:bCs/>
      <w:sz w:val="24"/>
      <w:szCs w:val="24"/>
    </w:rPr>
  </w:style>
  <w:style w:type="character" w:customStyle="1" w:styleId="99">
    <w:name w:val="标题 7 字符"/>
    <w:link w:val="8"/>
    <w:autoRedefine/>
    <w:semiHidden/>
    <w:qFormat/>
    <w:locked/>
    <w:uiPriority w:val="99"/>
    <w:rPr>
      <w:rFonts w:cs="Times New Roman"/>
      <w:b/>
      <w:bCs/>
      <w:sz w:val="24"/>
      <w:szCs w:val="24"/>
    </w:rPr>
  </w:style>
  <w:style w:type="character" w:customStyle="1" w:styleId="100">
    <w:name w:val="标题 8 字符"/>
    <w:link w:val="9"/>
    <w:autoRedefine/>
    <w:semiHidden/>
    <w:qFormat/>
    <w:locked/>
    <w:uiPriority w:val="99"/>
    <w:rPr>
      <w:rFonts w:ascii="Cambria" w:hAnsi="Cambria" w:eastAsia="宋体" w:cs="Times New Roman"/>
      <w:sz w:val="24"/>
      <w:szCs w:val="24"/>
    </w:rPr>
  </w:style>
  <w:style w:type="character" w:customStyle="1" w:styleId="101">
    <w:name w:val="标题 9 字符"/>
    <w:link w:val="10"/>
    <w:autoRedefine/>
    <w:semiHidden/>
    <w:qFormat/>
    <w:locked/>
    <w:uiPriority w:val="99"/>
    <w:rPr>
      <w:rFonts w:ascii="Cambria" w:hAnsi="Cambria" w:eastAsia="宋体" w:cs="Times New Roman"/>
      <w:sz w:val="21"/>
      <w:szCs w:val="21"/>
    </w:rPr>
  </w:style>
  <w:style w:type="character" w:customStyle="1" w:styleId="102">
    <w:name w:val="文档结构图 字符"/>
    <w:link w:val="13"/>
    <w:autoRedefine/>
    <w:semiHidden/>
    <w:qFormat/>
    <w:locked/>
    <w:uiPriority w:val="99"/>
    <w:rPr>
      <w:rFonts w:cs="Times New Roman"/>
      <w:sz w:val="2"/>
    </w:rPr>
  </w:style>
  <w:style w:type="character" w:customStyle="1" w:styleId="103">
    <w:name w:val="正文文本 字符"/>
    <w:link w:val="15"/>
    <w:autoRedefine/>
    <w:qFormat/>
    <w:locked/>
    <w:uiPriority w:val="99"/>
    <w:rPr>
      <w:rFonts w:ascii="宋体" w:hAnsi="宋体"/>
      <w:b/>
      <w:bCs/>
      <w:kern w:val="2"/>
      <w:sz w:val="22"/>
      <w:szCs w:val="22"/>
    </w:rPr>
  </w:style>
  <w:style w:type="character" w:customStyle="1" w:styleId="104">
    <w:name w:val="正文文本缩进 字符"/>
    <w:link w:val="16"/>
    <w:autoRedefine/>
    <w:semiHidden/>
    <w:qFormat/>
    <w:locked/>
    <w:uiPriority w:val="99"/>
    <w:rPr>
      <w:rFonts w:cs="Times New Roman"/>
      <w:sz w:val="24"/>
      <w:szCs w:val="24"/>
    </w:rPr>
  </w:style>
  <w:style w:type="character" w:customStyle="1" w:styleId="105">
    <w:name w:val="纯文本 字符"/>
    <w:link w:val="18"/>
    <w:autoRedefine/>
    <w:qFormat/>
    <w:locked/>
    <w:uiPriority w:val="0"/>
    <w:rPr>
      <w:rFonts w:ascii="宋体" w:hAnsi="Courier New" w:cs="Courier New"/>
      <w:sz w:val="21"/>
      <w:szCs w:val="21"/>
    </w:rPr>
  </w:style>
  <w:style w:type="character" w:customStyle="1" w:styleId="106">
    <w:name w:val="日期 字符"/>
    <w:link w:val="19"/>
    <w:autoRedefine/>
    <w:semiHidden/>
    <w:qFormat/>
    <w:locked/>
    <w:uiPriority w:val="99"/>
    <w:rPr>
      <w:rFonts w:cs="Times New Roman"/>
      <w:sz w:val="24"/>
      <w:szCs w:val="24"/>
    </w:rPr>
  </w:style>
  <w:style w:type="character" w:customStyle="1" w:styleId="107">
    <w:name w:val="正文文本缩进 2 字符"/>
    <w:link w:val="20"/>
    <w:autoRedefine/>
    <w:semiHidden/>
    <w:qFormat/>
    <w:locked/>
    <w:uiPriority w:val="99"/>
    <w:rPr>
      <w:rFonts w:cs="Times New Roman"/>
      <w:sz w:val="24"/>
      <w:szCs w:val="24"/>
    </w:rPr>
  </w:style>
  <w:style w:type="character" w:customStyle="1" w:styleId="108">
    <w:name w:val="批注框文本 字符"/>
    <w:link w:val="21"/>
    <w:autoRedefine/>
    <w:semiHidden/>
    <w:qFormat/>
    <w:locked/>
    <w:uiPriority w:val="99"/>
    <w:rPr>
      <w:rFonts w:cs="Times New Roman"/>
      <w:sz w:val="2"/>
    </w:rPr>
  </w:style>
  <w:style w:type="character" w:customStyle="1" w:styleId="109">
    <w:name w:val="页脚 字符"/>
    <w:link w:val="22"/>
    <w:autoRedefine/>
    <w:qFormat/>
    <w:locked/>
    <w:uiPriority w:val="99"/>
    <w:rPr>
      <w:rFonts w:eastAsia="宋体" w:cs="Times New Roman"/>
      <w:kern w:val="2"/>
      <w:sz w:val="18"/>
      <w:lang w:val="en-US" w:eastAsia="zh-CN"/>
    </w:rPr>
  </w:style>
  <w:style w:type="character" w:customStyle="1" w:styleId="110">
    <w:name w:val="页眉 字符"/>
    <w:link w:val="24"/>
    <w:autoRedefine/>
    <w:qFormat/>
    <w:locked/>
    <w:uiPriority w:val="99"/>
    <w:rPr>
      <w:rFonts w:cs="Times New Roman"/>
      <w:kern w:val="2"/>
      <w:sz w:val="18"/>
    </w:rPr>
  </w:style>
  <w:style w:type="character" w:customStyle="1" w:styleId="111">
    <w:name w:val="正文文本缩进 3 字符"/>
    <w:link w:val="28"/>
    <w:autoRedefine/>
    <w:semiHidden/>
    <w:qFormat/>
    <w:locked/>
    <w:uiPriority w:val="99"/>
    <w:rPr>
      <w:rFonts w:cs="Times New Roman"/>
      <w:sz w:val="16"/>
      <w:szCs w:val="16"/>
    </w:rPr>
  </w:style>
  <w:style w:type="character" w:customStyle="1" w:styleId="112">
    <w:name w:val="正文文本 2 字符"/>
    <w:link w:val="12"/>
    <w:autoRedefine/>
    <w:qFormat/>
    <w:locked/>
    <w:uiPriority w:val="99"/>
    <w:rPr>
      <w:rFonts w:cs="Times New Roman"/>
      <w:sz w:val="24"/>
      <w:szCs w:val="24"/>
    </w:rPr>
  </w:style>
  <w:style w:type="character" w:customStyle="1" w:styleId="113">
    <w:name w:val="样式 标书正文 + 下划线 Char"/>
    <w:autoRedefine/>
    <w:qFormat/>
    <w:uiPriority w:val="99"/>
    <w:rPr>
      <w:rFonts w:eastAsia="楷体_GB2312"/>
      <w:kern w:val="2"/>
      <w:sz w:val="28"/>
      <w:u w:val="single"/>
      <w:lang w:val="en-US" w:eastAsia="zh-CN"/>
    </w:rPr>
  </w:style>
  <w:style w:type="character" w:customStyle="1" w:styleId="114">
    <w:name w:val="Default Char Char"/>
    <w:link w:val="67"/>
    <w:autoRedefine/>
    <w:qFormat/>
    <w:locked/>
    <w:uiPriority w:val="99"/>
    <w:rPr>
      <w:rFonts w:ascii="宋体" w:cs="宋体"/>
      <w:color w:val="000000"/>
      <w:sz w:val="24"/>
      <w:szCs w:val="24"/>
      <w:lang w:val="en-US" w:eastAsia="zh-CN" w:bidi="ar-SA"/>
    </w:rPr>
  </w:style>
  <w:style w:type="character" w:customStyle="1" w:styleId="115">
    <w:name w:val="正文文本首行缩进 字符"/>
    <w:link w:val="36"/>
    <w:autoRedefine/>
    <w:qFormat/>
    <w:uiPriority w:val="99"/>
    <w:rPr>
      <w:rFonts w:cs="Times New Roman"/>
      <w:kern w:val="2"/>
      <w:sz w:val="21"/>
      <w:szCs w:val="24"/>
    </w:rPr>
  </w:style>
  <w:style w:type="character" w:customStyle="1" w:styleId="116">
    <w:name w:val="t-exception-class-name"/>
    <w:autoRedefine/>
    <w:qFormat/>
    <w:uiPriority w:val="0"/>
    <w:rPr>
      <w:b/>
      <w:color w:val="0000FF"/>
      <w:sz w:val="24"/>
      <w:szCs w:val="24"/>
      <w:shd w:val="clear" w:color="auto" w:fill="E1E1E1"/>
    </w:rPr>
  </w:style>
  <w:style w:type="character" w:customStyle="1" w:styleId="117">
    <w:name w:val="t-exception-stack-controls"/>
    <w:basedOn w:val="40"/>
    <w:autoRedefine/>
    <w:qFormat/>
    <w:uiPriority w:val="0"/>
  </w:style>
  <w:style w:type="character" w:customStyle="1" w:styleId="118">
    <w:name w:val="t-tree-icon"/>
    <w:basedOn w:val="40"/>
    <w:autoRedefine/>
    <w:qFormat/>
    <w:uiPriority w:val="0"/>
  </w:style>
  <w:style w:type="character" w:customStyle="1" w:styleId="119">
    <w:name w:val="t-render-object-error"/>
    <w:autoRedefine/>
    <w:qFormat/>
    <w:uiPriority w:val="0"/>
    <w:rPr>
      <w:b/>
      <w:i/>
      <w:color w:val="FF0000"/>
    </w:rPr>
  </w:style>
  <w:style w:type="character" w:customStyle="1" w:styleId="120">
    <w:name w:val="current"/>
    <w:autoRedefine/>
    <w:qFormat/>
    <w:uiPriority w:val="0"/>
    <w:rPr>
      <w:color w:val="FFFFFF"/>
      <w:sz w:val="27"/>
      <w:szCs w:val="27"/>
      <w:u w:val="none"/>
      <w:bdr w:val="single" w:color="C0C0C0" w:sz="6" w:space="0"/>
      <w:shd w:val="clear" w:color="auto" w:fill="809FFF"/>
    </w:rPr>
  </w:style>
  <w:style w:type="character" w:customStyle="1" w:styleId="121">
    <w:name w:val="t-tree-expanded"/>
    <w:basedOn w:val="40"/>
    <w:autoRedefine/>
    <w:qFormat/>
    <w:uiPriority w:val="0"/>
  </w:style>
  <w:style w:type="character" w:customStyle="1" w:styleId="122">
    <w:name w:val="t-ajax-wait"/>
    <w:basedOn w:val="40"/>
    <w:autoRedefine/>
    <w:qFormat/>
    <w:uiPriority w:val="0"/>
  </w:style>
  <w:style w:type="character" w:customStyle="1" w:styleId="123">
    <w:name w:val="hover13"/>
    <w:autoRedefine/>
    <w:qFormat/>
    <w:uiPriority w:val="0"/>
    <w:rPr>
      <w:color w:val="FFFFFF"/>
      <w:shd w:val="clear" w:color="auto" w:fill="00C1B3"/>
    </w:rPr>
  </w:style>
  <w:style w:type="character" w:customStyle="1" w:styleId="124">
    <w:name w:val="hover14"/>
    <w:autoRedefine/>
    <w:qFormat/>
    <w:uiPriority w:val="0"/>
    <w:rPr>
      <w:color w:val="FFFFFF"/>
      <w:shd w:val="clear" w:color="auto" w:fill="00C1B3"/>
    </w:rPr>
  </w:style>
  <w:style w:type="character" w:customStyle="1" w:styleId="125">
    <w:name w:val="hover15"/>
    <w:autoRedefine/>
    <w:qFormat/>
    <w:uiPriority w:val="0"/>
    <w:rPr>
      <w:sz w:val="21"/>
      <w:szCs w:val="21"/>
    </w:rPr>
  </w:style>
  <w:style w:type="character" w:customStyle="1" w:styleId="126">
    <w:name w:val="hover12"/>
    <w:autoRedefine/>
    <w:qFormat/>
    <w:uiPriority w:val="0"/>
    <w:rPr>
      <w:color w:val="FFFFFF"/>
      <w:shd w:val="clear" w:color="auto" w:fill="00C1B3"/>
    </w:rPr>
  </w:style>
  <w:style w:type="character" w:customStyle="1" w:styleId="127">
    <w:name w:val="font11"/>
    <w:basedOn w:val="40"/>
    <w:autoRedefine/>
    <w:qFormat/>
    <w:uiPriority w:val="0"/>
    <w:rPr>
      <w:rFonts w:hint="eastAsia" w:ascii="宋体" w:hAnsi="宋体" w:eastAsia="宋体" w:cs="宋体"/>
      <w:color w:val="FF0000"/>
      <w:sz w:val="24"/>
      <w:szCs w:val="24"/>
      <w:u w:val="none"/>
    </w:rPr>
  </w:style>
  <w:style w:type="character" w:customStyle="1" w:styleId="128">
    <w:name w:val="font01"/>
    <w:autoRedefine/>
    <w:qFormat/>
    <w:uiPriority w:val="0"/>
    <w:rPr>
      <w:rFonts w:hint="eastAsia" w:ascii="宋体" w:hAnsi="宋体" w:eastAsia="宋体" w:cs="宋体"/>
      <w:color w:val="000000"/>
      <w:sz w:val="24"/>
      <w:szCs w:val="24"/>
      <w:u w:val="none"/>
    </w:rPr>
  </w:style>
  <w:style w:type="character" w:customStyle="1" w:styleId="129">
    <w:name w:val="NormalCharacter"/>
    <w:autoRedefine/>
    <w:qFormat/>
    <w:uiPriority w:val="0"/>
    <w:rPr>
      <w:rFonts w:ascii="Times New Roman" w:hAnsi="Times New Roman" w:eastAsia="宋体"/>
    </w:rPr>
  </w:style>
  <w:style w:type="character" w:customStyle="1" w:styleId="130">
    <w:name w:val="first-child"/>
    <w:autoRedefine/>
    <w:qFormat/>
    <w:uiPriority w:val="0"/>
    <w:rPr>
      <w:color w:val="1F3149"/>
      <w:sz w:val="24"/>
      <w:szCs w:val="24"/>
    </w:rPr>
  </w:style>
  <w:style w:type="character" w:customStyle="1" w:styleId="131">
    <w:name w:val="first-child1"/>
    <w:autoRedefine/>
    <w:qFormat/>
    <w:uiPriority w:val="0"/>
    <w:rPr>
      <w:color w:val="1F3149"/>
      <w:sz w:val="24"/>
      <w:szCs w:val="24"/>
    </w:rPr>
  </w:style>
  <w:style w:type="character" w:customStyle="1" w:styleId="132">
    <w:name w:val="icon_ds"/>
    <w:autoRedefine/>
    <w:qFormat/>
    <w:uiPriority w:val="0"/>
    <w:rPr>
      <w:sz w:val="21"/>
      <w:szCs w:val="21"/>
    </w:rPr>
  </w:style>
  <w:style w:type="character" w:customStyle="1" w:styleId="133">
    <w:name w:val="icon_ds1"/>
    <w:basedOn w:val="40"/>
    <w:autoRedefine/>
    <w:qFormat/>
    <w:uiPriority w:val="0"/>
  </w:style>
  <w:style w:type="character" w:customStyle="1" w:styleId="134">
    <w:name w:val="icon_gys"/>
    <w:autoRedefine/>
    <w:qFormat/>
    <w:uiPriority w:val="0"/>
    <w:rPr>
      <w:sz w:val="21"/>
      <w:szCs w:val="21"/>
    </w:rPr>
  </w:style>
  <w:style w:type="character" w:customStyle="1" w:styleId="135">
    <w:name w:val="xiadan"/>
    <w:autoRedefine/>
    <w:qFormat/>
    <w:uiPriority w:val="0"/>
    <w:rPr>
      <w:shd w:val="clear" w:color="auto" w:fill="E4393C"/>
    </w:rPr>
  </w:style>
  <w:style w:type="character" w:customStyle="1" w:styleId="136">
    <w:name w:val="fr"/>
    <w:basedOn w:val="40"/>
    <w:autoRedefine/>
    <w:qFormat/>
    <w:uiPriority w:val="0"/>
  </w:style>
  <w:style w:type="character" w:customStyle="1" w:styleId="137">
    <w:name w:val="textstyle3"/>
    <w:basedOn w:val="40"/>
    <w:autoRedefine/>
    <w:qFormat/>
    <w:uiPriority w:val="0"/>
  </w:style>
  <w:style w:type="character" w:customStyle="1" w:styleId="138">
    <w:name w:val="hover16"/>
    <w:basedOn w:val="40"/>
    <w:autoRedefine/>
    <w:qFormat/>
    <w:uiPriority w:val="0"/>
  </w:style>
  <w:style w:type="character" w:customStyle="1" w:styleId="139">
    <w:name w:val="hover"/>
    <w:autoRedefine/>
    <w:qFormat/>
    <w:uiPriority w:val="0"/>
    <w:rPr>
      <w:color w:val="333333"/>
      <w:u w:val="none"/>
    </w:rPr>
  </w:style>
  <w:style w:type="character" w:customStyle="1" w:styleId="140">
    <w:name w:val="first-child2"/>
    <w:autoRedefine/>
    <w:qFormat/>
    <w:uiPriority w:val="0"/>
    <w:rPr>
      <w:color w:val="1F3149"/>
      <w:sz w:val="24"/>
      <w:szCs w:val="24"/>
    </w:rPr>
  </w:style>
  <w:style w:type="character" w:customStyle="1" w:styleId="141">
    <w:name w:val="hover17"/>
    <w:basedOn w:val="40"/>
    <w:autoRedefine/>
    <w:qFormat/>
    <w:uiPriority w:val="0"/>
  </w:style>
  <w:style w:type="character" w:customStyle="1" w:styleId="142">
    <w:name w:val="批注文字 字符"/>
    <w:link w:val="14"/>
    <w:autoRedefine/>
    <w:qFormat/>
    <w:uiPriority w:val="99"/>
    <w:rPr>
      <w:kern w:val="2"/>
      <w:sz w:val="21"/>
      <w:szCs w:val="24"/>
    </w:rPr>
  </w:style>
  <w:style w:type="character" w:customStyle="1" w:styleId="143">
    <w:name w:val="批注主题 字符"/>
    <w:link w:val="35"/>
    <w:autoRedefine/>
    <w:qFormat/>
    <w:uiPriority w:val="0"/>
    <w:rPr>
      <w:kern w:val="2"/>
      <w:sz w:val="21"/>
      <w:szCs w:val="24"/>
    </w:rPr>
  </w:style>
  <w:style w:type="character" w:customStyle="1" w:styleId="144">
    <w:name w:val="hover1"/>
    <w:autoRedefine/>
    <w:qFormat/>
    <w:uiPriority w:val="0"/>
    <w:rPr>
      <w:color w:val="2590EB"/>
    </w:rPr>
  </w:style>
  <w:style w:type="character" w:customStyle="1" w:styleId="145">
    <w:name w:val="hover2"/>
    <w:autoRedefine/>
    <w:qFormat/>
    <w:uiPriority w:val="0"/>
    <w:rPr>
      <w:color w:val="2590EB"/>
    </w:rPr>
  </w:style>
  <w:style w:type="character" w:customStyle="1" w:styleId="146">
    <w:name w:val="hover3"/>
    <w:autoRedefine/>
    <w:qFormat/>
    <w:uiPriority w:val="0"/>
    <w:rPr>
      <w:color w:val="2590EB"/>
      <w:shd w:val="clear" w:color="auto" w:fill="E9F4FD"/>
    </w:rPr>
  </w:style>
  <w:style w:type="paragraph" w:customStyle="1" w:styleId="147">
    <w:name w:val="Table Paragraph"/>
    <w:basedOn w:val="1"/>
    <w:autoRedefine/>
    <w:qFormat/>
    <w:uiPriority w:val="1"/>
    <w:pPr>
      <w:autoSpaceDE w:val="0"/>
      <w:autoSpaceDN w:val="0"/>
      <w:jc w:val="left"/>
    </w:pPr>
    <w:rPr>
      <w:rFonts w:ascii="Noto Sans CJK JP Regular" w:hAnsi="Noto Sans CJK JP Regular" w:eastAsia="Noto Sans CJK JP Regular"/>
      <w:kern w:val="0"/>
      <w:sz w:val="22"/>
    </w:rPr>
  </w:style>
  <w:style w:type="character" w:customStyle="1" w:styleId="148">
    <w:name w:val="正文文本首行缩进 2 字符"/>
    <w:link w:val="37"/>
    <w:autoRedefine/>
    <w:qFormat/>
    <w:uiPriority w:val="0"/>
    <w:rPr>
      <w:rFonts w:ascii="宋体" w:eastAsia="楷体_GB2312"/>
      <w:b/>
      <w:kern w:val="44"/>
      <w:sz w:val="44"/>
    </w:rPr>
  </w:style>
  <w:style w:type="paragraph" w:customStyle="1" w:styleId="149">
    <w:name w:val="Title2"/>
    <w:basedOn w:val="34"/>
    <w:autoRedefine/>
    <w:qFormat/>
    <w:uiPriority w:val="0"/>
  </w:style>
  <w:style w:type="paragraph" w:customStyle="1" w:styleId="150">
    <w:name w:val="正文_1"/>
    <w:next w:val="32"/>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51">
    <w:name w:val="hover4"/>
    <w:basedOn w:val="40"/>
    <w:autoRedefine/>
    <w:qFormat/>
    <w:uiPriority w:val="0"/>
    <w:rPr>
      <w:color w:val="2590EB"/>
      <w:shd w:val="clear" w:color="auto" w:fill="E9F4FD"/>
    </w:rPr>
  </w:style>
  <w:style w:type="paragraph" w:styleId="152">
    <w:name w:val="List Paragraph"/>
    <w:basedOn w:val="1"/>
    <w:autoRedefine/>
    <w:qFormat/>
    <w:uiPriority w:val="34"/>
    <w:pPr>
      <w:ind w:firstLine="420" w:firstLineChars="200"/>
    </w:pPr>
  </w:style>
  <w:style w:type="character" w:customStyle="1" w:styleId="153">
    <w:name w:val="mini-outputtext1"/>
    <w:basedOn w:val="40"/>
    <w:autoRedefine/>
    <w:qFormat/>
    <w:uiPriority w:val="0"/>
  </w:style>
  <w:style w:type="paragraph" w:customStyle="1" w:styleId="154">
    <w:name w:val="样式 标题 3 + (中文) 黑体 小四 非加粗 段前: 7.8 磅 段后: 0 磅 行距: 固定值 20 磅"/>
    <w:basedOn w:val="4"/>
    <w:autoRedefine/>
    <w:qFormat/>
    <w:uiPriority w:val="0"/>
    <w:pPr>
      <w:spacing w:line="400" w:lineRule="exact"/>
    </w:pPr>
    <w:rPr>
      <w:rFonts w:eastAsia="黑体" w:cs="宋体"/>
      <w:b w:val="0"/>
      <w:sz w:val="24"/>
    </w:rPr>
  </w:style>
  <w:style w:type="paragraph" w:customStyle="1" w:styleId="155">
    <w:name w:val="Char Char10 Char Char Char Char"/>
    <w:basedOn w:val="1"/>
    <w:next w:val="156"/>
    <w:autoRedefine/>
    <w:qFormat/>
    <w:uiPriority w:val="0"/>
    <w:rPr>
      <w:rFonts w:ascii="Calibri" w:hAnsi="Calibri"/>
      <w:kern w:val="0"/>
    </w:rPr>
  </w:style>
  <w:style w:type="paragraph" w:customStyle="1" w:styleId="156">
    <w:name w:val="xl87"/>
    <w:basedOn w:val="1"/>
    <w:next w:val="157"/>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157">
    <w:name w:val="xl72"/>
    <w:basedOn w:val="1"/>
    <w:next w:val="19"/>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58">
    <w:name w:val="标书正文居左"/>
    <w:next w:val="159"/>
    <w:autoRedefine/>
    <w:qFormat/>
    <w:uiPriority w:val="0"/>
    <w:pPr>
      <w:widowControl w:val="0"/>
      <w:spacing w:before="50" w:line="480" w:lineRule="exact"/>
      <w:jc w:val="both"/>
    </w:pPr>
    <w:rPr>
      <w:rFonts w:ascii="Times New Roman" w:hAnsi="Times New Roman" w:eastAsia="黑体" w:cs="Times New Roman"/>
      <w:b/>
      <w:sz w:val="28"/>
      <w:lang w:val="en-US" w:eastAsia="zh-CN" w:bidi="ar-SA"/>
    </w:rPr>
  </w:style>
  <w:style w:type="paragraph" w:customStyle="1" w:styleId="159">
    <w:name w:val="xl63"/>
    <w:basedOn w:val="1"/>
    <w:next w:val="160"/>
    <w:autoRedefine/>
    <w:qFormat/>
    <w:uiPriority w:val="0"/>
    <w:pPr>
      <w:widowControl/>
      <w:shd w:val="clear" w:color="000000" w:fill="FFFFFF"/>
      <w:spacing w:before="280" w:after="280"/>
      <w:jc w:val="center"/>
    </w:pPr>
    <w:rPr>
      <w:rFonts w:ascii="宋体"/>
      <w:color w:val="000000"/>
      <w:sz w:val="24"/>
    </w:rPr>
  </w:style>
  <w:style w:type="paragraph" w:customStyle="1" w:styleId="160">
    <w:name w:val="xl64"/>
    <w:basedOn w:val="1"/>
    <w:next w:val="1"/>
    <w:autoRedefine/>
    <w:qFormat/>
    <w:uiPriority w:val="0"/>
    <w:pPr>
      <w:widowControl/>
      <w:shd w:val="clear" w:color="000000" w:fill="FFFFFF"/>
      <w:spacing w:before="280" w:after="280"/>
    </w:pPr>
    <w:rPr>
      <w:rFonts w:ascii="宋体"/>
      <w:color w:val="000000"/>
      <w:sz w:val="24"/>
    </w:rPr>
  </w:style>
  <w:style w:type="paragraph" w:customStyle="1" w:styleId="161">
    <w:name w:val="Heading2"/>
    <w:basedOn w:val="1"/>
    <w:next w:val="1"/>
    <w:autoRedefine/>
    <w:qFormat/>
    <w:uiPriority w:val="0"/>
    <w:pPr>
      <w:keepNext/>
      <w:keepLines/>
      <w:jc w:val="center"/>
    </w:pPr>
    <w:rPr>
      <w:rFonts w:ascii="Arial" w:hAnsi="Arial"/>
      <w:b/>
      <w:sz w:val="32"/>
    </w:rPr>
  </w:style>
  <w:style w:type="character" w:customStyle="1" w:styleId="162">
    <w:name w:val="标题 2 字符1"/>
    <w:link w:val="3"/>
    <w:autoRedefine/>
    <w:qFormat/>
    <w:uiPriority w:val="0"/>
    <w:rPr>
      <w:rFonts w:ascii="Arial" w:hAnsi="Arial" w:eastAsia="宋体"/>
      <w:b/>
      <w:sz w:val="32"/>
    </w:rPr>
  </w:style>
  <w:style w:type="paragraph" w:customStyle="1" w:styleId="163">
    <w:name w:val="Table Text"/>
    <w:basedOn w:val="1"/>
    <w:autoRedefine/>
    <w:semiHidden/>
    <w:qFormat/>
    <w:uiPriority w:val="0"/>
    <w:rPr>
      <w:rFonts w:ascii="宋体" w:hAnsi="宋体" w:cs="宋体"/>
      <w:sz w:val="20"/>
      <w:szCs w:val="20"/>
      <w:lang w:eastAsia="en-US"/>
    </w:rPr>
  </w:style>
  <w:style w:type="table" w:customStyle="1" w:styleId="164">
    <w:name w:val="Table Normal"/>
    <w:autoRedefine/>
    <w:semiHidden/>
    <w:unhideWhenUsed/>
    <w:qFormat/>
    <w:uiPriority w:val="0"/>
    <w:tblPr>
      <w:tblCellMar>
        <w:top w:w="0" w:type="dxa"/>
        <w:left w:w="0" w:type="dxa"/>
        <w:bottom w:w="0" w:type="dxa"/>
        <w:right w:w="0" w:type="dxa"/>
      </w:tblCellMar>
    </w:tblPr>
  </w:style>
  <w:style w:type="paragraph" w:customStyle="1" w:styleId="165">
    <w:name w:val="样式 首行缩进:  2 字符"/>
    <w:basedOn w:val="1"/>
    <w:autoRedefine/>
    <w:qFormat/>
    <w:uiPriority w:val="0"/>
    <w:pPr>
      <w:spacing w:line="400" w:lineRule="exact"/>
      <w:ind w:firstLine="200" w:firstLineChars="200"/>
    </w:pPr>
    <w:rPr>
      <w:rFonts w:cs="宋体"/>
      <w:sz w:val="24"/>
    </w:rPr>
  </w:style>
  <w:style w:type="paragraph" w:customStyle="1" w:styleId="166">
    <w:name w:val="正文缩进1"/>
    <w:basedOn w:val="1"/>
    <w:autoRedefine/>
    <w:qFormat/>
    <w:uiPriority w:val="99"/>
    <w:pPr>
      <w:widowControl/>
      <w:ind w:left="425"/>
      <w:jc w:val="left"/>
    </w:pPr>
    <w:rPr>
      <w:rFonts w:ascii="Calibri" w:hAnsi="Calibri"/>
      <w:lang w:eastAsia="en-US"/>
    </w:rPr>
  </w:style>
  <w:style w:type="paragraph" w:customStyle="1" w:styleId="167">
    <w:name w:val="Char Char Char Char Char Char Char"/>
    <w:basedOn w:val="1"/>
    <w:autoRedefine/>
    <w:qFormat/>
    <w:uiPriority w:val="0"/>
    <w:rPr>
      <w:rFonts w:ascii="Calibri" w:hAnsi="Calibri"/>
    </w:rPr>
  </w:style>
  <w:style w:type="paragraph" w:customStyle="1" w:styleId="168">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69">
    <w:name w:val="BodyText"/>
    <w:autoRedefine/>
    <w:qFormat/>
    <w:uiPriority w:val="0"/>
    <w:pPr>
      <w:spacing w:after="120"/>
      <w:jc w:val="both"/>
      <w:textAlignment w:val="baseline"/>
    </w:pPr>
    <w:rPr>
      <w:rFonts w:ascii="Times New Roman" w:hAnsi="Calibri" w:eastAsia="宋体" w:cs="Times New Roman"/>
      <w:kern w:val="2"/>
      <w:sz w:val="21"/>
      <w:szCs w:val="24"/>
      <w:lang w:val="en-US" w:eastAsia="zh-CN" w:bidi="ar-SA"/>
    </w:rPr>
  </w:style>
  <w:style w:type="paragraph" w:customStyle="1" w:styleId="170">
    <w:name w:val="UserStyle_194"/>
    <w:qFormat/>
    <w:uiPriority w:val="0"/>
    <w:pPr>
      <w:textAlignment w:val="baseline"/>
    </w:pPr>
    <w:rPr>
      <w:rFonts w:ascii="Times New Roman" w:hAnsi="Times New Roman" w:eastAsia="宋体" w:cs="Times New Roman"/>
      <w:color w:val="000000"/>
      <w:sz w:val="24"/>
      <w:szCs w:val="24"/>
      <w:lang w:val="en-US" w:eastAsia="zh-CN" w:bidi="ar-SA"/>
    </w:rPr>
  </w:style>
  <w:style w:type="character" w:customStyle="1" w:styleId="171">
    <w:name w:val="font21"/>
    <w:basedOn w:val="40"/>
    <w:qFormat/>
    <w:uiPriority w:val="0"/>
    <w:rPr>
      <w:rFonts w:hint="default" w:ascii="Times New Roman" w:hAnsi="Times New Roman" w:cs="Times New Roman"/>
      <w:color w:val="000000"/>
      <w:sz w:val="24"/>
      <w:szCs w:val="24"/>
      <w:u w:val="none"/>
    </w:rPr>
  </w:style>
  <w:style w:type="paragraph" w:customStyle="1" w:styleId="172">
    <w:name w:val="null3"/>
    <w:hidden/>
    <w:qFormat/>
    <w:uiPriority w:val="0"/>
    <w:rPr>
      <w:rFonts w:hint="eastAsia" w:asciiTheme="minorHAnsi" w:hAnsiTheme="minorHAnsi" w:eastAsiaTheme="minorEastAsia" w:cstheme="minorBidi"/>
      <w:lang w:val="en-US" w:eastAsia="zh-Hans" w:bidi="ar-SA"/>
    </w:rPr>
  </w:style>
  <w:style w:type="paragraph" w:customStyle="1" w:styleId="173">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74">
    <w:name w:val="样式1"/>
    <w:basedOn w:val="15"/>
    <w:link w:val="175"/>
    <w:qFormat/>
    <w:uiPriority w:val="0"/>
    <w:pPr>
      <w:ind w:firstLine="1044"/>
    </w:pPr>
    <w:rPr>
      <w:sz w:val="52"/>
      <w:szCs w:val="52"/>
    </w:rPr>
  </w:style>
  <w:style w:type="character" w:customStyle="1" w:styleId="175">
    <w:name w:val="样式1 字符"/>
    <w:basedOn w:val="103"/>
    <w:link w:val="174"/>
    <w:qFormat/>
    <w:uiPriority w:val="0"/>
    <w:rPr>
      <w:rFonts w:ascii="宋体" w:hAnsi="宋体"/>
      <w:kern w:val="2"/>
      <w:sz w:val="52"/>
      <w:szCs w:val="52"/>
    </w:rPr>
  </w:style>
  <w:style w:type="paragraph" w:customStyle="1" w:styleId="176">
    <w:name w:val="修订3"/>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D3B9C3-2385-4352-B980-BF497D98DD60}">
  <ds:schemaRefs/>
</ds:datastoreItem>
</file>

<file path=docProps/app.xml><?xml version="1.0" encoding="utf-8"?>
<Properties xmlns="http://schemas.openxmlformats.org/officeDocument/2006/extended-properties" xmlns:vt="http://schemas.openxmlformats.org/officeDocument/2006/docPropsVTypes">
  <Template>Normal.dotm</Template>
  <Company>c</Company>
  <Pages>92</Pages>
  <Words>20788</Words>
  <Characters>22496</Characters>
  <Lines>424</Lines>
  <Paragraphs>119</Paragraphs>
  <TotalTime>23</TotalTime>
  <ScaleCrop>false</ScaleCrop>
  <LinksUpToDate>false</LinksUpToDate>
  <CharactersWithSpaces>22766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2026-06-08T04:59:00Z</dcterms:created>
  <dc:creator>20100314/sun</dc:creator>
  <cp:lastModifiedBy>代理机构</cp:lastModifiedBy>
  <cp:lastPrinted>2026-06-01T06:02:00Z</cp:lastPrinted>
  <dcterms:modified xsi:type="dcterms:W3CDTF">2026-06-30T09:33:33Z</dcterms:modified>
  <dc:title>信息广场电梯</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593D4CFBCAA6424382B75E064D318435_13</vt:lpwstr>
  </property>
  <property fmtid="{D5CDD505-2E9C-101B-9397-08002B2CF9AE}" pid="4" name="KSOTemplateDocerSaveRecord">
    <vt:lpwstr>eyJoZGlkIjoiNGY0NjJiYTI4MTM4YmZlYTdjYTZiN2EwN2Y5NDE2ODQiLCJ1c2VySWQiOiIxNjE1ODc5Njc0In0=</vt:lpwstr>
  </property>
</Properties>
</file>