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2E2EA">
      <w:pPr>
        <w:bidi w:val="0"/>
        <w:rPr>
          <w:color w:val="auto"/>
          <w:highlight w:val="none"/>
        </w:rPr>
      </w:pPr>
      <w:bookmarkStart w:id="0" w:name="_Toc144974478"/>
      <w:bookmarkEnd w:id="0"/>
      <w:bookmarkStart w:id="1" w:name="_Toc152042286"/>
      <w:bookmarkEnd w:id="1"/>
    </w:p>
    <w:p w14:paraId="7A1336AB">
      <w:pPr>
        <w:bidi w:val="0"/>
        <w:rPr>
          <w:color w:val="auto"/>
          <w:highlight w:val="none"/>
        </w:rPr>
      </w:pPr>
    </w:p>
    <w:p w14:paraId="7AC6D803">
      <w:pPr>
        <w:spacing w:line="360" w:lineRule="auto"/>
        <w:jc w:val="center"/>
        <w:rPr>
          <w:rFonts w:hint="eastAsia" w:ascii="宋体" w:hAnsi="宋体"/>
          <w:b/>
          <w:color w:val="auto"/>
          <w:sz w:val="52"/>
          <w:szCs w:val="52"/>
          <w:highlight w:val="none"/>
          <w:lang w:eastAsia="zh-CN"/>
        </w:rPr>
      </w:pPr>
      <w:r>
        <w:rPr>
          <w:rFonts w:hint="eastAsia" w:ascii="宋体" w:hAnsi="宋体"/>
          <w:b/>
          <w:color w:val="auto"/>
          <w:sz w:val="52"/>
          <w:szCs w:val="52"/>
          <w:highlight w:val="none"/>
          <w:lang w:eastAsia="zh-CN"/>
        </w:rPr>
        <w:t>河南财经政法大学</w:t>
      </w:r>
    </w:p>
    <w:p w14:paraId="60388D93">
      <w:pPr>
        <w:spacing w:line="360" w:lineRule="auto"/>
        <w:jc w:val="center"/>
        <w:rPr>
          <w:rFonts w:hint="eastAsia" w:ascii="宋体" w:hAnsi="宋体"/>
          <w:b/>
          <w:color w:val="auto"/>
          <w:sz w:val="52"/>
          <w:szCs w:val="52"/>
          <w:highlight w:val="none"/>
          <w:lang w:eastAsia="zh-CN"/>
        </w:rPr>
      </w:pPr>
      <w:r>
        <w:rPr>
          <w:rFonts w:hint="eastAsia" w:ascii="宋体" w:hAnsi="宋体"/>
          <w:b/>
          <w:color w:val="auto"/>
          <w:sz w:val="52"/>
          <w:szCs w:val="52"/>
          <w:highlight w:val="none"/>
          <w:lang w:eastAsia="zh-CN"/>
        </w:rPr>
        <w:t>文化路校区部分楼宇防水项目</w:t>
      </w:r>
    </w:p>
    <w:p w14:paraId="527231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b/>
          <w:color w:val="auto"/>
          <w:sz w:val="24"/>
          <w:szCs w:val="24"/>
          <w:highlight w:val="none"/>
          <w:lang w:eastAsia="zh-CN"/>
        </w:rPr>
      </w:pPr>
    </w:p>
    <w:p w14:paraId="4B56A432">
      <w:pPr>
        <w:adjustRightInd w:val="0"/>
        <w:snapToGrid w:val="0"/>
        <w:spacing w:before="360" w:beforeLines="150"/>
        <w:jc w:val="center"/>
        <w:rPr>
          <w:rFonts w:ascii="宋体" w:hAnsi="宋体"/>
          <w:b/>
          <w:color w:val="auto"/>
          <w:sz w:val="84"/>
          <w:szCs w:val="84"/>
          <w:highlight w:val="none"/>
        </w:rPr>
      </w:pPr>
      <w:r>
        <w:rPr>
          <w:rFonts w:hint="eastAsia" w:ascii="宋体" w:hAnsi="宋体"/>
          <w:b/>
          <w:color w:val="auto"/>
          <w:sz w:val="84"/>
          <w:szCs w:val="84"/>
          <w:highlight w:val="none"/>
        </w:rPr>
        <w:t>竞争性磋商文件</w:t>
      </w:r>
    </w:p>
    <w:p w14:paraId="2AA12070">
      <w:pPr>
        <w:ind w:firstLine="482"/>
        <w:jc w:val="center"/>
        <w:rPr>
          <w:rFonts w:ascii="宋体" w:hAnsi="宋体"/>
          <w:b/>
          <w:color w:val="auto"/>
          <w:sz w:val="32"/>
          <w:szCs w:val="32"/>
          <w:highlight w:val="none"/>
        </w:rPr>
      </w:pPr>
    </w:p>
    <w:p w14:paraId="7AE0A286">
      <w:pPr>
        <w:jc w:val="center"/>
        <w:rPr>
          <w:rFonts w:hint="default" w:ascii="宋体" w:hAnsi="宋体" w:eastAsia="宋体"/>
          <w:b/>
          <w:color w:val="auto"/>
          <w:sz w:val="32"/>
          <w:szCs w:val="32"/>
          <w:highlight w:val="none"/>
          <w:u w:val="single"/>
          <w:lang w:val="en-US" w:eastAsia="zh-CN"/>
        </w:rPr>
      </w:pPr>
      <w:r>
        <w:rPr>
          <w:rFonts w:hint="eastAsia" w:ascii="宋体" w:hAnsi="宋体"/>
          <w:b/>
          <w:color w:val="auto"/>
          <w:sz w:val="32"/>
          <w:szCs w:val="32"/>
          <w:highlight w:val="none"/>
        </w:rPr>
        <w:t>项目编号：</w:t>
      </w:r>
      <w:r>
        <w:rPr>
          <w:rFonts w:hint="eastAsia" w:ascii="宋体" w:hAnsi="宋体"/>
          <w:b/>
          <w:color w:val="auto"/>
          <w:sz w:val="32"/>
          <w:szCs w:val="32"/>
          <w:highlight w:val="none"/>
          <w:lang w:eastAsia="zh-CN"/>
        </w:rPr>
        <w:t>豫财磋商采购-202</w:t>
      </w:r>
      <w:r>
        <w:rPr>
          <w:rFonts w:hint="eastAsia" w:ascii="宋体" w:hAnsi="宋体"/>
          <w:b/>
          <w:color w:val="auto"/>
          <w:sz w:val="32"/>
          <w:szCs w:val="32"/>
          <w:highlight w:val="none"/>
          <w:lang w:val="en-US" w:eastAsia="zh-CN"/>
        </w:rPr>
        <w:t>6</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625</w:t>
      </w:r>
    </w:p>
    <w:p w14:paraId="61193939">
      <w:pPr>
        <w:ind w:firstLine="3534" w:firstLineChars="1100"/>
        <w:rPr>
          <w:rFonts w:ascii="宋体" w:hAnsi="宋体"/>
          <w:b/>
          <w:color w:val="auto"/>
          <w:sz w:val="32"/>
          <w:szCs w:val="32"/>
          <w:highlight w:val="none"/>
          <w:u w:val="single"/>
        </w:rPr>
      </w:pPr>
    </w:p>
    <w:p w14:paraId="753FBECF">
      <w:pPr>
        <w:adjustRightInd w:val="0"/>
        <w:snapToGrid w:val="0"/>
        <w:jc w:val="center"/>
        <w:rPr>
          <w:rFonts w:ascii="宋体" w:hAnsi="宋体"/>
          <w:b/>
          <w:color w:val="auto"/>
          <w:sz w:val="36"/>
          <w:szCs w:val="36"/>
          <w:highlight w:val="none"/>
        </w:rPr>
      </w:pPr>
      <w:r>
        <w:rPr>
          <w:rStyle w:val="100"/>
          <w:rFonts w:hint="eastAsia" w:asciiTheme="minorEastAsia" w:hAnsiTheme="minorEastAsia" w:eastAsiaTheme="minorEastAsia" w:cstheme="minorEastAsia"/>
          <w:color w:val="auto"/>
          <w:highlight w:val="none"/>
        </w:rPr>
        <w:drawing>
          <wp:inline distT="0" distB="0" distL="114300" distR="114300">
            <wp:extent cx="2171700" cy="2733675"/>
            <wp:effectExtent l="0" t="0" r="0" b="9525"/>
            <wp:docPr id="10" name="图片 10" descr="微信图片_2021102109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11021094822"/>
                    <pic:cNvPicPr>
                      <a:picLocks noChangeAspect="1"/>
                    </pic:cNvPicPr>
                  </pic:nvPicPr>
                  <pic:blipFill>
                    <a:blip r:embed="rId9" cstate="print"/>
                    <a:stretch>
                      <a:fillRect/>
                    </a:stretch>
                  </pic:blipFill>
                  <pic:spPr>
                    <a:xfrm>
                      <a:off x="0" y="0"/>
                      <a:ext cx="2171700" cy="2733675"/>
                    </a:xfrm>
                    <a:prstGeom prst="rect">
                      <a:avLst/>
                    </a:prstGeom>
                  </pic:spPr>
                </pic:pic>
              </a:graphicData>
            </a:graphic>
          </wp:inline>
        </w:drawing>
      </w:r>
    </w:p>
    <w:p w14:paraId="7EBCB970">
      <w:pPr>
        <w:bidi w:val="0"/>
        <w:rPr>
          <w:color w:val="auto"/>
          <w:highlight w:val="none"/>
        </w:rPr>
      </w:pPr>
    </w:p>
    <w:p w14:paraId="5ED592F6">
      <w:pPr>
        <w:bidi w:val="0"/>
        <w:rPr>
          <w:color w:val="auto"/>
          <w:highlight w:val="none"/>
        </w:rPr>
      </w:pPr>
    </w:p>
    <w:p w14:paraId="69488CEA">
      <w:pPr>
        <w:bidi w:val="0"/>
        <w:rPr>
          <w:color w:val="auto"/>
          <w:highlight w:val="none"/>
        </w:rPr>
      </w:pPr>
    </w:p>
    <w:p w14:paraId="33544AE0">
      <w:pPr>
        <w:bidi w:val="0"/>
        <w:rPr>
          <w:color w:val="auto"/>
          <w:highlight w:val="none"/>
        </w:rPr>
      </w:pPr>
    </w:p>
    <w:p w14:paraId="3BC73D1F">
      <w:pPr>
        <w:rPr>
          <w:color w:val="auto"/>
          <w:highlight w:val="none"/>
        </w:rPr>
      </w:pPr>
    </w:p>
    <w:p w14:paraId="2FF9D747">
      <w:pPr>
        <w:rPr>
          <w:color w:val="auto"/>
          <w:highlight w:val="none"/>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7"/>
      </w:tblGrid>
      <w:tr w14:paraId="2B98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jc w:val="center"/>
        </w:trPr>
        <w:tc>
          <w:tcPr>
            <w:tcW w:w="2922" w:type="dxa"/>
            <w:tcBorders>
              <w:top w:val="single" w:color="FFFFFF" w:sz="4" w:space="0"/>
              <w:left w:val="single" w:color="FFFFFF" w:sz="4" w:space="0"/>
              <w:bottom w:val="single" w:color="FFFFFF" w:sz="4" w:space="0"/>
              <w:right w:val="single" w:color="FFFFFF" w:sz="4" w:space="0"/>
            </w:tcBorders>
          </w:tcPr>
          <w:p w14:paraId="14CDC00D">
            <w:pPr>
              <w:jc w:val="distribute"/>
              <w:rPr>
                <w:rFonts w:ascii="宋体" w:hAnsi="宋体" w:cs="宋体"/>
                <w:b/>
                <w:color w:val="auto"/>
                <w:kern w:val="0"/>
                <w:sz w:val="32"/>
                <w:szCs w:val="32"/>
                <w:highlight w:val="none"/>
              </w:rPr>
            </w:pPr>
            <w:r>
              <w:rPr>
                <w:rFonts w:hint="eastAsia" w:ascii="宋体" w:hAnsi="宋体" w:cs="宋体"/>
                <w:b/>
                <w:color w:val="auto"/>
                <w:sz w:val="32"/>
                <w:szCs w:val="32"/>
                <w:highlight w:val="none"/>
              </w:rPr>
              <w:t>采购人：</w:t>
            </w:r>
          </w:p>
        </w:tc>
        <w:tc>
          <w:tcPr>
            <w:tcW w:w="5417" w:type="dxa"/>
            <w:tcBorders>
              <w:top w:val="single" w:color="FFFFFF" w:sz="4" w:space="0"/>
              <w:left w:val="single" w:color="FFFFFF" w:sz="4" w:space="0"/>
              <w:bottom w:val="single" w:color="FFFFFF" w:sz="4" w:space="0"/>
              <w:right w:val="single" w:color="FFFFFF" w:sz="4" w:space="0"/>
            </w:tcBorders>
          </w:tcPr>
          <w:p w14:paraId="09AB3E14">
            <w:pPr>
              <w:jc w:val="distribute"/>
              <w:rPr>
                <w:rFonts w:hint="eastAsia" w:ascii="宋体" w:hAnsi="宋体" w:eastAsia="宋体" w:cs="宋体"/>
                <w:b/>
                <w:color w:val="auto"/>
                <w:kern w:val="0"/>
                <w:sz w:val="32"/>
                <w:szCs w:val="32"/>
                <w:highlight w:val="none"/>
                <w:lang w:eastAsia="zh-CN"/>
              </w:rPr>
            </w:pPr>
            <w:r>
              <w:rPr>
                <w:rFonts w:hint="eastAsia" w:ascii="宋体" w:hAnsi="宋体" w:cs="宋体"/>
                <w:b/>
                <w:color w:val="auto"/>
                <w:kern w:val="0"/>
                <w:sz w:val="32"/>
                <w:szCs w:val="32"/>
                <w:highlight w:val="none"/>
                <w:lang w:eastAsia="zh-CN"/>
              </w:rPr>
              <w:t>河南财经政法大学</w:t>
            </w:r>
          </w:p>
        </w:tc>
      </w:tr>
      <w:tr w14:paraId="4F25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2922" w:type="dxa"/>
            <w:tcBorders>
              <w:top w:val="single" w:color="FFFFFF" w:sz="4" w:space="0"/>
              <w:left w:val="single" w:color="FFFFFF" w:sz="4" w:space="0"/>
              <w:bottom w:val="single" w:color="FFFFFF" w:sz="4" w:space="0"/>
              <w:right w:val="single" w:color="FFFFFF" w:sz="4" w:space="0"/>
            </w:tcBorders>
          </w:tcPr>
          <w:p w14:paraId="53054E03">
            <w:pPr>
              <w:jc w:val="distribute"/>
              <w:rPr>
                <w:rFonts w:ascii="宋体" w:hAnsi="宋体" w:cs="宋体"/>
                <w:b/>
                <w:color w:val="auto"/>
                <w:sz w:val="32"/>
                <w:szCs w:val="32"/>
                <w:highlight w:val="none"/>
              </w:rPr>
            </w:pPr>
            <w:r>
              <w:rPr>
                <w:rFonts w:hint="eastAsia" w:ascii="宋体" w:hAnsi="宋体" w:cs="宋体"/>
                <w:b/>
                <w:color w:val="auto"/>
                <w:sz w:val="32"/>
                <w:szCs w:val="32"/>
                <w:highlight w:val="none"/>
              </w:rPr>
              <w:t>采购代理机构：</w:t>
            </w:r>
          </w:p>
        </w:tc>
        <w:tc>
          <w:tcPr>
            <w:tcW w:w="5417" w:type="dxa"/>
            <w:tcBorders>
              <w:top w:val="single" w:color="FFFFFF" w:sz="4" w:space="0"/>
              <w:left w:val="single" w:color="FFFFFF" w:sz="4" w:space="0"/>
              <w:bottom w:val="single" w:color="FFFFFF" w:sz="4" w:space="0"/>
              <w:right w:val="single" w:color="FFFFFF" w:sz="4" w:space="0"/>
            </w:tcBorders>
          </w:tcPr>
          <w:p w14:paraId="38FAB5A2">
            <w:pPr>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中建山河建设管理集团有限公司</w:t>
            </w:r>
          </w:p>
        </w:tc>
      </w:tr>
      <w:tr w14:paraId="37F7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922" w:type="dxa"/>
            <w:tcBorders>
              <w:top w:val="single" w:color="FFFFFF" w:sz="4" w:space="0"/>
              <w:left w:val="single" w:color="FFFFFF" w:sz="4" w:space="0"/>
              <w:bottom w:val="single" w:color="FFFFFF" w:sz="4" w:space="0"/>
              <w:right w:val="single" w:color="FFFFFF" w:sz="4" w:space="0"/>
            </w:tcBorders>
          </w:tcPr>
          <w:p w14:paraId="0414CB03">
            <w:pPr>
              <w:jc w:val="distribute"/>
              <w:rPr>
                <w:rFonts w:ascii="宋体" w:hAnsi="宋体" w:cs="宋体"/>
                <w:b/>
                <w:color w:val="auto"/>
                <w:sz w:val="32"/>
                <w:szCs w:val="32"/>
                <w:highlight w:val="none"/>
              </w:rPr>
            </w:pPr>
            <w:r>
              <w:rPr>
                <w:rFonts w:hint="eastAsia" w:ascii="宋体" w:hAnsi="宋体" w:cs="宋体"/>
                <w:b/>
                <w:color w:val="auto"/>
                <w:sz w:val="32"/>
                <w:szCs w:val="32"/>
                <w:highlight w:val="none"/>
              </w:rPr>
              <w:t>日    期：</w:t>
            </w:r>
          </w:p>
        </w:tc>
        <w:tc>
          <w:tcPr>
            <w:tcW w:w="5417" w:type="dxa"/>
            <w:tcBorders>
              <w:top w:val="single" w:color="FFFFFF" w:sz="4" w:space="0"/>
              <w:left w:val="single" w:color="FFFFFF" w:sz="4" w:space="0"/>
              <w:bottom w:val="single" w:color="FFFFFF" w:sz="4" w:space="0"/>
              <w:right w:val="single" w:color="FFFFFF" w:sz="4" w:space="0"/>
            </w:tcBorders>
          </w:tcPr>
          <w:p w14:paraId="3BEC74FF">
            <w:pPr>
              <w:jc w:val="distribute"/>
              <w:rPr>
                <w:rFonts w:ascii="宋体" w:hAnsi="宋体" w:cs="宋体"/>
                <w:b/>
                <w:color w:val="auto"/>
                <w:sz w:val="32"/>
                <w:szCs w:val="32"/>
                <w:highlight w:val="none"/>
              </w:rPr>
            </w:pPr>
            <w:r>
              <w:rPr>
                <w:rFonts w:hint="eastAsia" w:ascii="宋体" w:hAnsi="宋体" w:cs="宋体"/>
                <w:b/>
                <w:color w:val="auto"/>
                <w:sz w:val="32"/>
                <w:szCs w:val="32"/>
                <w:highlight w:val="none"/>
              </w:rPr>
              <w:t>二〇二</w:t>
            </w:r>
            <w:r>
              <w:rPr>
                <w:rFonts w:hint="eastAsia" w:ascii="宋体" w:hAnsi="宋体" w:cs="宋体"/>
                <w:b/>
                <w:color w:val="auto"/>
                <w:sz w:val="32"/>
                <w:szCs w:val="32"/>
                <w:highlight w:val="none"/>
                <w:lang w:val="en-US" w:eastAsia="zh-CN"/>
              </w:rPr>
              <w:t>六</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七</w:t>
            </w:r>
            <w:r>
              <w:rPr>
                <w:rFonts w:hint="eastAsia" w:ascii="宋体" w:hAnsi="宋体" w:cs="宋体"/>
                <w:b/>
                <w:color w:val="auto"/>
                <w:sz w:val="32"/>
                <w:szCs w:val="32"/>
                <w:highlight w:val="none"/>
              </w:rPr>
              <w:t>月</w:t>
            </w:r>
          </w:p>
        </w:tc>
      </w:tr>
    </w:tbl>
    <w:p w14:paraId="68A6A162">
      <w:pPr>
        <w:spacing w:line="360" w:lineRule="auto"/>
        <w:ind w:firstLine="947" w:firstLineChars="393"/>
        <w:rPr>
          <w:rFonts w:asciiTheme="minorEastAsia" w:hAnsiTheme="minorEastAsia" w:eastAsiaTheme="minorEastAsia" w:cstheme="minorEastAsia"/>
          <w:b/>
          <w:bCs/>
          <w:color w:val="auto"/>
          <w:sz w:val="24"/>
          <w:szCs w:val="24"/>
          <w:highlight w:val="none"/>
        </w:rPr>
        <w:sectPr>
          <w:headerReference r:id="rId4" w:type="first"/>
          <w:headerReference r:id="rId3" w:type="default"/>
          <w:footerReference r:id="rId5" w:type="default"/>
          <w:pgSz w:w="11911" w:h="16838"/>
          <w:pgMar w:top="1440" w:right="1080" w:bottom="1440" w:left="1080" w:header="850" w:footer="850" w:gutter="0"/>
          <w:pgNumType w:fmt="numberInDash" w:start="0"/>
          <w:cols w:space="0" w:num="1"/>
          <w:titlePg/>
          <w:docGrid w:linePitch="285" w:charSpace="0"/>
        </w:sectPr>
      </w:pPr>
    </w:p>
    <w:sdt>
      <w:sdtPr>
        <w:rPr>
          <w:rFonts w:ascii="宋体" w:hAnsi="宋体" w:cs="Calibri"/>
          <w:color w:val="auto"/>
          <w:kern w:val="0"/>
          <w:sz w:val="22"/>
          <w:szCs w:val="22"/>
          <w:highlight w:val="none"/>
        </w:rPr>
        <w:id w:val="147468589"/>
        <w15:color w:val="DBDBDB"/>
        <w:docPartObj>
          <w:docPartGallery w:val="Table of Contents"/>
          <w:docPartUnique/>
        </w:docPartObj>
      </w:sdtPr>
      <w:sdtEndPr>
        <w:rPr>
          <w:rFonts w:ascii="宋体" w:hAnsi="宋体" w:cs="Calibri"/>
          <w:color w:val="auto"/>
          <w:kern w:val="0"/>
          <w:sz w:val="22"/>
          <w:szCs w:val="22"/>
          <w:highlight w:val="none"/>
        </w:rPr>
      </w:sdtEndPr>
      <w:sdtContent>
        <w:p w14:paraId="100F3949">
          <w:pPr>
            <w:keepNext w:val="0"/>
            <w:keepLines w:val="0"/>
            <w:pageBreakBefore w:val="0"/>
            <w:kinsoku/>
            <w:wordWrap/>
            <w:overflowPunct/>
            <w:topLinePunct w:val="0"/>
            <w:autoSpaceDE/>
            <w:autoSpaceDN/>
            <w:bidi w:val="0"/>
            <w:adjustRightInd/>
            <w:snapToGrid/>
            <w:spacing w:beforeAutospacing="0" w:line="360" w:lineRule="auto"/>
            <w:ind w:left="0" w:firstLine="440" w:firstLineChars="200"/>
            <w:jc w:val="center"/>
            <w:textAlignment w:val="auto"/>
            <w:rPr>
              <w:color w:val="auto"/>
              <w:highlight w:val="none"/>
            </w:rPr>
          </w:pPr>
          <w:r>
            <w:rPr>
              <w:rFonts w:hint="eastAsia" w:ascii="宋体" w:hAnsi="宋体"/>
              <w:b/>
              <w:color w:val="auto"/>
              <w:sz w:val="32"/>
              <w:szCs w:val="32"/>
              <w:highlight w:val="none"/>
            </w:rPr>
            <w:t>目     录</w:t>
          </w:r>
        </w:p>
        <w:p w14:paraId="0DD5A1E8">
          <w:pPr>
            <w:pStyle w:val="32"/>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jc w:val="both"/>
            <w:textAlignment w:val="auto"/>
            <w:rPr>
              <w:color w:val="auto"/>
            </w:rPr>
          </w:pPr>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_Toc2231 </w:instrText>
          </w:r>
          <w:r>
            <w:rPr>
              <w:color w:val="auto"/>
            </w:rPr>
            <w:fldChar w:fldCharType="separate"/>
          </w:r>
          <w:r>
            <w:rPr>
              <w:rFonts w:hint="eastAsia" w:ascii="宋体" w:hAnsi="宋体"/>
              <w:bCs/>
              <w:color w:val="auto"/>
              <w:kern w:val="44"/>
              <w:szCs w:val="32"/>
              <w:highlight w:val="none"/>
            </w:rPr>
            <w:t>第一章 竞争性磋商公告</w:t>
          </w:r>
          <w:r>
            <w:rPr>
              <w:color w:val="auto"/>
            </w:rPr>
            <w:tab/>
          </w:r>
          <w:r>
            <w:rPr>
              <w:color w:val="auto"/>
            </w:rPr>
            <w:fldChar w:fldCharType="begin"/>
          </w:r>
          <w:r>
            <w:rPr>
              <w:color w:val="auto"/>
            </w:rPr>
            <w:instrText xml:space="preserve"> PAGEREF _Toc2231 \h </w:instrText>
          </w:r>
          <w:r>
            <w:rPr>
              <w:color w:val="auto"/>
            </w:rPr>
            <w:fldChar w:fldCharType="separate"/>
          </w:r>
          <w:r>
            <w:rPr>
              <w:color w:val="auto"/>
            </w:rPr>
            <w:t>- 5 -</w:t>
          </w:r>
          <w:r>
            <w:rPr>
              <w:color w:val="auto"/>
            </w:rPr>
            <w:fldChar w:fldCharType="end"/>
          </w:r>
          <w:r>
            <w:rPr>
              <w:color w:val="auto"/>
            </w:rPr>
            <w:fldChar w:fldCharType="end"/>
          </w:r>
        </w:p>
        <w:p w14:paraId="7D060341">
          <w:pPr>
            <w:pStyle w:val="32"/>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jc w:val="both"/>
            <w:textAlignment w:val="auto"/>
            <w:rPr>
              <w:color w:val="auto"/>
            </w:rPr>
          </w:pPr>
          <w:r>
            <w:rPr>
              <w:color w:val="auto"/>
            </w:rPr>
            <w:fldChar w:fldCharType="begin"/>
          </w:r>
          <w:r>
            <w:rPr>
              <w:color w:val="auto"/>
            </w:rPr>
            <w:instrText xml:space="preserve"> HYPERLINK \l _Toc15090 </w:instrText>
          </w:r>
          <w:r>
            <w:rPr>
              <w:color w:val="auto"/>
            </w:rPr>
            <w:fldChar w:fldCharType="separate"/>
          </w:r>
          <w:r>
            <w:rPr>
              <w:rFonts w:hint="eastAsia" w:ascii="宋体" w:hAnsi="宋体"/>
              <w:bCs w:val="0"/>
              <w:color w:val="auto"/>
              <w:szCs w:val="32"/>
              <w:highlight w:val="none"/>
            </w:rPr>
            <w:t>第二章 供应商须知</w:t>
          </w:r>
          <w:r>
            <w:rPr>
              <w:color w:val="auto"/>
            </w:rPr>
            <w:tab/>
          </w:r>
          <w:r>
            <w:rPr>
              <w:color w:val="auto"/>
            </w:rPr>
            <w:fldChar w:fldCharType="begin"/>
          </w:r>
          <w:r>
            <w:rPr>
              <w:color w:val="auto"/>
            </w:rPr>
            <w:instrText xml:space="preserve"> PAGEREF _Toc15090 \h </w:instrText>
          </w:r>
          <w:r>
            <w:rPr>
              <w:color w:val="auto"/>
            </w:rPr>
            <w:fldChar w:fldCharType="separate"/>
          </w:r>
          <w:r>
            <w:rPr>
              <w:color w:val="auto"/>
            </w:rPr>
            <w:t>- 9 -</w:t>
          </w:r>
          <w:r>
            <w:rPr>
              <w:color w:val="auto"/>
            </w:rPr>
            <w:fldChar w:fldCharType="end"/>
          </w:r>
          <w:r>
            <w:rPr>
              <w:color w:val="auto"/>
            </w:rPr>
            <w:fldChar w:fldCharType="end"/>
          </w:r>
        </w:p>
        <w:p w14:paraId="44F51951">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_Toc9415 </w:instrText>
          </w:r>
          <w:r>
            <w:rPr>
              <w:color w:val="auto"/>
            </w:rPr>
            <w:fldChar w:fldCharType="separate"/>
          </w:r>
          <w:r>
            <w:rPr>
              <w:rFonts w:hint="eastAsia" w:ascii="宋体" w:hAnsi="宋体" w:eastAsia="宋体"/>
              <w:bCs w:val="0"/>
              <w:color w:val="auto"/>
              <w:highlight w:val="none"/>
            </w:rPr>
            <w:t>供应商须知前附表</w:t>
          </w:r>
          <w:r>
            <w:rPr>
              <w:color w:val="auto"/>
            </w:rPr>
            <w:tab/>
          </w:r>
          <w:r>
            <w:rPr>
              <w:color w:val="auto"/>
            </w:rPr>
            <w:fldChar w:fldCharType="begin"/>
          </w:r>
          <w:r>
            <w:rPr>
              <w:color w:val="auto"/>
            </w:rPr>
            <w:instrText xml:space="preserve"> PAGEREF _Toc9415 \h </w:instrText>
          </w:r>
          <w:r>
            <w:rPr>
              <w:color w:val="auto"/>
            </w:rPr>
            <w:fldChar w:fldCharType="separate"/>
          </w:r>
          <w:r>
            <w:rPr>
              <w:color w:val="auto"/>
            </w:rPr>
            <w:t>- 9 -</w:t>
          </w:r>
          <w:r>
            <w:rPr>
              <w:color w:val="auto"/>
            </w:rPr>
            <w:fldChar w:fldCharType="end"/>
          </w:r>
          <w:r>
            <w:rPr>
              <w:color w:val="auto"/>
            </w:rPr>
            <w:fldChar w:fldCharType="end"/>
          </w:r>
        </w:p>
        <w:p w14:paraId="749EC2C6">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_Toc30825 </w:instrText>
          </w:r>
          <w:r>
            <w:rPr>
              <w:color w:val="auto"/>
            </w:rPr>
            <w:fldChar w:fldCharType="separate"/>
          </w:r>
          <w:r>
            <w:rPr>
              <w:rFonts w:hint="eastAsia"/>
              <w:color w:val="auto"/>
              <w:highlight w:val="none"/>
            </w:rPr>
            <w:t>供应商须知</w:t>
          </w:r>
          <w:r>
            <w:rPr>
              <w:color w:val="auto"/>
            </w:rPr>
            <w:tab/>
          </w:r>
          <w:r>
            <w:rPr>
              <w:color w:val="auto"/>
            </w:rPr>
            <w:fldChar w:fldCharType="begin"/>
          </w:r>
          <w:r>
            <w:rPr>
              <w:color w:val="auto"/>
            </w:rPr>
            <w:instrText xml:space="preserve"> PAGEREF _Toc30825 \h </w:instrText>
          </w:r>
          <w:r>
            <w:rPr>
              <w:color w:val="auto"/>
            </w:rPr>
            <w:fldChar w:fldCharType="separate"/>
          </w:r>
          <w:r>
            <w:rPr>
              <w:color w:val="auto"/>
            </w:rPr>
            <w:t>- 17 -</w:t>
          </w:r>
          <w:r>
            <w:rPr>
              <w:color w:val="auto"/>
            </w:rPr>
            <w:fldChar w:fldCharType="end"/>
          </w:r>
          <w:r>
            <w:rPr>
              <w:color w:val="auto"/>
            </w:rPr>
            <w:fldChar w:fldCharType="end"/>
          </w:r>
        </w:p>
        <w:p w14:paraId="60D06F58">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_Toc21007 </w:instrText>
          </w:r>
          <w:r>
            <w:rPr>
              <w:color w:val="auto"/>
            </w:rPr>
            <w:fldChar w:fldCharType="separate"/>
          </w:r>
          <w:r>
            <w:rPr>
              <w:rFonts w:hint="eastAsia"/>
              <w:color w:val="auto"/>
              <w:highlight w:val="none"/>
            </w:rPr>
            <w:t>1. 总则</w:t>
          </w:r>
          <w:r>
            <w:rPr>
              <w:color w:val="auto"/>
            </w:rPr>
            <w:tab/>
          </w:r>
          <w:r>
            <w:rPr>
              <w:color w:val="auto"/>
            </w:rPr>
            <w:fldChar w:fldCharType="begin"/>
          </w:r>
          <w:r>
            <w:rPr>
              <w:color w:val="auto"/>
            </w:rPr>
            <w:instrText xml:space="preserve"> PAGEREF _Toc21007 \h </w:instrText>
          </w:r>
          <w:r>
            <w:rPr>
              <w:color w:val="auto"/>
            </w:rPr>
            <w:fldChar w:fldCharType="separate"/>
          </w:r>
          <w:r>
            <w:rPr>
              <w:color w:val="auto"/>
            </w:rPr>
            <w:t>- 17 -</w:t>
          </w:r>
          <w:r>
            <w:rPr>
              <w:color w:val="auto"/>
            </w:rPr>
            <w:fldChar w:fldCharType="end"/>
          </w:r>
          <w:r>
            <w:rPr>
              <w:color w:val="auto"/>
            </w:rPr>
            <w:fldChar w:fldCharType="end"/>
          </w:r>
        </w:p>
        <w:p w14:paraId="3F22D0A4">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_Toc28585 </w:instrText>
          </w:r>
          <w:r>
            <w:rPr>
              <w:color w:val="auto"/>
            </w:rPr>
            <w:fldChar w:fldCharType="separate"/>
          </w:r>
          <w:r>
            <w:rPr>
              <w:rFonts w:hint="eastAsia"/>
              <w:color w:val="auto"/>
              <w:highlight w:val="none"/>
            </w:rPr>
            <w:t>2. 磋商文件</w:t>
          </w:r>
          <w:r>
            <w:rPr>
              <w:color w:val="auto"/>
            </w:rPr>
            <w:tab/>
          </w:r>
          <w:r>
            <w:rPr>
              <w:color w:val="auto"/>
            </w:rPr>
            <w:fldChar w:fldCharType="begin"/>
          </w:r>
          <w:r>
            <w:rPr>
              <w:color w:val="auto"/>
            </w:rPr>
            <w:instrText xml:space="preserve"> PAGEREF _Toc28585 \h </w:instrText>
          </w:r>
          <w:r>
            <w:rPr>
              <w:color w:val="auto"/>
            </w:rPr>
            <w:fldChar w:fldCharType="separate"/>
          </w:r>
          <w:r>
            <w:rPr>
              <w:color w:val="auto"/>
            </w:rPr>
            <w:t>- 18 -</w:t>
          </w:r>
          <w:r>
            <w:rPr>
              <w:color w:val="auto"/>
            </w:rPr>
            <w:fldChar w:fldCharType="end"/>
          </w:r>
          <w:r>
            <w:rPr>
              <w:color w:val="auto"/>
            </w:rPr>
            <w:fldChar w:fldCharType="end"/>
          </w:r>
        </w:p>
        <w:p w14:paraId="6CCEB6CC">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_Toc24233 </w:instrText>
          </w:r>
          <w:r>
            <w:rPr>
              <w:color w:val="auto"/>
            </w:rPr>
            <w:fldChar w:fldCharType="separate"/>
          </w:r>
          <w:r>
            <w:rPr>
              <w:rFonts w:hint="eastAsia"/>
              <w:color w:val="auto"/>
              <w:highlight w:val="none"/>
            </w:rPr>
            <w:t>3. 响应文件</w:t>
          </w:r>
          <w:r>
            <w:rPr>
              <w:color w:val="auto"/>
            </w:rPr>
            <w:tab/>
          </w:r>
          <w:r>
            <w:rPr>
              <w:color w:val="auto"/>
            </w:rPr>
            <w:fldChar w:fldCharType="begin"/>
          </w:r>
          <w:r>
            <w:rPr>
              <w:color w:val="auto"/>
            </w:rPr>
            <w:instrText xml:space="preserve"> PAGEREF _Toc24233 \h </w:instrText>
          </w:r>
          <w:r>
            <w:rPr>
              <w:color w:val="auto"/>
            </w:rPr>
            <w:fldChar w:fldCharType="separate"/>
          </w:r>
          <w:r>
            <w:rPr>
              <w:color w:val="auto"/>
            </w:rPr>
            <w:t>- 20 -</w:t>
          </w:r>
          <w:r>
            <w:rPr>
              <w:color w:val="auto"/>
            </w:rPr>
            <w:fldChar w:fldCharType="end"/>
          </w:r>
          <w:r>
            <w:rPr>
              <w:color w:val="auto"/>
            </w:rPr>
            <w:fldChar w:fldCharType="end"/>
          </w:r>
        </w:p>
        <w:p w14:paraId="6239389E">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_Toc9199 </w:instrText>
          </w:r>
          <w:r>
            <w:rPr>
              <w:color w:val="auto"/>
            </w:rPr>
            <w:fldChar w:fldCharType="separate"/>
          </w:r>
          <w:r>
            <w:rPr>
              <w:rFonts w:hint="eastAsia"/>
              <w:color w:val="auto"/>
              <w:highlight w:val="none"/>
            </w:rPr>
            <w:t>4. 响应文件上传</w:t>
          </w:r>
          <w:r>
            <w:rPr>
              <w:color w:val="auto"/>
            </w:rPr>
            <w:tab/>
          </w:r>
          <w:r>
            <w:rPr>
              <w:color w:val="auto"/>
            </w:rPr>
            <w:fldChar w:fldCharType="begin"/>
          </w:r>
          <w:r>
            <w:rPr>
              <w:color w:val="auto"/>
            </w:rPr>
            <w:instrText xml:space="preserve"> PAGEREF _Toc9199 \h </w:instrText>
          </w:r>
          <w:r>
            <w:rPr>
              <w:color w:val="auto"/>
            </w:rPr>
            <w:fldChar w:fldCharType="separate"/>
          </w:r>
          <w:r>
            <w:rPr>
              <w:color w:val="auto"/>
            </w:rPr>
            <w:t>- 21 -</w:t>
          </w:r>
          <w:r>
            <w:rPr>
              <w:color w:val="auto"/>
            </w:rPr>
            <w:fldChar w:fldCharType="end"/>
          </w:r>
          <w:r>
            <w:rPr>
              <w:color w:val="auto"/>
            </w:rPr>
            <w:fldChar w:fldCharType="end"/>
          </w:r>
        </w:p>
        <w:p w14:paraId="4A58B165">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_Toc8257 </w:instrText>
          </w:r>
          <w:r>
            <w:rPr>
              <w:color w:val="auto"/>
            </w:rPr>
            <w:fldChar w:fldCharType="separate"/>
          </w:r>
          <w:r>
            <w:rPr>
              <w:rFonts w:hint="eastAsia"/>
              <w:color w:val="auto"/>
              <w:highlight w:val="none"/>
            </w:rPr>
            <w:t>5. 响应文件开启</w:t>
          </w:r>
          <w:r>
            <w:rPr>
              <w:color w:val="auto"/>
            </w:rPr>
            <w:tab/>
          </w:r>
          <w:r>
            <w:rPr>
              <w:color w:val="auto"/>
            </w:rPr>
            <w:fldChar w:fldCharType="begin"/>
          </w:r>
          <w:r>
            <w:rPr>
              <w:color w:val="auto"/>
            </w:rPr>
            <w:instrText xml:space="preserve"> PAGEREF _Toc8257 \h </w:instrText>
          </w:r>
          <w:r>
            <w:rPr>
              <w:color w:val="auto"/>
            </w:rPr>
            <w:fldChar w:fldCharType="separate"/>
          </w:r>
          <w:r>
            <w:rPr>
              <w:color w:val="auto"/>
            </w:rPr>
            <w:t>- 22 -</w:t>
          </w:r>
          <w:r>
            <w:rPr>
              <w:color w:val="auto"/>
            </w:rPr>
            <w:fldChar w:fldCharType="end"/>
          </w:r>
          <w:r>
            <w:rPr>
              <w:color w:val="auto"/>
            </w:rPr>
            <w:fldChar w:fldCharType="end"/>
          </w:r>
        </w:p>
        <w:p w14:paraId="688083EA">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_Toc32269 </w:instrText>
          </w:r>
          <w:r>
            <w:rPr>
              <w:color w:val="auto"/>
            </w:rPr>
            <w:fldChar w:fldCharType="separate"/>
          </w:r>
          <w:r>
            <w:rPr>
              <w:rFonts w:hint="eastAsia"/>
              <w:color w:val="auto"/>
              <w:highlight w:val="none"/>
            </w:rPr>
            <w:t>6. 磋商</w:t>
          </w:r>
          <w:r>
            <w:rPr>
              <w:color w:val="auto"/>
            </w:rPr>
            <w:tab/>
          </w:r>
          <w:r>
            <w:rPr>
              <w:color w:val="auto"/>
            </w:rPr>
            <w:fldChar w:fldCharType="begin"/>
          </w:r>
          <w:r>
            <w:rPr>
              <w:color w:val="auto"/>
            </w:rPr>
            <w:instrText xml:space="preserve"> PAGEREF _Toc32269 \h </w:instrText>
          </w:r>
          <w:r>
            <w:rPr>
              <w:color w:val="auto"/>
            </w:rPr>
            <w:fldChar w:fldCharType="separate"/>
          </w:r>
          <w:r>
            <w:rPr>
              <w:color w:val="auto"/>
            </w:rPr>
            <w:t>- 22 -</w:t>
          </w:r>
          <w:r>
            <w:rPr>
              <w:color w:val="auto"/>
            </w:rPr>
            <w:fldChar w:fldCharType="end"/>
          </w:r>
          <w:r>
            <w:rPr>
              <w:color w:val="auto"/>
            </w:rPr>
            <w:fldChar w:fldCharType="end"/>
          </w:r>
        </w:p>
        <w:p w14:paraId="4A4EA39B">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_Toc1743 </w:instrText>
          </w:r>
          <w:r>
            <w:rPr>
              <w:color w:val="auto"/>
            </w:rPr>
            <w:fldChar w:fldCharType="separate"/>
          </w:r>
          <w:r>
            <w:rPr>
              <w:rFonts w:hint="eastAsia"/>
              <w:color w:val="auto"/>
              <w:highlight w:val="none"/>
            </w:rPr>
            <w:t>7. 合同授予</w:t>
          </w:r>
          <w:r>
            <w:rPr>
              <w:color w:val="auto"/>
            </w:rPr>
            <w:tab/>
          </w:r>
          <w:r>
            <w:rPr>
              <w:color w:val="auto"/>
            </w:rPr>
            <w:fldChar w:fldCharType="begin"/>
          </w:r>
          <w:r>
            <w:rPr>
              <w:color w:val="auto"/>
            </w:rPr>
            <w:instrText xml:space="preserve"> PAGEREF _Toc1743 \h </w:instrText>
          </w:r>
          <w:r>
            <w:rPr>
              <w:color w:val="auto"/>
            </w:rPr>
            <w:fldChar w:fldCharType="separate"/>
          </w:r>
          <w:r>
            <w:rPr>
              <w:color w:val="auto"/>
            </w:rPr>
            <w:t>- 24 -</w:t>
          </w:r>
          <w:r>
            <w:rPr>
              <w:color w:val="auto"/>
            </w:rPr>
            <w:fldChar w:fldCharType="end"/>
          </w:r>
          <w:r>
            <w:rPr>
              <w:color w:val="auto"/>
            </w:rPr>
            <w:fldChar w:fldCharType="end"/>
          </w:r>
        </w:p>
        <w:p w14:paraId="364D22BE">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_Toc30412 </w:instrText>
          </w:r>
          <w:r>
            <w:rPr>
              <w:color w:val="auto"/>
            </w:rPr>
            <w:fldChar w:fldCharType="separate"/>
          </w:r>
          <w:r>
            <w:rPr>
              <w:rFonts w:hint="eastAsia"/>
              <w:color w:val="auto"/>
              <w:highlight w:val="none"/>
            </w:rPr>
            <w:t>8. 重新招标</w:t>
          </w:r>
          <w:r>
            <w:rPr>
              <w:color w:val="auto"/>
            </w:rPr>
            <w:tab/>
          </w:r>
          <w:r>
            <w:rPr>
              <w:color w:val="auto"/>
            </w:rPr>
            <w:fldChar w:fldCharType="begin"/>
          </w:r>
          <w:r>
            <w:rPr>
              <w:color w:val="auto"/>
            </w:rPr>
            <w:instrText xml:space="preserve"> PAGEREF _Toc30412 \h </w:instrText>
          </w:r>
          <w:r>
            <w:rPr>
              <w:color w:val="auto"/>
            </w:rPr>
            <w:fldChar w:fldCharType="separate"/>
          </w:r>
          <w:r>
            <w:rPr>
              <w:color w:val="auto"/>
            </w:rPr>
            <w:t>- 25 -</w:t>
          </w:r>
          <w:r>
            <w:rPr>
              <w:color w:val="auto"/>
            </w:rPr>
            <w:fldChar w:fldCharType="end"/>
          </w:r>
          <w:r>
            <w:rPr>
              <w:color w:val="auto"/>
            </w:rPr>
            <w:fldChar w:fldCharType="end"/>
          </w:r>
        </w:p>
        <w:p w14:paraId="0FD27D93">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_Toc30204 </w:instrText>
          </w:r>
          <w:r>
            <w:rPr>
              <w:color w:val="auto"/>
            </w:rPr>
            <w:fldChar w:fldCharType="separate"/>
          </w:r>
          <w:r>
            <w:rPr>
              <w:rFonts w:hint="eastAsia"/>
              <w:color w:val="auto"/>
              <w:highlight w:val="none"/>
            </w:rPr>
            <w:t>9. 纪律和监督</w:t>
          </w:r>
          <w:r>
            <w:rPr>
              <w:color w:val="auto"/>
            </w:rPr>
            <w:tab/>
          </w:r>
          <w:r>
            <w:rPr>
              <w:color w:val="auto"/>
            </w:rPr>
            <w:fldChar w:fldCharType="begin"/>
          </w:r>
          <w:r>
            <w:rPr>
              <w:color w:val="auto"/>
            </w:rPr>
            <w:instrText xml:space="preserve"> PAGEREF _Toc30204 \h </w:instrText>
          </w:r>
          <w:r>
            <w:rPr>
              <w:color w:val="auto"/>
            </w:rPr>
            <w:fldChar w:fldCharType="separate"/>
          </w:r>
          <w:r>
            <w:rPr>
              <w:color w:val="auto"/>
            </w:rPr>
            <w:t>- 25 -</w:t>
          </w:r>
          <w:r>
            <w:rPr>
              <w:color w:val="auto"/>
            </w:rPr>
            <w:fldChar w:fldCharType="end"/>
          </w:r>
          <w:r>
            <w:rPr>
              <w:color w:val="auto"/>
            </w:rPr>
            <w:fldChar w:fldCharType="end"/>
          </w:r>
        </w:p>
        <w:p w14:paraId="57DDF8D2">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_Toc292 </w:instrText>
          </w:r>
          <w:r>
            <w:rPr>
              <w:color w:val="auto"/>
            </w:rPr>
            <w:fldChar w:fldCharType="separate"/>
          </w:r>
          <w:r>
            <w:rPr>
              <w:rFonts w:hint="eastAsia"/>
              <w:color w:val="auto"/>
              <w:highlight w:val="none"/>
            </w:rPr>
            <w:t>10.需要补充的其他内容</w:t>
          </w:r>
          <w:r>
            <w:rPr>
              <w:color w:val="auto"/>
            </w:rPr>
            <w:tab/>
          </w:r>
          <w:r>
            <w:rPr>
              <w:color w:val="auto"/>
            </w:rPr>
            <w:fldChar w:fldCharType="begin"/>
          </w:r>
          <w:r>
            <w:rPr>
              <w:color w:val="auto"/>
            </w:rPr>
            <w:instrText xml:space="preserve"> PAGEREF _Toc292 \h </w:instrText>
          </w:r>
          <w:r>
            <w:rPr>
              <w:color w:val="auto"/>
            </w:rPr>
            <w:fldChar w:fldCharType="separate"/>
          </w:r>
          <w:r>
            <w:rPr>
              <w:color w:val="auto"/>
            </w:rPr>
            <w:t>- 27 -</w:t>
          </w:r>
          <w:r>
            <w:rPr>
              <w:color w:val="auto"/>
            </w:rPr>
            <w:fldChar w:fldCharType="end"/>
          </w:r>
          <w:r>
            <w:rPr>
              <w:color w:val="auto"/>
            </w:rPr>
            <w:fldChar w:fldCharType="end"/>
          </w:r>
        </w:p>
        <w:p w14:paraId="11F6DC56">
          <w:pPr>
            <w:pStyle w:val="32"/>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jc w:val="both"/>
            <w:textAlignment w:val="auto"/>
            <w:rPr>
              <w:color w:val="auto"/>
            </w:rPr>
          </w:pPr>
          <w:r>
            <w:rPr>
              <w:color w:val="auto"/>
            </w:rPr>
            <w:fldChar w:fldCharType="begin"/>
          </w:r>
          <w:r>
            <w:rPr>
              <w:color w:val="auto"/>
            </w:rPr>
            <w:instrText xml:space="preserve"> HYPERLINK \l _Toc8946 </w:instrText>
          </w:r>
          <w:r>
            <w:rPr>
              <w:color w:val="auto"/>
            </w:rPr>
            <w:fldChar w:fldCharType="separate"/>
          </w:r>
          <w:r>
            <w:rPr>
              <w:rFonts w:hint="eastAsia" w:ascii="宋体" w:hAnsi="宋体"/>
              <w:color w:val="auto"/>
              <w:kern w:val="44"/>
              <w:szCs w:val="36"/>
              <w:highlight w:val="none"/>
            </w:rPr>
            <w:t>第三章 评审办法（综合评分法）</w:t>
          </w:r>
          <w:r>
            <w:rPr>
              <w:color w:val="auto"/>
            </w:rPr>
            <w:tab/>
          </w:r>
          <w:r>
            <w:rPr>
              <w:color w:val="auto"/>
            </w:rPr>
            <w:fldChar w:fldCharType="begin"/>
          </w:r>
          <w:r>
            <w:rPr>
              <w:color w:val="auto"/>
            </w:rPr>
            <w:instrText xml:space="preserve"> PAGEREF _Toc8946 \h </w:instrText>
          </w:r>
          <w:r>
            <w:rPr>
              <w:color w:val="auto"/>
            </w:rPr>
            <w:fldChar w:fldCharType="separate"/>
          </w:r>
          <w:r>
            <w:rPr>
              <w:color w:val="auto"/>
            </w:rPr>
            <w:t>- 36 -</w:t>
          </w:r>
          <w:r>
            <w:rPr>
              <w:color w:val="auto"/>
            </w:rPr>
            <w:fldChar w:fldCharType="end"/>
          </w:r>
          <w:r>
            <w:rPr>
              <w:color w:val="auto"/>
            </w:rPr>
            <w:fldChar w:fldCharType="end"/>
          </w:r>
        </w:p>
        <w:p w14:paraId="30A232F3">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_Toc7012 </w:instrText>
          </w:r>
          <w:r>
            <w:rPr>
              <w:color w:val="auto"/>
            </w:rPr>
            <w:fldChar w:fldCharType="separate"/>
          </w:r>
          <w:r>
            <w:rPr>
              <w:rFonts w:hint="eastAsia" w:ascii="宋体" w:hAnsi="宋体"/>
              <w:bCs/>
              <w:color w:val="auto"/>
              <w:szCs w:val="28"/>
              <w:highlight w:val="none"/>
            </w:rPr>
            <w:t>评审办法前附表</w:t>
          </w:r>
          <w:r>
            <w:rPr>
              <w:color w:val="auto"/>
            </w:rPr>
            <w:tab/>
          </w:r>
          <w:r>
            <w:rPr>
              <w:color w:val="auto"/>
            </w:rPr>
            <w:fldChar w:fldCharType="begin"/>
          </w:r>
          <w:r>
            <w:rPr>
              <w:color w:val="auto"/>
            </w:rPr>
            <w:instrText xml:space="preserve"> PAGEREF _Toc7012 \h </w:instrText>
          </w:r>
          <w:r>
            <w:rPr>
              <w:color w:val="auto"/>
            </w:rPr>
            <w:fldChar w:fldCharType="separate"/>
          </w:r>
          <w:r>
            <w:rPr>
              <w:color w:val="auto"/>
            </w:rPr>
            <w:t>- 36 -</w:t>
          </w:r>
          <w:r>
            <w:rPr>
              <w:color w:val="auto"/>
            </w:rPr>
            <w:fldChar w:fldCharType="end"/>
          </w:r>
          <w:r>
            <w:rPr>
              <w:color w:val="auto"/>
            </w:rPr>
            <w:fldChar w:fldCharType="end"/>
          </w:r>
        </w:p>
        <w:p w14:paraId="1A803A13">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_Toc24934 </w:instrText>
          </w:r>
          <w:r>
            <w:rPr>
              <w:color w:val="auto"/>
            </w:rPr>
            <w:fldChar w:fldCharType="separate"/>
          </w:r>
          <w:r>
            <w:rPr>
              <w:rFonts w:hint="eastAsia" w:ascii="宋体" w:hAnsi="宋体" w:eastAsia="宋体"/>
              <w:bCs w:val="0"/>
              <w:color w:val="auto"/>
              <w:szCs w:val="21"/>
              <w:highlight w:val="none"/>
            </w:rPr>
            <w:t>1. 评审方法</w:t>
          </w:r>
          <w:r>
            <w:rPr>
              <w:color w:val="auto"/>
            </w:rPr>
            <w:tab/>
          </w:r>
          <w:r>
            <w:rPr>
              <w:color w:val="auto"/>
            </w:rPr>
            <w:fldChar w:fldCharType="begin"/>
          </w:r>
          <w:r>
            <w:rPr>
              <w:color w:val="auto"/>
            </w:rPr>
            <w:instrText xml:space="preserve"> PAGEREF _Toc24934 \h </w:instrText>
          </w:r>
          <w:r>
            <w:rPr>
              <w:color w:val="auto"/>
            </w:rPr>
            <w:fldChar w:fldCharType="separate"/>
          </w:r>
          <w:r>
            <w:rPr>
              <w:color w:val="auto"/>
            </w:rPr>
            <w:t>- 43 -</w:t>
          </w:r>
          <w:r>
            <w:rPr>
              <w:color w:val="auto"/>
            </w:rPr>
            <w:fldChar w:fldCharType="end"/>
          </w:r>
          <w:r>
            <w:rPr>
              <w:color w:val="auto"/>
            </w:rPr>
            <w:fldChar w:fldCharType="end"/>
          </w:r>
        </w:p>
        <w:p w14:paraId="1B546876">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_Toc26251 </w:instrText>
          </w:r>
          <w:r>
            <w:rPr>
              <w:color w:val="auto"/>
            </w:rPr>
            <w:fldChar w:fldCharType="separate"/>
          </w:r>
          <w:r>
            <w:rPr>
              <w:rFonts w:hint="eastAsia" w:ascii="宋体" w:hAnsi="宋体" w:eastAsia="宋体"/>
              <w:bCs w:val="0"/>
              <w:color w:val="auto"/>
              <w:szCs w:val="21"/>
              <w:highlight w:val="none"/>
            </w:rPr>
            <w:t>2. 评审标准</w:t>
          </w:r>
          <w:r>
            <w:rPr>
              <w:color w:val="auto"/>
            </w:rPr>
            <w:tab/>
          </w:r>
          <w:r>
            <w:rPr>
              <w:color w:val="auto"/>
            </w:rPr>
            <w:fldChar w:fldCharType="begin"/>
          </w:r>
          <w:r>
            <w:rPr>
              <w:color w:val="auto"/>
            </w:rPr>
            <w:instrText xml:space="preserve"> PAGEREF _Toc26251 \h </w:instrText>
          </w:r>
          <w:r>
            <w:rPr>
              <w:color w:val="auto"/>
            </w:rPr>
            <w:fldChar w:fldCharType="separate"/>
          </w:r>
          <w:r>
            <w:rPr>
              <w:color w:val="auto"/>
            </w:rPr>
            <w:t>- 43 -</w:t>
          </w:r>
          <w:r>
            <w:rPr>
              <w:color w:val="auto"/>
            </w:rPr>
            <w:fldChar w:fldCharType="end"/>
          </w:r>
          <w:r>
            <w:rPr>
              <w:color w:val="auto"/>
            </w:rPr>
            <w:fldChar w:fldCharType="end"/>
          </w:r>
        </w:p>
        <w:p w14:paraId="3DAADDA1">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_Toc25105 </w:instrText>
          </w:r>
          <w:r>
            <w:rPr>
              <w:color w:val="auto"/>
            </w:rPr>
            <w:fldChar w:fldCharType="separate"/>
          </w:r>
          <w:r>
            <w:rPr>
              <w:rFonts w:hint="eastAsia" w:ascii="宋体" w:hAnsi="宋体" w:eastAsia="宋体"/>
              <w:bCs w:val="0"/>
              <w:color w:val="auto"/>
              <w:szCs w:val="21"/>
              <w:highlight w:val="none"/>
            </w:rPr>
            <w:t>3. 评审程序</w:t>
          </w:r>
          <w:r>
            <w:rPr>
              <w:color w:val="auto"/>
            </w:rPr>
            <w:tab/>
          </w:r>
          <w:r>
            <w:rPr>
              <w:color w:val="auto"/>
            </w:rPr>
            <w:fldChar w:fldCharType="begin"/>
          </w:r>
          <w:r>
            <w:rPr>
              <w:color w:val="auto"/>
            </w:rPr>
            <w:instrText xml:space="preserve"> PAGEREF _Toc25105 \h </w:instrText>
          </w:r>
          <w:r>
            <w:rPr>
              <w:color w:val="auto"/>
            </w:rPr>
            <w:fldChar w:fldCharType="separate"/>
          </w:r>
          <w:r>
            <w:rPr>
              <w:color w:val="auto"/>
            </w:rPr>
            <w:t>- 43 -</w:t>
          </w:r>
          <w:r>
            <w:rPr>
              <w:color w:val="auto"/>
            </w:rPr>
            <w:fldChar w:fldCharType="end"/>
          </w:r>
          <w:r>
            <w:rPr>
              <w:color w:val="auto"/>
            </w:rPr>
            <w:fldChar w:fldCharType="end"/>
          </w:r>
        </w:p>
        <w:p w14:paraId="7E02F49D">
          <w:pPr>
            <w:pStyle w:val="32"/>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jc w:val="both"/>
            <w:textAlignment w:val="auto"/>
            <w:rPr>
              <w:color w:val="auto"/>
            </w:rPr>
          </w:pPr>
          <w:r>
            <w:rPr>
              <w:color w:val="auto"/>
            </w:rPr>
            <w:fldChar w:fldCharType="begin"/>
          </w:r>
          <w:r>
            <w:rPr>
              <w:color w:val="auto"/>
            </w:rPr>
            <w:instrText xml:space="preserve"> HYPERLINK \l _Toc23890 </w:instrText>
          </w:r>
          <w:r>
            <w:rPr>
              <w:color w:val="auto"/>
            </w:rPr>
            <w:fldChar w:fldCharType="separate"/>
          </w:r>
          <w:r>
            <w:rPr>
              <w:rFonts w:hint="eastAsia" w:ascii="宋体" w:hAnsi="宋体"/>
              <w:bCs w:val="0"/>
              <w:color w:val="auto"/>
              <w:szCs w:val="28"/>
              <w:highlight w:val="none"/>
            </w:rPr>
            <w:t>第四章 合同条款及格式</w:t>
          </w:r>
          <w:r>
            <w:rPr>
              <w:color w:val="auto"/>
            </w:rPr>
            <w:tab/>
          </w:r>
          <w:r>
            <w:rPr>
              <w:color w:val="auto"/>
            </w:rPr>
            <w:fldChar w:fldCharType="begin"/>
          </w:r>
          <w:r>
            <w:rPr>
              <w:color w:val="auto"/>
            </w:rPr>
            <w:instrText xml:space="preserve"> PAGEREF _Toc23890 \h </w:instrText>
          </w:r>
          <w:r>
            <w:rPr>
              <w:color w:val="auto"/>
            </w:rPr>
            <w:fldChar w:fldCharType="separate"/>
          </w:r>
          <w:r>
            <w:rPr>
              <w:color w:val="auto"/>
            </w:rPr>
            <w:t>- 47 -</w:t>
          </w:r>
          <w:r>
            <w:rPr>
              <w:color w:val="auto"/>
            </w:rPr>
            <w:fldChar w:fldCharType="end"/>
          </w:r>
          <w:r>
            <w:rPr>
              <w:color w:val="auto"/>
            </w:rPr>
            <w:fldChar w:fldCharType="end"/>
          </w:r>
        </w:p>
        <w:p w14:paraId="2EAB3ADD">
          <w:pPr>
            <w:pStyle w:val="32"/>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jc w:val="both"/>
            <w:textAlignment w:val="auto"/>
            <w:rPr>
              <w:color w:val="auto"/>
            </w:rPr>
          </w:pPr>
          <w:r>
            <w:rPr>
              <w:color w:val="auto"/>
            </w:rPr>
            <w:fldChar w:fldCharType="begin"/>
          </w:r>
          <w:r>
            <w:rPr>
              <w:color w:val="auto"/>
            </w:rPr>
            <w:instrText xml:space="preserve"> HYPERLINK \l _Toc21672 </w:instrText>
          </w:r>
          <w:r>
            <w:rPr>
              <w:color w:val="auto"/>
            </w:rPr>
            <w:fldChar w:fldCharType="separate"/>
          </w:r>
          <w:r>
            <w:rPr>
              <w:rFonts w:hint="eastAsia" w:ascii="宋体" w:hAnsi="宋体"/>
              <w:bCs/>
              <w:color w:val="auto"/>
              <w:szCs w:val="30"/>
              <w:highlight w:val="none"/>
            </w:rPr>
            <w:t>第五章 工程量清单</w:t>
          </w:r>
          <w:r>
            <w:rPr>
              <w:color w:val="auto"/>
            </w:rPr>
            <w:tab/>
          </w:r>
          <w:r>
            <w:rPr>
              <w:color w:val="auto"/>
            </w:rPr>
            <w:fldChar w:fldCharType="begin"/>
          </w:r>
          <w:r>
            <w:rPr>
              <w:color w:val="auto"/>
            </w:rPr>
            <w:instrText xml:space="preserve"> PAGEREF _Toc21672 \h </w:instrText>
          </w:r>
          <w:r>
            <w:rPr>
              <w:color w:val="auto"/>
            </w:rPr>
            <w:fldChar w:fldCharType="separate"/>
          </w:r>
          <w:r>
            <w:rPr>
              <w:color w:val="auto"/>
            </w:rPr>
            <w:t>- 131 -</w:t>
          </w:r>
          <w:r>
            <w:rPr>
              <w:color w:val="auto"/>
            </w:rPr>
            <w:fldChar w:fldCharType="end"/>
          </w:r>
          <w:r>
            <w:rPr>
              <w:color w:val="auto"/>
            </w:rPr>
            <w:fldChar w:fldCharType="end"/>
          </w:r>
        </w:p>
        <w:p w14:paraId="7464CF80">
          <w:pPr>
            <w:pStyle w:val="32"/>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jc w:val="both"/>
            <w:textAlignment w:val="auto"/>
            <w:rPr>
              <w:color w:val="auto"/>
            </w:rPr>
          </w:pPr>
          <w:r>
            <w:rPr>
              <w:color w:val="auto"/>
            </w:rPr>
            <w:fldChar w:fldCharType="begin"/>
          </w:r>
          <w:r>
            <w:rPr>
              <w:color w:val="auto"/>
            </w:rPr>
            <w:instrText xml:space="preserve"> HYPERLINK \l _Toc23098 </w:instrText>
          </w:r>
          <w:r>
            <w:rPr>
              <w:color w:val="auto"/>
            </w:rPr>
            <w:fldChar w:fldCharType="separate"/>
          </w:r>
          <w:r>
            <w:rPr>
              <w:rFonts w:hint="eastAsia" w:ascii="宋体" w:hAnsi="宋体" w:eastAsia="宋体" w:cs="Times New Roman"/>
              <w:bCs/>
              <w:color w:val="auto"/>
              <w:szCs w:val="30"/>
              <w:highlight w:val="none"/>
              <w:lang w:eastAsia="zh-CN"/>
            </w:rPr>
            <w:t>第</w:t>
          </w:r>
          <w:r>
            <w:rPr>
              <w:rFonts w:hint="eastAsia" w:ascii="宋体" w:hAnsi="宋体" w:cs="Times New Roman"/>
              <w:bCs/>
              <w:color w:val="auto"/>
              <w:szCs w:val="30"/>
              <w:highlight w:val="none"/>
              <w:lang w:val="en-US" w:eastAsia="zh-CN"/>
            </w:rPr>
            <w:t>六</w:t>
          </w:r>
          <w:r>
            <w:rPr>
              <w:rFonts w:hint="eastAsia" w:ascii="宋体" w:hAnsi="宋体" w:eastAsia="宋体" w:cs="Times New Roman"/>
              <w:bCs/>
              <w:color w:val="auto"/>
              <w:szCs w:val="30"/>
              <w:highlight w:val="none"/>
              <w:lang w:eastAsia="zh-CN"/>
            </w:rPr>
            <w:t xml:space="preserve">章 </w:t>
          </w:r>
          <w:r>
            <w:rPr>
              <w:rFonts w:hint="eastAsia" w:ascii="宋体" w:hAnsi="宋体" w:cs="Times New Roman"/>
              <w:bCs/>
              <w:color w:val="auto"/>
              <w:szCs w:val="30"/>
              <w:highlight w:val="none"/>
              <w:lang w:val="en-US" w:eastAsia="zh-CN"/>
            </w:rPr>
            <w:t>技术标准和要求</w:t>
          </w:r>
          <w:r>
            <w:rPr>
              <w:color w:val="auto"/>
            </w:rPr>
            <w:tab/>
          </w:r>
          <w:r>
            <w:rPr>
              <w:color w:val="auto"/>
            </w:rPr>
            <w:fldChar w:fldCharType="begin"/>
          </w:r>
          <w:r>
            <w:rPr>
              <w:color w:val="auto"/>
            </w:rPr>
            <w:instrText xml:space="preserve"> PAGEREF _Toc23098 \h </w:instrText>
          </w:r>
          <w:r>
            <w:rPr>
              <w:color w:val="auto"/>
            </w:rPr>
            <w:fldChar w:fldCharType="separate"/>
          </w:r>
          <w:r>
            <w:rPr>
              <w:color w:val="auto"/>
            </w:rPr>
            <w:t>- 132 -</w:t>
          </w:r>
          <w:r>
            <w:rPr>
              <w:color w:val="auto"/>
            </w:rPr>
            <w:fldChar w:fldCharType="end"/>
          </w:r>
          <w:r>
            <w:rPr>
              <w:color w:val="auto"/>
            </w:rPr>
            <w:fldChar w:fldCharType="end"/>
          </w:r>
        </w:p>
        <w:p w14:paraId="1997D4DD">
          <w:pPr>
            <w:pStyle w:val="32"/>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jc w:val="both"/>
            <w:textAlignment w:val="auto"/>
            <w:rPr>
              <w:color w:val="auto"/>
            </w:rPr>
          </w:pPr>
          <w:r>
            <w:rPr>
              <w:color w:val="auto"/>
            </w:rPr>
            <w:fldChar w:fldCharType="begin"/>
          </w:r>
          <w:r>
            <w:rPr>
              <w:color w:val="auto"/>
            </w:rPr>
            <w:instrText xml:space="preserve"> HYPERLINK \l _Toc7841 </w:instrText>
          </w:r>
          <w:r>
            <w:rPr>
              <w:color w:val="auto"/>
            </w:rPr>
            <w:fldChar w:fldCharType="separate"/>
          </w:r>
          <w:r>
            <w:rPr>
              <w:rFonts w:hint="eastAsia" w:ascii="宋体" w:hAnsi="宋体"/>
              <w:bCs w:val="0"/>
              <w:color w:val="auto"/>
              <w:szCs w:val="36"/>
              <w:highlight w:val="none"/>
            </w:rPr>
            <w:t>第</w:t>
          </w:r>
          <w:r>
            <w:rPr>
              <w:rFonts w:hint="eastAsia" w:ascii="宋体" w:hAnsi="宋体"/>
              <w:bCs w:val="0"/>
              <w:color w:val="auto"/>
              <w:szCs w:val="36"/>
              <w:highlight w:val="none"/>
              <w:lang w:val="en-US" w:eastAsia="zh-CN"/>
            </w:rPr>
            <w:t>七</w:t>
          </w:r>
          <w:r>
            <w:rPr>
              <w:rFonts w:hint="eastAsia" w:ascii="宋体" w:hAnsi="宋体"/>
              <w:bCs w:val="0"/>
              <w:color w:val="auto"/>
              <w:szCs w:val="36"/>
              <w:highlight w:val="none"/>
            </w:rPr>
            <w:t>章 响应文件格式</w:t>
          </w:r>
          <w:r>
            <w:rPr>
              <w:color w:val="auto"/>
            </w:rPr>
            <w:tab/>
          </w:r>
          <w:r>
            <w:rPr>
              <w:color w:val="auto"/>
            </w:rPr>
            <w:fldChar w:fldCharType="begin"/>
          </w:r>
          <w:r>
            <w:rPr>
              <w:color w:val="auto"/>
            </w:rPr>
            <w:instrText xml:space="preserve"> PAGEREF _Toc7841 \h </w:instrText>
          </w:r>
          <w:r>
            <w:rPr>
              <w:color w:val="auto"/>
            </w:rPr>
            <w:fldChar w:fldCharType="separate"/>
          </w:r>
          <w:r>
            <w:rPr>
              <w:color w:val="auto"/>
            </w:rPr>
            <w:t>- 133 -</w:t>
          </w:r>
          <w:r>
            <w:rPr>
              <w:color w:val="auto"/>
            </w:rPr>
            <w:fldChar w:fldCharType="end"/>
          </w:r>
          <w:r>
            <w:rPr>
              <w:color w:val="auto"/>
            </w:rPr>
            <w:fldChar w:fldCharType="end"/>
          </w:r>
        </w:p>
        <w:p w14:paraId="65E2F4D7">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_Toc340 </w:instrText>
          </w:r>
          <w:r>
            <w:rPr>
              <w:color w:val="auto"/>
            </w:rPr>
            <w:fldChar w:fldCharType="separate"/>
          </w:r>
          <w:r>
            <w:rPr>
              <w:rFonts w:hint="eastAsia" w:ascii="宋体" w:hAnsi="宋体" w:eastAsia="宋体"/>
              <w:color w:val="auto"/>
              <w:highlight w:val="none"/>
            </w:rPr>
            <w:t>一、磋商函及磋商函附录</w:t>
          </w:r>
          <w:r>
            <w:rPr>
              <w:color w:val="auto"/>
            </w:rPr>
            <w:tab/>
          </w:r>
          <w:r>
            <w:rPr>
              <w:color w:val="auto"/>
            </w:rPr>
            <w:fldChar w:fldCharType="begin"/>
          </w:r>
          <w:r>
            <w:rPr>
              <w:color w:val="auto"/>
            </w:rPr>
            <w:instrText xml:space="preserve"> PAGEREF _Toc340 \h </w:instrText>
          </w:r>
          <w:r>
            <w:rPr>
              <w:color w:val="auto"/>
            </w:rPr>
            <w:fldChar w:fldCharType="separate"/>
          </w:r>
          <w:r>
            <w:rPr>
              <w:color w:val="auto"/>
            </w:rPr>
            <w:t>- 135 -</w:t>
          </w:r>
          <w:r>
            <w:rPr>
              <w:color w:val="auto"/>
            </w:rPr>
            <w:fldChar w:fldCharType="end"/>
          </w:r>
          <w:r>
            <w:rPr>
              <w:color w:val="auto"/>
            </w:rPr>
            <w:fldChar w:fldCharType="end"/>
          </w:r>
        </w:p>
        <w:p w14:paraId="4E23421F">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_Toc28093 </w:instrText>
          </w:r>
          <w:r>
            <w:rPr>
              <w:color w:val="auto"/>
            </w:rPr>
            <w:fldChar w:fldCharType="separate"/>
          </w:r>
          <w:r>
            <w:rPr>
              <w:rFonts w:hint="eastAsia" w:ascii="宋体" w:hAnsi="宋体" w:eastAsia="宋体"/>
              <w:color w:val="auto"/>
              <w:highlight w:val="none"/>
            </w:rPr>
            <w:t>二、法定代</w:t>
          </w:r>
          <w:r>
            <w:rPr>
              <w:rFonts w:hint="eastAsia" w:ascii="宋体" w:hAnsi="宋体" w:eastAsia="宋体"/>
              <w:color w:val="auto"/>
              <w:highlight w:val="none"/>
              <w:lang w:eastAsia="zh-CN"/>
            </w:rPr>
            <w:t>表人</w:t>
          </w:r>
          <w:r>
            <w:rPr>
              <w:rFonts w:hint="eastAsia" w:ascii="宋体" w:hAnsi="宋体" w:eastAsia="宋体"/>
              <w:color w:val="auto"/>
              <w:highlight w:val="none"/>
            </w:rPr>
            <w:t>身份证明</w:t>
          </w:r>
          <w:r>
            <w:rPr>
              <w:color w:val="auto"/>
            </w:rPr>
            <w:tab/>
          </w:r>
          <w:r>
            <w:rPr>
              <w:color w:val="auto"/>
            </w:rPr>
            <w:fldChar w:fldCharType="begin"/>
          </w:r>
          <w:r>
            <w:rPr>
              <w:color w:val="auto"/>
            </w:rPr>
            <w:instrText xml:space="preserve"> PAGEREF _Toc28093 \h </w:instrText>
          </w:r>
          <w:r>
            <w:rPr>
              <w:color w:val="auto"/>
            </w:rPr>
            <w:fldChar w:fldCharType="separate"/>
          </w:r>
          <w:r>
            <w:rPr>
              <w:color w:val="auto"/>
            </w:rPr>
            <w:t>- 137 -</w:t>
          </w:r>
          <w:r>
            <w:rPr>
              <w:color w:val="auto"/>
            </w:rPr>
            <w:fldChar w:fldCharType="end"/>
          </w:r>
          <w:r>
            <w:rPr>
              <w:color w:val="auto"/>
            </w:rPr>
            <w:fldChar w:fldCharType="end"/>
          </w:r>
        </w:p>
        <w:p w14:paraId="6F4D48C7">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_Toc29993 </w:instrText>
          </w:r>
          <w:r>
            <w:rPr>
              <w:color w:val="auto"/>
            </w:rPr>
            <w:fldChar w:fldCharType="separate"/>
          </w:r>
          <w:r>
            <w:rPr>
              <w:rFonts w:hint="eastAsia" w:ascii="宋体" w:hAnsi="宋体" w:eastAsia="宋体"/>
              <w:color w:val="auto"/>
              <w:szCs w:val="28"/>
              <w:highlight w:val="none"/>
            </w:rPr>
            <w:t>三、授权委托书</w:t>
          </w:r>
          <w:r>
            <w:rPr>
              <w:color w:val="auto"/>
            </w:rPr>
            <w:tab/>
          </w:r>
          <w:r>
            <w:rPr>
              <w:color w:val="auto"/>
            </w:rPr>
            <w:fldChar w:fldCharType="begin"/>
          </w:r>
          <w:r>
            <w:rPr>
              <w:color w:val="auto"/>
            </w:rPr>
            <w:instrText xml:space="preserve"> PAGEREF _Toc29993 \h </w:instrText>
          </w:r>
          <w:r>
            <w:rPr>
              <w:color w:val="auto"/>
            </w:rPr>
            <w:fldChar w:fldCharType="separate"/>
          </w:r>
          <w:r>
            <w:rPr>
              <w:color w:val="auto"/>
            </w:rPr>
            <w:t>- 138 -</w:t>
          </w:r>
          <w:r>
            <w:rPr>
              <w:color w:val="auto"/>
            </w:rPr>
            <w:fldChar w:fldCharType="end"/>
          </w:r>
          <w:r>
            <w:rPr>
              <w:color w:val="auto"/>
            </w:rPr>
            <w:fldChar w:fldCharType="end"/>
          </w:r>
        </w:p>
        <w:p w14:paraId="0FA98F4D">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color w:val="auto"/>
            </w:rPr>
          </w:pPr>
          <w:r>
            <w:rPr>
              <w:color w:val="auto"/>
            </w:rPr>
            <w:fldChar w:fldCharType="begin"/>
          </w:r>
          <w:r>
            <w:rPr>
              <w:color w:val="auto"/>
            </w:rPr>
            <w:instrText xml:space="preserve"> HYPERLINK \l _Toc4381 </w:instrText>
          </w:r>
          <w:r>
            <w:rPr>
              <w:color w:val="auto"/>
            </w:rPr>
            <w:fldChar w:fldCharType="separate"/>
          </w:r>
          <w:r>
            <w:rPr>
              <w:rFonts w:hint="eastAsia" w:ascii="宋体" w:hAnsi="宋体"/>
              <w:bCs/>
              <w:color w:val="auto"/>
              <w:szCs w:val="28"/>
              <w:highlight w:val="none"/>
            </w:rPr>
            <w:t>四、资格审查资料</w:t>
          </w:r>
          <w:r>
            <w:rPr>
              <w:color w:val="auto"/>
            </w:rPr>
            <w:tab/>
          </w:r>
          <w:r>
            <w:rPr>
              <w:color w:val="auto"/>
            </w:rPr>
            <w:fldChar w:fldCharType="begin"/>
          </w:r>
          <w:r>
            <w:rPr>
              <w:color w:val="auto"/>
            </w:rPr>
            <w:instrText xml:space="preserve"> PAGEREF _Toc4381 \h </w:instrText>
          </w:r>
          <w:r>
            <w:rPr>
              <w:color w:val="auto"/>
            </w:rPr>
            <w:fldChar w:fldCharType="separate"/>
          </w:r>
          <w:r>
            <w:rPr>
              <w:color w:val="auto"/>
            </w:rPr>
            <w:t>- 139 -</w:t>
          </w:r>
          <w:r>
            <w:rPr>
              <w:color w:val="auto"/>
            </w:rPr>
            <w:fldChar w:fldCharType="end"/>
          </w:r>
          <w:r>
            <w:rPr>
              <w:color w:val="auto"/>
            </w:rPr>
            <w:fldChar w:fldCharType="end"/>
          </w:r>
        </w:p>
        <w:p w14:paraId="6D11E80F">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rFonts w:hint="eastAsia" w:eastAsia="宋体"/>
              <w:color w:val="auto"/>
            </w:rPr>
          </w:pPr>
          <w:r>
            <w:rPr>
              <w:rFonts w:hint="eastAsia" w:eastAsia="宋体"/>
              <w:color w:val="auto"/>
            </w:rPr>
            <w:fldChar w:fldCharType="begin"/>
          </w:r>
          <w:r>
            <w:rPr>
              <w:rFonts w:hint="eastAsia" w:eastAsia="宋体"/>
              <w:color w:val="auto"/>
            </w:rPr>
            <w:instrText xml:space="preserve"> HYPERLINK \l _Toc7690 </w:instrText>
          </w:r>
          <w:r>
            <w:rPr>
              <w:rFonts w:hint="eastAsia" w:eastAsia="宋体"/>
              <w:color w:val="auto"/>
            </w:rPr>
            <w:fldChar w:fldCharType="separate"/>
          </w:r>
          <w:r>
            <w:rPr>
              <w:rFonts w:hint="eastAsia" w:eastAsia="宋体"/>
              <w:color w:val="auto"/>
              <w:lang w:val="en-US" w:eastAsia="zh-CN"/>
            </w:rPr>
            <w:t>五、</w:t>
          </w:r>
          <w:r>
            <w:rPr>
              <w:rFonts w:hint="eastAsia" w:eastAsia="宋体"/>
              <w:color w:val="auto"/>
            </w:rPr>
            <w:t>已标价工程量清单</w:t>
          </w:r>
          <w:r>
            <w:rPr>
              <w:rFonts w:hint="eastAsia" w:eastAsia="宋体"/>
              <w:color w:val="auto"/>
            </w:rPr>
            <w:tab/>
          </w:r>
          <w:r>
            <w:rPr>
              <w:rFonts w:hint="eastAsia" w:eastAsia="宋体"/>
              <w:color w:val="auto"/>
            </w:rPr>
            <w:fldChar w:fldCharType="begin"/>
          </w:r>
          <w:r>
            <w:rPr>
              <w:rFonts w:hint="eastAsia" w:eastAsia="宋体"/>
              <w:color w:val="auto"/>
            </w:rPr>
            <w:instrText xml:space="preserve"> PAGEREF _Toc7690 \h </w:instrText>
          </w:r>
          <w:r>
            <w:rPr>
              <w:rFonts w:hint="eastAsia" w:eastAsia="宋体"/>
              <w:color w:val="auto"/>
            </w:rPr>
            <w:fldChar w:fldCharType="separate"/>
          </w:r>
          <w:r>
            <w:rPr>
              <w:rFonts w:hint="eastAsia" w:eastAsia="宋体"/>
              <w:color w:val="auto"/>
            </w:rPr>
            <w:t>- 143 -</w:t>
          </w:r>
          <w:r>
            <w:rPr>
              <w:rFonts w:hint="eastAsia" w:eastAsia="宋体"/>
              <w:color w:val="auto"/>
            </w:rPr>
            <w:fldChar w:fldCharType="end"/>
          </w:r>
          <w:r>
            <w:rPr>
              <w:rFonts w:hint="eastAsia" w:eastAsia="宋体"/>
              <w:color w:val="auto"/>
            </w:rPr>
            <w:fldChar w:fldCharType="end"/>
          </w:r>
        </w:p>
        <w:p w14:paraId="4746569C">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rFonts w:hint="eastAsia" w:eastAsia="宋体"/>
              <w:color w:val="auto"/>
            </w:rPr>
          </w:pPr>
          <w:r>
            <w:rPr>
              <w:rFonts w:hint="eastAsia" w:eastAsia="宋体"/>
              <w:color w:val="auto"/>
            </w:rPr>
            <w:fldChar w:fldCharType="begin"/>
          </w:r>
          <w:r>
            <w:rPr>
              <w:rFonts w:hint="eastAsia" w:eastAsia="宋体"/>
              <w:color w:val="auto"/>
            </w:rPr>
            <w:instrText xml:space="preserve"> HYPERLINK \l _Toc11923 </w:instrText>
          </w:r>
          <w:r>
            <w:rPr>
              <w:rFonts w:hint="eastAsia" w:eastAsia="宋体"/>
              <w:color w:val="auto"/>
            </w:rPr>
            <w:fldChar w:fldCharType="separate"/>
          </w:r>
          <w:r>
            <w:rPr>
              <w:rFonts w:hint="eastAsia" w:eastAsia="宋体"/>
              <w:color w:val="auto"/>
              <w:lang w:val="en-US" w:eastAsia="zh-CN"/>
            </w:rPr>
            <w:t>六</w:t>
          </w:r>
          <w:r>
            <w:rPr>
              <w:rFonts w:hint="eastAsia" w:eastAsia="宋体"/>
              <w:color w:val="auto"/>
            </w:rPr>
            <w:t>、</w:t>
          </w:r>
          <w:r>
            <w:rPr>
              <w:rFonts w:hint="eastAsia" w:eastAsia="宋体"/>
              <w:color w:val="auto"/>
              <w:lang w:val="en-US" w:eastAsia="zh-CN"/>
            </w:rPr>
            <w:t>技术部分</w:t>
          </w:r>
          <w:r>
            <w:rPr>
              <w:rFonts w:hint="eastAsia" w:eastAsia="宋体"/>
              <w:color w:val="auto"/>
            </w:rPr>
            <w:tab/>
          </w:r>
          <w:r>
            <w:rPr>
              <w:rFonts w:hint="eastAsia" w:eastAsia="宋体"/>
              <w:color w:val="auto"/>
            </w:rPr>
            <w:fldChar w:fldCharType="begin"/>
          </w:r>
          <w:r>
            <w:rPr>
              <w:rFonts w:hint="eastAsia" w:eastAsia="宋体"/>
              <w:color w:val="auto"/>
            </w:rPr>
            <w:instrText xml:space="preserve"> PAGEREF _Toc11923 \h </w:instrText>
          </w:r>
          <w:r>
            <w:rPr>
              <w:rFonts w:hint="eastAsia" w:eastAsia="宋体"/>
              <w:color w:val="auto"/>
            </w:rPr>
            <w:fldChar w:fldCharType="separate"/>
          </w:r>
          <w:r>
            <w:rPr>
              <w:rFonts w:hint="eastAsia" w:eastAsia="宋体"/>
              <w:color w:val="auto"/>
            </w:rPr>
            <w:t>- 144 -</w:t>
          </w:r>
          <w:r>
            <w:rPr>
              <w:rFonts w:hint="eastAsia" w:eastAsia="宋体"/>
              <w:color w:val="auto"/>
            </w:rPr>
            <w:fldChar w:fldCharType="end"/>
          </w:r>
          <w:r>
            <w:rPr>
              <w:rFonts w:hint="eastAsia" w:eastAsia="宋体"/>
              <w:color w:val="auto"/>
            </w:rPr>
            <w:fldChar w:fldCharType="end"/>
          </w:r>
        </w:p>
        <w:p w14:paraId="13D47EB1">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rFonts w:hint="eastAsia" w:eastAsia="宋体"/>
              <w:color w:val="auto"/>
            </w:rPr>
          </w:pPr>
          <w:r>
            <w:rPr>
              <w:rFonts w:hint="eastAsia" w:eastAsia="宋体"/>
              <w:color w:val="auto"/>
            </w:rPr>
            <w:fldChar w:fldCharType="begin"/>
          </w:r>
          <w:r>
            <w:rPr>
              <w:rFonts w:hint="eastAsia" w:eastAsia="宋体"/>
              <w:color w:val="auto"/>
            </w:rPr>
            <w:instrText xml:space="preserve"> HYPERLINK \l _Toc2554 </w:instrText>
          </w:r>
          <w:r>
            <w:rPr>
              <w:rFonts w:hint="eastAsia" w:eastAsia="宋体"/>
              <w:color w:val="auto"/>
            </w:rPr>
            <w:fldChar w:fldCharType="separate"/>
          </w:r>
          <w:r>
            <w:rPr>
              <w:rFonts w:hint="eastAsia" w:eastAsia="宋体"/>
              <w:color w:val="auto"/>
              <w:lang w:val="en-US" w:eastAsia="zh-CN"/>
            </w:rPr>
            <w:t>七</w:t>
          </w:r>
          <w:r>
            <w:rPr>
              <w:rFonts w:hint="eastAsia" w:eastAsia="宋体"/>
              <w:color w:val="auto"/>
            </w:rPr>
            <w:t>、类似项目业绩</w:t>
          </w:r>
          <w:r>
            <w:rPr>
              <w:rFonts w:hint="eastAsia" w:eastAsia="宋体"/>
              <w:color w:val="auto"/>
            </w:rPr>
            <w:tab/>
          </w:r>
          <w:r>
            <w:rPr>
              <w:rFonts w:hint="eastAsia" w:eastAsia="宋体"/>
              <w:color w:val="auto"/>
            </w:rPr>
            <w:fldChar w:fldCharType="begin"/>
          </w:r>
          <w:r>
            <w:rPr>
              <w:rFonts w:hint="eastAsia" w:eastAsia="宋体"/>
              <w:color w:val="auto"/>
            </w:rPr>
            <w:instrText xml:space="preserve"> PAGEREF _Toc2554 \h </w:instrText>
          </w:r>
          <w:r>
            <w:rPr>
              <w:rFonts w:hint="eastAsia" w:eastAsia="宋体"/>
              <w:color w:val="auto"/>
            </w:rPr>
            <w:fldChar w:fldCharType="separate"/>
          </w:r>
          <w:r>
            <w:rPr>
              <w:rFonts w:hint="eastAsia" w:eastAsia="宋体"/>
              <w:color w:val="auto"/>
            </w:rPr>
            <w:t>- 145 -</w:t>
          </w:r>
          <w:r>
            <w:rPr>
              <w:rFonts w:hint="eastAsia" w:eastAsia="宋体"/>
              <w:color w:val="auto"/>
            </w:rPr>
            <w:fldChar w:fldCharType="end"/>
          </w:r>
          <w:r>
            <w:rPr>
              <w:rFonts w:hint="eastAsia" w:eastAsia="宋体"/>
              <w:color w:val="auto"/>
            </w:rPr>
            <w:fldChar w:fldCharType="end"/>
          </w:r>
        </w:p>
        <w:p w14:paraId="6C8EB78F">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rFonts w:hint="eastAsia" w:eastAsia="宋体"/>
              <w:color w:val="auto"/>
            </w:rPr>
          </w:pPr>
          <w:r>
            <w:rPr>
              <w:rFonts w:hint="eastAsia" w:eastAsia="宋体"/>
              <w:color w:val="auto"/>
            </w:rPr>
            <w:fldChar w:fldCharType="begin"/>
          </w:r>
          <w:r>
            <w:rPr>
              <w:rFonts w:hint="eastAsia" w:eastAsia="宋体"/>
              <w:color w:val="auto"/>
            </w:rPr>
            <w:instrText xml:space="preserve"> HYPERLINK \l _Toc30708 </w:instrText>
          </w:r>
          <w:r>
            <w:rPr>
              <w:rFonts w:hint="eastAsia" w:eastAsia="宋体"/>
              <w:color w:val="auto"/>
            </w:rPr>
            <w:fldChar w:fldCharType="separate"/>
          </w:r>
          <w:r>
            <w:rPr>
              <w:rFonts w:hint="eastAsia" w:eastAsia="宋体"/>
              <w:color w:val="auto"/>
              <w:lang w:val="en-US" w:eastAsia="zh-CN"/>
            </w:rPr>
            <w:t>八、</w:t>
          </w:r>
          <w:r>
            <w:rPr>
              <w:rFonts w:hint="eastAsia" w:eastAsia="宋体"/>
              <w:color w:val="auto"/>
            </w:rPr>
            <w:t>项目管理机构</w:t>
          </w:r>
          <w:r>
            <w:rPr>
              <w:rFonts w:hint="eastAsia" w:eastAsia="宋体"/>
              <w:color w:val="auto"/>
            </w:rPr>
            <w:tab/>
          </w:r>
          <w:r>
            <w:rPr>
              <w:rFonts w:hint="eastAsia" w:eastAsia="宋体"/>
              <w:color w:val="auto"/>
            </w:rPr>
            <w:fldChar w:fldCharType="begin"/>
          </w:r>
          <w:r>
            <w:rPr>
              <w:rFonts w:hint="eastAsia" w:eastAsia="宋体"/>
              <w:color w:val="auto"/>
            </w:rPr>
            <w:instrText xml:space="preserve"> PAGEREF _Toc30708 \h </w:instrText>
          </w:r>
          <w:r>
            <w:rPr>
              <w:rFonts w:hint="eastAsia" w:eastAsia="宋体"/>
              <w:color w:val="auto"/>
            </w:rPr>
            <w:fldChar w:fldCharType="separate"/>
          </w:r>
          <w:r>
            <w:rPr>
              <w:rFonts w:hint="eastAsia" w:eastAsia="宋体"/>
              <w:color w:val="auto"/>
            </w:rPr>
            <w:t>- 146 -</w:t>
          </w:r>
          <w:r>
            <w:rPr>
              <w:rFonts w:hint="eastAsia" w:eastAsia="宋体"/>
              <w:color w:val="auto"/>
            </w:rPr>
            <w:fldChar w:fldCharType="end"/>
          </w:r>
          <w:r>
            <w:rPr>
              <w:rFonts w:hint="eastAsia" w:eastAsia="宋体"/>
              <w:color w:val="auto"/>
            </w:rPr>
            <w:fldChar w:fldCharType="end"/>
          </w:r>
        </w:p>
        <w:p w14:paraId="5022F79C">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rFonts w:hint="eastAsia" w:eastAsia="宋体"/>
              <w:color w:val="auto"/>
            </w:rPr>
          </w:pPr>
          <w:r>
            <w:rPr>
              <w:rFonts w:hint="eastAsia" w:eastAsia="宋体"/>
              <w:color w:val="auto"/>
            </w:rPr>
            <w:fldChar w:fldCharType="begin"/>
          </w:r>
          <w:r>
            <w:rPr>
              <w:rFonts w:hint="eastAsia" w:eastAsia="宋体"/>
              <w:color w:val="auto"/>
            </w:rPr>
            <w:instrText xml:space="preserve"> HYPERLINK \l _Toc30694 </w:instrText>
          </w:r>
          <w:r>
            <w:rPr>
              <w:rFonts w:hint="eastAsia" w:eastAsia="宋体"/>
              <w:color w:val="auto"/>
            </w:rPr>
            <w:fldChar w:fldCharType="separate"/>
          </w:r>
          <w:r>
            <w:rPr>
              <w:rFonts w:hint="eastAsia" w:eastAsia="宋体"/>
              <w:color w:val="auto"/>
            </w:rPr>
            <w:t>九、服务承诺</w:t>
          </w:r>
          <w:r>
            <w:rPr>
              <w:rFonts w:hint="eastAsia" w:eastAsia="宋体"/>
              <w:color w:val="auto"/>
            </w:rPr>
            <w:tab/>
          </w:r>
          <w:r>
            <w:rPr>
              <w:rFonts w:hint="eastAsia" w:eastAsia="宋体"/>
              <w:color w:val="auto"/>
            </w:rPr>
            <w:fldChar w:fldCharType="begin"/>
          </w:r>
          <w:r>
            <w:rPr>
              <w:rFonts w:hint="eastAsia" w:eastAsia="宋体"/>
              <w:color w:val="auto"/>
            </w:rPr>
            <w:instrText xml:space="preserve"> PAGEREF _Toc30694 \h </w:instrText>
          </w:r>
          <w:r>
            <w:rPr>
              <w:rFonts w:hint="eastAsia" w:eastAsia="宋体"/>
              <w:color w:val="auto"/>
            </w:rPr>
            <w:fldChar w:fldCharType="separate"/>
          </w:r>
          <w:r>
            <w:rPr>
              <w:rFonts w:hint="eastAsia" w:eastAsia="宋体"/>
              <w:color w:val="auto"/>
            </w:rPr>
            <w:t>- 149 -</w:t>
          </w:r>
          <w:r>
            <w:rPr>
              <w:rFonts w:hint="eastAsia" w:eastAsia="宋体"/>
              <w:color w:val="auto"/>
            </w:rPr>
            <w:fldChar w:fldCharType="end"/>
          </w:r>
          <w:r>
            <w:rPr>
              <w:rFonts w:hint="eastAsia" w:eastAsia="宋体"/>
              <w:color w:val="auto"/>
            </w:rPr>
            <w:fldChar w:fldCharType="end"/>
          </w:r>
        </w:p>
        <w:p w14:paraId="4902A45D">
          <w:pPr>
            <w:pStyle w:val="38"/>
            <w:keepNext w:val="0"/>
            <w:keepLines w:val="0"/>
            <w:pageBreakBefore w:val="0"/>
            <w:tabs>
              <w:tab w:val="right" w:leader="dot" w:pos="9060"/>
            </w:tabs>
            <w:kinsoku/>
            <w:wordWrap/>
            <w:overflowPunct/>
            <w:topLinePunct w:val="0"/>
            <w:autoSpaceDE/>
            <w:autoSpaceDN/>
            <w:bidi w:val="0"/>
            <w:adjustRightInd/>
            <w:snapToGrid/>
            <w:spacing w:before="0" w:beforeAutospacing="0" w:after="0" w:line="360" w:lineRule="auto"/>
            <w:ind w:left="0" w:firstLine="440" w:firstLineChars="200"/>
            <w:textAlignment w:val="auto"/>
            <w:rPr>
              <w:rFonts w:hint="eastAsia" w:eastAsia="宋体"/>
              <w:color w:val="auto"/>
            </w:rPr>
          </w:pPr>
          <w:r>
            <w:rPr>
              <w:rFonts w:hint="eastAsia" w:eastAsia="宋体"/>
              <w:color w:val="auto"/>
            </w:rPr>
            <w:fldChar w:fldCharType="begin"/>
          </w:r>
          <w:r>
            <w:rPr>
              <w:rFonts w:hint="eastAsia" w:eastAsia="宋体"/>
              <w:color w:val="auto"/>
            </w:rPr>
            <w:instrText xml:space="preserve"> HYPERLINK \l _Toc31520 </w:instrText>
          </w:r>
          <w:r>
            <w:rPr>
              <w:rFonts w:hint="eastAsia" w:eastAsia="宋体"/>
              <w:color w:val="auto"/>
            </w:rPr>
            <w:fldChar w:fldCharType="separate"/>
          </w:r>
          <w:r>
            <w:rPr>
              <w:rFonts w:hint="eastAsia" w:eastAsia="宋体"/>
              <w:color w:val="auto"/>
            </w:rPr>
            <w:t>十、其他材料</w:t>
          </w:r>
          <w:r>
            <w:rPr>
              <w:rFonts w:hint="eastAsia" w:eastAsia="宋体"/>
              <w:color w:val="auto"/>
            </w:rPr>
            <w:tab/>
          </w:r>
          <w:r>
            <w:rPr>
              <w:rFonts w:hint="eastAsia" w:eastAsia="宋体"/>
              <w:color w:val="auto"/>
            </w:rPr>
            <w:fldChar w:fldCharType="begin"/>
          </w:r>
          <w:r>
            <w:rPr>
              <w:rFonts w:hint="eastAsia" w:eastAsia="宋体"/>
              <w:color w:val="auto"/>
            </w:rPr>
            <w:instrText xml:space="preserve"> PAGEREF _Toc31520 \h </w:instrText>
          </w:r>
          <w:r>
            <w:rPr>
              <w:rFonts w:hint="eastAsia" w:eastAsia="宋体"/>
              <w:color w:val="auto"/>
            </w:rPr>
            <w:fldChar w:fldCharType="separate"/>
          </w:r>
          <w:r>
            <w:rPr>
              <w:rFonts w:hint="eastAsia" w:eastAsia="宋体"/>
              <w:color w:val="auto"/>
            </w:rPr>
            <w:t>- 150 -</w:t>
          </w:r>
          <w:r>
            <w:rPr>
              <w:rFonts w:hint="eastAsia" w:eastAsia="宋体"/>
              <w:color w:val="auto"/>
            </w:rPr>
            <w:fldChar w:fldCharType="end"/>
          </w:r>
          <w:r>
            <w:rPr>
              <w:rFonts w:hint="eastAsia" w:eastAsia="宋体"/>
              <w:color w:val="auto"/>
            </w:rPr>
            <w:fldChar w:fldCharType="end"/>
          </w:r>
        </w:p>
        <w:p w14:paraId="35CFD9EE">
          <w:pPr>
            <w:keepNext w:val="0"/>
            <w:keepLines w:val="0"/>
            <w:pageBreakBefore w:val="0"/>
            <w:kinsoku/>
            <w:wordWrap/>
            <w:overflowPunct/>
            <w:topLinePunct w:val="0"/>
            <w:autoSpaceDE/>
            <w:autoSpaceDN/>
            <w:bidi w:val="0"/>
            <w:adjustRightInd/>
            <w:snapToGrid/>
            <w:spacing w:beforeAutospacing="0" w:line="360" w:lineRule="auto"/>
            <w:ind w:left="0" w:firstLine="420" w:firstLineChars="200"/>
            <w:textAlignment w:val="auto"/>
            <w:rPr>
              <w:color w:val="auto"/>
              <w:highlight w:val="none"/>
            </w:rPr>
          </w:pPr>
          <w:r>
            <w:rPr>
              <w:color w:val="auto"/>
            </w:rPr>
            <w:fldChar w:fldCharType="end"/>
          </w:r>
        </w:p>
      </w:sdtContent>
    </w:sdt>
    <w:p w14:paraId="127CFA4F">
      <w:pPr>
        <w:keepNext w:val="0"/>
        <w:keepLines w:val="0"/>
        <w:pageBreakBefore w:val="0"/>
        <w:kinsoku/>
        <w:wordWrap/>
        <w:overflowPunct/>
        <w:topLinePunct w:val="0"/>
        <w:autoSpaceDE/>
        <w:autoSpaceDN/>
        <w:bidi w:val="0"/>
        <w:adjustRightInd/>
        <w:snapToGrid/>
        <w:spacing w:beforeAutospacing="0" w:line="360" w:lineRule="auto"/>
        <w:ind w:left="0" w:firstLine="643" w:firstLineChars="200"/>
        <w:jc w:val="left"/>
        <w:textAlignment w:val="auto"/>
        <w:rPr>
          <w:rFonts w:ascii="宋体" w:hAnsi="宋体"/>
          <w:b/>
          <w:bCs/>
          <w:color w:val="auto"/>
          <w:sz w:val="32"/>
          <w:szCs w:val="32"/>
          <w:highlight w:val="none"/>
        </w:rPr>
      </w:pPr>
      <w:r>
        <w:rPr>
          <w:rFonts w:hint="eastAsia" w:ascii="宋体" w:hAnsi="宋体"/>
          <w:b/>
          <w:bCs/>
          <w:color w:val="auto"/>
          <w:sz w:val="32"/>
          <w:szCs w:val="32"/>
          <w:highlight w:val="none"/>
        </w:rPr>
        <w:br w:type="page"/>
      </w:r>
    </w:p>
    <w:p w14:paraId="173693F4">
      <w:pPr>
        <w:snapToGrid w:val="0"/>
        <w:spacing w:before="156" w:beforeLines="50"/>
        <w:ind w:firstLine="482"/>
        <w:jc w:val="center"/>
        <w:rPr>
          <w:b/>
          <w:bCs/>
          <w:color w:val="auto"/>
          <w:sz w:val="32"/>
          <w:szCs w:val="32"/>
          <w:highlight w:val="none"/>
        </w:rPr>
      </w:pPr>
      <w:r>
        <w:rPr>
          <w:rFonts w:hint="eastAsia" w:ascii="宋体" w:hAnsi="宋体"/>
          <w:b/>
          <w:bCs/>
          <w:color w:val="auto"/>
          <w:sz w:val="32"/>
          <w:szCs w:val="32"/>
          <w:highlight w:val="none"/>
        </w:rPr>
        <w:t>特 别 提 示</w:t>
      </w:r>
    </w:p>
    <w:p w14:paraId="7CC060E6">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1.</w:t>
      </w:r>
      <w:r>
        <w:rPr>
          <w:rFonts w:hint="eastAsia" w:ascii="宋体" w:hAnsi="宋体"/>
          <w:color w:val="auto"/>
          <w:highlight w:val="none"/>
        </w:rPr>
        <w:t>供应商首先通过“河南省公共资源交易中心（</w:t>
      </w:r>
      <w:r>
        <w:rPr>
          <w:rFonts w:hint="eastAsia"/>
          <w:color w:val="auto"/>
          <w:highlight w:val="none"/>
        </w:rPr>
        <w:t>http://hnsggzyjy.henan.gov.cn/</w:t>
      </w:r>
      <w:r>
        <w:rPr>
          <w:rFonts w:hint="eastAsia" w:ascii="宋体" w:hAnsi="宋体"/>
          <w:color w:val="auto"/>
          <w:highlight w:val="none"/>
        </w:rPr>
        <w:t>）”网站进行注册，然后按网站公共服务（办事指南及下载专区）公共资源项目CA办理流程准备齐注册资料，最后根据《河南省公共资源交易中心关于数字证书（CA）互认功能上线试运行的通知》办理CA密钥，完成注册。</w:t>
      </w:r>
    </w:p>
    <w:p w14:paraId="16CADE1A">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2.</w:t>
      </w:r>
      <w:r>
        <w:rPr>
          <w:rFonts w:hint="eastAsia" w:ascii="宋体" w:hAnsi="宋体"/>
          <w:color w:val="auto"/>
          <w:highlight w:val="none"/>
        </w:rPr>
        <w:t>投标（响应）文件制作</w:t>
      </w:r>
    </w:p>
    <w:p w14:paraId="3CE71BBB">
      <w:pPr>
        <w:spacing w:line="360" w:lineRule="auto"/>
        <w:ind w:firstLine="420" w:firstLineChars="200"/>
        <w:rPr>
          <w:rFonts w:ascii="宋体" w:hAnsi="宋体"/>
          <w:color w:val="auto"/>
          <w:highlight w:val="none"/>
        </w:rPr>
      </w:pPr>
      <w:r>
        <w:rPr>
          <w:rFonts w:hint="eastAsia" w:ascii="宋体" w:hAnsi="宋体"/>
          <w:color w:val="auto"/>
          <w:highlight w:val="none"/>
        </w:rPr>
        <w:t>2.1供应商通过“河南省公共资源交易中心（http://hnsggzyjy.henan.gov.cn/）”网站公共服务（办事指南及下载专区）：下载“投标文件制作工具安装包压缩文件下载”等。</w:t>
      </w:r>
    </w:p>
    <w:p w14:paraId="2290AF66">
      <w:pPr>
        <w:spacing w:line="360" w:lineRule="auto"/>
        <w:ind w:firstLine="420" w:firstLineChars="200"/>
        <w:rPr>
          <w:rFonts w:ascii="宋体" w:hAnsi="宋体"/>
          <w:color w:val="auto"/>
          <w:highlight w:val="none"/>
        </w:rPr>
      </w:pPr>
      <w:r>
        <w:rPr>
          <w:rFonts w:hint="eastAsia" w:ascii="宋体" w:hAnsi="宋体"/>
          <w:color w:val="auto"/>
          <w:highlight w:val="none"/>
        </w:rPr>
        <w:t>2.2供应商凭CA密钥登陆并按网上提示自行下载每个项目所含格式</w:t>
      </w:r>
      <w:r>
        <w:rPr>
          <w:rFonts w:hint="eastAsia" w:ascii="宋体" w:hAnsi="宋体"/>
          <w:color w:val="auto"/>
          <w:highlight w:val="none"/>
          <w:lang w:eastAsia="zh-CN"/>
        </w:rPr>
        <w:t>（</w:t>
      </w:r>
      <w:r>
        <w:rPr>
          <w:rFonts w:hint="eastAsia" w:ascii="宋体" w:hAnsi="宋体"/>
          <w:color w:val="auto"/>
          <w:highlight w:val="none"/>
        </w:rPr>
        <w:t>.hnzf</w:t>
      </w:r>
      <w:r>
        <w:rPr>
          <w:rFonts w:hint="eastAsia" w:ascii="宋体" w:hAnsi="宋体"/>
          <w:color w:val="auto"/>
          <w:highlight w:val="none"/>
          <w:lang w:eastAsia="zh-CN"/>
        </w:rPr>
        <w:t>）</w:t>
      </w:r>
      <w:r>
        <w:rPr>
          <w:rFonts w:hint="eastAsia" w:ascii="宋体" w:hAnsi="宋体"/>
          <w:color w:val="auto"/>
          <w:highlight w:val="none"/>
        </w:rPr>
        <w:t>的竞争性磋商文件。</w:t>
      </w:r>
    </w:p>
    <w:p w14:paraId="5855BCD8">
      <w:pPr>
        <w:spacing w:line="360" w:lineRule="auto"/>
        <w:ind w:firstLine="420" w:firstLineChars="200"/>
        <w:rPr>
          <w:rFonts w:ascii="宋体" w:hAnsi="宋体"/>
          <w:color w:val="auto"/>
          <w:highlight w:val="none"/>
        </w:rPr>
      </w:pPr>
      <w:r>
        <w:rPr>
          <w:rFonts w:hint="eastAsia" w:ascii="宋体" w:hAnsi="宋体"/>
          <w:color w:val="auto"/>
          <w:highlight w:val="none"/>
        </w:rPr>
        <w:t>2.3供应商须在投标（响应）文件递交截止时间前制作并提交：（1）加密的电子投标（响应）文件（*.hntf格式）</w:t>
      </w:r>
      <w:r>
        <w:rPr>
          <w:rFonts w:hint="eastAsia" w:ascii="宋体" w:hAnsi="宋体"/>
          <w:color w:val="auto"/>
          <w:highlight w:val="none"/>
          <w:lang w:eastAsia="zh-CN"/>
        </w:rPr>
        <w:t>，</w:t>
      </w:r>
      <w:r>
        <w:rPr>
          <w:rFonts w:hint="eastAsia" w:ascii="宋体" w:hAnsi="宋体"/>
          <w:color w:val="auto"/>
          <w:highlight w:val="none"/>
        </w:rPr>
        <w:t>应在投标（响应）文件截止时间前通过“河南省公共资源交易中心（http://hnsggzyjy.henan.gov.cn/）”电子交易平台内上传；</w:t>
      </w:r>
    </w:p>
    <w:p w14:paraId="0355A014">
      <w:pPr>
        <w:spacing w:line="360" w:lineRule="auto"/>
        <w:ind w:firstLine="420" w:firstLineChars="200"/>
        <w:rPr>
          <w:rFonts w:ascii="宋体" w:hAnsi="宋体"/>
          <w:color w:val="auto"/>
          <w:highlight w:val="none"/>
        </w:rPr>
      </w:pPr>
      <w:r>
        <w:rPr>
          <w:rFonts w:hint="eastAsia" w:ascii="宋体" w:hAnsi="宋体"/>
          <w:color w:val="auto"/>
          <w:highlight w:val="none"/>
        </w:rPr>
        <w:t>2.4加密的电子投标（响应）文件为“河南省公共资源交易中心（http://hnsggzyjy.henan.gov.cn/）”网站提供的“投标（响应）文件制作工具”软件制作生成的加密版投标（响应）文件。</w:t>
      </w:r>
    </w:p>
    <w:p w14:paraId="2C65C701">
      <w:pPr>
        <w:spacing w:line="360" w:lineRule="auto"/>
        <w:ind w:firstLine="420" w:firstLineChars="200"/>
        <w:rPr>
          <w:rFonts w:ascii="宋体" w:hAnsi="宋体"/>
          <w:color w:val="auto"/>
          <w:highlight w:val="none"/>
        </w:rPr>
      </w:pPr>
      <w:r>
        <w:rPr>
          <w:rFonts w:hint="eastAsia" w:ascii="宋体" w:hAnsi="宋体"/>
          <w:color w:val="auto"/>
          <w:highlight w:val="none"/>
        </w:rPr>
        <w:t>2.5供应商在制作电子投标（响应）文件时，“投标（响应）文件制作工具”左侧栏目“封面</w:t>
      </w:r>
      <w:r>
        <w:rPr>
          <w:rFonts w:hint="eastAsia" w:ascii="宋体" w:hAnsi="宋体"/>
          <w:color w:val="auto"/>
          <w:highlight w:val="none"/>
          <w:lang w:eastAsia="zh-CN"/>
        </w:rPr>
        <w:t>”“</w:t>
      </w:r>
      <w:r>
        <w:rPr>
          <w:rFonts w:hint="eastAsia" w:ascii="宋体" w:hAnsi="宋体"/>
          <w:color w:val="auto"/>
          <w:highlight w:val="none"/>
        </w:rPr>
        <w:t>报价一览表”制作完成后须加盖电子签章（包括企业电子签章、个人电子签章）。该“报价一览表”为公共资源交易中心系统默认设置，该“报价一览表”若与竞争性磋商文件中规定格式不一致，不作为实质性条款。</w:t>
      </w:r>
    </w:p>
    <w:p w14:paraId="1EA4EEE6">
      <w:pPr>
        <w:spacing w:line="360" w:lineRule="auto"/>
        <w:ind w:firstLine="420" w:firstLineChars="200"/>
        <w:rPr>
          <w:rFonts w:ascii="宋体" w:hAnsi="宋体"/>
          <w:color w:val="auto"/>
          <w:highlight w:val="none"/>
        </w:rPr>
      </w:pPr>
      <w:r>
        <w:rPr>
          <w:rFonts w:hint="eastAsia" w:ascii="宋体" w:hAnsi="宋体"/>
          <w:color w:val="auto"/>
          <w:highlight w:val="none"/>
        </w:rPr>
        <w:t>2.6</w:t>
      </w:r>
      <w:r>
        <w:rPr>
          <w:rFonts w:hint="eastAsia" w:ascii="宋体" w:hAnsi="宋体"/>
          <w:color w:val="auto"/>
          <w:highlight w:val="none"/>
          <w:lang w:eastAsia="zh-CN"/>
        </w:rPr>
        <w:t>供应商</w:t>
      </w:r>
      <w:r>
        <w:rPr>
          <w:rFonts w:hint="eastAsia" w:ascii="宋体" w:hAnsi="宋体"/>
          <w:color w:val="auto"/>
          <w:highlight w:val="none"/>
        </w:rPr>
        <w:t>编制投标（响应）文件时，涉及营业执照、资质、业绩、获奖、人员、财务、社保、纳税、各类证书等内容，应及时对市场主体信息库的相关内容进行补充、更新。</w:t>
      </w:r>
    </w:p>
    <w:p w14:paraId="30FD23D0">
      <w:pPr>
        <w:spacing w:line="360" w:lineRule="auto"/>
        <w:ind w:firstLine="420" w:firstLineChars="200"/>
        <w:rPr>
          <w:rFonts w:ascii="宋体" w:hAnsi="宋体"/>
          <w:color w:val="auto"/>
          <w:highlight w:val="none"/>
        </w:rPr>
      </w:pPr>
      <w:r>
        <w:rPr>
          <w:rFonts w:hint="eastAsia" w:ascii="宋体" w:hAnsi="宋体"/>
          <w:color w:val="auto"/>
          <w:highlight w:val="none"/>
        </w:rPr>
        <w:t>2.7供应商编辑电子投标（响应）文件时，根据竞争性磋商文件要求用法人CA密钥和企业CA密钥进行签章制作；最后一步生成电子投标文件（*.hntf格式和*.nhntf格式）时，只能用本单位的企业CA密钥。</w:t>
      </w:r>
    </w:p>
    <w:p w14:paraId="0296A27D">
      <w:pPr>
        <w:spacing w:line="360" w:lineRule="auto"/>
        <w:ind w:firstLine="420" w:firstLineChars="200"/>
        <w:rPr>
          <w:rFonts w:ascii="宋体" w:hAnsi="宋体"/>
          <w:color w:val="auto"/>
          <w:highlight w:val="none"/>
        </w:rPr>
      </w:pPr>
      <w:r>
        <w:rPr>
          <w:rFonts w:hint="eastAsia" w:ascii="宋体" w:hAnsi="宋体"/>
          <w:color w:val="auto"/>
          <w:highlight w:val="none"/>
        </w:rPr>
        <w:t>2.8磋商文件格式所要求包含的全部资料应全部制作在“投标（响应）文件制作工具”左侧栏目“其他内容”内，并按照本项目磋商文件所有格式如实填写（不涉及的内容除外），不应存在漏项或缺项。</w:t>
      </w:r>
    </w:p>
    <w:p w14:paraId="43A7C134">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3.</w:t>
      </w:r>
      <w:r>
        <w:rPr>
          <w:rFonts w:hint="eastAsia" w:ascii="宋体" w:hAnsi="宋体"/>
          <w:color w:val="auto"/>
          <w:highlight w:val="none"/>
        </w:rPr>
        <w:t>澄清与变更</w:t>
      </w:r>
    </w:p>
    <w:p w14:paraId="6AE665DC">
      <w:pPr>
        <w:spacing w:line="360" w:lineRule="auto"/>
        <w:ind w:firstLine="420" w:firstLineChars="200"/>
        <w:rPr>
          <w:rFonts w:ascii="宋体" w:hAnsi="宋体"/>
          <w:color w:val="auto"/>
          <w:highlight w:val="none"/>
        </w:rPr>
      </w:pPr>
      <w:r>
        <w:rPr>
          <w:rFonts w:hint="eastAsia" w:ascii="宋体" w:hAnsi="宋体"/>
          <w:color w:val="auto"/>
          <w:highlight w:val="none"/>
        </w:rPr>
        <w:t>采购人、采购代理机构对已发出的竞争性磋商文件进行的澄清、更正或更改，澄清、更正或更改的内容将作为竞争性磋商文件的组成部分。采购代理机构将通过网站“变更公告”和系统内部“答疑文件”告知供应商，对于各项目中已经成功报名并下载竞争性磋商文件的项目供应商，系统将通过第三方短信群发方式提醒供应商进行查询。各供应商须重新下载最新的竞争性磋商文件和答疑文件，以此编制投标文件。供应商注册时所留手机联系方式要保持畅通，因联系方式变更而未及时更新系统内联系方式的，将会造成收不到短信。此短信仅系友情提示，并不具有任何约束性和必要性，采购代理机构不承担供应商未收到短信而引起的一切后</w:t>
      </w:r>
      <w:r>
        <w:rPr>
          <w:rFonts w:hint="eastAsia" w:ascii="宋体" w:hAnsi="宋体"/>
          <w:color w:val="auto"/>
          <w:highlight w:val="none"/>
          <w:lang w:eastAsia="zh-CN"/>
        </w:rPr>
        <w:t>果</w:t>
      </w:r>
      <w:r>
        <w:rPr>
          <w:rFonts w:hint="eastAsia" w:ascii="宋体" w:hAnsi="宋体"/>
          <w:color w:val="auto"/>
          <w:highlight w:val="none"/>
        </w:rPr>
        <w:t>。</w:t>
      </w:r>
    </w:p>
    <w:p w14:paraId="727A600E">
      <w:pPr>
        <w:numPr>
          <w:ilvl w:val="0"/>
          <w:numId w:val="0"/>
        </w:numPr>
        <w:spacing w:line="360" w:lineRule="auto"/>
        <w:ind w:left="0" w:leftChars="0" w:firstLine="420" w:firstLineChars="200"/>
        <w:rPr>
          <w:rFonts w:ascii="宋体" w:hAnsi="宋体"/>
          <w:color w:val="auto"/>
          <w:highlight w:val="none"/>
        </w:rPr>
      </w:pPr>
      <w:r>
        <w:rPr>
          <w:rFonts w:hint="default" w:ascii="Times New Roman" w:hAnsi="Times New Roman" w:eastAsia="宋体" w:cs="Times New Roman"/>
          <w:color w:val="auto"/>
          <w:kern w:val="2"/>
          <w:sz w:val="21"/>
          <w:szCs w:val="21"/>
          <w:lang w:val="en-US" w:eastAsia="zh-CN" w:bidi="ar-SA"/>
        </w:rPr>
        <w:t>4</w:t>
      </w:r>
      <w:r>
        <w:rPr>
          <w:rFonts w:hint="eastAsia" w:cs="Times New Roman"/>
          <w:color w:val="auto"/>
          <w:kern w:val="2"/>
          <w:sz w:val="21"/>
          <w:szCs w:val="21"/>
          <w:lang w:val="en-US" w:eastAsia="zh-CN" w:bidi="ar-SA"/>
        </w:rPr>
        <w:t>.</w:t>
      </w:r>
      <w:r>
        <w:rPr>
          <w:rFonts w:hint="eastAsia" w:ascii="宋体" w:hAnsi="宋体"/>
          <w:color w:val="auto"/>
          <w:highlight w:val="none"/>
        </w:rPr>
        <w:t>因河南省公共资源交易中心平台在开标前具有保密性，供应商在投标文件递交截止时间前须自行查看项目进展、变更通知、澄清及回复，因供应商未及时查看而造成的后果自负。</w:t>
      </w:r>
    </w:p>
    <w:p w14:paraId="15628C15">
      <w:pPr>
        <w:numPr>
          <w:ilvl w:val="0"/>
          <w:numId w:val="0"/>
        </w:numPr>
        <w:spacing w:line="360" w:lineRule="auto"/>
        <w:ind w:left="0" w:leftChars="0" w:firstLine="422" w:firstLineChars="200"/>
        <w:rPr>
          <w:rFonts w:ascii="宋体" w:hAnsi="宋体"/>
          <w:b/>
          <w:bCs/>
          <w:color w:val="auto"/>
          <w:highlight w:val="none"/>
        </w:rPr>
      </w:pPr>
      <w:r>
        <w:rPr>
          <w:rFonts w:hint="default" w:ascii="Times New Roman" w:hAnsi="Times New Roman" w:eastAsia="宋体" w:cs="Times New Roman"/>
          <w:b/>
          <w:bCs/>
          <w:color w:val="auto"/>
          <w:kern w:val="2"/>
          <w:sz w:val="21"/>
          <w:szCs w:val="21"/>
          <w:lang w:val="en-US" w:eastAsia="zh-CN" w:bidi="ar-SA"/>
        </w:rPr>
        <w:t>5</w:t>
      </w:r>
      <w:r>
        <w:rPr>
          <w:rFonts w:hint="eastAsia" w:cs="Times New Roman"/>
          <w:b/>
          <w:bCs/>
          <w:color w:val="auto"/>
          <w:kern w:val="2"/>
          <w:sz w:val="21"/>
          <w:szCs w:val="21"/>
          <w:lang w:val="en-US" w:eastAsia="zh-CN" w:bidi="ar-SA"/>
        </w:rPr>
        <w:t>.</w:t>
      </w:r>
      <w:r>
        <w:rPr>
          <w:rFonts w:hint="eastAsia" w:ascii="宋体" w:hAnsi="宋体"/>
          <w:b/>
          <w:bCs/>
          <w:color w:val="auto"/>
          <w:highlight w:val="none"/>
        </w:rPr>
        <w:t>根据《河南省发展和改革委员会关于对〈关于认定供应商投标文件制作机器码一致视为串通投标行为的请示〉相关问题的批复》</w:t>
      </w:r>
      <w:r>
        <w:rPr>
          <w:rFonts w:hint="eastAsia" w:ascii="宋体" w:hAnsi="宋体"/>
          <w:b/>
          <w:bCs/>
          <w:color w:val="auto"/>
          <w:highlight w:val="none"/>
          <w:lang w:eastAsia="zh-CN"/>
        </w:rPr>
        <w:t>（</w:t>
      </w:r>
      <w:r>
        <w:rPr>
          <w:rFonts w:hint="eastAsia" w:ascii="宋体" w:hAnsi="宋体"/>
          <w:b/>
          <w:bCs/>
          <w:color w:val="auto"/>
          <w:highlight w:val="none"/>
        </w:rPr>
        <w:t>豫发改公管〔2019〕198号</w:t>
      </w:r>
      <w:r>
        <w:rPr>
          <w:rFonts w:hint="eastAsia" w:ascii="宋体" w:hAnsi="宋体"/>
          <w:b/>
          <w:bCs/>
          <w:color w:val="auto"/>
          <w:highlight w:val="none"/>
          <w:lang w:eastAsia="zh-CN"/>
        </w:rPr>
        <w:t>）</w:t>
      </w:r>
      <w:r>
        <w:rPr>
          <w:rFonts w:hint="eastAsia" w:ascii="宋体" w:hAnsi="宋体"/>
          <w:b/>
          <w:bCs/>
          <w:color w:val="auto"/>
          <w:highlight w:val="none"/>
        </w:rPr>
        <w:t>的文件精神，如出现“投标文件制作机器码一致”的情形，投标文件制作机器码一致的投标文件均作无效标处理。</w:t>
      </w:r>
    </w:p>
    <w:p w14:paraId="294106CD">
      <w:pPr>
        <w:numPr>
          <w:ilvl w:val="0"/>
          <w:numId w:val="0"/>
        </w:numPr>
        <w:spacing w:line="360" w:lineRule="auto"/>
        <w:ind w:left="0" w:leftChars="0" w:firstLine="422" w:firstLineChars="200"/>
        <w:rPr>
          <w:rFonts w:ascii="宋体" w:hAnsi="宋体"/>
          <w:b/>
          <w:bCs/>
          <w:color w:val="auto"/>
          <w:highlight w:val="none"/>
        </w:rPr>
      </w:pPr>
      <w:r>
        <w:rPr>
          <w:rFonts w:hint="default" w:ascii="Times New Roman" w:hAnsi="Times New Roman" w:eastAsia="宋体" w:cs="Times New Roman"/>
          <w:b/>
          <w:bCs/>
          <w:color w:val="auto"/>
          <w:kern w:val="2"/>
          <w:sz w:val="21"/>
          <w:szCs w:val="21"/>
          <w:lang w:val="en-US" w:eastAsia="zh-CN" w:bidi="ar-SA"/>
        </w:rPr>
        <w:t>6</w:t>
      </w:r>
      <w:r>
        <w:rPr>
          <w:rFonts w:hint="eastAsia" w:cs="Times New Roman"/>
          <w:b/>
          <w:bCs/>
          <w:color w:val="auto"/>
          <w:kern w:val="2"/>
          <w:sz w:val="21"/>
          <w:szCs w:val="21"/>
          <w:lang w:val="en-US" w:eastAsia="zh-CN" w:bidi="ar-SA"/>
        </w:rPr>
        <w:t>.</w:t>
      </w:r>
      <w:r>
        <w:rPr>
          <w:rFonts w:hint="eastAsia" w:ascii="宋体" w:hAnsi="宋体"/>
          <w:b/>
          <w:bCs/>
          <w:color w:val="auto"/>
          <w:highlight w:val="none"/>
        </w:rPr>
        <w:t>投标保证金：本项目不收取投标保证金，若交易中心系统内开标一览表确需填写，保证金金额可以填写“0”。</w:t>
      </w:r>
    </w:p>
    <w:p w14:paraId="111D9A18">
      <w:pPr>
        <w:numPr>
          <w:ilvl w:val="0"/>
          <w:numId w:val="0"/>
        </w:numPr>
        <w:spacing w:line="360" w:lineRule="auto"/>
        <w:ind w:left="0" w:leftChars="0" w:firstLine="422" w:firstLineChars="200"/>
        <w:rPr>
          <w:rFonts w:ascii="宋体" w:hAnsi="宋体"/>
          <w:b/>
          <w:bCs/>
          <w:color w:val="auto"/>
          <w:highlight w:val="none"/>
        </w:rPr>
      </w:pPr>
      <w:r>
        <w:rPr>
          <w:rFonts w:hint="default" w:ascii="Times New Roman" w:hAnsi="Times New Roman" w:eastAsia="宋体" w:cs="Times New Roman"/>
          <w:b/>
          <w:bCs/>
          <w:color w:val="auto"/>
          <w:kern w:val="2"/>
          <w:sz w:val="21"/>
          <w:szCs w:val="21"/>
          <w:lang w:val="en-US" w:eastAsia="zh-CN" w:bidi="ar-SA"/>
        </w:rPr>
        <w:t>7</w:t>
      </w:r>
      <w:r>
        <w:rPr>
          <w:rFonts w:hint="eastAsia" w:cs="Times New Roman"/>
          <w:b/>
          <w:bCs/>
          <w:color w:val="auto"/>
          <w:kern w:val="2"/>
          <w:sz w:val="21"/>
          <w:szCs w:val="21"/>
          <w:lang w:val="en-US" w:eastAsia="zh-CN" w:bidi="ar-SA"/>
        </w:rPr>
        <w:t>.</w:t>
      </w:r>
      <w:r>
        <w:rPr>
          <w:rFonts w:hint="eastAsia" w:ascii="宋体" w:hAnsi="宋体"/>
          <w:b/>
          <w:bCs/>
          <w:color w:val="auto"/>
          <w:highlight w:val="none"/>
        </w:rPr>
        <w:t>请参照河南省公共资源交易中心首页</w:t>
      </w:r>
      <w:r>
        <w:rPr>
          <w:rFonts w:hint="eastAsia" w:ascii="宋体" w:hAnsi="宋体"/>
          <w:b/>
          <w:bCs/>
          <w:color w:val="auto"/>
          <w:highlight w:val="none"/>
          <w:lang w:eastAsia="zh-CN"/>
        </w:rPr>
        <w:t>－</w:t>
      </w:r>
      <w:r>
        <w:rPr>
          <w:rFonts w:hint="eastAsia" w:ascii="宋体" w:hAnsi="宋体"/>
          <w:b/>
          <w:bCs/>
          <w:color w:val="auto"/>
          <w:highlight w:val="none"/>
        </w:rPr>
        <w:t>公共服务</w:t>
      </w:r>
      <w:r>
        <w:rPr>
          <w:rFonts w:hint="eastAsia" w:ascii="宋体" w:hAnsi="宋体"/>
          <w:b/>
          <w:bCs/>
          <w:color w:val="auto"/>
          <w:highlight w:val="none"/>
          <w:lang w:eastAsia="zh-CN"/>
        </w:rPr>
        <w:t>－</w:t>
      </w:r>
      <w:r>
        <w:rPr>
          <w:rFonts w:hint="eastAsia" w:ascii="宋体" w:hAnsi="宋体"/>
          <w:b/>
          <w:bCs/>
          <w:color w:val="auto"/>
          <w:highlight w:val="none"/>
        </w:rPr>
        <w:t>办事指南</w:t>
      </w:r>
      <w:r>
        <w:rPr>
          <w:rFonts w:hint="eastAsia" w:ascii="宋体" w:hAnsi="宋体"/>
          <w:b/>
          <w:bCs/>
          <w:color w:val="auto"/>
          <w:highlight w:val="none"/>
          <w:lang w:eastAsia="zh-CN"/>
        </w:rPr>
        <w:t>－</w:t>
      </w:r>
      <w:r>
        <w:rPr>
          <w:rFonts w:hint="eastAsia" w:ascii="宋体" w:hAnsi="宋体"/>
          <w:b/>
          <w:bCs/>
          <w:color w:val="auto"/>
          <w:highlight w:val="none"/>
        </w:rPr>
        <w:t>《河南省公共资源交易平台不见面服务系统使用指南》，本次项目实行远程不见面招标。</w:t>
      </w:r>
    </w:p>
    <w:p w14:paraId="681F4E6B">
      <w:pPr>
        <w:numPr>
          <w:ilvl w:val="0"/>
          <w:numId w:val="0"/>
        </w:numPr>
        <w:spacing w:line="360" w:lineRule="auto"/>
        <w:ind w:left="0" w:leftChars="0" w:firstLine="422" w:firstLineChars="200"/>
        <w:rPr>
          <w:rFonts w:ascii="宋体" w:hAnsi="宋体"/>
          <w:b/>
          <w:bCs/>
          <w:color w:val="auto"/>
          <w:highlight w:val="none"/>
        </w:rPr>
      </w:pPr>
      <w:r>
        <w:rPr>
          <w:rFonts w:hint="default" w:ascii="Times New Roman" w:hAnsi="Times New Roman" w:eastAsia="宋体" w:cs="Times New Roman"/>
          <w:b/>
          <w:bCs/>
          <w:color w:val="auto"/>
          <w:kern w:val="2"/>
          <w:sz w:val="21"/>
          <w:szCs w:val="21"/>
          <w:lang w:val="en-US" w:eastAsia="zh-CN" w:bidi="ar-SA"/>
        </w:rPr>
        <w:t>8</w:t>
      </w:r>
      <w:r>
        <w:rPr>
          <w:rFonts w:hint="eastAsia" w:cs="Times New Roman"/>
          <w:b/>
          <w:bCs/>
          <w:color w:val="auto"/>
          <w:kern w:val="2"/>
          <w:sz w:val="21"/>
          <w:szCs w:val="21"/>
          <w:lang w:val="en-US" w:eastAsia="zh-CN" w:bidi="ar-SA"/>
        </w:rPr>
        <w:t>.</w:t>
      </w:r>
      <w:r>
        <w:rPr>
          <w:rFonts w:hint="eastAsia" w:ascii="宋体" w:hAnsi="宋体"/>
          <w:b/>
          <w:bCs/>
          <w:color w:val="auto"/>
          <w:highlight w:val="none"/>
        </w:rPr>
        <w:t>请持编制投标文件的CA钥匙进行在线远程解密，逾期解密或超时解密将被拒绝。</w:t>
      </w:r>
    </w:p>
    <w:p w14:paraId="68C7AD69">
      <w:pPr>
        <w:numPr>
          <w:ilvl w:val="0"/>
          <w:numId w:val="0"/>
        </w:numPr>
        <w:spacing w:line="360" w:lineRule="auto"/>
        <w:ind w:left="0" w:leftChars="0" w:firstLine="422" w:firstLineChars="200"/>
        <w:rPr>
          <w:rFonts w:ascii="宋体" w:hAnsi="宋体"/>
          <w:b/>
          <w:bCs/>
          <w:color w:val="auto"/>
          <w:highlight w:val="none"/>
        </w:rPr>
      </w:pPr>
      <w:r>
        <w:rPr>
          <w:rFonts w:hint="default" w:ascii="Times New Roman" w:hAnsi="Times New Roman" w:eastAsia="宋体" w:cs="Times New Roman"/>
          <w:b/>
          <w:bCs/>
          <w:color w:val="auto"/>
          <w:kern w:val="2"/>
          <w:sz w:val="21"/>
          <w:szCs w:val="21"/>
          <w:lang w:val="en-US" w:eastAsia="zh-CN" w:bidi="ar-SA"/>
        </w:rPr>
        <w:t>9</w:t>
      </w:r>
      <w:r>
        <w:rPr>
          <w:rFonts w:hint="eastAsia" w:cs="Times New Roman"/>
          <w:b/>
          <w:bCs/>
          <w:color w:val="auto"/>
          <w:kern w:val="2"/>
          <w:sz w:val="21"/>
          <w:szCs w:val="21"/>
          <w:lang w:val="en-US" w:eastAsia="zh-CN" w:bidi="ar-SA"/>
        </w:rPr>
        <w:t>.</w:t>
      </w:r>
      <w:r>
        <w:rPr>
          <w:rFonts w:hint="eastAsia" w:ascii="宋体" w:hAnsi="宋体"/>
          <w:b/>
          <w:bCs/>
          <w:color w:val="auto"/>
          <w:highlight w:val="none"/>
        </w:rPr>
        <w:t>各供应商请注意根据竞争性磋商文件要求，在规定的时间内完成第二轮报价。</w:t>
      </w:r>
    </w:p>
    <w:p w14:paraId="7FA61E4D">
      <w:pPr>
        <w:ind w:firstLine="482"/>
        <w:rPr>
          <w:rFonts w:ascii="宋体" w:hAnsi="宋体"/>
          <w:b/>
          <w:bCs/>
          <w:color w:val="auto"/>
          <w:kern w:val="44"/>
          <w:sz w:val="32"/>
          <w:szCs w:val="32"/>
          <w:highlight w:val="none"/>
        </w:rPr>
      </w:pPr>
      <w:r>
        <w:rPr>
          <w:rFonts w:hint="eastAsia" w:ascii="宋体" w:hAnsi="宋体"/>
          <w:b/>
          <w:bCs/>
          <w:color w:val="auto"/>
          <w:kern w:val="44"/>
          <w:sz w:val="32"/>
          <w:szCs w:val="32"/>
          <w:highlight w:val="none"/>
        </w:rPr>
        <w:br w:type="page"/>
      </w:r>
    </w:p>
    <w:p w14:paraId="1BFC0565">
      <w:pPr>
        <w:pStyle w:val="38"/>
        <w:spacing w:before="0" w:beforeAutospacing="0" w:after="0" w:line="360" w:lineRule="auto"/>
        <w:ind w:left="0" w:firstLine="0"/>
        <w:jc w:val="center"/>
        <w:outlineLvl w:val="0"/>
        <w:rPr>
          <w:rFonts w:ascii="宋体" w:hAnsi="宋体"/>
          <w:b/>
          <w:bCs/>
          <w:color w:val="auto"/>
          <w:kern w:val="44"/>
          <w:sz w:val="32"/>
          <w:szCs w:val="32"/>
          <w:highlight w:val="none"/>
        </w:rPr>
      </w:pPr>
      <w:bookmarkStart w:id="2" w:name="_Toc20327"/>
      <w:bookmarkEnd w:id="2"/>
      <w:bookmarkStart w:id="3" w:name="_Toc2231"/>
      <w:bookmarkStart w:id="4" w:name="_Toc13514"/>
      <w:bookmarkStart w:id="5" w:name="_Toc129073454"/>
      <w:bookmarkStart w:id="6" w:name="_Toc6119"/>
      <w:bookmarkStart w:id="7" w:name="_Toc15610"/>
      <w:r>
        <w:rPr>
          <w:rFonts w:hint="eastAsia" w:ascii="宋体" w:hAnsi="宋体"/>
          <w:b/>
          <w:bCs/>
          <w:color w:val="auto"/>
          <w:kern w:val="44"/>
          <w:sz w:val="32"/>
          <w:szCs w:val="32"/>
          <w:highlight w:val="none"/>
        </w:rPr>
        <w:t>第一章  竞争性磋商公告</w:t>
      </w:r>
      <w:bookmarkEnd w:id="3"/>
      <w:bookmarkEnd w:id="4"/>
      <w:bookmarkEnd w:id="5"/>
      <w:bookmarkEnd w:id="6"/>
      <w:bookmarkEnd w:id="7"/>
    </w:p>
    <w:p w14:paraId="7536CB74">
      <w:pPr>
        <w:spacing w:line="360" w:lineRule="auto"/>
        <w:jc w:val="center"/>
        <w:rPr>
          <w:rFonts w:hint="eastAsia" w:ascii="宋体" w:hAnsi="宋体" w:eastAsia="宋体"/>
          <w:b/>
          <w:bCs/>
          <w:color w:val="auto"/>
          <w:sz w:val="24"/>
          <w:szCs w:val="24"/>
          <w:highlight w:val="none"/>
          <w:lang w:eastAsia="zh-CN"/>
        </w:rPr>
      </w:pPr>
      <w:bookmarkStart w:id="8" w:name="_Toc20071"/>
      <w:bookmarkEnd w:id="8"/>
      <w:r>
        <w:rPr>
          <w:rFonts w:hint="eastAsia" w:ascii="宋体" w:hAnsi="宋体"/>
          <w:b/>
          <w:bCs/>
          <w:color w:val="auto"/>
          <w:sz w:val="24"/>
          <w:szCs w:val="24"/>
          <w:highlight w:val="none"/>
          <w:lang w:eastAsia="zh-CN"/>
        </w:rPr>
        <w:t>河南财经政法大学文化路校区部分楼宇防水项目</w:t>
      </w:r>
    </w:p>
    <w:p w14:paraId="574E43BB">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竞争性磋商公告</w:t>
      </w:r>
    </w:p>
    <w:p w14:paraId="6ECDC656">
      <w:pPr>
        <w:keepNext w:val="0"/>
        <w:keepLines w:val="0"/>
        <w:pageBreakBefore w:val="0"/>
        <w:widowControl w:val="0"/>
        <w:kinsoku/>
        <w:wordWrap/>
        <w:overflowPunct/>
        <w:topLinePunct w:val="0"/>
        <w:autoSpaceDE/>
        <w:autoSpaceDN/>
        <w:bidi w:val="0"/>
        <w:adjustRightInd w:val="0"/>
        <w:snapToGrid w:val="0"/>
        <w:spacing w:line="360" w:lineRule="auto"/>
        <w:ind w:firstLine="361"/>
        <w:jc w:val="left"/>
        <w:textAlignment w:val="auto"/>
        <w:rPr>
          <w:rFonts w:ascii="宋体" w:hAnsi="宋体"/>
          <w:b w:val="0"/>
          <w:bCs w:val="0"/>
          <w:color w:val="auto"/>
          <w:sz w:val="21"/>
          <w:szCs w:val="21"/>
          <w:highlight w:val="none"/>
        </w:rPr>
      </w:pPr>
      <w:bookmarkStart w:id="9" w:name="_Toc28883314"/>
      <w:bookmarkEnd w:id="9"/>
      <w:bookmarkStart w:id="10" w:name="_Toc21785"/>
      <w:r>
        <w:rPr>
          <w:rFonts w:hint="eastAsia" w:ascii="宋体" w:hAnsi="宋体"/>
          <w:b w:val="0"/>
          <w:bCs w:val="0"/>
          <w:color w:val="auto"/>
          <w:sz w:val="21"/>
          <w:szCs w:val="21"/>
          <w:highlight w:val="none"/>
        </w:rPr>
        <w:t>项目概况</w:t>
      </w:r>
      <w:bookmarkEnd w:id="10"/>
    </w:p>
    <w:p w14:paraId="7EE72FD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color w:val="auto"/>
          <w:sz w:val="21"/>
          <w:szCs w:val="21"/>
          <w:highlight w:val="none"/>
        </w:rPr>
      </w:pPr>
      <w:r>
        <w:rPr>
          <w:rFonts w:hint="eastAsia"/>
          <w:color w:val="auto"/>
          <w:sz w:val="21"/>
          <w:szCs w:val="21"/>
          <w:highlight w:val="none"/>
          <w:lang w:eastAsia="zh-CN"/>
        </w:rPr>
        <w:t>河南财经政法大学文化路校区部分楼宇防水项目</w:t>
      </w:r>
      <w:bookmarkStart w:id="2076" w:name="_GoBack"/>
      <w:bookmarkEnd w:id="2076"/>
      <w:r>
        <w:rPr>
          <w:rFonts w:hint="eastAsia"/>
          <w:color w:val="auto"/>
          <w:sz w:val="21"/>
          <w:szCs w:val="21"/>
          <w:highlight w:val="none"/>
        </w:rPr>
        <w:t>招标项目的潜在投标人应在河南省公共资源交易中心网站（http://hnsggzyjy.henan.gov.cn/）获取招标文件，并于202</w:t>
      </w:r>
      <w:r>
        <w:rPr>
          <w:rFonts w:hint="eastAsia"/>
          <w:color w:val="auto"/>
          <w:sz w:val="21"/>
          <w:szCs w:val="21"/>
          <w:highlight w:val="none"/>
          <w:lang w:val="en-US" w:eastAsia="zh-CN"/>
        </w:rPr>
        <w:t>6</w:t>
      </w:r>
      <w:r>
        <w:rPr>
          <w:rFonts w:hint="eastAsia"/>
          <w:color w:val="auto"/>
          <w:sz w:val="21"/>
          <w:szCs w:val="21"/>
          <w:highlight w:val="none"/>
        </w:rPr>
        <w:t>年</w:t>
      </w:r>
      <w:r>
        <w:rPr>
          <w:rFonts w:hint="eastAsia"/>
          <w:color w:val="auto"/>
          <w:sz w:val="21"/>
          <w:szCs w:val="21"/>
          <w:highlight w:val="none"/>
          <w:lang w:val="en-US" w:eastAsia="zh-CN"/>
        </w:rPr>
        <w:t>07</w:t>
      </w:r>
      <w:r>
        <w:rPr>
          <w:rFonts w:hint="eastAsia"/>
          <w:color w:val="auto"/>
          <w:sz w:val="21"/>
          <w:szCs w:val="21"/>
          <w:highlight w:val="none"/>
        </w:rPr>
        <w:t>月</w:t>
      </w:r>
      <w:r>
        <w:rPr>
          <w:rFonts w:hint="eastAsia"/>
          <w:color w:val="auto"/>
          <w:sz w:val="21"/>
          <w:szCs w:val="21"/>
          <w:highlight w:val="none"/>
          <w:lang w:val="en-US" w:eastAsia="zh-CN"/>
        </w:rPr>
        <w:t>20</w:t>
      </w:r>
      <w:r>
        <w:rPr>
          <w:rFonts w:hint="eastAsia"/>
          <w:color w:val="auto"/>
          <w:sz w:val="21"/>
          <w:szCs w:val="21"/>
          <w:highlight w:val="none"/>
        </w:rPr>
        <w:t>日09时00分（北京时间）前递交响应文件。</w:t>
      </w:r>
    </w:p>
    <w:p w14:paraId="1793487A">
      <w:pPr>
        <w:keepNext w:val="0"/>
        <w:keepLines w:val="0"/>
        <w:pageBreakBefore w:val="0"/>
        <w:widowControl w:val="0"/>
        <w:kinsoku/>
        <w:wordWrap/>
        <w:overflowPunct/>
        <w:topLinePunct w:val="0"/>
        <w:autoSpaceDE/>
        <w:autoSpaceDN/>
        <w:bidi w:val="0"/>
        <w:adjustRightInd w:val="0"/>
        <w:snapToGrid w:val="0"/>
        <w:spacing w:line="360" w:lineRule="auto"/>
        <w:ind w:firstLine="361"/>
        <w:jc w:val="left"/>
        <w:textAlignment w:val="auto"/>
        <w:rPr>
          <w:rFonts w:ascii="宋体" w:hAnsi="宋体"/>
          <w:b/>
          <w:bCs/>
          <w:color w:val="auto"/>
          <w:sz w:val="21"/>
          <w:szCs w:val="21"/>
          <w:highlight w:val="none"/>
        </w:rPr>
      </w:pPr>
      <w:r>
        <w:rPr>
          <w:rFonts w:hint="eastAsia" w:ascii="宋体" w:hAnsi="宋体"/>
          <w:b/>
          <w:bCs/>
          <w:color w:val="auto"/>
          <w:sz w:val="21"/>
          <w:szCs w:val="21"/>
          <w:highlight w:val="none"/>
        </w:rPr>
        <w:t>一、项目基本情况</w:t>
      </w:r>
    </w:p>
    <w:p w14:paraId="3DEA98F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1.</w:t>
      </w:r>
      <w:r>
        <w:rPr>
          <w:rFonts w:hint="eastAsia" w:ascii="宋体" w:hAnsi="宋体"/>
          <w:color w:val="auto"/>
          <w:sz w:val="21"/>
          <w:szCs w:val="21"/>
          <w:highlight w:val="none"/>
        </w:rPr>
        <w:t>项目编号：</w:t>
      </w:r>
      <w:r>
        <w:rPr>
          <w:rFonts w:hint="eastAsia" w:ascii="宋体" w:hAnsi="宋体"/>
          <w:color w:val="auto"/>
          <w:sz w:val="21"/>
          <w:szCs w:val="21"/>
          <w:highlight w:val="none"/>
          <w:lang w:eastAsia="zh-CN"/>
        </w:rPr>
        <w:t>豫财磋商采购-202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625</w:t>
      </w:r>
    </w:p>
    <w:p w14:paraId="6534554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eastAsia="zh-CN"/>
        </w:rPr>
        <w:t>2.</w:t>
      </w:r>
      <w:r>
        <w:rPr>
          <w:rFonts w:hint="eastAsia" w:ascii="宋体" w:hAnsi="宋体"/>
          <w:color w:val="auto"/>
          <w:sz w:val="21"/>
          <w:szCs w:val="21"/>
          <w:highlight w:val="none"/>
        </w:rPr>
        <w:t>项目名称：</w:t>
      </w:r>
      <w:r>
        <w:rPr>
          <w:rFonts w:hint="eastAsia" w:ascii="宋体" w:hAnsi="宋体"/>
          <w:color w:val="auto"/>
          <w:sz w:val="21"/>
          <w:szCs w:val="21"/>
          <w:highlight w:val="none"/>
          <w:lang w:eastAsia="zh-CN"/>
        </w:rPr>
        <w:t>河南财经政法大学文化路校区部分楼宇防水项目</w:t>
      </w:r>
    </w:p>
    <w:p w14:paraId="21951B6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lang w:eastAsia="zh-CN"/>
        </w:rPr>
        <w:t>3.</w:t>
      </w:r>
      <w:r>
        <w:rPr>
          <w:rFonts w:hint="eastAsia" w:ascii="宋体" w:hAnsi="宋体"/>
          <w:color w:val="auto"/>
          <w:sz w:val="21"/>
          <w:szCs w:val="21"/>
          <w:highlight w:val="none"/>
        </w:rPr>
        <w:t>采购方式：竞争性磋商</w:t>
      </w:r>
    </w:p>
    <w:p w14:paraId="4BD44C5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lang w:eastAsia="zh-CN"/>
        </w:rPr>
        <w:t>4.</w:t>
      </w:r>
      <w:r>
        <w:rPr>
          <w:rFonts w:hint="eastAsia" w:ascii="宋体" w:hAnsi="宋体"/>
          <w:color w:val="auto"/>
          <w:sz w:val="21"/>
          <w:szCs w:val="21"/>
          <w:highlight w:val="none"/>
        </w:rPr>
        <w:t>预算金额：</w:t>
      </w:r>
      <w:r>
        <w:rPr>
          <w:rFonts w:hint="eastAsia" w:ascii="宋体" w:hAnsi="宋体"/>
          <w:color w:val="auto"/>
          <w:sz w:val="21"/>
          <w:szCs w:val="21"/>
          <w:highlight w:val="none"/>
          <w:lang w:val="en-US" w:eastAsia="zh-CN"/>
        </w:rPr>
        <w:t>1596684.51</w:t>
      </w:r>
      <w:r>
        <w:rPr>
          <w:rFonts w:hint="eastAsia" w:ascii="宋体" w:hAnsi="宋体"/>
          <w:color w:val="auto"/>
          <w:sz w:val="21"/>
          <w:szCs w:val="21"/>
          <w:highlight w:val="none"/>
        </w:rPr>
        <w:t>元；</w:t>
      </w:r>
    </w:p>
    <w:p w14:paraId="00DE758A">
      <w:pPr>
        <w:keepNext w:val="0"/>
        <w:keepLines w:val="0"/>
        <w:pageBreakBefore w:val="0"/>
        <w:widowControl w:val="0"/>
        <w:kinsoku/>
        <w:wordWrap/>
        <w:overflowPunct/>
        <w:topLinePunct w:val="0"/>
        <w:autoSpaceDE/>
        <w:autoSpaceDN/>
        <w:bidi w:val="0"/>
        <w:adjustRightInd w:val="0"/>
        <w:snapToGrid w:val="0"/>
        <w:spacing w:line="360" w:lineRule="auto"/>
        <w:ind w:firstLine="630" w:firstLineChars="300"/>
        <w:jc w:val="left"/>
        <w:textAlignment w:val="auto"/>
        <w:rPr>
          <w:rFonts w:ascii="宋体" w:hAnsi="宋体"/>
          <w:color w:val="auto"/>
          <w:sz w:val="21"/>
          <w:szCs w:val="21"/>
          <w:highlight w:val="none"/>
        </w:rPr>
      </w:pPr>
      <w:r>
        <w:rPr>
          <w:rFonts w:hint="eastAsia" w:ascii="宋体" w:hAnsi="宋体"/>
          <w:color w:val="auto"/>
          <w:sz w:val="21"/>
          <w:szCs w:val="21"/>
          <w:highlight w:val="none"/>
        </w:rPr>
        <w:t>最高限价：</w:t>
      </w:r>
      <w:r>
        <w:rPr>
          <w:rFonts w:hint="eastAsia" w:ascii="宋体" w:hAnsi="宋体"/>
          <w:color w:val="auto"/>
          <w:sz w:val="21"/>
          <w:szCs w:val="21"/>
          <w:highlight w:val="none"/>
          <w:lang w:val="en-US" w:eastAsia="zh-CN"/>
        </w:rPr>
        <w:t>1556490.81</w:t>
      </w:r>
      <w:r>
        <w:rPr>
          <w:rFonts w:hint="eastAsia" w:ascii="宋体" w:hAnsi="宋体"/>
          <w:color w:val="auto"/>
          <w:sz w:val="21"/>
          <w:szCs w:val="21"/>
          <w:highlight w:val="none"/>
        </w:rPr>
        <w:t>元；</w:t>
      </w:r>
    </w:p>
    <w:tbl>
      <w:tblPr>
        <w:tblStyle w:val="46"/>
        <w:tblW w:w="4502"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758"/>
        <w:gridCol w:w="1508"/>
        <w:gridCol w:w="2980"/>
        <w:gridCol w:w="1647"/>
        <w:gridCol w:w="1279"/>
      </w:tblGrid>
      <w:tr w14:paraId="77694F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2" w:hRule="atLeast"/>
          <w:jc w:val="center"/>
        </w:trPr>
        <w:tc>
          <w:tcPr>
            <w:tcW w:w="757" w:type="dxa"/>
            <w:tcBorders>
              <w:top w:val="inset" w:color="auto" w:sz="6" w:space="0"/>
              <w:left w:val="inset" w:color="auto" w:sz="6" w:space="0"/>
              <w:bottom w:val="inset" w:color="auto" w:sz="6" w:space="0"/>
              <w:right w:val="inset" w:color="auto" w:sz="6" w:space="0"/>
            </w:tcBorders>
            <w:vAlign w:val="center"/>
          </w:tcPr>
          <w:p w14:paraId="24082BB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序号</w:t>
            </w:r>
          </w:p>
        </w:tc>
        <w:tc>
          <w:tcPr>
            <w:tcW w:w="1505" w:type="dxa"/>
            <w:tcBorders>
              <w:top w:val="inset" w:color="auto" w:sz="6" w:space="0"/>
              <w:left w:val="nil"/>
              <w:bottom w:val="inset" w:color="auto" w:sz="6" w:space="0"/>
              <w:right w:val="inset" w:color="auto" w:sz="6" w:space="0"/>
            </w:tcBorders>
            <w:vAlign w:val="center"/>
          </w:tcPr>
          <w:p w14:paraId="1CE3B05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包号</w:t>
            </w:r>
          </w:p>
        </w:tc>
        <w:tc>
          <w:tcPr>
            <w:tcW w:w="2975" w:type="dxa"/>
            <w:tcBorders>
              <w:top w:val="inset" w:color="auto" w:sz="6" w:space="0"/>
              <w:left w:val="nil"/>
              <w:bottom w:val="inset" w:color="auto" w:sz="6" w:space="0"/>
              <w:right w:val="inset" w:color="auto" w:sz="6" w:space="0"/>
            </w:tcBorders>
            <w:vAlign w:val="center"/>
          </w:tcPr>
          <w:p w14:paraId="4A9A1BD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包名称</w:t>
            </w:r>
          </w:p>
        </w:tc>
        <w:tc>
          <w:tcPr>
            <w:tcW w:w="1644" w:type="dxa"/>
            <w:tcBorders>
              <w:top w:val="inset" w:color="auto" w:sz="6" w:space="0"/>
              <w:left w:val="nil"/>
              <w:bottom w:val="inset" w:color="auto" w:sz="6" w:space="0"/>
              <w:right w:val="inset" w:color="auto" w:sz="6" w:space="0"/>
            </w:tcBorders>
            <w:vAlign w:val="center"/>
          </w:tcPr>
          <w:p w14:paraId="5D3ECAD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包预算</w:t>
            </w:r>
          </w:p>
          <w:p w14:paraId="6168D02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（元）</w:t>
            </w:r>
          </w:p>
        </w:tc>
        <w:tc>
          <w:tcPr>
            <w:tcW w:w="1277" w:type="dxa"/>
            <w:tcBorders>
              <w:top w:val="inset" w:color="auto" w:sz="6" w:space="0"/>
              <w:left w:val="nil"/>
              <w:bottom w:val="inset" w:color="auto" w:sz="6" w:space="0"/>
              <w:right w:val="inset" w:color="auto" w:sz="6" w:space="0"/>
            </w:tcBorders>
            <w:vAlign w:val="center"/>
          </w:tcPr>
          <w:p w14:paraId="3B00DF3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包最高限价（元）</w:t>
            </w:r>
          </w:p>
        </w:tc>
      </w:tr>
      <w:tr w14:paraId="52F7C88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3" w:hRule="atLeast"/>
          <w:jc w:val="center"/>
        </w:trPr>
        <w:tc>
          <w:tcPr>
            <w:tcW w:w="757" w:type="dxa"/>
            <w:tcBorders>
              <w:top w:val="inset" w:color="auto" w:sz="6" w:space="0"/>
              <w:left w:val="inset" w:color="auto" w:sz="6" w:space="0"/>
              <w:bottom w:val="inset" w:color="auto" w:sz="6" w:space="0"/>
              <w:right w:val="inset" w:color="auto" w:sz="6" w:space="0"/>
            </w:tcBorders>
            <w:vAlign w:val="center"/>
          </w:tcPr>
          <w:p w14:paraId="650DD9E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1</w:t>
            </w:r>
          </w:p>
        </w:tc>
        <w:tc>
          <w:tcPr>
            <w:tcW w:w="1505" w:type="dxa"/>
            <w:tcBorders>
              <w:top w:val="inset" w:color="auto" w:sz="6" w:space="0"/>
              <w:left w:val="nil"/>
              <w:bottom w:val="inset" w:color="auto" w:sz="6" w:space="0"/>
              <w:right w:val="inset" w:color="auto" w:sz="6" w:space="0"/>
            </w:tcBorders>
            <w:vAlign w:val="center"/>
          </w:tcPr>
          <w:p w14:paraId="492042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豫政采(2)20261129-1</w:t>
            </w:r>
          </w:p>
        </w:tc>
        <w:tc>
          <w:tcPr>
            <w:tcW w:w="2975" w:type="dxa"/>
            <w:tcBorders>
              <w:top w:val="inset" w:color="auto" w:sz="6" w:space="0"/>
              <w:left w:val="nil"/>
              <w:bottom w:val="inset" w:color="auto" w:sz="6" w:space="0"/>
              <w:right w:val="inset" w:color="auto" w:sz="6" w:space="0"/>
            </w:tcBorders>
            <w:vAlign w:val="center"/>
          </w:tcPr>
          <w:p w14:paraId="0DD0000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eastAsia="zh-CN"/>
              </w:rPr>
              <w:t>河南财经政法大学文化路校区部分楼宇防水项目</w:t>
            </w:r>
          </w:p>
        </w:tc>
        <w:tc>
          <w:tcPr>
            <w:tcW w:w="1644" w:type="dxa"/>
            <w:tcBorders>
              <w:top w:val="inset" w:color="auto" w:sz="6" w:space="0"/>
              <w:left w:val="nil"/>
              <w:bottom w:val="inset" w:color="auto" w:sz="6" w:space="0"/>
              <w:right w:val="inset" w:color="auto" w:sz="6" w:space="0"/>
            </w:tcBorders>
            <w:vAlign w:val="center"/>
          </w:tcPr>
          <w:p w14:paraId="78B33C4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1596684.51</w:t>
            </w:r>
          </w:p>
        </w:tc>
        <w:tc>
          <w:tcPr>
            <w:tcW w:w="1277" w:type="dxa"/>
            <w:tcBorders>
              <w:top w:val="inset" w:color="auto" w:sz="6" w:space="0"/>
              <w:left w:val="nil"/>
              <w:bottom w:val="inset" w:color="auto" w:sz="6" w:space="0"/>
              <w:right w:val="inset" w:color="auto" w:sz="6" w:space="0"/>
            </w:tcBorders>
            <w:vAlign w:val="center"/>
          </w:tcPr>
          <w:p w14:paraId="5F1C7AD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1556490.81</w:t>
            </w:r>
          </w:p>
        </w:tc>
      </w:tr>
    </w:tbl>
    <w:p w14:paraId="374C85E4">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lang w:eastAsia="zh-CN"/>
        </w:rPr>
        <w:t>5.</w:t>
      </w:r>
      <w:r>
        <w:rPr>
          <w:rFonts w:hint="eastAsia" w:ascii="宋体" w:hAnsi="宋体"/>
          <w:color w:val="auto"/>
          <w:sz w:val="21"/>
          <w:szCs w:val="21"/>
          <w:highlight w:val="none"/>
        </w:rPr>
        <w:t>采购需求（包括但不限于标的名称、数量、简要技术需求或服务要求等）</w:t>
      </w:r>
    </w:p>
    <w:p w14:paraId="363F94C5">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5.1</w:t>
      </w:r>
      <w:r>
        <w:rPr>
          <w:rFonts w:hint="eastAsia" w:ascii="宋体" w:hAnsi="宋体"/>
          <w:color w:val="auto"/>
          <w:sz w:val="21"/>
          <w:szCs w:val="21"/>
          <w:highlight w:val="none"/>
          <w:lang w:eastAsia="zh-CN"/>
        </w:rPr>
        <w:t xml:space="preserve"> </w:t>
      </w:r>
      <w:r>
        <w:rPr>
          <w:rFonts w:hint="eastAsia" w:ascii="宋体" w:hAnsi="宋体"/>
          <w:color w:val="auto"/>
          <w:sz w:val="21"/>
          <w:szCs w:val="21"/>
          <w:highlight w:val="none"/>
        </w:rPr>
        <w:t>采购内容：</w:t>
      </w:r>
      <w:r>
        <w:rPr>
          <w:rFonts w:hint="eastAsia" w:ascii="宋体" w:hAnsi="宋体"/>
          <w:color w:val="auto"/>
          <w:sz w:val="21"/>
          <w:szCs w:val="21"/>
          <w:highlight w:val="none"/>
          <w:lang w:val="en-US" w:eastAsia="zh-CN"/>
        </w:rPr>
        <w:t>河南财经政法大学文北校区办公楼、一餐厅、二餐厅、4号楼附楼、校医院及河南财经政法大学文南校区办公楼、宾馆楼、2号楼、榕园楼屋顶防水拆除及恢复；</w:t>
      </w:r>
    </w:p>
    <w:p w14:paraId="4CFF53BB">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5.2、采购范围：</w:t>
      </w:r>
      <w:r>
        <w:rPr>
          <w:rFonts w:hint="eastAsia" w:ascii="宋体" w:hAnsi="宋体"/>
          <w:color w:val="auto"/>
          <w:sz w:val="21"/>
          <w:szCs w:val="21"/>
          <w:highlight w:val="none"/>
          <w:lang w:val="en-US" w:eastAsia="zh-CN"/>
        </w:rPr>
        <w:t>本项目磋商文件、工程量清单、工程量清单答疑（如有）及补充说明（如有）包含的全部工作内容的施工、竣工验收、保修和相关服务</w:t>
      </w:r>
      <w:r>
        <w:rPr>
          <w:rFonts w:hint="eastAsia" w:ascii="宋体" w:hAnsi="宋体"/>
          <w:color w:val="auto"/>
          <w:sz w:val="21"/>
          <w:szCs w:val="21"/>
          <w:highlight w:val="none"/>
        </w:rPr>
        <w:t>；</w:t>
      </w:r>
    </w:p>
    <w:p w14:paraId="29FD58D7">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5.3、资金来源：财政资金；</w:t>
      </w:r>
    </w:p>
    <w:p w14:paraId="5A88D6F3">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5.4、质量要求：工程质量符合国家现行规范和标准，达到合格工程标准；</w:t>
      </w:r>
    </w:p>
    <w:p w14:paraId="75301E78">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5.5、工期要求：</w:t>
      </w:r>
      <w:r>
        <w:rPr>
          <w:rFonts w:hint="eastAsia" w:ascii="宋体" w:hAnsi="宋体"/>
          <w:color w:val="auto"/>
          <w:sz w:val="21"/>
          <w:szCs w:val="21"/>
          <w:highlight w:val="none"/>
          <w:lang w:val="en-US" w:eastAsia="zh-CN"/>
        </w:rPr>
        <w:t>30日历天</w:t>
      </w:r>
      <w:r>
        <w:rPr>
          <w:rFonts w:hint="eastAsia" w:ascii="宋体" w:hAnsi="宋体"/>
          <w:color w:val="auto"/>
          <w:sz w:val="21"/>
          <w:szCs w:val="21"/>
          <w:highlight w:val="none"/>
        </w:rPr>
        <w:t>；</w:t>
      </w:r>
    </w:p>
    <w:p w14:paraId="637F030E">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5.6、建设地点：河南财经政法大学文化路校区（郑州市金水区文化路80号、90号）</w:t>
      </w:r>
      <w:r>
        <w:rPr>
          <w:rFonts w:hint="eastAsia" w:ascii="宋体" w:hAnsi="宋体"/>
          <w:color w:val="auto"/>
          <w:sz w:val="21"/>
          <w:szCs w:val="21"/>
          <w:highlight w:val="none"/>
          <w:lang w:eastAsia="zh-CN"/>
        </w:rPr>
        <w:t>；</w:t>
      </w:r>
    </w:p>
    <w:p w14:paraId="633099F9">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5.7、缺陷责任期：2年；</w:t>
      </w:r>
    </w:p>
    <w:p w14:paraId="300F04D5">
      <w:pPr>
        <w:pStyle w:val="17"/>
        <w:keepNext w:val="0"/>
        <w:keepLines w:val="0"/>
        <w:pageBreakBefore w:val="0"/>
        <w:widowControl w:val="0"/>
        <w:kinsoku/>
        <w:wordWrap/>
        <w:overflowPunct/>
        <w:autoSpaceDE/>
        <w:autoSpaceDN/>
        <w:bidi w:val="0"/>
        <w:adjustRightInd w:val="0"/>
        <w:snapToGrid w:val="0"/>
        <w:spacing w:line="360" w:lineRule="auto"/>
        <w:ind w:firstLine="420" w:firstLineChars="200"/>
        <w:textAlignment w:val="auto"/>
        <w:rPr>
          <w:rFonts w:hint="default" w:ascii="宋体" w:hAnsi="宋体" w:eastAsia="宋体"/>
          <w:color w:val="auto"/>
          <w:kern w:val="2"/>
          <w:sz w:val="21"/>
          <w:szCs w:val="21"/>
          <w:highlight w:val="none"/>
          <w:lang w:val="en-US" w:eastAsia="zh-CN"/>
        </w:rPr>
      </w:pPr>
      <w:r>
        <w:rPr>
          <w:rFonts w:hint="eastAsia" w:ascii="宋体" w:hAnsi="宋体"/>
          <w:color w:val="auto"/>
          <w:kern w:val="2"/>
          <w:sz w:val="21"/>
          <w:szCs w:val="21"/>
          <w:highlight w:val="none"/>
          <w:lang w:val="en-US" w:eastAsia="zh-CN"/>
        </w:rPr>
        <w:t>5.8、保修期：5年；</w:t>
      </w:r>
    </w:p>
    <w:p w14:paraId="63F33B44">
      <w:pPr>
        <w:pStyle w:val="17"/>
        <w:keepNext w:val="0"/>
        <w:keepLines w:val="0"/>
        <w:pageBreakBefore w:val="0"/>
        <w:widowControl w:val="0"/>
        <w:kinsoku/>
        <w:wordWrap/>
        <w:overflowPunct/>
        <w:autoSpaceDE/>
        <w:autoSpaceDN/>
        <w:bidi w:val="0"/>
        <w:adjustRightInd w:val="0"/>
        <w:snapToGri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kern w:val="2"/>
          <w:sz w:val="21"/>
          <w:szCs w:val="21"/>
          <w:highlight w:val="none"/>
        </w:rPr>
        <w:t>5.</w:t>
      </w:r>
      <w:r>
        <w:rPr>
          <w:rFonts w:hint="eastAsia" w:ascii="宋体" w:hAnsi="宋体"/>
          <w:color w:val="auto"/>
          <w:kern w:val="2"/>
          <w:sz w:val="21"/>
          <w:szCs w:val="21"/>
          <w:highlight w:val="none"/>
          <w:lang w:val="en-US" w:eastAsia="zh-CN"/>
        </w:rPr>
        <w:t>9</w:t>
      </w:r>
      <w:r>
        <w:rPr>
          <w:rFonts w:hint="eastAsia" w:ascii="宋体" w:hAnsi="宋体"/>
          <w:color w:val="auto"/>
          <w:kern w:val="2"/>
          <w:sz w:val="21"/>
          <w:szCs w:val="21"/>
          <w:highlight w:val="none"/>
        </w:rPr>
        <w:t>、标段划分：本项目共划分1个标段。</w:t>
      </w:r>
    </w:p>
    <w:p w14:paraId="7691F041">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lang w:eastAsia="zh-CN"/>
        </w:rPr>
        <w:t>6.</w:t>
      </w:r>
      <w:r>
        <w:rPr>
          <w:rFonts w:hint="eastAsia" w:ascii="宋体" w:hAnsi="宋体"/>
          <w:color w:val="auto"/>
          <w:sz w:val="21"/>
          <w:szCs w:val="21"/>
          <w:highlight w:val="none"/>
        </w:rPr>
        <w:t>合同履行期限：</w:t>
      </w:r>
      <w:r>
        <w:rPr>
          <w:rFonts w:hint="eastAsia" w:ascii="宋体" w:hAnsi="宋体"/>
          <w:color w:val="auto"/>
          <w:sz w:val="21"/>
          <w:szCs w:val="21"/>
          <w:highlight w:val="none"/>
          <w:lang w:eastAsia="zh-CN"/>
        </w:rPr>
        <w:t>合同签订之日至</w:t>
      </w:r>
      <w:r>
        <w:rPr>
          <w:rFonts w:hint="eastAsia" w:ascii="宋体" w:hAnsi="宋体"/>
          <w:color w:val="auto"/>
          <w:sz w:val="21"/>
          <w:szCs w:val="21"/>
          <w:highlight w:val="none"/>
          <w:lang w:val="en-US" w:eastAsia="zh-CN"/>
        </w:rPr>
        <w:t>保修期</w:t>
      </w:r>
      <w:r>
        <w:rPr>
          <w:rFonts w:hint="eastAsia" w:ascii="宋体" w:hAnsi="宋体"/>
          <w:color w:val="auto"/>
          <w:sz w:val="21"/>
          <w:szCs w:val="21"/>
          <w:highlight w:val="none"/>
          <w:lang w:eastAsia="zh-CN"/>
        </w:rPr>
        <w:t>结束</w:t>
      </w:r>
      <w:r>
        <w:rPr>
          <w:rFonts w:hint="eastAsia" w:ascii="宋体" w:hAnsi="宋体"/>
          <w:color w:val="auto"/>
          <w:sz w:val="21"/>
          <w:szCs w:val="21"/>
          <w:highlight w:val="none"/>
        </w:rPr>
        <w:t>；</w:t>
      </w:r>
    </w:p>
    <w:p w14:paraId="282E0D17">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lang w:eastAsia="zh-CN"/>
        </w:rPr>
        <w:t>7.</w:t>
      </w:r>
      <w:r>
        <w:rPr>
          <w:rFonts w:hint="eastAsia" w:ascii="宋体" w:hAnsi="宋体"/>
          <w:color w:val="auto"/>
          <w:sz w:val="21"/>
          <w:szCs w:val="21"/>
          <w:highlight w:val="none"/>
        </w:rPr>
        <w:t>本项目是否接受联合体投标：否；</w:t>
      </w:r>
    </w:p>
    <w:p w14:paraId="2A3695DC">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lang w:eastAsia="zh-CN"/>
        </w:rPr>
        <w:t>8.</w:t>
      </w:r>
      <w:r>
        <w:rPr>
          <w:rFonts w:hint="eastAsia" w:ascii="宋体" w:hAnsi="宋体"/>
          <w:color w:val="auto"/>
          <w:sz w:val="21"/>
          <w:szCs w:val="21"/>
          <w:highlight w:val="none"/>
        </w:rPr>
        <w:t>是否接受进口产品：否；</w:t>
      </w:r>
    </w:p>
    <w:p w14:paraId="33C42BEC">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lang w:eastAsia="zh-CN"/>
        </w:rPr>
        <w:t>9.</w:t>
      </w:r>
      <w:r>
        <w:rPr>
          <w:rFonts w:hint="eastAsia" w:ascii="宋体" w:hAnsi="宋体"/>
          <w:color w:val="auto"/>
          <w:sz w:val="21"/>
          <w:szCs w:val="21"/>
          <w:highlight w:val="none"/>
        </w:rPr>
        <w:t>是否专门面向中小企业：</w:t>
      </w:r>
      <w:r>
        <w:rPr>
          <w:rFonts w:hint="eastAsia" w:ascii="宋体" w:hAnsi="宋体"/>
          <w:color w:val="auto"/>
          <w:sz w:val="21"/>
          <w:szCs w:val="21"/>
          <w:highlight w:val="none"/>
          <w:lang w:val="en-US" w:eastAsia="zh-CN"/>
        </w:rPr>
        <w:t>否</w:t>
      </w:r>
      <w:r>
        <w:rPr>
          <w:rFonts w:hint="eastAsia" w:ascii="宋体" w:hAnsi="宋体"/>
          <w:color w:val="auto"/>
          <w:sz w:val="21"/>
          <w:szCs w:val="21"/>
          <w:highlight w:val="none"/>
        </w:rPr>
        <w:t>。</w:t>
      </w:r>
    </w:p>
    <w:p w14:paraId="2E944F28">
      <w:pPr>
        <w:keepNext w:val="0"/>
        <w:keepLines w:val="0"/>
        <w:pageBreakBefore w:val="0"/>
        <w:widowControl w:val="0"/>
        <w:kinsoku/>
        <w:wordWrap/>
        <w:overflowPunct/>
        <w:autoSpaceDE/>
        <w:autoSpaceDN/>
        <w:bidi w:val="0"/>
        <w:adjustRightInd w:val="0"/>
        <w:snapToGrid w:val="0"/>
        <w:spacing w:line="360" w:lineRule="auto"/>
        <w:ind w:firstLine="361"/>
        <w:jc w:val="left"/>
        <w:textAlignment w:val="auto"/>
        <w:rPr>
          <w:rFonts w:ascii="宋体" w:hAnsi="宋体"/>
          <w:b/>
          <w:bCs/>
          <w:color w:val="auto"/>
          <w:sz w:val="21"/>
          <w:szCs w:val="21"/>
          <w:highlight w:val="none"/>
        </w:rPr>
      </w:pPr>
      <w:r>
        <w:rPr>
          <w:rFonts w:hint="eastAsia" w:ascii="宋体" w:hAnsi="宋体"/>
          <w:b/>
          <w:bCs/>
          <w:color w:val="auto"/>
          <w:sz w:val="21"/>
          <w:szCs w:val="21"/>
          <w:highlight w:val="none"/>
        </w:rPr>
        <w:t>二、申请人资格要求</w:t>
      </w:r>
    </w:p>
    <w:p w14:paraId="321D7DB9">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hint="eastAsia" w:ascii="宋体" w:hAnsi="宋体"/>
          <w:color w:val="auto"/>
          <w:sz w:val="21"/>
          <w:szCs w:val="21"/>
          <w:highlight w:val="none"/>
        </w:rPr>
      </w:pPr>
      <w:bookmarkStart w:id="11" w:name="_Toc11610"/>
      <w:bookmarkEnd w:id="11"/>
      <w:bookmarkStart w:id="12" w:name="_Toc19929"/>
      <w:bookmarkEnd w:id="12"/>
      <w:bookmarkStart w:id="13" w:name="_Toc30140"/>
      <w:r>
        <w:rPr>
          <w:rFonts w:hint="eastAsia" w:ascii="宋体" w:hAnsi="宋体"/>
          <w:color w:val="auto"/>
          <w:sz w:val="21"/>
          <w:szCs w:val="21"/>
          <w:highlight w:val="none"/>
        </w:rPr>
        <w:t>1.满足《中华人民共和国政府采购法》第二十二条规定；</w:t>
      </w:r>
    </w:p>
    <w:p w14:paraId="20DC8618">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hint="default" w:ascii="宋体" w:hAnsi="宋体"/>
          <w:b w:val="0"/>
          <w:bCs w:val="0"/>
          <w:strike w:val="0"/>
          <w:dstrike w:val="0"/>
          <w:color w:val="auto"/>
          <w:sz w:val="21"/>
          <w:szCs w:val="21"/>
          <w:highlight w:val="none"/>
          <w:lang w:val="en-US"/>
        </w:rPr>
      </w:pPr>
      <w:r>
        <w:rPr>
          <w:rFonts w:hint="eastAsia" w:ascii="宋体" w:hAnsi="宋体"/>
          <w:strike w:val="0"/>
          <w:dstrike w:val="0"/>
          <w:color w:val="auto"/>
          <w:sz w:val="21"/>
          <w:szCs w:val="21"/>
          <w:highlight w:val="none"/>
          <w:lang w:val="en-GB"/>
        </w:rPr>
        <w:t>2</w:t>
      </w:r>
      <w:r>
        <w:rPr>
          <w:rFonts w:hint="eastAsia" w:ascii="宋体" w:hAnsi="宋体"/>
          <w:strike w:val="0"/>
          <w:dstrike w:val="0"/>
          <w:color w:val="auto"/>
          <w:sz w:val="21"/>
          <w:szCs w:val="21"/>
          <w:highlight w:val="none"/>
        </w:rPr>
        <w:t>.</w:t>
      </w:r>
      <w:r>
        <w:rPr>
          <w:rFonts w:hint="eastAsia" w:ascii="宋体" w:hAnsi="宋体"/>
          <w:strike w:val="0"/>
          <w:dstrike w:val="0"/>
          <w:color w:val="auto"/>
          <w:sz w:val="21"/>
          <w:szCs w:val="21"/>
          <w:highlight w:val="none"/>
          <w:lang w:val="en-GB"/>
        </w:rPr>
        <w:t>落实政府采购政策满足的资格要求</w:t>
      </w:r>
      <w:r>
        <w:rPr>
          <w:rFonts w:hint="eastAsia" w:ascii="宋体" w:hAnsi="宋体"/>
          <w:strike w:val="0"/>
          <w:dstrike w:val="0"/>
          <w:color w:val="auto"/>
          <w:sz w:val="21"/>
          <w:szCs w:val="21"/>
          <w:highlight w:val="none"/>
          <w:lang w:val="en-GB" w:eastAsia="zh-CN"/>
        </w:rPr>
        <w:t>：</w:t>
      </w:r>
      <w:r>
        <w:rPr>
          <w:rFonts w:hint="eastAsia" w:ascii="宋体" w:hAnsi="宋体"/>
          <w:strike w:val="0"/>
          <w:dstrike w:val="0"/>
          <w:color w:val="auto"/>
          <w:sz w:val="21"/>
          <w:szCs w:val="21"/>
          <w:highlight w:val="none"/>
          <w:lang w:val="en-US" w:eastAsia="zh-CN"/>
        </w:rPr>
        <w:t>无</w:t>
      </w:r>
    </w:p>
    <w:p w14:paraId="44AB57ED">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3.本项目的特定资格要求：</w:t>
      </w:r>
    </w:p>
    <w:bookmarkEnd w:id="13"/>
    <w:p w14:paraId="49F1DAB4">
      <w:pPr>
        <w:keepNext w:val="0"/>
        <w:keepLines w:val="0"/>
        <w:pageBreakBefore w:val="0"/>
        <w:widowControl w:val="0"/>
        <w:kinsoku/>
        <w:wordWrap/>
        <w:overflow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3.1</w:t>
      </w:r>
      <w:r>
        <w:rPr>
          <w:rFonts w:hint="eastAsia" w:ascii="宋体" w:hAnsi="宋体"/>
          <w:color w:val="auto"/>
          <w:sz w:val="21"/>
          <w:szCs w:val="21"/>
          <w:highlight w:val="none"/>
        </w:rPr>
        <w:t xml:space="preserve"> 资质要求：供应商须具有建设行政主管部门核发的</w:t>
      </w:r>
      <w:r>
        <w:rPr>
          <w:rFonts w:hint="eastAsia" w:ascii="宋体" w:hAnsi="宋体"/>
          <w:b w:val="0"/>
          <w:bCs w:val="0"/>
          <w:color w:val="auto"/>
          <w:sz w:val="21"/>
          <w:szCs w:val="21"/>
          <w:highlight w:val="none"/>
          <w:lang w:eastAsia="zh-CN"/>
        </w:rPr>
        <w:t>防水防腐保温工程专业承包二级及以上资质，具备有效的安全生产许可证</w:t>
      </w:r>
      <w:r>
        <w:rPr>
          <w:rFonts w:hint="eastAsia" w:ascii="宋体" w:hAnsi="宋体"/>
          <w:b w:val="0"/>
          <w:bCs w:val="0"/>
          <w:color w:val="auto"/>
          <w:sz w:val="21"/>
          <w:szCs w:val="21"/>
          <w:highlight w:val="none"/>
        </w:rPr>
        <w:t>，并在人员、设备、资金</w:t>
      </w:r>
      <w:r>
        <w:rPr>
          <w:rFonts w:hint="eastAsia" w:ascii="宋体" w:hAnsi="宋体"/>
          <w:color w:val="auto"/>
          <w:sz w:val="21"/>
          <w:szCs w:val="21"/>
          <w:highlight w:val="none"/>
        </w:rPr>
        <w:t>等方面具备相应的施工能力；</w:t>
      </w:r>
    </w:p>
    <w:p w14:paraId="09B461F7">
      <w:pPr>
        <w:keepNext w:val="0"/>
        <w:keepLines w:val="0"/>
        <w:pageBreakBefore w:val="0"/>
        <w:widowControl w:val="0"/>
        <w:kinsoku/>
        <w:wordWrap/>
        <w:overflow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3.2</w:t>
      </w:r>
      <w:r>
        <w:rPr>
          <w:rFonts w:hint="eastAsia" w:ascii="宋体" w:hAnsi="宋体"/>
          <w:color w:val="auto"/>
          <w:sz w:val="21"/>
          <w:szCs w:val="21"/>
          <w:highlight w:val="none"/>
        </w:rPr>
        <w:t xml:space="preserve"> 拟派项目经理资格要求：须具有建筑工程专业二级及以上注册建造师资格和有效的安全生产考核合格证，须提供202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年1月以来供应商为其缴纳的任意</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个月养老保险证明，且未在其他在建施工项目担任项目经理（自行承诺）；</w:t>
      </w:r>
    </w:p>
    <w:p w14:paraId="41C49112">
      <w:pPr>
        <w:keepNext w:val="0"/>
        <w:keepLines w:val="0"/>
        <w:pageBreakBefore w:val="0"/>
        <w:widowControl w:val="0"/>
        <w:kinsoku/>
        <w:wordWrap/>
        <w:overflow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根据《关于在政府采购活动中查询及使用信用记录有关问题的通知》（财库〔2016〕125号）的规定，对列入失信被执行人、重大税收违法失信主体、政府采购严重违法失信行为记录名单及列入严重违法失信名单（黑名单）的供应商，拒绝参与本项目政府采购活动；采购人或采购代理机构将在资格审查环节通过以下渠道对各供应商信用记录进行查询，信用信息查询记录及相关证据与其他采购文件一并保存：</w:t>
      </w:r>
    </w:p>
    <w:p w14:paraId="7CE2FFE0">
      <w:pPr>
        <w:keepNext w:val="0"/>
        <w:keepLines w:val="0"/>
        <w:pageBreakBefore w:val="0"/>
        <w:widowControl w:val="0"/>
        <w:kinsoku/>
        <w:wordWrap/>
        <w:overflow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失信被执行人查询渠道：“信用中国”网站跳转至“中国执行信息公开网”网站；</w:t>
      </w:r>
    </w:p>
    <w:p w14:paraId="43661275">
      <w:pPr>
        <w:keepNext w:val="0"/>
        <w:keepLines w:val="0"/>
        <w:pageBreakBefore w:val="0"/>
        <w:widowControl w:val="0"/>
        <w:kinsoku/>
        <w:wordWrap/>
        <w:overflow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重大税收违法失信主体查询渠道：“信用中国”网站；</w:t>
      </w:r>
    </w:p>
    <w:p w14:paraId="01F6C634">
      <w:pPr>
        <w:keepNext w:val="0"/>
        <w:keepLines w:val="0"/>
        <w:pageBreakBefore w:val="0"/>
        <w:widowControl w:val="0"/>
        <w:kinsoku/>
        <w:wordWrap/>
        <w:overflow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政府采购严重违法失信行为查询渠道：“中国政府采购网”网站；</w:t>
      </w:r>
    </w:p>
    <w:p w14:paraId="3E294E50">
      <w:pPr>
        <w:keepNext w:val="0"/>
        <w:keepLines w:val="0"/>
        <w:pageBreakBefore w:val="0"/>
        <w:widowControl w:val="0"/>
        <w:kinsoku/>
        <w:wordWrap/>
        <w:overflowPunct/>
        <w:autoSpaceDE/>
        <w:autoSpaceDN/>
        <w:bidi w:val="0"/>
        <w:adjustRightInd w:val="0"/>
        <w:snapToGrid w:val="0"/>
        <w:spacing w:line="360" w:lineRule="auto"/>
        <w:ind w:left="0" w:leftChars="0" w:firstLine="420" w:firstLineChars="20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严重违法失信名单（黑名单）查询渠道</w:t>
      </w:r>
      <w:r>
        <w:rPr>
          <w:rFonts w:hint="eastAsia" w:ascii="宋体" w:hAnsi="宋体"/>
          <w:color w:val="auto"/>
          <w:sz w:val="21"/>
          <w:szCs w:val="21"/>
          <w:highlight w:val="none"/>
          <w:lang w:eastAsia="zh-CN"/>
        </w:rPr>
        <w:t>：“</w:t>
      </w:r>
      <w:r>
        <w:rPr>
          <w:rFonts w:hint="eastAsia" w:ascii="宋体" w:hAnsi="宋体"/>
          <w:color w:val="auto"/>
          <w:sz w:val="21"/>
          <w:szCs w:val="21"/>
          <w:highlight w:val="none"/>
        </w:rPr>
        <w:t>国家企业信用信息公示系统”网站</w:t>
      </w:r>
      <w:r>
        <w:rPr>
          <w:rFonts w:hint="eastAsia" w:ascii="宋体" w:hAnsi="宋体"/>
          <w:color w:val="auto"/>
          <w:sz w:val="21"/>
          <w:szCs w:val="21"/>
          <w:highlight w:val="none"/>
          <w:lang w:eastAsia="zh-CN"/>
        </w:rPr>
        <w:t>；</w:t>
      </w:r>
    </w:p>
    <w:p w14:paraId="271B2079">
      <w:pPr>
        <w:keepNext w:val="0"/>
        <w:keepLines w:val="0"/>
        <w:pageBreakBefore w:val="0"/>
        <w:widowControl w:val="0"/>
        <w:kinsoku/>
        <w:wordWrap/>
        <w:overflowPunct/>
        <w:topLine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4供应商未处于被责令停产、停业、投标资格被取消或者财产被接管、冻结和破产状态；2023年1月1日以来供应商未发生骗取中标或者严重违约以及重大工程质量、安全生产事故等问题（自行承诺）；</w:t>
      </w:r>
    </w:p>
    <w:p w14:paraId="54E2EA8D">
      <w:pPr>
        <w:keepNext w:val="0"/>
        <w:keepLines w:val="0"/>
        <w:pageBreakBefore w:val="0"/>
        <w:widowControl w:val="0"/>
        <w:kinsoku/>
        <w:wordWrap/>
        <w:overflowPunct/>
        <w:topLine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3.5单位负责人为同一人或者存在直接控股、管理关系的不同供应商，不得参加同一合同项下的政府采购活动（自行承诺）；</w:t>
      </w:r>
    </w:p>
    <w:p w14:paraId="7B223148">
      <w:pPr>
        <w:keepNext w:val="0"/>
        <w:keepLines w:val="0"/>
        <w:pageBreakBefore w:val="0"/>
        <w:widowControl w:val="0"/>
        <w:kinsoku/>
        <w:wordWrap/>
        <w:overflowPunct/>
        <w:topLine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3.6为采购项目提供整体设计、规范编制或者项目管理、监理、检测等服务的供应商，不得再参加该次采购项目的其他采购活动（自行承诺）；</w:t>
      </w:r>
    </w:p>
    <w:p w14:paraId="253CD670">
      <w:pPr>
        <w:keepNext w:val="0"/>
        <w:keepLines w:val="0"/>
        <w:pageBreakBefore w:val="0"/>
        <w:widowControl w:val="0"/>
        <w:kinsoku/>
        <w:wordWrap/>
        <w:overflowPunct/>
        <w:autoSpaceDE/>
        <w:autoSpaceDN/>
        <w:bidi w:val="0"/>
        <w:adjustRightInd w:val="0"/>
        <w:snapToGrid w:val="0"/>
        <w:spacing w:line="360" w:lineRule="auto"/>
        <w:ind w:left="0" w:leftChars="0"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3.7根据《河南省住房和城乡建设厅关于进一步规范建设工程企业资质管理的通知》（豫建行规〔2024〕7 号）规定，被全国和河南省建筑市场监管公共服务平台标注为资质异常的，不能使用标注异常资质承揽本工程（响应文件中须提供全国和河南省建筑市场监管公共服务平台查询截图）。</w:t>
      </w:r>
    </w:p>
    <w:p w14:paraId="0E41D956">
      <w:pPr>
        <w:keepNext w:val="0"/>
        <w:keepLines w:val="0"/>
        <w:pageBreakBefore w:val="0"/>
        <w:widowControl w:val="0"/>
        <w:kinsoku/>
        <w:wordWrap/>
        <w:overflowPunct/>
        <w:topLinePunct/>
        <w:autoSpaceDE/>
        <w:autoSpaceDN/>
        <w:bidi w:val="0"/>
        <w:adjustRightInd w:val="0"/>
        <w:snapToGrid w:val="0"/>
        <w:spacing w:line="360" w:lineRule="auto"/>
        <w:ind w:left="0" w:leftChars="0" w:firstLine="420" w:firstLineChars="200"/>
        <w:jc w:val="left"/>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3.8</w:t>
      </w:r>
      <w:r>
        <w:rPr>
          <w:rFonts w:hint="eastAsia"/>
          <w:color w:val="auto"/>
          <w:sz w:val="21"/>
          <w:szCs w:val="21"/>
          <w:highlight w:val="none"/>
          <w:lang w:val="en-US" w:eastAsia="zh-CN"/>
        </w:rPr>
        <w:t>被列入全国和河南省建筑市场监管公共服务平台黑名单且在管理期限内的供应商不得承揽本工程（响应文件中须提供全国和河南省建筑市场监管公共服务平台查询截图）。</w:t>
      </w:r>
    </w:p>
    <w:p w14:paraId="6BDF654A">
      <w:pPr>
        <w:keepNext w:val="0"/>
        <w:keepLines w:val="0"/>
        <w:pageBreakBefore w:val="0"/>
        <w:widowControl w:val="0"/>
        <w:kinsoku/>
        <w:wordWrap/>
        <w:overflowPunct/>
        <w:autoSpaceDE/>
        <w:autoSpaceDN/>
        <w:bidi w:val="0"/>
        <w:adjustRightInd w:val="0"/>
        <w:snapToGrid w:val="0"/>
        <w:spacing w:line="360" w:lineRule="auto"/>
        <w:ind w:left="0" w:leftChars="0" w:firstLine="422" w:firstLineChars="200"/>
        <w:jc w:val="left"/>
        <w:textAlignment w:val="auto"/>
        <w:rPr>
          <w:rStyle w:val="97"/>
          <w:rFonts w:ascii="宋体" w:hAnsi="宋体" w:eastAsia="宋体"/>
          <w:color w:val="auto"/>
          <w:sz w:val="21"/>
          <w:szCs w:val="21"/>
          <w:highlight w:val="none"/>
        </w:rPr>
      </w:pPr>
      <w:r>
        <w:rPr>
          <w:rStyle w:val="97"/>
          <w:rFonts w:hint="eastAsia" w:ascii="宋体" w:hAnsi="宋体" w:eastAsia="宋体"/>
          <w:color w:val="auto"/>
          <w:sz w:val="21"/>
          <w:szCs w:val="21"/>
          <w:highlight w:val="none"/>
        </w:rPr>
        <w:t>三、获</w:t>
      </w:r>
      <w:r>
        <w:rPr>
          <w:rStyle w:val="97"/>
          <w:rFonts w:hint="eastAsia" w:ascii="宋体" w:hAnsi="宋体" w:eastAsia="宋体" w:cs="宋体"/>
          <w:color w:val="auto"/>
          <w:sz w:val="21"/>
          <w:szCs w:val="21"/>
          <w:highlight w:val="none"/>
        </w:rPr>
        <w:t>取采购文件</w:t>
      </w:r>
    </w:p>
    <w:p w14:paraId="6782B61B">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rPr>
        <w:t>时间：202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07</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日至202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07</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16</w:t>
      </w:r>
      <w:r>
        <w:rPr>
          <w:rFonts w:hint="eastAsia" w:ascii="宋体" w:hAnsi="宋体"/>
          <w:color w:val="auto"/>
          <w:sz w:val="21"/>
          <w:szCs w:val="21"/>
          <w:highlight w:val="none"/>
        </w:rPr>
        <w:t>日，每天上午00:00至12:00，下午12:00至23:59（北京时间，法定节假日除外）</w:t>
      </w:r>
    </w:p>
    <w:p w14:paraId="4324E8F6">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rPr>
        <w:t>地点：河南省公共资源交易中心网站</w:t>
      </w:r>
      <w:r>
        <w:rPr>
          <w:rFonts w:hint="eastAsia" w:ascii="宋体" w:hAnsi="宋体"/>
          <w:bCs/>
          <w:color w:val="auto"/>
          <w:sz w:val="21"/>
          <w:szCs w:val="21"/>
          <w:highlight w:val="none"/>
        </w:rPr>
        <w:t>（http://hnsggzyjy.henan.gov.cn/）</w:t>
      </w:r>
    </w:p>
    <w:p w14:paraId="28900788">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rPr>
        <w:t>方式：登录“河南省公共资源交易中心（</w:t>
      </w:r>
      <w:r>
        <w:rPr>
          <w:rFonts w:hint="eastAsia" w:ascii="宋体" w:hAnsi="宋体"/>
          <w:bCs/>
          <w:color w:val="auto"/>
          <w:sz w:val="21"/>
          <w:szCs w:val="21"/>
          <w:highlight w:val="none"/>
        </w:rPr>
        <w:t>http://hnsggzyjy.henan.gov.cn/</w:t>
      </w:r>
      <w:r>
        <w:rPr>
          <w:rFonts w:hint="eastAsia" w:ascii="宋体" w:hAnsi="宋体"/>
          <w:color w:val="auto"/>
          <w:sz w:val="21"/>
          <w:szCs w:val="21"/>
          <w:highlight w:val="none"/>
        </w:rPr>
        <w:t>）”，凭企业身份认证锁（CA 密钥）下载磋商文件。市场主体需要完成信息登记及 CA 数字证书办理，才能通过河南省公共资源交易平台参与交易活动，具体办理事宜请查阅河南省公共资源交易中心网站“办事指南”专区的《河南省公共资源交易中心新交易平台操作手册》。</w:t>
      </w:r>
    </w:p>
    <w:p w14:paraId="3246CD76">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4</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rPr>
        <w:t>售价：0元；</w:t>
      </w:r>
    </w:p>
    <w:p w14:paraId="746663A5">
      <w:pPr>
        <w:keepNext w:val="0"/>
        <w:keepLines w:val="0"/>
        <w:pageBreakBefore w:val="0"/>
        <w:widowControl w:val="0"/>
        <w:kinsoku/>
        <w:wordWrap/>
        <w:overflowPunct/>
        <w:autoSpaceDE/>
        <w:autoSpaceDN/>
        <w:bidi w:val="0"/>
        <w:adjustRightInd w:val="0"/>
        <w:snapToGrid w:val="0"/>
        <w:spacing w:line="360" w:lineRule="auto"/>
        <w:ind w:firstLine="422" w:firstLineChars="200"/>
        <w:jc w:val="left"/>
        <w:textAlignment w:val="auto"/>
        <w:rPr>
          <w:rFonts w:ascii="宋体" w:hAnsi="宋体"/>
          <w:b/>
          <w:bCs/>
          <w:color w:val="auto"/>
          <w:sz w:val="21"/>
          <w:szCs w:val="21"/>
          <w:highlight w:val="none"/>
        </w:rPr>
      </w:pPr>
      <w:r>
        <w:rPr>
          <w:rFonts w:hint="eastAsia" w:ascii="宋体" w:hAnsi="宋体"/>
          <w:b/>
          <w:bCs/>
          <w:color w:val="auto"/>
          <w:sz w:val="21"/>
          <w:szCs w:val="21"/>
          <w:highlight w:val="none"/>
        </w:rPr>
        <w:t>四、响应文件提交</w:t>
      </w:r>
    </w:p>
    <w:p w14:paraId="24102873">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lang w:eastAsia="zh-CN"/>
        </w:rPr>
        <w:t>1.</w:t>
      </w:r>
      <w:r>
        <w:rPr>
          <w:rFonts w:hint="eastAsia" w:ascii="宋体" w:hAnsi="宋体"/>
          <w:color w:val="auto"/>
          <w:sz w:val="21"/>
          <w:szCs w:val="21"/>
          <w:highlight w:val="none"/>
        </w:rPr>
        <w:t>时间：202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07</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日09时00分（北京时间）；</w:t>
      </w:r>
    </w:p>
    <w:p w14:paraId="3146D53C">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lang w:eastAsia="zh-CN"/>
        </w:rPr>
        <w:t>2.</w:t>
      </w:r>
      <w:r>
        <w:rPr>
          <w:rFonts w:hint="eastAsia" w:ascii="宋体" w:hAnsi="宋体"/>
          <w:color w:val="auto"/>
          <w:sz w:val="21"/>
          <w:szCs w:val="21"/>
          <w:highlight w:val="none"/>
        </w:rPr>
        <w:t>地点：加密电子</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须在投标截止时间前通过“河南省公共资源交易中心（</w:t>
      </w:r>
      <w:r>
        <w:rPr>
          <w:color w:val="auto"/>
          <w:sz w:val="21"/>
          <w:szCs w:val="21"/>
          <w:highlight w:val="none"/>
        </w:rPr>
        <w:fldChar w:fldCharType="begin"/>
      </w:r>
      <w:r>
        <w:rPr>
          <w:color w:val="auto"/>
          <w:sz w:val="21"/>
          <w:szCs w:val="21"/>
          <w:highlight w:val="none"/>
        </w:rPr>
        <w:instrText xml:space="preserve"> HYPERLINK "http://www.hnggzy.net/" </w:instrText>
      </w:r>
      <w:r>
        <w:rPr>
          <w:color w:val="auto"/>
          <w:sz w:val="21"/>
          <w:szCs w:val="21"/>
          <w:highlight w:val="none"/>
        </w:rPr>
        <w:fldChar w:fldCharType="separate"/>
      </w:r>
      <w:r>
        <w:rPr>
          <w:rFonts w:hint="eastAsia" w:ascii="宋体" w:hAnsi="宋体"/>
          <w:color w:val="auto"/>
          <w:sz w:val="21"/>
          <w:szCs w:val="21"/>
          <w:highlight w:val="none"/>
        </w:rPr>
        <w:t>http://hnsggzyjy.henan.gov.cn/</w:t>
      </w:r>
      <w:r>
        <w:rPr>
          <w:rFonts w:hint="eastAsia" w:ascii="宋体" w:hAnsi="宋体"/>
          <w:color w:val="auto"/>
          <w:sz w:val="21"/>
          <w:szCs w:val="21"/>
          <w:highlight w:val="none"/>
        </w:rPr>
        <w:fldChar w:fldCharType="end"/>
      </w:r>
      <w:r>
        <w:rPr>
          <w:rFonts w:hint="eastAsia" w:ascii="宋体" w:hAnsi="宋体"/>
          <w:color w:val="auto"/>
          <w:sz w:val="21"/>
          <w:szCs w:val="21"/>
          <w:highlight w:val="none"/>
        </w:rPr>
        <w:t>）”电子交易平台加密上传。逾期</w:t>
      </w:r>
      <w:r>
        <w:rPr>
          <w:rFonts w:hint="eastAsia" w:ascii="宋体" w:hAnsi="宋体"/>
          <w:color w:val="auto"/>
          <w:sz w:val="21"/>
          <w:szCs w:val="21"/>
          <w:highlight w:val="none"/>
          <w:lang w:eastAsia="zh-CN"/>
        </w:rPr>
        <w:t>上传</w:t>
      </w:r>
      <w:r>
        <w:rPr>
          <w:rFonts w:hint="eastAsia" w:ascii="宋体" w:hAnsi="宋体"/>
          <w:color w:val="auto"/>
          <w:sz w:val="21"/>
          <w:szCs w:val="21"/>
          <w:highlight w:val="none"/>
        </w:rPr>
        <w:t>或者未上传</w:t>
      </w:r>
      <w:r>
        <w:rPr>
          <w:rFonts w:hint="eastAsia" w:ascii="宋体" w:hAnsi="宋体"/>
          <w:color w:val="auto"/>
          <w:sz w:val="21"/>
          <w:szCs w:val="21"/>
          <w:highlight w:val="none"/>
          <w:lang w:eastAsia="zh-CN"/>
        </w:rPr>
        <w:t>至指定</w:t>
      </w:r>
      <w:r>
        <w:rPr>
          <w:rFonts w:hint="eastAsia" w:ascii="宋体" w:hAnsi="宋体"/>
          <w:color w:val="auto"/>
          <w:sz w:val="21"/>
          <w:szCs w:val="21"/>
          <w:highlight w:val="none"/>
        </w:rPr>
        <w:t>地点的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，采购人不予受理。</w:t>
      </w:r>
    </w:p>
    <w:p w14:paraId="525D4FCC">
      <w:pPr>
        <w:keepNext w:val="0"/>
        <w:keepLines w:val="0"/>
        <w:pageBreakBefore w:val="0"/>
        <w:widowControl w:val="0"/>
        <w:kinsoku/>
        <w:wordWrap/>
        <w:overflowPunct/>
        <w:autoSpaceDE/>
        <w:autoSpaceDN/>
        <w:bidi w:val="0"/>
        <w:adjustRightInd w:val="0"/>
        <w:snapToGrid w:val="0"/>
        <w:spacing w:line="360" w:lineRule="auto"/>
        <w:ind w:firstLine="422" w:firstLineChars="200"/>
        <w:jc w:val="left"/>
        <w:textAlignment w:val="auto"/>
        <w:rPr>
          <w:rFonts w:ascii="宋体" w:hAnsi="宋体"/>
          <w:b/>
          <w:bCs/>
          <w:color w:val="auto"/>
          <w:sz w:val="21"/>
          <w:szCs w:val="21"/>
          <w:highlight w:val="none"/>
        </w:rPr>
      </w:pPr>
      <w:r>
        <w:rPr>
          <w:rFonts w:hint="eastAsia" w:ascii="宋体" w:hAnsi="宋体"/>
          <w:b/>
          <w:bCs/>
          <w:color w:val="auto"/>
          <w:sz w:val="21"/>
          <w:szCs w:val="21"/>
          <w:highlight w:val="none"/>
        </w:rPr>
        <w:t>五、响应文件开启</w:t>
      </w:r>
    </w:p>
    <w:p w14:paraId="5C80A95F">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rPr>
        <w:t>时间：202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07</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日09时00分（北京时间）</w:t>
      </w:r>
    </w:p>
    <w:p w14:paraId="534B13F4">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rPr>
        <w:t>地点：河南省公共资源交易中心（郑州市经二路与纬四路向南50米路西）远程开标室</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p>
    <w:p w14:paraId="10307B36">
      <w:pPr>
        <w:keepNext w:val="0"/>
        <w:keepLines w:val="0"/>
        <w:pageBreakBefore w:val="0"/>
        <w:widowControl w:val="0"/>
        <w:kinsoku/>
        <w:wordWrap/>
        <w:overflowPunct/>
        <w:autoSpaceDE/>
        <w:autoSpaceDN/>
        <w:bidi w:val="0"/>
        <w:adjustRightInd w:val="0"/>
        <w:snapToGrid w:val="0"/>
        <w:spacing w:line="360" w:lineRule="auto"/>
        <w:ind w:firstLine="422" w:firstLineChars="200"/>
        <w:jc w:val="left"/>
        <w:textAlignment w:val="auto"/>
        <w:rPr>
          <w:rFonts w:ascii="宋体" w:hAnsi="宋体"/>
          <w:b/>
          <w:bCs/>
          <w:color w:val="auto"/>
          <w:sz w:val="21"/>
          <w:szCs w:val="21"/>
          <w:highlight w:val="none"/>
        </w:rPr>
      </w:pPr>
      <w:r>
        <w:rPr>
          <w:rFonts w:hint="eastAsia" w:ascii="宋体" w:hAnsi="宋体"/>
          <w:b/>
          <w:bCs/>
          <w:color w:val="auto"/>
          <w:sz w:val="21"/>
          <w:szCs w:val="21"/>
          <w:highlight w:val="none"/>
        </w:rPr>
        <w:t>六、发布公告的媒介及招标公告期限</w:t>
      </w:r>
    </w:p>
    <w:p w14:paraId="04018A7F">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本次招标公告在《河南省政府采购网》《河南省公共资源交易中心网》《河南财经政法大学国有资产管理处》</w:t>
      </w:r>
      <w:r>
        <w:rPr>
          <w:rFonts w:hint="eastAsia" w:ascii="宋体" w:hAnsi="宋体"/>
          <w:color w:val="auto"/>
          <w:sz w:val="21"/>
          <w:szCs w:val="21"/>
          <w:highlight w:val="none"/>
          <w:lang w:eastAsia="zh-CN"/>
        </w:rPr>
        <w:t>网站</w:t>
      </w:r>
      <w:r>
        <w:rPr>
          <w:rFonts w:hint="eastAsia" w:ascii="宋体" w:hAnsi="宋体"/>
          <w:color w:val="auto"/>
          <w:sz w:val="21"/>
          <w:szCs w:val="21"/>
          <w:highlight w:val="none"/>
        </w:rPr>
        <w:t>上发布，招标公告期限为</w:t>
      </w:r>
      <w:r>
        <w:rPr>
          <w:rFonts w:hint="eastAsia" w:ascii="宋体" w:hAnsi="宋体"/>
          <w:color w:val="auto"/>
          <w:sz w:val="21"/>
          <w:szCs w:val="21"/>
          <w:highlight w:val="none"/>
          <w:lang w:eastAsia="zh-CN"/>
        </w:rPr>
        <w:t>三</w:t>
      </w:r>
      <w:r>
        <w:rPr>
          <w:rFonts w:hint="eastAsia" w:ascii="宋体" w:hAnsi="宋体"/>
          <w:color w:val="auto"/>
          <w:sz w:val="21"/>
          <w:szCs w:val="21"/>
          <w:highlight w:val="none"/>
        </w:rPr>
        <w:t>个工作日。</w:t>
      </w:r>
    </w:p>
    <w:p w14:paraId="21EF8A8F">
      <w:pPr>
        <w:keepNext w:val="0"/>
        <w:keepLines w:val="0"/>
        <w:pageBreakBefore w:val="0"/>
        <w:widowControl w:val="0"/>
        <w:kinsoku/>
        <w:wordWrap/>
        <w:overflowPunct/>
        <w:autoSpaceDE/>
        <w:autoSpaceDN/>
        <w:bidi w:val="0"/>
        <w:adjustRightInd w:val="0"/>
        <w:snapToGrid w:val="0"/>
        <w:spacing w:line="360" w:lineRule="auto"/>
        <w:ind w:firstLine="361"/>
        <w:jc w:val="left"/>
        <w:textAlignment w:val="auto"/>
        <w:rPr>
          <w:rFonts w:ascii="宋体" w:hAnsi="宋体"/>
          <w:b/>
          <w:bCs/>
          <w:color w:val="auto"/>
          <w:sz w:val="21"/>
          <w:szCs w:val="21"/>
          <w:highlight w:val="none"/>
        </w:rPr>
      </w:pPr>
      <w:r>
        <w:rPr>
          <w:rFonts w:hint="eastAsia" w:ascii="宋体" w:hAnsi="宋体"/>
          <w:b/>
          <w:bCs/>
          <w:color w:val="auto"/>
          <w:sz w:val="21"/>
          <w:szCs w:val="21"/>
          <w:highlight w:val="none"/>
        </w:rPr>
        <w:t>七、其他补充事宜</w:t>
      </w:r>
    </w:p>
    <w:p w14:paraId="3660E7BD">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bCs/>
          <w:color w:val="auto"/>
          <w:sz w:val="21"/>
          <w:szCs w:val="21"/>
          <w:highlight w:val="none"/>
        </w:rPr>
      </w:pPr>
      <w:r>
        <w:rPr>
          <w:rFonts w:hint="eastAsia" w:ascii="宋体" w:hAnsi="宋体"/>
          <w:bCs/>
          <w:color w:val="auto"/>
          <w:sz w:val="21"/>
          <w:szCs w:val="21"/>
          <w:highlight w:val="none"/>
        </w:rPr>
        <w:t>本项目采用“远程不见面”开标方式；响应人应当在响应文件开启时间前</w:t>
      </w:r>
      <w:r>
        <w:rPr>
          <w:rFonts w:hint="eastAsia" w:ascii="宋体" w:hAnsi="宋体"/>
          <w:bCs/>
          <w:color w:val="auto"/>
          <w:sz w:val="21"/>
          <w:szCs w:val="21"/>
          <w:highlight w:val="none"/>
          <w:lang w:eastAsia="zh-CN"/>
        </w:rPr>
        <w:t>，</w:t>
      </w:r>
      <w:r>
        <w:rPr>
          <w:rFonts w:hint="eastAsia" w:ascii="宋体" w:hAnsi="宋体"/>
          <w:bCs/>
          <w:color w:val="auto"/>
          <w:sz w:val="21"/>
          <w:szCs w:val="21"/>
          <w:highlight w:val="none"/>
        </w:rPr>
        <w:t>登录远程开标大厅</w:t>
      </w:r>
      <w:r>
        <w:rPr>
          <w:rFonts w:hint="eastAsia" w:ascii="宋体" w:hAnsi="宋体"/>
          <w:bCs/>
          <w:color w:val="auto"/>
          <w:sz w:val="21"/>
          <w:szCs w:val="21"/>
          <w:highlight w:val="none"/>
          <w:lang w:eastAsia="zh-CN"/>
        </w:rPr>
        <w:t>，</w:t>
      </w:r>
      <w:r>
        <w:rPr>
          <w:rFonts w:hint="eastAsia" w:ascii="宋体" w:hAnsi="宋体"/>
          <w:bCs/>
          <w:color w:val="auto"/>
          <w:sz w:val="21"/>
          <w:szCs w:val="21"/>
          <w:highlight w:val="none"/>
        </w:rPr>
        <w:t>在线准时参加开标活动并进行响应文件解密、答疑澄清等；远程开标大厅的网址为 （http://hnsggzyjy.henan.gov.cn/BidOpening/bidopeninghallaction/hall/login）；不见面服务的具体事宜请查阅河南省公共资源交易中心网站“办事指南”专区的《河南省公共资源交易平台不见面服务系统使用指南》。供应商如在交易平台系统规定时间内没有解密成功的，视为放弃投标。</w:t>
      </w:r>
    </w:p>
    <w:p w14:paraId="1B537118">
      <w:pPr>
        <w:keepNext w:val="0"/>
        <w:keepLines w:val="0"/>
        <w:pageBreakBefore w:val="0"/>
        <w:widowControl w:val="0"/>
        <w:kinsoku/>
        <w:wordWrap/>
        <w:overflowPunct/>
        <w:autoSpaceDE/>
        <w:autoSpaceDN/>
        <w:bidi w:val="0"/>
        <w:adjustRightInd w:val="0"/>
        <w:snapToGrid w:val="0"/>
        <w:spacing w:line="360" w:lineRule="auto"/>
        <w:ind w:firstLine="361"/>
        <w:jc w:val="left"/>
        <w:textAlignment w:val="auto"/>
        <w:rPr>
          <w:rFonts w:ascii="宋体" w:hAnsi="宋体"/>
          <w:b/>
          <w:bCs/>
          <w:color w:val="auto"/>
          <w:sz w:val="21"/>
          <w:szCs w:val="21"/>
          <w:highlight w:val="none"/>
        </w:rPr>
      </w:pPr>
      <w:r>
        <w:rPr>
          <w:rFonts w:hint="eastAsia" w:ascii="宋体" w:hAnsi="宋体"/>
          <w:b/>
          <w:bCs/>
          <w:color w:val="auto"/>
          <w:sz w:val="21"/>
          <w:szCs w:val="21"/>
          <w:highlight w:val="none"/>
        </w:rPr>
        <w:t>八、凡对本次招标提出询问，请按照以下方式联系</w:t>
      </w:r>
    </w:p>
    <w:p w14:paraId="40EF1B65">
      <w:pPr>
        <w:keepNext w:val="0"/>
        <w:keepLines w:val="0"/>
        <w:pageBreakBefore w:val="0"/>
        <w:widowControl w:val="0"/>
        <w:kinsoku/>
        <w:wordWrap/>
        <w:overflowPunct/>
        <w:autoSpaceDE/>
        <w:autoSpaceDN/>
        <w:bidi w:val="0"/>
        <w:adjustRightInd w:val="0"/>
        <w:snapToGrid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rPr>
        <w:t>采购人信息</w:t>
      </w:r>
    </w:p>
    <w:p w14:paraId="11C03498">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hint="eastAsia" w:ascii="宋体" w:hAnsi="宋体" w:eastAsia="宋体"/>
          <w:color w:val="auto"/>
          <w:sz w:val="21"/>
          <w:szCs w:val="21"/>
          <w:highlight w:val="none"/>
          <w:lang w:eastAsia="zh-CN"/>
        </w:rPr>
      </w:pPr>
      <w:bookmarkStart w:id="14" w:name="_Toc5536"/>
      <w:bookmarkEnd w:id="14"/>
      <w:bookmarkStart w:id="15" w:name="_Toc129073455"/>
      <w:r>
        <w:rPr>
          <w:rFonts w:hint="eastAsia" w:ascii="宋体" w:hAnsi="宋体"/>
          <w:color w:val="auto"/>
          <w:sz w:val="21"/>
          <w:szCs w:val="21"/>
          <w:highlight w:val="none"/>
        </w:rPr>
        <w:t>名    称：</w:t>
      </w:r>
      <w:r>
        <w:rPr>
          <w:rFonts w:hint="eastAsia" w:ascii="宋体" w:hAnsi="宋体"/>
          <w:color w:val="auto"/>
          <w:sz w:val="21"/>
          <w:szCs w:val="21"/>
          <w:highlight w:val="none"/>
          <w:lang w:eastAsia="zh-CN"/>
        </w:rPr>
        <w:t>河南财经政法大学</w:t>
      </w:r>
    </w:p>
    <w:p w14:paraId="63D933EA">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地    址：</w:t>
      </w:r>
      <w:r>
        <w:rPr>
          <w:rFonts w:hint="eastAsia" w:ascii="宋体" w:hAnsi="宋体"/>
          <w:color w:val="auto"/>
          <w:sz w:val="21"/>
          <w:szCs w:val="21"/>
          <w:highlight w:val="none"/>
          <w:lang w:eastAsia="zh-CN"/>
        </w:rPr>
        <w:t>郑州市金水东路180号</w:t>
      </w:r>
    </w:p>
    <w:p w14:paraId="26D64418">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联</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系</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人：</w:t>
      </w:r>
      <w:r>
        <w:rPr>
          <w:rFonts w:hint="eastAsia" w:ascii="宋体" w:hAnsi="宋体"/>
          <w:color w:val="auto"/>
          <w:sz w:val="21"/>
          <w:szCs w:val="21"/>
          <w:highlight w:val="none"/>
          <w:lang w:eastAsia="zh-CN"/>
        </w:rPr>
        <w:t>宋老师</w:t>
      </w:r>
    </w:p>
    <w:p w14:paraId="2DE67597">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rPr>
        <w:t>联系方式</w:t>
      </w:r>
      <w:r>
        <w:rPr>
          <w:rFonts w:hint="eastAsia" w:ascii="宋体" w:hAnsi="宋体"/>
          <w:color w:val="auto"/>
          <w:sz w:val="21"/>
          <w:szCs w:val="21"/>
          <w:highlight w:val="none"/>
        </w:rPr>
        <w:t>：</w:t>
      </w:r>
      <w:r>
        <w:rPr>
          <w:rFonts w:hint="eastAsia" w:ascii="宋体" w:hAnsi="宋体"/>
          <w:color w:val="auto"/>
          <w:sz w:val="21"/>
          <w:szCs w:val="21"/>
          <w:highlight w:val="none"/>
          <w:lang w:eastAsia="zh-CN"/>
        </w:rPr>
        <w:t>0371-86157236</w:t>
      </w:r>
    </w:p>
    <w:p w14:paraId="71A63E04">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ascii="宋体" w:hAnsi="宋体"/>
          <w:color w:val="auto"/>
          <w:sz w:val="21"/>
          <w:szCs w:val="21"/>
          <w:highlight w:val="none"/>
        </w:rPr>
      </w:pPr>
      <w:r>
        <w:rPr>
          <w:rFonts w:hint="eastAsia" w:ascii="宋体" w:hAnsi="宋体"/>
          <w:color w:val="auto"/>
          <w:sz w:val="21"/>
          <w:szCs w:val="21"/>
          <w:highlight w:val="none"/>
        </w:rPr>
        <w:t>2.采购代理机构信息</w:t>
      </w:r>
    </w:p>
    <w:p w14:paraId="4C90245C">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名    称：</w:t>
      </w:r>
      <w:r>
        <w:rPr>
          <w:rFonts w:hint="eastAsia" w:ascii="宋体" w:hAnsi="宋体"/>
          <w:color w:val="auto"/>
          <w:sz w:val="21"/>
          <w:szCs w:val="21"/>
          <w:highlight w:val="none"/>
          <w:lang w:eastAsia="zh-CN"/>
        </w:rPr>
        <w:t>中建山河建设管理集团有限公司</w:t>
      </w:r>
    </w:p>
    <w:p w14:paraId="32D15E6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olor w:val="auto"/>
          <w:sz w:val="21"/>
          <w:szCs w:val="21"/>
          <w:highlight w:val="none"/>
        </w:rPr>
        <w:t>地    址：</w:t>
      </w:r>
      <w:r>
        <w:rPr>
          <w:rFonts w:hint="eastAsia" w:ascii="宋体" w:hAnsi="宋体" w:eastAsia="宋体" w:cs="宋体"/>
          <w:color w:val="auto"/>
          <w:sz w:val="21"/>
          <w:szCs w:val="21"/>
          <w:highlight w:val="none"/>
        </w:rPr>
        <w:t>郑州市郑东新区圃田西路与七里河南路西南角明亮集团大楼312室</w:t>
      </w:r>
    </w:p>
    <w:p w14:paraId="3A51C29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lang w:val="en-US" w:eastAsia="zh-CN"/>
        </w:rPr>
        <w:t>王朝艳、夏鹏程</w:t>
      </w:r>
    </w:p>
    <w:p w14:paraId="57CB7AA9">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hint="eastAsia"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rPr>
        <w:t>联系方式：0371-86556161、</w:t>
      </w:r>
      <w:r>
        <w:rPr>
          <w:rFonts w:hint="eastAsia" w:ascii="宋体" w:hAnsi="宋体" w:cs="宋体"/>
          <w:color w:val="auto"/>
          <w:sz w:val="21"/>
          <w:szCs w:val="21"/>
          <w:highlight w:val="none"/>
          <w:lang w:val="en-US" w:eastAsia="zh-CN"/>
        </w:rPr>
        <w:t>19937233779</w:t>
      </w:r>
    </w:p>
    <w:p w14:paraId="70FAFBF6">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ascii="宋体" w:hAnsi="宋体"/>
          <w:color w:val="auto"/>
          <w:sz w:val="21"/>
          <w:szCs w:val="21"/>
          <w:highlight w:val="none"/>
        </w:rPr>
      </w:pPr>
      <w:r>
        <w:rPr>
          <w:rFonts w:hint="eastAsia" w:ascii="宋体" w:hAnsi="宋体"/>
          <w:color w:val="auto"/>
          <w:sz w:val="21"/>
          <w:szCs w:val="21"/>
          <w:highlight w:val="none"/>
        </w:rPr>
        <w:t>3.项目联系方式</w:t>
      </w:r>
    </w:p>
    <w:p w14:paraId="02A759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olor w:val="auto"/>
          <w:sz w:val="21"/>
          <w:szCs w:val="21"/>
          <w:highlight w:val="none"/>
        </w:rPr>
        <w:t>项目联系人：</w:t>
      </w:r>
      <w:r>
        <w:rPr>
          <w:rFonts w:hint="eastAsia" w:ascii="宋体" w:hAnsi="宋体" w:cs="宋体"/>
          <w:color w:val="auto"/>
          <w:sz w:val="21"/>
          <w:szCs w:val="21"/>
          <w:highlight w:val="none"/>
          <w:lang w:val="en-US" w:eastAsia="zh-CN"/>
        </w:rPr>
        <w:t>王朝艳、夏鹏程</w:t>
      </w:r>
    </w:p>
    <w:p w14:paraId="38F1E56D">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联系方式：0371-86556161、</w:t>
      </w:r>
      <w:r>
        <w:rPr>
          <w:rFonts w:hint="eastAsia" w:ascii="宋体" w:hAnsi="宋体" w:cs="宋体"/>
          <w:color w:val="auto"/>
          <w:sz w:val="21"/>
          <w:szCs w:val="21"/>
          <w:highlight w:val="none"/>
          <w:lang w:val="en-US" w:eastAsia="zh-CN"/>
        </w:rPr>
        <w:t>19937233779</w:t>
      </w:r>
    </w:p>
    <w:p w14:paraId="019836AF">
      <w:pPr>
        <w:keepNext w:val="0"/>
        <w:keepLines w:val="0"/>
        <w:pageBreakBefore w:val="0"/>
        <w:widowControl w:val="0"/>
        <w:kinsoku/>
        <w:wordWrap/>
        <w:overflowPunct/>
        <w:autoSpaceDE/>
        <w:autoSpaceDN/>
        <w:bidi w:val="0"/>
        <w:adjustRightInd w:val="0"/>
        <w:snapToGrid w:val="0"/>
        <w:spacing w:line="360" w:lineRule="auto"/>
        <w:ind w:firstLine="480"/>
        <w:jc w:val="left"/>
        <w:textAlignment w:val="auto"/>
        <w:rPr>
          <w:rFonts w:ascii="宋体" w:hAnsi="宋体"/>
          <w:color w:val="auto"/>
          <w:sz w:val="32"/>
          <w:szCs w:val="32"/>
          <w:highlight w:val="none"/>
        </w:rPr>
      </w:pPr>
      <w:r>
        <w:rPr>
          <w:rFonts w:hint="eastAsia" w:ascii="宋体" w:hAnsi="宋体"/>
          <w:color w:val="auto"/>
          <w:sz w:val="32"/>
          <w:szCs w:val="32"/>
          <w:highlight w:val="none"/>
        </w:rPr>
        <w:br w:type="page"/>
      </w:r>
    </w:p>
    <w:p w14:paraId="75EC0A39">
      <w:pPr>
        <w:pStyle w:val="2"/>
        <w:spacing w:before="120" w:after="120" w:line="400" w:lineRule="exact"/>
        <w:ind w:firstLine="482"/>
        <w:jc w:val="center"/>
        <w:rPr>
          <w:rFonts w:ascii="宋体" w:hAnsi="宋体"/>
          <w:color w:val="auto"/>
          <w:sz w:val="32"/>
          <w:szCs w:val="32"/>
          <w:highlight w:val="none"/>
        </w:rPr>
      </w:pPr>
      <w:bookmarkStart w:id="16" w:name="_Toc5398"/>
      <w:bookmarkStart w:id="17" w:name="_Toc24623"/>
      <w:bookmarkStart w:id="18" w:name="_Toc15090"/>
      <w:bookmarkStart w:id="19" w:name="_Toc12582"/>
      <w:r>
        <w:rPr>
          <w:rFonts w:hint="eastAsia" w:ascii="宋体" w:hAnsi="宋体"/>
          <w:bCs w:val="0"/>
          <w:color w:val="auto"/>
          <w:sz w:val="32"/>
          <w:szCs w:val="32"/>
          <w:highlight w:val="none"/>
        </w:rPr>
        <w:t>第二章  供应商须知</w:t>
      </w:r>
      <w:bookmarkEnd w:id="15"/>
      <w:bookmarkEnd w:id="16"/>
      <w:bookmarkEnd w:id="17"/>
      <w:bookmarkEnd w:id="18"/>
      <w:bookmarkEnd w:id="19"/>
    </w:p>
    <w:p w14:paraId="3A10AAE9">
      <w:pPr>
        <w:pStyle w:val="92"/>
        <w:ind w:firstLine="422"/>
        <w:jc w:val="center"/>
        <w:rPr>
          <w:rFonts w:ascii="宋体" w:hAnsi="宋体" w:eastAsia="宋体"/>
          <w:b/>
          <w:bCs w:val="0"/>
          <w:color w:val="auto"/>
          <w:highlight w:val="none"/>
        </w:rPr>
      </w:pPr>
      <w:bookmarkStart w:id="20" w:name="_Toc152042304"/>
      <w:bookmarkEnd w:id="20"/>
      <w:bookmarkStart w:id="21" w:name="_Toc455080107"/>
      <w:bookmarkEnd w:id="21"/>
      <w:bookmarkStart w:id="22" w:name="_Toc144974496"/>
      <w:bookmarkEnd w:id="22"/>
      <w:bookmarkStart w:id="23" w:name="_Toc22779"/>
      <w:bookmarkEnd w:id="23"/>
      <w:bookmarkStart w:id="24" w:name="_Toc152045528"/>
      <w:bookmarkEnd w:id="24"/>
      <w:bookmarkStart w:id="25" w:name="_Toc466298090"/>
      <w:bookmarkEnd w:id="25"/>
      <w:bookmarkStart w:id="26" w:name="_Toc21777"/>
      <w:bookmarkStart w:id="27" w:name="_Toc30328"/>
      <w:bookmarkStart w:id="28" w:name="_Toc9415"/>
      <w:bookmarkStart w:id="29" w:name="_Toc16804"/>
      <w:bookmarkStart w:id="30" w:name="_Toc509667259"/>
      <w:bookmarkStart w:id="31" w:name="_Toc129073456"/>
      <w:r>
        <w:rPr>
          <w:rFonts w:hint="eastAsia" w:ascii="宋体" w:hAnsi="宋体" w:eastAsia="宋体"/>
          <w:b/>
          <w:bCs w:val="0"/>
          <w:color w:val="auto"/>
          <w:highlight w:val="none"/>
        </w:rPr>
        <w:t>供应商须知前附表</w:t>
      </w:r>
      <w:bookmarkEnd w:id="26"/>
      <w:bookmarkEnd w:id="27"/>
      <w:bookmarkEnd w:id="28"/>
      <w:bookmarkEnd w:id="29"/>
      <w:bookmarkEnd w:id="30"/>
      <w:bookmarkEnd w:id="31"/>
    </w:p>
    <w:tbl>
      <w:tblPr>
        <w:tblStyle w:val="46"/>
        <w:tblW w:w="9029" w:type="dxa"/>
        <w:jc w:val="center"/>
        <w:tblLayout w:type="fixed"/>
        <w:tblCellMar>
          <w:top w:w="0" w:type="dxa"/>
          <w:left w:w="108" w:type="dxa"/>
          <w:bottom w:w="0" w:type="dxa"/>
          <w:right w:w="108" w:type="dxa"/>
        </w:tblCellMar>
      </w:tblPr>
      <w:tblGrid>
        <w:gridCol w:w="980"/>
        <w:gridCol w:w="20"/>
        <w:gridCol w:w="1691"/>
        <w:gridCol w:w="6338"/>
      </w:tblGrid>
      <w:tr w14:paraId="111D65E8">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27BF29F">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b/>
                <w:bCs/>
                <w:color w:val="auto"/>
                <w:highlight w:val="none"/>
              </w:rPr>
            </w:pPr>
            <w:bookmarkStart w:id="32" w:name="_Toc21190"/>
            <w:bookmarkEnd w:id="32"/>
            <w:bookmarkStart w:id="33" w:name="_Toc129073457"/>
            <w:r>
              <w:rPr>
                <w:rFonts w:hint="eastAsia" w:ascii="宋体" w:hAnsi="宋体"/>
                <w:b/>
                <w:bCs/>
                <w:color w:val="auto"/>
                <w:highlight w:val="none"/>
              </w:rPr>
              <w:t>条款号</w:t>
            </w:r>
          </w:p>
        </w:tc>
        <w:tc>
          <w:tcPr>
            <w:tcW w:w="1711" w:type="dxa"/>
            <w:gridSpan w:val="2"/>
            <w:tcBorders>
              <w:top w:val="single" w:color="auto" w:sz="4" w:space="0"/>
              <w:left w:val="nil"/>
              <w:bottom w:val="single" w:color="auto" w:sz="4" w:space="0"/>
              <w:right w:val="single" w:color="auto" w:sz="4" w:space="0"/>
            </w:tcBorders>
            <w:vAlign w:val="center"/>
          </w:tcPr>
          <w:p w14:paraId="6D2CE9DA">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b/>
                <w:bCs/>
                <w:color w:val="auto"/>
                <w:highlight w:val="none"/>
              </w:rPr>
            </w:pPr>
            <w:r>
              <w:rPr>
                <w:rFonts w:hint="eastAsia" w:ascii="宋体" w:hAnsi="宋体"/>
                <w:b/>
                <w:bCs/>
                <w:color w:val="auto"/>
                <w:highlight w:val="none"/>
              </w:rPr>
              <w:t>条款名称</w:t>
            </w:r>
          </w:p>
        </w:tc>
        <w:tc>
          <w:tcPr>
            <w:tcW w:w="6338" w:type="dxa"/>
            <w:tcBorders>
              <w:top w:val="single" w:color="auto" w:sz="4" w:space="0"/>
              <w:left w:val="nil"/>
              <w:bottom w:val="single" w:color="auto" w:sz="4" w:space="0"/>
              <w:right w:val="single" w:color="auto" w:sz="4" w:space="0"/>
            </w:tcBorders>
            <w:vAlign w:val="center"/>
          </w:tcPr>
          <w:p w14:paraId="7280E483">
            <w:pPr>
              <w:keepNext w:val="0"/>
              <w:keepLines w:val="0"/>
              <w:pageBreakBefore w:val="0"/>
              <w:widowControl w:val="0"/>
              <w:kinsoku/>
              <w:wordWrap/>
              <w:overflowPunct/>
              <w:topLinePunct/>
              <w:autoSpaceDE/>
              <w:autoSpaceDN/>
              <w:bidi w:val="0"/>
              <w:adjustRightInd w:val="0"/>
              <w:snapToGrid w:val="0"/>
              <w:spacing w:beforeAutospacing="0" w:line="360" w:lineRule="auto"/>
              <w:jc w:val="center"/>
              <w:textAlignment w:val="baseline"/>
              <w:rPr>
                <w:rFonts w:ascii="宋体" w:hAnsi="宋体"/>
                <w:b/>
                <w:bCs/>
                <w:color w:val="auto"/>
                <w:highlight w:val="none"/>
              </w:rPr>
            </w:pPr>
            <w:r>
              <w:rPr>
                <w:rFonts w:hint="eastAsia" w:ascii="宋体" w:hAnsi="宋体"/>
                <w:b/>
                <w:bCs/>
                <w:color w:val="auto"/>
                <w:highlight w:val="none"/>
              </w:rPr>
              <w:t>编  列  内  容</w:t>
            </w:r>
          </w:p>
        </w:tc>
      </w:tr>
      <w:tr w14:paraId="64D0529F">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EAEC53D">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1.1.2</w:t>
            </w:r>
          </w:p>
        </w:tc>
        <w:tc>
          <w:tcPr>
            <w:tcW w:w="1711" w:type="dxa"/>
            <w:gridSpan w:val="2"/>
            <w:tcBorders>
              <w:top w:val="single" w:color="auto" w:sz="4" w:space="0"/>
              <w:left w:val="nil"/>
              <w:bottom w:val="single" w:color="auto" w:sz="4" w:space="0"/>
              <w:right w:val="single" w:color="auto" w:sz="4" w:space="0"/>
            </w:tcBorders>
            <w:vAlign w:val="center"/>
          </w:tcPr>
          <w:p w14:paraId="195DE4B4">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采购人</w:t>
            </w:r>
          </w:p>
        </w:tc>
        <w:tc>
          <w:tcPr>
            <w:tcW w:w="6338" w:type="dxa"/>
            <w:tcBorders>
              <w:top w:val="single" w:color="auto" w:sz="4" w:space="0"/>
              <w:left w:val="nil"/>
              <w:bottom w:val="single" w:color="auto" w:sz="4" w:space="0"/>
              <w:right w:val="single" w:color="auto" w:sz="4" w:space="0"/>
            </w:tcBorders>
            <w:vAlign w:val="center"/>
          </w:tcPr>
          <w:p w14:paraId="350984D7">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color w:val="auto"/>
                <w:highlight w:val="none"/>
                <w:lang w:eastAsia="zh-CN"/>
              </w:rPr>
            </w:pPr>
            <w:r>
              <w:rPr>
                <w:rFonts w:hint="eastAsia" w:ascii="宋体" w:hAnsi="宋体"/>
                <w:color w:val="auto"/>
                <w:highlight w:val="none"/>
              </w:rPr>
              <w:t>名称：</w:t>
            </w:r>
            <w:r>
              <w:rPr>
                <w:rFonts w:hint="eastAsia" w:ascii="宋体" w:hAnsi="宋体"/>
                <w:color w:val="auto"/>
                <w:highlight w:val="none"/>
                <w:lang w:eastAsia="zh-CN"/>
              </w:rPr>
              <w:t>河南财经政法大学</w:t>
            </w:r>
          </w:p>
          <w:p w14:paraId="5A1BAA8D">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color w:val="auto"/>
                <w:highlight w:val="none"/>
                <w:lang w:eastAsia="zh-CN"/>
              </w:rPr>
            </w:pPr>
            <w:r>
              <w:rPr>
                <w:rFonts w:hint="eastAsia" w:ascii="宋体" w:hAnsi="宋体"/>
                <w:color w:val="auto"/>
                <w:highlight w:val="none"/>
              </w:rPr>
              <w:t>地址：</w:t>
            </w:r>
            <w:r>
              <w:rPr>
                <w:rFonts w:hint="eastAsia" w:ascii="宋体" w:hAnsi="宋体"/>
                <w:color w:val="auto"/>
                <w:highlight w:val="none"/>
                <w:lang w:eastAsia="zh-CN"/>
              </w:rPr>
              <w:t>郑州市金水东路180号</w:t>
            </w:r>
          </w:p>
          <w:p w14:paraId="123C5952">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color w:val="auto"/>
                <w:highlight w:val="none"/>
                <w:lang w:eastAsia="zh-CN"/>
              </w:rPr>
            </w:pPr>
            <w:r>
              <w:rPr>
                <w:rFonts w:hint="eastAsia" w:ascii="宋体" w:hAnsi="宋体"/>
                <w:color w:val="auto"/>
                <w:highlight w:val="none"/>
              </w:rPr>
              <w:t>联系人：</w:t>
            </w:r>
            <w:r>
              <w:rPr>
                <w:rFonts w:hint="eastAsia" w:ascii="宋体" w:hAnsi="宋体"/>
                <w:color w:val="auto"/>
                <w:highlight w:val="none"/>
                <w:lang w:eastAsia="zh-CN"/>
              </w:rPr>
              <w:t>宋老师</w:t>
            </w:r>
          </w:p>
          <w:p w14:paraId="2B92AE72">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color w:val="auto"/>
                <w:highlight w:val="none"/>
                <w:lang w:eastAsia="zh-CN"/>
              </w:rPr>
            </w:pPr>
            <w:r>
              <w:rPr>
                <w:rFonts w:hint="eastAsia" w:ascii="宋体" w:hAnsi="宋体"/>
                <w:color w:val="auto"/>
                <w:highlight w:val="none"/>
              </w:rPr>
              <w:t>联系方式：</w:t>
            </w:r>
            <w:r>
              <w:rPr>
                <w:rFonts w:hint="eastAsia" w:ascii="宋体" w:hAnsi="宋体"/>
                <w:color w:val="auto"/>
                <w:highlight w:val="none"/>
                <w:lang w:eastAsia="zh-CN"/>
              </w:rPr>
              <w:t>0371-86157236</w:t>
            </w:r>
          </w:p>
        </w:tc>
      </w:tr>
      <w:tr w14:paraId="7C7A50EC">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7523C60">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1.1.3</w:t>
            </w:r>
          </w:p>
        </w:tc>
        <w:tc>
          <w:tcPr>
            <w:tcW w:w="1711" w:type="dxa"/>
            <w:gridSpan w:val="2"/>
            <w:tcBorders>
              <w:top w:val="single" w:color="auto" w:sz="4" w:space="0"/>
              <w:left w:val="nil"/>
              <w:bottom w:val="single" w:color="auto" w:sz="4" w:space="0"/>
              <w:right w:val="single" w:color="auto" w:sz="4" w:space="0"/>
            </w:tcBorders>
            <w:vAlign w:val="center"/>
          </w:tcPr>
          <w:p w14:paraId="6B355594">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采购代理机构</w:t>
            </w:r>
          </w:p>
        </w:tc>
        <w:tc>
          <w:tcPr>
            <w:tcW w:w="6338" w:type="dxa"/>
            <w:tcBorders>
              <w:top w:val="single" w:color="auto" w:sz="4" w:space="0"/>
              <w:left w:val="nil"/>
              <w:bottom w:val="single" w:color="auto" w:sz="4" w:space="0"/>
              <w:right w:val="single" w:color="auto" w:sz="4" w:space="0"/>
            </w:tcBorders>
            <w:vAlign w:val="center"/>
          </w:tcPr>
          <w:p w14:paraId="66554382">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color w:val="auto"/>
                <w:highlight w:val="none"/>
                <w:lang w:eastAsia="zh-CN"/>
              </w:rPr>
            </w:pPr>
            <w:r>
              <w:rPr>
                <w:rFonts w:hint="eastAsia" w:ascii="宋体" w:hAnsi="宋体"/>
                <w:color w:val="auto"/>
                <w:highlight w:val="none"/>
              </w:rPr>
              <w:t>名称：</w:t>
            </w:r>
            <w:r>
              <w:rPr>
                <w:rFonts w:hint="eastAsia" w:ascii="宋体" w:hAnsi="宋体"/>
                <w:color w:val="auto"/>
                <w:highlight w:val="none"/>
                <w:lang w:eastAsia="zh-CN"/>
              </w:rPr>
              <w:t>中建山河建设管理集团有限公司</w:t>
            </w:r>
          </w:p>
          <w:p w14:paraId="706400E2">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color w:val="auto"/>
                <w:highlight w:val="none"/>
              </w:rPr>
            </w:pPr>
            <w:r>
              <w:rPr>
                <w:rFonts w:hint="eastAsia" w:ascii="宋体" w:hAnsi="宋体"/>
                <w:color w:val="auto"/>
                <w:highlight w:val="none"/>
              </w:rPr>
              <w:t>地址：郑州市郑东新区圃田西路与七里河南路西南角明亮集团大楼312室</w:t>
            </w:r>
          </w:p>
          <w:p w14:paraId="4D350C7B">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eastAsia="宋体"/>
                <w:color w:val="auto"/>
                <w:highlight w:val="none"/>
                <w:lang w:eastAsia="zh-CN"/>
              </w:rPr>
            </w:pPr>
            <w:r>
              <w:rPr>
                <w:rFonts w:hint="eastAsia" w:ascii="宋体" w:hAnsi="宋体"/>
                <w:color w:val="auto"/>
                <w:highlight w:val="none"/>
              </w:rPr>
              <w:t>联</w:t>
            </w:r>
            <w:r>
              <w:rPr>
                <w:rFonts w:hint="eastAsia" w:ascii="宋体" w:hAnsi="宋体"/>
                <w:color w:val="auto"/>
                <w:highlight w:val="none"/>
                <w:lang w:val="en-US" w:eastAsia="zh-CN"/>
              </w:rPr>
              <w:t xml:space="preserve"> </w:t>
            </w:r>
            <w:r>
              <w:rPr>
                <w:rFonts w:hint="eastAsia" w:ascii="宋体" w:hAnsi="宋体"/>
                <w:color w:val="auto"/>
                <w:highlight w:val="none"/>
              </w:rPr>
              <w:t>系</w:t>
            </w:r>
            <w:r>
              <w:rPr>
                <w:rFonts w:hint="eastAsia" w:ascii="宋体" w:hAnsi="宋体"/>
                <w:color w:val="auto"/>
                <w:highlight w:val="none"/>
                <w:lang w:val="en-US" w:eastAsia="zh-CN"/>
              </w:rPr>
              <w:t xml:space="preserve"> </w:t>
            </w:r>
            <w:r>
              <w:rPr>
                <w:rFonts w:hint="eastAsia" w:ascii="宋体" w:hAnsi="宋体"/>
                <w:color w:val="auto"/>
                <w:highlight w:val="none"/>
              </w:rPr>
              <w:t>人：</w:t>
            </w:r>
            <w:r>
              <w:rPr>
                <w:rFonts w:hint="eastAsia" w:ascii="宋体" w:hAnsi="宋体" w:cs="宋体"/>
                <w:color w:val="auto"/>
                <w:sz w:val="21"/>
                <w:szCs w:val="21"/>
                <w:highlight w:val="none"/>
                <w:lang w:val="en-US" w:eastAsia="zh-CN"/>
              </w:rPr>
              <w:t>王朝艳、夏鹏程</w:t>
            </w:r>
          </w:p>
          <w:p w14:paraId="1DF724D7">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eastAsia="宋体"/>
                <w:color w:val="auto"/>
                <w:highlight w:val="none"/>
                <w:lang w:eastAsia="zh-CN"/>
              </w:rPr>
            </w:pPr>
            <w:r>
              <w:rPr>
                <w:rFonts w:hint="eastAsia" w:ascii="宋体" w:hAnsi="宋体"/>
                <w:color w:val="auto"/>
                <w:highlight w:val="none"/>
              </w:rPr>
              <w:t>联系方式：0371-86556161、</w:t>
            </w:r>
            <w:r>
              <w:rPr>
                <w:rFonts w:hint="eastAsia" w:ascii="宋体" w:hAnsi="宋体"/>
                <w:color w:val="auto"/>
                <w:highlight w:val="none"/>
                <w:lang w:eastAsia="zh-CN"/>
              </w:rPr>
              <w:t>19937233779</w:t>
            </w:r>
          </w:p>
        </w:tc>
      </w:tr>
      <w:tr w14:paraId="3BB4DEF7">
        <w:tblPrEx>
          <w:tblCellMar>
            <w:top w:w="0" w:type="dxa"/>
            <w:left w:w="108" w:type="dxa"/>
            <w:bottom w:w="0" w:type="dxa"/>
            <w:right w:w="108" w:type="dxa"/>
          </w:tblCellMar>
        </w:tblPrEx>
        <w:trPr>
          <w:trHeight w:val="397"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00601167">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1.1.4</w:t>
            </w:r>
          </w:p>
        </w:tc>
        <w:tc>
          <w:tcPr>
            <w:tcW w:w="1711" w:type="dxa"/>
            <w:gridSpan w:val="2"/>
            <w:tcBorders>
              <w:top w:val="single" w:color="auto" w:sz="4" w:space="0"/>
              <w:left w:val="nil"/>
              <w:bottom w:val="single" w:color="auto" w:sz="4" w:space="0"/>
              <w:right w:val="single" w:color="auto" w:sz="4" w:space="0"/>
            </w:tcBorders>
            <w:vAlign w:val="center"/>
          </w:tcPr>
          <w:p w14:paraId="5C71B59A">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项目名称</w:t>
            </w:r>
          </w:p>
        </w:tc>
        <w:tc>
          <w:tcPr>
            <w:tcW w:w="6338" w:type="dxa"/>
            <w:tcBorders>
              <w:top w:val="single" w:color="auto" w:sz="4" w:space="0"/>
              <w:left w:val="nil"/>
              <w:bottom w:val="single" w:color="auto" w:sz="4" w:space="0"/>
              <w:right w:val="single" w:color="auto" w:sz="4" w:space="0"/>
            </w:tcBorders>
            <w:vAlign w:val="center"/>
          </w:tcPr>
          <w:p w14:paraId="78E0638E">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eastAsia="宋体"/>
                <w:color w:val="auto"/>
                <w:highlight w:val="none"/>
                <w:lang w:eastAsia="zh-CN"/>
              </w:rPr>
            </w:pPr>
            <w:r>
              <w:rPr>
                <w:rFonts w:hint="eastAsia" w:ascii="宋体" w:hAnsi="宋体"/>
                <w:color w:val="auto"/>
                <w:highlight w:val="none"/>
                <w:lang w:eastAsia="zh-CN"/>
              </w:rPr>
              <w:t>河南财经政法大学文化路校区部分楼宇防水项目</w:t>
            </w:r>
          </w:p>
        </w:tc>
      </w:tr>
      <w:tr w14:paraId="6C2BDACE">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0FA714FE">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1.1.5</w:t>
            </w:r>
          </w:p>
        </w:tc>
        <w:tc>
          <w:tcPr>
            <w:tcW w:w="1711" w:type="dxa"/>
            <w:gridSpan w:val="2"/>
            <w:tcBorders>
              <w:top w:val="single" w:color="auto" w:sz="4" w:space="0"/>
              <w:left w:val="nil"/>
              <w:bottom w:val="single" w:color="auto" w:sz="4" w:space="0"/>
              <w:right w:val="single" w:color="auto" w:sz="4" w:space="0"/>
            </w:tcBorders>
            <w:vAlign w:val="center"/>
          </w:tcPr>
          <w:p w14:paraId="0CDEBDA9">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项目属性</w:t>
            </w:r>
          </w:p>
        </w:tc>
        <w:tc>
          <w:tcPr>
            <w:tcW w:w="6338" w:type="dxa"/>
            <w:tcBorders>
              <w:top w:val="single" w:color="auto" w:sz="4" w:space="0"/>
              <w:left w:val="nil"/>
              <w:bottom w:val="single" w:color="auto" w:sz="4" w:space="0"/>
              <w:right w:val="single" w:color="auto" w:sz="4" w:space="0"/>
            </w:tcBorders>
            <w:vAlign w:val="center"/>
          </w:tcPr>
          <w:p w14:paraId="346182B8">
            <w:pPr>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highlight w:val="none"/>
              </w:rPr>
            </w:pPr>
            <w:r>
              <w:rPr>
                <w:rFonts w:hint="eastAsia" w:ascii="宋体" w:hAnsi="宋体"/>
                <w:color w:val="auto"/>
                <w:highlight w:val="none"/>
              </w:rPr>
              <w:t>工程</w:t>
            </w:r>
          </w:p>
        </w:tc>
      </w:tr>
      <w:tr w14:paraId="2F17AD61">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7BE52CC2">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1.2.1</w:t>
            </w:r>
          </w:p>
        </w:tc>
        <w:tc>
          <w:tcPr>
            <w:tcW w:w="1711" w:type="dxa"/>
            <w:gridSpan w:val="2"/>
            <w:tcBorders>
              <w:top w:val="single" w:color="auto" w:sz="4" w:space="0"/>
              <w:left w:val="nil"/>
              <w:bottom w:val="single" w:color="auto" w:sz="4" w:space="0"/>
              <w:right w:val="single" w:color="auto" w:sz="4" w:space="0"/>
            </w:tcBorders>
            <w:vAlign w:val="center"/>
          </w:tcPr>
          <w:p w14:paraId="6B34E80F">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资金来源</w:t>
            </w:r>
          </w:p>
        </w:tc>
        <w:tc>
          <w:tcPr>
            <w:tcW w:w="6338" w:type="dxa"/>
            <w:tcBorders>
              <w:top w:val="single" w:color="auto" w:sz="4" w:space="0"/>
              <w:left w:val="nil"/>
              <w:bottom w:val="single" w:color="auto" w:sz="4" w:space="0"/>
              <w:right w:val="single" w:color="auto" w:sz="4" w:space="0"/>
            </w:tcBorders>
            <w:vAlign w:val="center"/>
          </w:tcPr>
          <w:p w14:paraId="5F4E6C33">
            <w:pPr>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highlight w:val="none"/>
              </w:rPr>
            </w:pPr>
            <w:r>
              <w:rPr>
                <w:rFonts w:hint="eastAsia" w:ascii="宋体" w:hAnsi="宋体"/>
                <w:color w:val="auto"/>
                <w:highlight w:val="none"/>
              </w:rPr>
              <w:t>财政资金</w:t>
            </w:r>
          </w:p>
        </w:tc>
      </w:tr>
      <w:tr w14:paraId="450760C1">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0C75FD40">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1.2.2</w:t>
            </w:r>
          </w:p>
        </w:tc>
        <w:tc>
          <w:tcPr>
            <w:tcW w:w="1711" w:type="dxa"/>
            <w:gridSpan w:val="2"/>
            <w:tcBorders>
              <w:top w:val="single" w:color="auto" w:sz="4" w:space="0"/>
              <w:left w:val="nil"/>
              <w:bottom w:val="single" w:color="auto" w:sz="4" w:space="0"/>
              <w:right w:val="single" w:color="auto" w:sz="4" w:space="0"/>
            </w:tcBorders>
            <w:vAlign w:val="center"/>
          </w:tcPr>
          <w:p w14:paraId="5DDA233C">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落实情况</w:t>
            </w:r>
          </w:p>
        </w:tc>
        <w:tc>
          <w:tcPr>
            <w:tcW w:w="6338" w:type="dxa"/>
            <w:tcBorders>
              <w:top w:val="single" w:color="auto" w:sz="4" w:space="0"/>
              <w:left w:val="nil"/>
              <w:bottom w:val="single" w:color="auto" w:sz="4" w:space="0"/>
              <w:right w:val="single" w:color="auto" w:sz="4" w:space="0"/>
            </w:tcBorders>
            <w:vAlign w:val="center"/>
          </w:tcPr>
          <w:p w14:paraId="14515348">
            <w:pPr>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highlight w:val="none"/>
              </w:rPr>
            </w:pPr>
            <w:r>
              <w:rPr>
                <w:rFonts w:hint="eastAsia" w:ascii="宋体" w:hAnsi="宋体"/>
                <w:color w:val="auto"/>
                <w:highlight w:val="none"/>
              </w:rPr>
              <w:t>已落实</w:t>
            </w:r>
          </w:p>
        </w:tc>
      </w:tr>
      <w:tr w14:paraId="692472E0">
        <w:tblPrEx>
          <w:tblCellMar>
            <w:top w:w="0" w:type="dxa"/>
            <w:left w:w="108" w:type="dxa"/>
            <w:bottom w:w="0" w:type="dxa"/>
            <w:right w:w="108" w:type="dxa"/>
          </w:tblCellMar>
        </w:tblPrEx>
        <w:trPr>
          <w:trHeight w:val="936"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E6EEF35">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1.3.1</w:t>
            </w:r>
          </w:p>
        </w:tc>
        <w:tc>
          <w:tcPr>
            <w:tcW w:w="1711" w:type="dxa"/>
            <w:gridSpan w:val="2"/>
            <w:tcBorders>
              <w:top w:val="single" w:color="auto" w:sz="4" w:space="0"/>
              <w:left w:val="nil"/>
              <w:bottom w:val="single" w:color="auto" w:sz="4" w:space="0"/>
              <w:right w:val="single" w:color="auto" w:sz="4" w:space="0"/>
            </w:tcBorders>
            <w:vAlign w:val="center"/>
          </w:tcPr>
          <w:p w14:paraId="021DCBF6">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b/>
                <w:bCs/>
                <w:color w:val="auto"/>
                <w:highlight w:val="none"/>
              </w:rPr>
              <w:t>采购内容及范围</w:t>
            </w:r>
          </w:p>
        </w:tc>
        <w:tc>
          <w:tcPr>
            <w:tcW w:w="6338" w:type="dxa"/>
            <w:tcBorders>
              <w:top w:val="single" w:color="auto" w:sz="4" w:space="0"/>
              <w:left w:val="nil"/>
              <w:bottom w:val="single" w:color="auto" w:sz="4" w:space="0"/>
              <w:right w:val="single" w:color="auto" w:sz="4" w:space="0"/>
            </w:tcBorders>
            <w:vAlign w:val="center"/>
          </w:tcPr>
          <w:p w14:paraId="4C2BF845">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color w:val="auto"/>
                <w:highlight w:val="none"/>
              </w:rPr>
            </w:pPr>
            <w:r>
              <w:rPr>
                <w:rFonts w:hint="eastAsia" w:ascii="宋体" w:hAnsi="宋体"/>
                <w:color w:val="auto"/>
                <w:highlight w:val="none"/>
              </w:rPr>
              <w:t>采购内容：</w:t>
            </w:r>
            <w:r>
              <w:rPr>
                <w:rFonts w:hint="eastAsia" w:ascii="宋体" w:hAnsi="宋体"/>
                <w:color w:val="auto"/>
                <w:highlight w:val="none"/>
                <w:lang w:eastAsia="zh-CN"/>
              </w:rPr>
              <w:t>河南财经政法大学文北校区办公楼、一餐厅、二餐厅、4号楼附楼、校医院及河南财经政法大学文南校区办公楼、宾馆楼、2号楼、榕园楼屋顶防水拆除及恢复</w:t>
            </w:r>
            <w:r>
              <w:rPr>
                <w:rFonts w:hint="eastAsia" w:ascii="宋体" w:hAnsi="宋体"/>
                <w:color w:val="auto"/>
                <w:highlight w:val="none"/>
              </w:rPr>
              <w:t>；</w:t>
            </w:r>
          </w:p>
          <w:p w14:paraId="159BBD75">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eastAsia="宋体"/>
                <w:color w:val="auto"/>
                <w:highlight w:val="none"/>
                <w:lang w:eastAsia="zh-CN"/>
              </w:rPr>
            </w:pPr>
            <w:r>
              <w:rPr>
                <w:rFonts w:hint="eastAsia" w:ascii="宋体" w:hAnsi="宋体"/>
                <w:color w:val="auto"/>
                <w:highlight w:val="none"/>
              </w:rPr>
              <w:t>采购范围：</w:t>
            </w:r>
            <w:r>
              <w:rPr>
                <w:rFonts w:hint="eastAsia" w:ascii="宋体" w:hAnsi="宋体"/>
                <w:color w:val="auto"/>
                <w:sz w:val="21"/>
                <w:szCs w:val="21"/>
                <w:highlight w:val="none"/>
                <w:lang w:val="en-US" w:eastAsia="zh-CN"/>
              </w:rPr>
              <w:t>本项目磋商文件、工程量清单、工程量清单答疑（如有）及补充说明（如有）包含的全部工作内容的施工、竣工验收、保修和相关服务</w:t>
            </w:r>
            <w:r>
              <w:rPr>
                <w:rFonts w:hint="eastAsia" w:ascii="宋体" w:hAnsi="宋体"/>
                <w:color w:val="auto"/>
                <w:highlight w:val="none"/>
                <w:lang w:eastAsia="zh-CN"/>
              </w:rPr>
              <w:t>。</w:t>
            </w:r>
          </w:p>
        </w:tc>
      </w:tr>
      <w:tr w14:paraId="3339C7C9">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404536A">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1.3.2</w:t>
            </w:r>
          </w:p>
        </w:tc>
        <w:tc>
          <w:tcPr>
            <w:tcW w:w="1711" w:type="dxa"/>
            <w:gridSpan w:val="2"/>
            <w:tcBorders>
              <w:top w:val="single" w:color="auto" w:sz="4" w:space="0"/>
              <w:left w:val="nil"/>
              <w:bottom w:val="single" w:color="auto" w:sz="4" w:space="0"/>
              <w:right w:val="single" w:color="auto" w:sz="4" w:space="0"/>
            </w:tcBorders>
            <w:vAlign w:val="center"/>
          </w:tcPr>
          <w:p w14:paraId="6201EFC2">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b/>
                <w:bCs/>
                <w:color w:val="auto"/>
                <w:highlight w:val="none"/>
              </w:rPr>
            </w:pPr>
            <w:r>
              <w:rPr>
                <w:rFonts w:hint="eastAsia" w:ascii="宋体" w:hAnsi="宋体"/>
                <w:b/>
                <w:bCs/>
                <w:color w:val="auto"/>
                <w:highlight w:val="none"/>
              </w:rPr>
              <w:t>建设地点</w:t>
            </w:r>
          </w:p>
        </w:tc>
        <w:tc>
          <w:tcPr>
            <w:tcW w:w="6338" w:type="dxa"/>
            <w:tcBorders>
              <w:top w:val="single" w:color="auto" w:sz="4" w:space="0"/>
              <w:left w:val="nil"/>
              <w:bottom w:val="single" w:color="auto" w:sz="4" w:space="0"/>
              <w:right w:val="single" w:color="auto" w:sz="4" w:space="0"/>
            </w:tcBorders>
            <w:vAlign w:val="center"/>
          </w:tcPr>
          <w:p w14:paraId="57AB5341">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eastAsia="宋体"/>
                <w:color w:val="auto"/>
                <w:highlight w:val="none"/>
                <w:lang w:eastAsia="zh-CN"/>
              </w:rPr>
            </w:pPr>
            <w:r>
              <w:rPr>
                <w:rFonts w:hint="eastAsia" w:ascii="宋体" w:hAnsi="宋体"/>
                <w:color w:val="auto"/>
                <w:highlight w:val="none"/>
                <w:lang w:eastAsia="zh-CN"/>
              </w:rPr>
              <w:t>河南财经政法大学文化路校区（郑州市金水区文化路80号、90号）</w:t>
            </w:r>
          </w:p>
        </w:tc>
      </w:tr>
      <w:tr w14:paraId="527315E8">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6E525B35">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1.3.3</w:t>
            </w:r>
          </w:p>
        </w:tc>
        <w:tc>
          <w:tcPr>
            <w:tcW w:w="1711" w:type="dxa"/>
            <w:gridSpan w:val="2"/>
            <w:tcBorders>
              <w:top w:val="single" w:color="auto" w:sz="4" w:space="0"/>
              <w:left w:val="nil"/>
              <w:bottom w:val="single" w:color="auto" w:sz="4" w:space="0"/>
              <w:right w:val="single" w:color="auto" w:sz="4" w:space="0"/>
            </w:tcBorders>
            <w:vAlign w:val="center"/>
          </w:tcPr>
          <w:p w14:paraId="47BA43DF">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b/>
                <w:bCs/>
                <w:color w:val="auto"/>
                <w:highlight w:val="none"/>
              </w:rPr>
            </w:pPr>
            <w:r>
              <w:rPr>
                <w:rFonts w:hint="eastAsia" w:ascii="宋体" w:hAnsi="宋体"/>
                <w:b/>
                <w:bCs/>
                <w:color w:val="auto"/>
                <w:highlight w:val="none"/>
              </w:rPr>
              <w:t>工期要求</w:t>
            </w:r>
          </w:p>
        </w:tc>
        <w:tc>
          <w:tcPr>
            <w:tcW w:w="6338" w:type="dxa"/>
            <w:tcBorders>
              <w:top w:val="single" w:color="auto" w:sz="4" w:space="0"/>
              <w:left w:val="nil"/>
              <w:bottom w:val="single" w:color="auto" w:sz="4" w:space="0"/>
              <w:right w:val="single" w:color="auto" w:sz="4" w:space="0"/>
            </w:tcBorders>
            <w:vAlign w:val="center"/>
          </w:tcPr>
          <w:p w14:paraId="14103955">
            <w:pPr>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highlight w:val="none"/>
              </w:rPr>
            </w:pPr>
            <w:r>
              <w:rPr>
                <w:rFonts w:hint="eastAsia" w:ascii="宋体" w:hAnsi="宋体"/>
                <w:color w:val="auto"/>
                <w:highlight w:val="none"/>
                <w:lang w:val="en-US" w:eastAsia="zh-CN"/>
              </w:rPr>
              <w:t>30日历天</w:t>
            </w:r>
          </w:p>
        </w:tc>
      </w:tr>
      <w:tr w14:paraId="654DA26B">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9FA0A75">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1.3.4</w:t>
            </w:r>
          </w:p>
        </w:tc>
        <w:tc>
          <w:tcPr>
            <w:tcW w:w="1711" w:type="dxa"/>
            <w:gridSpan w:val="2"/>
            <w:tcBorders>
              <w:top w:val="single" w:color="auto" w:sz="4" w:space="0"/>
              <w:left w:val="nil"/>
              <w:bottom w:val="single" w:color="auto" w:sz="4" w:space="0"/>
              <w:right w:val="single" w:color="auto" w:sz="4" w:space="0"/>
            </w:tcBorders>
            <w:vAlign w:val="center"/>
          </w:tcPr>
          <w:p w14:paraId="273C72BA">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b/>
                <w:bCs/>
                <w:color w:val="auto"/>
                <w:highlight w:val="none"/>
              </w:rPr>
            </w:pPr>
            <w:r>
              <w:rPr>
                <w:rFonts w:hint="eastAsia" w:ascii="宋体" w:hAnsi="宋体"/>
                <w:b/>
                <w:bCs/>
                <w:color w:val="auto"/>
                <w:highlight w:val="none"/>
              </w:rPr>
              <w:t>质量要求</w:t>
            </w:r>
          </w:p>
        </w:tc>
        <w:tc>
          <w:tcPr>
            <w:tcW w:w="6338" w:type="dxa"/>
            <w:tcBorders>
              <w:top w:val="single" w:color="auto" w:sz="4" w:space="0"/>
              <w:left w:val="nil"/>
              <w:bottom w:val="single" w:color="auto" w:sz="4" w:space="0"/>
              <w:right w:val="single" w:color="auto" w:sz="4" w:space="0"/>
            </w:tcBorders>
            <w:vAlign w:val="center"/>
          </w:tcPr>
          <w:p w14:paraId="38C93DAC">
            <w:pPr>
              <w:pStyle w:val="17"/>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highlight w:val="none"/>
              </w:rPr>
            </w:pPr>
            <w:r>
              <w:rPr>
                <w:rFonts w:hint="eastAsia" w:ascii="宋体" w:hAnsi="宋体"/>
                <w:color w:val="auto"/>
                <w:sz w:val="21"/>
                <w:szCs w:val="21"/>
                <w:highlight w:val="none"/>
              </w:rPr>
              <w:t>工程质量符合国家现行规范和标准，达到合格工程标准</w:t>
            </w:r>
          </w:p>
        </w:tc>
      </w:tr>
      <w:tr w14:paraId="26C53FDA">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0E4C342E">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hint="eastAsia" w:ascii="宋体" w:hAnsi="宋体" w:eastAsia="宋体"/>
                <w:color w:val="auto"/>
                <w:highlight w:val="none"/>
                <w:lang w:eastAsia="zh-CN"/>
              </w:rPr>
            </w:pPr>
            <w:r>
              <w:rPr>
                <w:rFonts w:hint="eastAsia" w:ascii="宋体" w:hAnsi="宋体"/>
                <w:color w:val="auto"/>
                <w:highlight w:val="none"/>
              </w:rPr>
              <w:t>1.3.</w:t>
            </w:r>
            <w:r>
              <w:rPr>
                <w:rFonts w:hint="eastAsia" w:ascii="宋体" w:hAnsi="宋体"/>
                <w:color w:val="auto"/>
                <w:highlight w:val="none"/>
                <w:lang w:val="en-US" w:eastAsia="zh-CN"/>
              </w:rPr>
              <w:t>5</w:t>
            </w:r>
          </w:p>
        </w:tc>
        <w:tc>
          <w:tcPr>
            <w:tcW w:w="1711" w:type="dxa"/>
            <w:gridSpan w:val="2"/>
            <w:tcBorders>
              <w:top w:val="single" w:color="auto" w:sz="4" w:space="0"/>
              <w:left w:val="nil"/>
              <w:bottom w:val="single" w:color="auto" w:sz="4" w:space="0"/>
              <w:right w:val="single" w:color="auto" w:sz="4" w:space="0"/>
            </w:tcBorders>
            <w:vAlign w:val="center"/>
          </w:tcPr>
          <w:p w14:paraId="733A1DEA">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hint="eastAsia" w:ascii="宋体" w:hAnsi="宋体" w:eastAsia="宋体"/>
                <w:b/>
                <w:bCs/>
                <w:color w:val="auto"/>
                <w:highlight w:val="none"/>
                <w:lang w:eastAsia="zh-CN"/>
              </w:rPr>
            </w:pPr>
            <w:r>
              <w:rPr>
                <w:rFonts w:hint="eastAsia" w:ascii="宋体" w:hAnsi="宋体"/>
                <w:b/>
                <w:bCs/>
                <w:color w:val="auto"/>
                <w:highlight w:val="none"/>
                <w:lang w:eastAsia="zh-CN"/>
              </w:rPr>
              <w:t>缺陷责任期</w:t>
            </w:r>
          </w:p>
        </w:tc>
        <w:tc>
          <w:tcPr>
            <w:tcW w:w="6338" w:type="dxa"/>
            <w:tcBorders>
              <w:top w:val="single" w:color="auto" w:sz="4" w:space="0"/>
              <w:left w:val="nil"/>
              <w:bottom w:val="single" w:color="auto" w:sz="4" w:space="0"/>
              <w:right w:val="single" w:color="auto" w:sz="4" w:space="0"/>
            </w:tcBorders>
            <w:vAlign w:val="center"/>
          </w:tcPr>
          <w:p w14:paraId="171D1E23">
            <w:pPr>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highlight w:val="none"/>
              </w:rPr>
            </w:pPr>
            <w:r>
              <w:rPr>
                <w:rFonts w:hint="eastAsia" w:ascii="宋体" w:hAnsi="宋体"/>
                <w:color w:val="auto"/>
                <w:highlight w:val="none"/>
                <w:lang w:val="en-US" w:eastAsia="zh-CN"/>
              </w:rPr>
              <w:t>2年</w:t>
            </w:r>
          </w:p>
        </w:tc>
      </w:tr>
      <w:tr w14:paraId="36314255">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AD8102D">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hint="default" w:ascii="宋体" w:hAnsi="宋体" w:eastAsia="宋体"/>
                <w:color w:val="auto"/>
                <w:highlight w:val="none"/>
                <w:lang w:val="en-US" w:eastAsia="zh-CN"/>
              </w:rPr>
            </w:pPr>
            <w:r>
              <w:rPr>
                <w:rFonts w:hint="eastAsia" w:ascii="宋体" w:hAnsi="宋体"/>
                <w:color w:val="auto"/>
                <w:highlight w:val="none"/>
                <w:lang w:val="en-US" w:eastAsia="zh-CN"/>
              </w:rPr>
              <w:t>1.3.6</w:t>
            </w:r>
          </w:p>
        </w:tc>
        <w:tc>
          <w:tcPr>
            <w:tcW w:w="1711" w:type="dxa"/>
            <w:gridSpan w:val="2"/>
            <w:tcBorders>
              <w:top w:val="single" w:color="auto" w:sz="4" w:space="0"/>
              <w:left w:val="nil"/>
              <w:bottom w:val="single" w:color="auto" w:sz="4" w:space="0"/>
              <w:right w:val="single" w:color="auto" w:sz="4" w:space="0"/>
            </w:tcBorders>
            <w:vAlign w:val="center"/>
          </w:tcPr>
          <w:p w14:paraId="45492AE7">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hint="eastAsia" w:ascii="宋体" w:hAnsi="宋体"/>
                <w:b/>
                <w:bCs/>
                <w:color w:val="auto"/>
                <w:highlight w:val="none"/>
                <w:lang w:eastAsia="zh-CN"/>
              </w:rPr>
            </w:pPr>
            <w:r>
              <w:rPr>
                <w:rFonts w:hint="eastAsia" w:ascii="宋体" w:hAnsi="宋体"/>
                <w:b/>
                <w:bCs/>
                <w:color w:val="auto"/>
                <w:highlight w:val="none"/>
                <w:lang w:val="en-US" w:eastAsia="zh-CN"/>
              </w:rPr>
              <w:t>保修期</w:t>
            </w:r>
          </w:p>
        </w:tc>
        <w:tc>
          <w:tcPr>
            <w:tcW w:w="6338" w:type="dxa"/>
            <w:tcBorders>
              <w:top w:val="single" w:color="auto" w:sz="4" w:space="0"/>
              <w:left w:val="nil"/>
              <w:bottom w:val="single" w:color="auto" w:sz="4" w:space="0"/>
              <w:right w:val="single" w:color="auto" w:sz="4" w:space="0"/>
            </w:tcBorders>
            <w:vAlign w:val="center"/>
          </w:tcPr>
          <w:p w14:paraId="60106F43">
            <w:pPr>
              <w:keepNext w:val="0"/>
              <w:keepLines w:val="0"/>
              <w:pageBreakBefore w:val="0"/>
              <w:widowControl w:val="0"/>
              <w:kinsoku/>
              <w:wordWrap/>
              <w:overflowPunct/>
              <w:topLinePunct/>
              <w:autoSpaceDE/>
              <w:autoSpaceDN/>
              <w:bidi w:val="0"/>
              <w:adjustRightInd w:val="0"/>
              <w:snapToGrid w:val="0"/>
              <w:spacing w:beforeAutospacing="0" w:line="360" w:lineRule="auto"/>
              <w:rPr>
                <w:rFonts w:hint="default" w:ascii="宋体" w:hAnsi="宋体"/>
                <w:color w:val="auto"/>
                <w:highlight w:val="none"/>
                <w:lang w:val="en-US" w:eastAsia="zh-CN"/>
              </w:rPr>
            </w:pPr>
            <w:r>
              <w:rPr>
                <w:rFonts w:hint="eastAsia" w:ascii="宋体" w:hAnsi="宋体"/>
                <w:color w:val="auto"/>
                <w:highlight w:val="none"/>
                <w:lang w:val="en-US" w:eastAsia="zh-CN"/>
              </w:rPr>
              <w:t>5年</w:t>
            </w:r>
          </w:p>
        </w:tc>
      </w:tr>
      <w:tr w14:paraId="3614E59A">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57354CD1">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1.4.1</w:t>
            </w:r>
          </w:p>
        </w:tc>
        <w:tc>
          <w:tcPr>
            <w:tcW w:w="1711" w:type="dxa"/>
            <w:gridSpan w:val="2"/>
            <w:tcBorders>
              <w:top w:val="single" w:color="auto" w:sz="4" w:space="0"/>
              <w:left w:val="nil"/>
              <w:bottom w:val="single" w:color="auto" w:sz="4" w:space="0"/>
              <w:right w:val="single" w:color="auto" w:sz="4" w:space="0"/>
            </w:tcBorders>
            <w:vAlign w:val="center"/>
          </w:tcPr>
          <w:p w14:paraId="3403B310">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供应商资质条件和能力</w:t>
            </w:r>
          </w:p>
        </w:tc>
        <w:tc>
          <w:tcPr>
            <w:tcW w:w="6338" w:type="dxa"/>
            <w:tcBorders>
              <w:top w:val="single" w:color="auto" w:sz="4" w:space="0"/>
              <w:left w:val="nil"/>
              <w:bottom w:val="single" w:color="auto" w:sz="4" w:space="0"/>
              <w:right w:val="single" w:color="auto" w:sz="4" w:space="0"/>
            </w:tcBorders>
            <w:vAlign w:val="center"/>
          </w:tcPr>
          <w:p w14:paraId="4E1E7650">
            <w:pPr>
              <w:keepNext w:val="0"/>
              <w:keepLines w:val="0"/>
              <w:pageBreakBefore w:val="0"/>
              <w:widowControl w:val="0"/>
              <w:numPr>
                <w:ilvl w:val="0"/>
                <w:numId w:val="0"/>
              </w:numPr>
              <w:kinsoku/>
              <w:wordWrap/>
              <w:overflow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lang w:eastAsia="zh-CN"/>
              </w:rPr>
            </w:pPr>
            <w:r>
              <w:rPr>
                <w:rFonts w:hint="eastAsia" w:ascii="宋体" w:hAnsi="宋体" w:eastAsia="宋体" w:cs="Times New Roman"/>
                <w:color w:val="auto"/>
                <w:kern w:val="2"/>
                <w:sz w:val="21"/>
                <w:szCs w:val="21"/>
                <w:highlight w:val="none"/>
                <w:lang w:val="en-US" w:eastAsia="zh-CN" w:bidi="ar-SA"/>
              </w:rPr>
              <w:t>1.</w:t>
            </w:r>
            <w:r>
              <w:rPr>
                <w:rFonts w:hint="eastAsia" w:ascii="宋体" w:hAnsi="宋体"/>
                <w:color w:val="auto"/>
                <w:sz w:val="21"/>
                <w:szCs w:val="21"/>
                <w:highlight w:val="none"/>
              </w:rPr>
              <w:t>满足《中华人民共和国政府采购法》第二十二条规定</w:t>
            </w:r>
            <w:r>
              <w:rPr>
                <w:rFonts w:hint="eastAsia" w:ascii="宋体" w:hAnsi="宋体"/>
                <w:color w:val="auto"/>
                <w:sz w:val="21"/>
                <w:szCs w:val="21"/>
                <w:highlight w:val="none"/>
                <w:lang w:eastAsia="zh-CN"/>
              </w:rPr>
              <w:t>：</w:t>
            </w:r>
          </w:p>
          <w:p w14:paraId="42E4E8EF">
            <w:pPr>
              <w:keepNext w:val="0"/>
              <w:keepLines w:val="0"/>
              <w:pageBreakBefore w:val="0"/>
              <w:widowControl w:val="0"/>
              <w:numPr>
                <w:ilvl w:val="0"/>
                <w:numId w:val="0"/>
              </w:numPr>
              <w:kinsoku/>
              <w:wordWrap/>
              <w:overflowPunct/>
              <w:autoSpaceDE/>
              <w:autoSpaceDN/>
              <w:bidi w:val="0"/>
              <w:adjustRightInd w:val="0"/>
              <w:snapToGrid w:val="0"/>
              <w:spacing w:beforeAutospacing="0"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1.1</w:t>
            </w:r>
            <w:r>
              <w:rPr>
                <w:rFonts w:hint="eastAsia" w:ascii="宋体" w:hAnsi="宋体"/>
                <w:color w:val="auto"/>
                <w:sz w:val="21"/>
                <w:szCs w:val="21"/>
                <w:highlight w:val="none"/>
                <w:lang w:eastAsia="zh-CN"/>
              </w:rPr>
              <w:t>具有独立承担民事责任的能力（提供有效的营业执照/事业单位法人证书/社会团体法人登记证书/民办非企业单位登记证书等相关证明文件）；</w:t>
            </w:r>
          </w:p>
          <w:p w14:paraId="3C080F63">
            <w:pPr>
              <w:keepNext w:val="0"/>
              <w:keepLines w:val="0"/>
              <w:pageBreakBefore w:val="0"/>
              <w:widowControl w:val="0"/>
              <w:numPr>
                <w:ilvl w:val="0"/>
                <w:numId w:val="0"/>
              </w:numPr>
              <w:kinsoku/>
              <w:wordWrap/>
              <w:overflowPunct/>
              <w:autoSpaceDE/>
              <w:autoSpaceDN/>
              <w:bidi w:val="0"/>
              <w:adjustRightInd w:val="0"/>
              <w:snapToGrid w:val="0"/>
              <w:spacing w:beforeAutospacing="0"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1.2</w:t>
            </w:r>
            <w:r>
              <w:rPr>
                <w:rFonts w:hint="eastAsia" w:ascii="宋体" w:hAnsi="宋体"/>
                <w:color w:val="auto"/>
                <w:sz w:val="21"/>
                <w:szCs w:val="21"/>
                <w:highlight w:val="none"/>
                <w:lang w:eastAsia="zh-CN"/>
              </w:rPr>
              <w:t>具有良好的商业信誉和健全的财务会计管理制度（提供</w:t>
            </w:r>
            <w:r>
              <w:rPr>
                <w:rFonts w:hint="eastAsia" w:ascii="宋体" w:hAnsi="宋体"/>
                <w:color w:val="auto"/>
                <w:sz w:val="21"/>
                <w:szCs w:val="21"/>
                <w:highlight w:val="none"/>
                <w:lang w:val="en-US" w:eastAsia="zh-CN"/>
              </w:rPr>
              <w:t>2025年度</w:t>
            </w:r>
            <w:r>
              <w:rPr>
                <w:rFonts w:hint="eastAsia" w:ascii="宋体" w:hAnsi="宋体"/>
                <w:color w:val="auto"/>
                <w:sz w:val="21"/>
                <w:szCs w:val="21"/>
                <w:highlight w:val="none"/>
                <w:lang w:eastAsia="zh-CN"/>
              </w:rPr>
              <w:t>经审计的财务报告，或提供近三个月内其基本开户银行出具的资信证明）；</w:t>
            </w:r>
          </w:p>
          <w:p w14:paraId="54B42C48">
            <w:pPr>
              <w:keepNext w:val="0"/>
              <w:keepLines w:val="0"/>
              <w:pageBreakBefore w:val="0"/>
              <w:widowControl w:val="0"/>
              <w:numPr>
                <w:ilvl w:val="0"/>
                <w:numId w:val="0"/>
              </w:numPr>
              <w:kinsoku/>
              <w:wordWrap/>
              <w:overflowPunct/>
              <w:autoSpaceDE/>
              <w:autoSpaceDN/>
              <w:bidi w:val="0"/>
              <w:adjustRightInd w:val="0"/>
              <w:snapToGrid w:val="0"/>
              <w:spacing w:beforeAutospacing="0"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1.3</w:t>
            </w:r>
            <w:r>
              <w:rPr>
                <w:rFonts w:hint="eastAsia" w:ascii="宋体" w:hAnsi="宋体"/>
                <w:color w:val="auto"/>
                <w:sz w:val="21"/>
                <w:szCs w:val="21"/>
                <w:highlight w:val="none"/>
                <w:lang w:eastAsia="zh-CN"/>
              </w:rPr>
              <w:t>具有履行合同所必需的设备和专业技术能力（提供承诺函）；</w:t>
            </w:r>
          </w:p>
          <w:p w14:paraId="1DA1F830">
            <w:pPr>
              <w:keepNext w:val="0"/>
              <w:keepLines w:val="0"/>
              <w:pageBreakBefore w:val="0"/>
              <w:widowControl w:val="0"/>
              <w:numPr>
                <w:ilvl w:val="0"/>
                <w:numId w:val="0"/>
              </w:numPr>
              <w:kinsoku/>
              <w:wordWrap/>
              <w:overflowPunct/>
              <w:autoSpaceDE/>
              <w:autoSpaceDN/>
              <w:bidi w:val="0"/>
              <w:adjustRightInd w:val="0"/>
              <w:snapToGrid w:val="0"/>
              <w:spacing w:beforeAutospacing="0"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有依法缴纳税收和社会保障资金的良好记录（提供202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年1月1日以来任</w:t>
            </w:r>
            <w:r>
              <w:rPr>
                <w:rFonts w:hint="eastAsia" w:ascii="宋体" w:hAnsi="宋体"/>
                <w:b w:val="0"/>
                <w:bCs w:val="0"/>
                <w:color w:val="auto"/>
                <w:sz w:val="21"/>
                <w:szCs w:val="21"/>
                <w:highlight w:val="none"/>
                <w:lang w:eastAsia="zh-CN"/>
              </w:rPr>
              <w:t>意</w:t>
            </w:r>
            <w:r>
              <w:rPr>
                <w:rFonts w:hint="eastAsia" w:ascii="宋体" w:hAnsi="宋体"/>
                <w:b w:val="0"/>
                <w:bCs w:val="0"/>
                <w:color w:val="auto"/>
                <w:sz w:val="21"/>
                <w:szCs w:val="21"/>
                <w:highlight w:val="none"/>
                <w:lang w:val="en-US" w:eastAsia="zh-CN"/>
              </w:rPr>
              <w:t>1</w:t>
            </w:r>
            <w:r>
              <w:rPr>
                <w:rFonts w:hint="eastAsia" w:ascii="宋体" w:hAnsi="宋体"/>
                <w:b w:val="0"/>
                <w:bCs w:val="0"/>
                <w:color w:val="auto"/>
                <w:sz w:val="21"/>
                <w:szCs w:val="21"/>
                <w:highlight w:val="none"/>
                <w:lang w:eastAsia="zh-CN"/>
              </w:rPr>
              <w:t>个月</w:t>
            </w:r>
            <w:r>
              <w:rPr>
                <w:rFonts w:hint="eastAsia" w:ascii="宋体" w:hAnsi="宋体"/>
                <w:color w:val="auto"/>
                <w:sz w:val="21"/>
                <w:szCs w:val="21"/>
                <w:highlight w:val="none"/>
                <w:lang w:eastAsia="zh-CN"/>
              </w:rPr>
              <w:t>的依法缴纳税收和社会保障资金的证明材料，依法免税或不需要缴纳税收、缴纳社会保障资金的供应商，须出具有效证明文件）；</w:t>
            </w:r>
          </w:p>
          <w:p w14:paraId="6EF537D5">
            <w:pPr>
              <w:keepNext w:val="0"/>
              <w:keepLines w:val="0"/>
              <w:pageBreakBefore w:val="0"/>
              <w:widowControl w:val="0"/>
              <w:numPr>
                <w:ilvl w:val="0"/>
                <w:numId w:val="0"/>
              </w:numPr>
              <w:kinsoku/>
              <w:wordWrap/>
              <w:overflowPunct/>
              <w:autoSpaceDE/>
              <w:autoSpaceDN/>
              <w:bidi w:val="0"/>
              <w:adjustRightInd w:val="0"/>
              <w:snapToGrid w:val="0"/>
              <w:spacing w:beforeAutospacing="0"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1.5</w:t>
            </w:r>
            <w:r>
              <w:rPr>
                <w:rFonts w:hint="eastAsia" w:ascii="宋体" w:hAnsi="宋体"/>
                <w:color w:val="auto"/>
                <w:sz w:val="21"/>
                <w:szCs w:val="21"/>
                <w:highlight w:val="none"/>
                <w:lang w:eastAsia="zh-CN"/>
              </w:rPr>
              <w:t>参加政府采购活动前三年内，在经营活动中没有重大违法记录。（提供承诺函）</w:t>
            </w:r>
          </w:p>
          <w:p w14:paraId="5FF25C30">
            <w:pPr>
              <w:keepNext w:val="0"/>
              <w:keepLines w:val="0"/>
              <w:pageBreakBefore w:val="0"/>
              <w:widowControl w:val="0"/>
              <w:kinsoku/>
              <w:wordWrap/>
              <w:overflowPunct/>
              <w:autoSpaceDE/>
              <w:autoSpaceDN/>
              <w:bidi w:val="0"/>
              <w:adjustRightInd w:val="0"/>
              <w:snapToGrid w:val="0"/>
              <w:spacing w:beforeAutospacing="0" w:line="360" w:lineRule="auto"/>
              <w:ind w:firstLine="0" w:firstLineChars="0"/>
              <w:jc w:val="left"/>
              <w:rPr>
                <w:rFonts w:hint="eastAsia" w:ascii="宋体" w:hAnsi="宋体"/>
                <w:b/>
                <w:bCs/>
                <w:strike w:val="0"/>
                <w:dstrike w:val="0"/>
                <w:color w:val="auto"/>
                <w:sz w:val="21"/>
                <w:szCs w:val="21"/>
                <w:highlight w:val="none"/>
              </w:rPr>
            </w:pPr>
            <w:r>
              <w:rPr>
                <w:rFonts w:hint="eastAsia" w:ascii="宋体" w:hAnsi="宋体"/>
                <w:strike w:val="0"/>
                <w:dstrike w:val="0"/>
                <w:color w:val="auto"/>
                <w:sz w:val="21"/>
                <w:szCs w:val="21"/>
                <w:highlight w:val="none"/>
                <w:lang w:val="en-GB"/>
              </w:rPr>
              <w:t>2</w:t>
            </w:r>
            <w:r>
              <w:rPr>
                <w:rFonts w:hint="eastAsia" w:ascii="宋体" w:hAnsi="宋体"/>
                <w:strike w:val="0"/>
                <w:dstrike w:val="0"/>
                <w:color w:val="auto"/>
                <w:sz w:val="21"/>
                <w:szCs w:val="21"/>
                <w:highlight w:val="none"/>
              </w:rPr>
              <w:t>.</w:t>
            </w:r>
            <w:r>
              <w:rPr>
                <w:rFonts w:hint="eastAsia" w:ascii="宋体" w:hAnsi="宋体"/>
                <w:strike w:val="0"/>
                <w:dstrike w:val="0"/>
                <w:color w:val="auto"/>
                <w:sz w:val="21"/>
                <w:szCs w:val="21"/>
                <w:highlight w:val="none"/>
                <w:lang w:val="en-GB"/>
              </w:rPr>
              <w:t>落实政府采购政策满足的资格要求：</w:t>
            </w:r>
            <w:r>
              <w:rPr>
                <w:rFonts w:hint="eastAsia" w:ascii="宋体" w:hAnsi="宋体" w:cs="宋体"/>
                <w:color w:val="auto"/>
                <w:sz w:val="21"/>
                <w:szCs w:val="21"/>
                <w:highlight w:val="none"/>
                <w:lang w:val="en-US" w:eastAsia="zh-CN"/>
              </w:rPr>
              <w:t>无</w:t>
            </w:r>
            <w:r>
              <w:rPr>
                <w:rFonts w:hint="eastAsia" w:ascii="宋体" w:hAnsi="宋体"/>
                <w:b w:val="0"/>
                <w:bCs w:val="0"/>
                <w:strike w:val="0"/>
                <w:dstrike w:val="0"/>
                <w:color w:val="auto"/>
                <w:sz w:val="21"/>
                <w:szCs w:val="21"/>
                <w:highlight w:val="none"/>
              </w:rPr>
              <w:t>；</w:t>
            </w:r>
          </w:p>
          <w:p w14:paraId="1E2B69D3">
            <w:pPr>
              <w:keepNext w:val="0"/>
              <w:keepLines w:val="0"/>
              <w:pageBreakBefore w:val="0"/>
              <w:widowControl w:val="0"/>
              <w:kinsoku/>
              <w:wordWrap/>
              <w:overflow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3.本项目的特定资格要求：</w:t>
            </w:r>
          </w:p>
          <w:p w14:paraId="721C6E76">
            <w:pPr>
              <w:keepNext w:val="0"/>
              <w:keepLines w:val="0"/>
              <w:pageBreakBefore w:val="0"/>
              <w:widowControl w:val="0"/>
              <w:kinsoku/>
              <w:wordWrap/>
              <w:overflow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3.1</w:t>
            </w:r>
            <w:r>
              <w:rPr>
                <w:rFonts w:hint="eastAsia" w:ascii="宋体" w:hAnsi="宋体"/>
                <w:color w:val="auto"/>
                <w:sz w:val="21"/>
                <w:szCs w:val="21"/>
                <w:highlight w:val="none"/>
              </w:rPr>
              <w:t>资质要求：供应商须具有建设行政主管部门核发的</w:t>
            </w:r>
            <w:r>
              <w:rPr>
                <w:rFonts w:hint="eastAsia" w:ascii="宋体" w:hAnsi="宋体"/>
                <w:color w:val="auto"/>
                <w:sz w:val="21"/>
                <w:szCs w:val="21"/>
                <w:highlight w:val="none"/>
                <w:lang w:eastAsia="zh-CN"/>
              </w:rPr>
              <w:t>防水防腐保温工程专业承包二级及以上资质，具备有效的安全生产许可证</w:t>
            </w:r>
            <w:r>
              <w:rPr>
                <w:rFonts w:hint="eastAsia" w:ascii="宋体" w:hAnsi="宋体"/>
                <w:color w:val="auto"/>
                <w:sz w:val="21"/>
                <w:szCs w:val="21"/>
                <w:highlight w:val="none"/>
              </w:rPr>
              <w:t>，并在人员、设备、资金等方面具备相应的施工能力；</w:t>
            </w:r>
          </w:p>
          <w:p w14:paraId="7B29E0D2">
            <w:pPr>
              <w:keepNext w:val="0"/>
              <w:keepLines w:val="0"/>
              <w:pageBreakBefore w:val="0"/>
              <w:widowControl w:val="0"/>
              <w:kinsoku/>
              <w:wordWrap/>
              <w:overflow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3.2</w:t>
            </w:r>
            <w:r>
              <w:rPr>
                <w:rFonts w:hint="eastAsia" w:ascii="宋体" w:hAnsi="宋体"/>
                <w:color w:val="auto"/>
                <w:sz w:val="21"/>
                <w:szCs w:val="21"/>
                <w:highlight w:val="none"/>
              </w:rPr>
              <w:t>拟派项目经理资格要求：须具有建筑工程专业二级及以上注册建造师资格和有效的安全生产考核合格证，须提供202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年1月以来供应商为其缴纳的任意</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个月养老保险证明，且未在其他在建施工项目担任项目经理（自行承诺）；</w:t>
            </w:r>
          </w:p>
          <w:p w14:paraId="45413D6B">
            <w:pPr>
              <w:keepNext w:val="0"/>
              <w:keepLines w:val="0"/>
              <w:pageBreakBefore w:val="0"/>
              <w:widowControl w:val="0"/>
              <w:kinsoku/>
              <w:wordWrap/>
              <w:overflow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3.3根据《关于在政府采购活动中查询及使用信用记录有关问题的通知》（财库〔2016〕125号）的规定，对列入失信被执行人、重大税收违法失信主体、政府采购严重违法失信行为记录名单及列入严重违法失信名单（黑名单）的供应商，拒绝参与本项目政府采购活动；采购人或采购代理机构将在资格审查环节通过以下渠道对各供应商信用记录进行查询，信用信息查询记录及相关证据与其他采购文件一并保存：</w:t>
            </w:r>
          </w:p>
          <w:p w14:paraId="4D59469A">
            <w:pPr>
              <w:keepNext w:val="0"/>
              <w:keepLines w:val="0"/>
              <w:pageBreakBefore w:val="0"/>
              <w:widowControl w:val="0"/>
              <w:kinsoku/>
              <w:wordWrap/>
              <w:overflow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失信被执行人查询渠道：“信用中国”网站跳转至“中国执行信息公开网”网站；</w:t>
            </w:r>
          </w:p>
          <w:p w14:paraId="771514E5">
            <w:pPr>
              <w:keepNext w:val="0"/>
              <w:keepLines w:val="0"/>
              <w:pageBreakBefore w:val="0"/>
              <w:widowControl w:val="0"/>
              <w:kinsoku/>
              <w:wordWrap/>
              <w:overflow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重大税收违法失信主体查询渠道：“信用中国”网站；</w:t>
            </w:r>
          </w:p>
          <w:p w14:paraId="785AC390">
            <w:pPr>
              <w:keepNext w:val="0"/>
              <w:keepLines w:val="0"/>
              <w:pageBreakBefore w:val="0"/>
              <w:widowControl w:val="0"/>
              <w:kinsoku/>
              <w:wordWrap/>
              <w:overflow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政府采购严重违法失信行为查询渠道：“中国政府采购网”网站；</w:t>
            </w:r>
          </w:p>
          <w:p w14:paraId="4370A6C7">
            <w:pPr>
              <w:keepNext w:val="0"/>
              <w:keepLines w:val="0"/>
              <w:pageBreakBefore w:val="0"/>
              <w:widowControl w:val="0"/>
              <w:kinsoku/>
              <w:wordWrap/>
              <w:overflowPunct/>
              <w:autoSpaceDE/>
              <w:autoSpaceDN/>
              <w:bidi w:val="0"/>
              <w:adjustRightInd w:val="0"/>
              <w:snapToGrid w:val="0"/>
              <w:spacing w:beforeAutospacing="0" w:line="360" w:lineRule="auto"/>
              <w:ind w:firstLine="0" w:firstLineChars="0"/>
              <w:jc w:val="left"/>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严重违法失信名单（黑名单）查询渠道</w:t>
            </w:r>
            <w:r>
              <w:rPr>
                <w:rFonts w:hint="eastAsia" w:ascii="宋体" w:hAnsi="宋体"/>
                <w:color w:val="auto"/>
                <w:sz w:val="21"/>
                <w:szCs w:val="21"/>
                <w:highlight w:val="none"/>
                <w:lang w:eastAsia="zh-CN"/>
              </w:rPr>
              <w:t>：“</w:t>
            </w:r>
            <w:r>
              <w:rPr>
                <w:rFonts w:hint="eastAsia" w:ascii="宋体" w:hAnsi="宋体"/>
                <w:color w:val="auto"/>
                <w:sz w:val="21"/>
                <w:szCs w:val="21"/>
                <w:highlight w:val="none"/>
              </w:rPr>
              <w:t>国家企业信用信息公示系统”网站</w:t>
            </w:r>
            <w:r>
              <w:rPr>
                <w:rFonts w:hint="eastAsia" w:ascii="宋体" w:hAnsi="宋体"/>
                <w:color w:val="auto"/>
                <w:sz w:val="21"/>
                <w:szCs w:val="21"/>
                <w:highlight w:val="none"/>
                <w:lang w:eastAsia="zh-CN"/>
              </w:rPr>
              <w:t>；</w:t>
            </w:r>
          </w:p>
          <w:p w14:paraId="275B4D59">
            <w:pPr>
              <w:keepNext w:val="0"/>
              <w:keepLines w:val="0"/>
              <w:pageBreakBefore w:val="0"/>
              <w:widowControl w:val="0"/>
              <w:kinsoku/>
              <w:wordWrap/>
              <w:overflowPunct/>
              <w:topLine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4供应商未处于被责令停产、停业、投标资格被取消或者财产被接管、冻结和破产状态；2023年1月1日以来供应商未发生骗取中标或者严重违约以及发生重大工程质量、安全生产事故等问题（自行承诺）；</w:t>
            </w:r>
          </w:p>
          <w:p w14:paraId="0BCE41D7">
            <w:pPr>
              <w:keepNext w:val="0"/>
              <w:keepLines w:val="0"/>
              <w:pageBreakBefore w:val="0"/>
              <w:widowControl w:val="0"/>
              <w:kinsoku/>
              <w:wordWrap/>
              <w:overflowPunct/>
              <w:topLine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3.5单位负责人为同一人或者存在直接控股、管理关系的不同供应商，不得参加同一合同项下的政府采购活动（自行承诺）；</w:t>
            </w:r>
          </w:p>
          <w:p w14:paraId="0B452E3A">
            <w:pPr>
              <w:keepNext w:val="0"/>
              <w:keepLines w:val="0"/>
              <w:pageBreakBefore w:val="0"/>
              <w:widowControl w:val="0"/>
              <w:kinsoku/>
              <w:wordWrap/>
              <w:overflowPunct/>
              <w:topLinePunct/>
              <w:autoSpaceDE/>
              <w:autoSpaceDN/>
              <w:bidi w:val="0"/>
              <w:adjustRightInd w:val="0"/>
              <w:snapToGrid w:val="0"/>
              <w:spacing w:beforeAutospacing="0" w:line="360" w:lineRule="auto"/>
              <w:ind w:firstLine="0" w:firstLineChars="0"/>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3.6为采购项目提供整体设计、规范编制或者项目管理、监理、检测等服务的供应商，不得再参加该次采购项目的其他采购活动（自行承诺）；</w:t>
            </w:r>
          </w:p>
          <w:p w14:paraId="4638498A">
            <w:pPr>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3.7根据《河南省住房和城乡建设厅关于进一步规范建设工程企业资质管理的通知》（豫建行规〔2024〕7号）规定，被全国和河南省建筑市场监管公共服务平台标注为资质异常的，不能使用标注异常资质承揽本工程（响应文件中须提供全国和河南省建筑市场监管公共服务平台查询截图）。</w:t>
            </w:r>
          </w:p>
          <w:p w14:paraId="479290DD">
            <w:pPr>
              <w:keepNext w:val="0"/>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olor w:val="auto"/>
                <w:highlight w:val="none"/>
                <w:lang w:eastAsia="zh-CN"/>
              </w:rPr>
            </w:pPr>
            <w:r>
              <w:rPr>
                <w:rFonts w:hint="eastAsia" w:ascii="宋体" w:hAnsi="宋体"/>
                <w:color w:val="auto"/>
                <w:sz w:val="21"/>
                <w:szCs w:val="21"/>
                <w:highlight w:val="none"/>
                <w:lang w:val="en-US" w:eastAsia="zh-CN"/>
              </w:rPr>
              <w:t>3.8</w:t>
            </w:r>
            <w:r>
              <w:rPr>
                <w:rFonts w:hint="eastAsia"/>
                <w:color w:val="auto"/>
                <w:sz w:val="21"/>
                <w:szCs w:val="21"/>
                <w:highlight w:val="none"/>
                <w:lang w:val="en-US" w:eastAsia="zh-CN"/>
              </w:rPr>
              <w:t>被列入全国和河南省建筑市场监管公共服务平台黑名单且在管理期限内的供应商不得承揽本工程（响应文件中须提供全国和河南省建筑市场监管公共服务平台查询截图）</w:t>
            </w:r>
          </w:p>
        </w:tc>
      </w:tr>
      <w:tr w14:paraId="72EBC576">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404951F">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1.4.2</w:t>
            </w:r>
          </w:p>
        </w:tc>
        <w:tc>
          <w:tcPr>
            <w:tcW w:w="1711" w:type="dxa"/>
            <w:gridSpan w:val="2"/>
            <w:tcBorders>
              <w:top w:val="single" w:color="auto" w:sz="4" w:space="0"/>
              <w:left w:val="nil"/>
              <w:bottom w:val="single" w:color="auto" w:sz="4" w:space="0"/>
              <w:right w:val="single" w:color="auto" w:sz="4" w:space="0"/>
            </w:tcBorders>
            <w:vAlign w:val="center"/>
          </w:tcPr>
          <w:p w14:paraId="536D2EA1">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是否接受联合体</w:t>
            </w:r>
          </w:p>
        </w:tc>
        <w:tc>
          <w:tcPr>
            <w:tcW w:w="6338" w:type="dxa"/>
            <w:tcBorders>
              <w:top w:val="single" w:color="auto" w:sz="4" w:space="0"/>
              <w:left w:val="nil"/>
              <w:bottom w:val="single" w:color="auto" w:sz="4" w:space="0"/>
              <w:right w:val="single" w:color="auto" w:sz="4" w:space="0"/>
            </w:tcBorders>
            <w:vAlign w:val="center"/>
          </w:tcPr>
          <w:p w14:paraId="76E1B68C">
            <w:pPr>
              <w:pStyle w:val="18"/>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kern w:val="2"/>
                <w:sz w:val="21"/>
                <w:szCs w:val="21"/>
                <w:highlight w:val="none"/>
              </w:rPr>
            </w:pPr>
            <w:r>
              <w:rPr>
                <w:rFonts w:hint="eastAsia" w:ascii="宋体" w:hAnsi="宋体"/>
                <w:color w:val="auto"/>
                <w:kern w:val="2"/>
                <w:sz w:val="21"/>
                <w:szCs w:val="21"/>
                <w:highlight w:val="none"/>
              </w:rPr>
              <w:t>不接受</w:t>
            </w:r>
          </w:p>
        </w:tc>
      </w:tr>
      <w:tr w14:paraId="2D793F33">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137CB5C5">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2.1</w:t>
            </w:r>
          </w:p>
        </w:tc>
        <w:tc>
          <w:tcPr>
            <w:tcW w:w="1711" w:type="dxa"/>
            <w:gridSpan w:val="2"/>
            <w:tcBorders>
              <w:top w:val="single" w:color="auto" w:sz="4" w:space="0"/>
              <w:left w:val="nil"/>
              <w:bottom w:val="single" w:color="auto" w:sz="4" w:space="0"/>
              <w:right w:val="single" w:color="auto" w:sz="4" w:space="0"/>
            </w:tcBorders>
            <w:vAlign w:val="center"/>
          </w:tcPr>
          <w:p w14:paraId="706682BC">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构成磋商文件的其他材料</w:t>
            </w:r>
          </w:p>
        </w:tc>
        <w:tc>
          <w:tcPr>
            <w:tcW w:w="6338" w:type="dxa"/>
            <w:tcBorders>
              <w:top w:val="single" w:color="auto" w:sz="4" w:space="0"/>
              <w:left w:val="nil"/>
              <w:bottom w:val="single" w:color="auto" w:sz="4" w:space="0"/>
              <w:right w:val="single" w:color="auto" w:sz="4" w:space="0"/>
            </w:tcBorders>
            <w:vAlign w:val="center"/>
          </w:tcPr>
          <w:p w14:paraId="36C1EBC9">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除磋商文件外，采购人在磋商期间发出的澄清、修改、补充、补遗和</w:t>
            </w:r>
            <w:r>
              <w:rPr>
                <w:rFonts w:hint="eastAsia" w:ascii="宋体" w:hAnsi="宋体"/>
                <w:color w:val="auto"/>
                <w:highlight w:val="none"/>
                <w:lang w:eastAsia="zh-CN"/>
              </w:rPr>
              <w:t>其他有效</w:t>
            </w:r>
            <w:r>
              <w:rPr>
                <w:rFonts w:hint="eastAsia" w:ascii="宋体" w:hAnsi="宋体"/>
                <w:color w:val="auto"/>
                <w:highlight w:val="none"/>
              </w:rPr>
              <w:t>正式函件等内容均</w:t>
            </w:r>
            <w:r>
              <w:rPr>
                <w:rFonts w:hint="eastAsia" w:ascii="宋体" w:hAnsi="宋体"/>
                <w:color w:val="auto"/>
                <w:highlight w:val="none"/>
                <w:lang w:eastAsia="zh-CN"/>
              </w:rPr>
              <w:t>为</w:t>
            </w:r>
            <w:r>
              <w:rPr>
                <w:rFonts w:hint="eastAsia" w:ascii="宋体" w:hAnsi="宋体"/>
                <w:color w:val="auto"/>
                <w:highlight w:val="none"/>
              </w:rPr>
              <w:t>磋商文件的组成部分</w:t>
            </w:r>
          </w:p>
        </w:tc>
      </w:tr>
      <w:tr w14:paraId="3E9EAE80">
        <w:tblPrEx>
          <w:tblCellMar>
            <w:top w:w="0" w:type="dxa"/>
            <w:left w:w="108" w:type="dxa"/>
            <w:bottom w:w="0" w:type="dxa"/>
            <w:right w:w="108" w:type="dxa"/>
          </w:tblCellMar>
        </w:tblPrEx>
        <w:trPr>
          <w:trHeight w:val="1095"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50867746">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2.2.1</w:t>
            </w:r>
          </w:p>
        </w:tc>
        <w:tc>
          <w:tcPr>
            <w:tcW w:w="1711" w:type="dxa"/>
            <w:gridSpan w:val="2"/>
            <w:tcBorders>
              <w:top w:val="single" w:color="auto" w:sz="4" w:space="0"/>
              <w:left w:val="nil"/>
              <w:bottom w:val="single" w:color="auto" w:sz="4" w:space="0"/>
              <w:right w:val="single" w:color="auto" w:sz="4" w:space="0"/>
            </w:tcBorders>
            <w:vAlign w:val="center"/>
          </w:tcPr>
          <w:p w14:paraId="393648D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right="0" w:rightChars="0" w:firstLine="0" w:firstLineChars="0"/>
              <w:jc w:val="center"/>
              <w:textAlignment w:val="auto"/>
              <w:rPr>
                <w:rFonts w:ascii="宋体" w:hAnsi="宋体"/>
                <w:color w:val="auto"/>
                <w:highlight w:val="none"/>
              </w:rPr>
            </w:pPr>
            <w:r>
              <w:rPr>
                <w:rFonts w:hint="eastAsia" w:ascii="宋体" w:hAnsi="宋体"/>
                <w:color w:val="auto"/>
                <w:highlight w:val="none"/>
              </w:rPr>
              <w:t>供应商要求澄清磋商文件的截止时间及形式</w:t>
            </w:r>
          </w:p>
        </w:tc>
        <w:tc>
          <w:tcPr>
            <w:tcW w:w="6338" w:type="dxa"/>
            <w:tcBorders>
              <w:top w:val="single" w:color="auto" w:sz="4" w:space="0"/>
              <w:left w:val="nil"/>
              <w:bottom w:val="single" w:color="auto" w:sz="4" w:space="0"/>
              <w:right w:val="single" w:color="auto" w:sz="4" w:space="0"/>
            </w:tcBorders>
            <w:vAlign w:val="center"/>
          </w:tcPr>
          <w:p w14:paraId="4F103091">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hint="eastAsia" w:ascii="宋体" w:hAnsi="宋体" w:eastAsia="宋体"/>
                <w:color w:val="auto"/>
                <w:highlight w:val="none"/>
                <w:lang w:eastAsia="zh-CN"/>
              </w:rPr>
            </w:pPr>
            <w:r>
              <w:rPr>
                <w:rFonts w:hint="eastAsia" w:ascii="宋体" w:hAnsi="宋体"/>
                <w:color w:val="auto"/>
                <w:highlight w:val="none"/>
              </w:rPr>
              <w:t>应当在收到磋商文件或公告期限届满之日起7个工作日内，在河南省公共资源交易中心系统内提出</w:t>
            </w:r>
            <w:r>
              <w:rPr>
                <w:rFonts w:hint="eastAsia" w:ascii="宋体" w:hAnsi="宋体"/>
                <w:color w:val="auto"/>
                <w:highlight w:val="none"/>
                <w:lang w:eastAsia="zh-CN"/>
              </w:rPr>
              <w:t>并将盖章签字完整的扫描件（PDF格式）发至采购代理机构邮箱（</w:t>
            </w:r>
            <w:r>
              <w:rPr>
                <w:rFonts w:hint="eastAsia" w:ascii="宋体" w:hAnsi="宋体"/>
                <w:color w:val="auto"/>
                <w:highlight w:val="none"/>
                <w:lang w:val="en-US" w:eastAsia="zh-CN"/>
              </w:rPr>
              <w:t>zjsh86556161@163.com</w:t>
            </w:r>
            <w:r>
              <w:rPr>
                <w:rFonts w:hint="eastAsia" w:ascii="宋体" w:hAnsi="宋体"/>
                <w:color w:val="auto"/>
                <w:highlight w:val="none"/>
                <w:lang w:eastAsia="zh-CN"/>
              </w:rPr>
              <w:t>）。</w:t>
            </w:r>
          </w:p>
        </w:tc>
      </w:tr>
      <w:tr w14:paraId="11248B06">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2A136B9">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hint="eastAsia" w:ascii="宋体" w:hAnsi="宋体" w:eastAsia="宋体"/>
                <w:color w:val="auto"/>
                <w:highlight w:val="none"/>
                <w:lang w:eastAsia="zh-CN"/>
              </w:rPr>
            </w:pPr>
            <w:r>
              <w:rPr>
                <w:rFonts w:hint="eastAsia" w:ascii="宋体" w:hAnsi="宋体"/>
                <w:color w:val="auto"/>
                <w:highlight w:val="none"/>
              </w:rPr>
              <w:t>2.2.</w:t>
            </w:r>
            <w:r>
              <w:rPr>
                <w:rFonts w:hint="eastAsia" w:ascii="宋体" w:hAnsi="宋体"/>
                <w:color w:val="auto"/>
                <w:highlight w:val="none"/>
                <w:lang w:val="en-US" w:eastAsia="zh-CN"/>
              </w:rPr>
              <w:t>3</w:t>
            </w:r>
          </w:p>
        </w:tc>
        <w:tc>
          <w:tcPr>
            <w:tcW w:w="1711" w:type="dxa"/>
            <w:gridSpan w:val="2"/>
            <w:tcBorders>
              <w:top w:val="single" w:color="auto" w:sz="4" w:space="0"/>
              <w:left w:val="nil"/>
              <w:bottom w:val="single" w:color="auto" w:sz="4" w:space="0"/>
              <w:right w:val="single" w:color="auto" w:sz="4" w:space="0"/>
            </w:tcBorders>
            <w:vAlign w:val="center"/>
          </w:tcPr>
          <w:p w14:paraId="66B41974">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供应商确认收到磋商文件澄清的形式</w:t>
            </w:r>
          </w:p>
        </w:tc>
        <w:tc>
          <w:tcPr>
            <w:tcW w:w="6338" w:type="dxa"/>
            <w:tcBorders>
              <w:top w:val="single" w:color="auto" w:sz="4" w:space="0"/>
              <w:left w:val="nil"/>
              <w:bottom w:val="single" w:color="auto" w:sz="4" w:space="0"/>
              <w:right w:val="single" w:color="auto" w:sz="4" w:space="0"/>
            </w:tcBorders>
            <w:vAlign w:val="center"/>
          </w:tcPr>
          <w:p w14:paraId="25C05144">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在河南省公共资源交易中心电子交易平台上传澄清，供应商自行下载，同时在原公告发布媒介上发布，一经发出即视为供应商已确认</w:t>
            </w:r>
            <w:r>
              <w:rPr>
                <w:rFonts w:hint="eastAsia" w:ascii="宋体" w:hAnsi="宋体"/>
                <w:color w:val="auto"/>
                <w:highlight w:val="none"/>
                <w:lang w:eastAsia="zh-CN"/>
              </w:rPr>
              <w:t>收到。</w:t>
            </w:r>
          </w:p>
        </w:tc>
      </w:tr>
      <w:tr w14:paraId="41926CB5">
        <w:tblPrEx>
          <w:tblCellMar>
            <w:top w:w="0" w:type="dxa"/>
            <w:left w:w="108" w:type="dxa"/>
            <w:bottom w:w="0" w:type="dxa"/>
            <w:right w:w="108" w:type="dxa"/>
          </w:tblCellMar>
        </w:tblPrEx>
        <w:trPr>
          <w:trHeight w:val="133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6002D9C5">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hint="eastAsia" w:ascii="宋体" w:hAnsi="宋体" w:eastAsia="宋体"/>
                <w:color w:val="auto"/>
                <w:highlight w:val="none"/>
                <w:lang w:eastAsia="zh-CN"/>
              </w:rPr>
            </w:pPr>
            <w:r>
              <w:rPr>
                <w:rFonts w:hint="eastAsia" w:ascii="宋体" w:hAnsi="宋体"/>
                <w:color w:val="auto"/>
                <w:highlight w:val="none"/>
              </w:rPr>
              <w:t>2.3.</w:t>
            </w:r>
            <w:r>
              <w:rPr>
                <w:rFonts w:hint="eastAsia" w:ascii="宋体" w:hAnsi="宋体"/>
                <w:color w:val="auto"/>
                <w:highlight w:val="none"/>
                <w:lang w:val="en-US" w:eastAsia="zh-CN"/>
              </w:rPr>
              <w:t>3</w:t>
            </w:r>
          </w:p>
        </w:tc>
        <w:tc>
          <w:tcPr>
            <w:tcW w:w="1711" w:type="dxa"/>
            <w:gridSpan w:val="2"/>
            <w:tcBorders>
              <w:top w:val="single" w:color="auto" w:sz="4" w:space="0"/>
              <w:left w:val="nil"/>
              <w:bottom w:val="single" w:color="auto" w:sz="4" w:space="0"/>
              <w:right w:val="single" w:color="auto" w:sz="4" w:space="0"/>
            </w:tcBorders>
            <w:vAlign w:val="center"/>
          </w:tcPr>
          <w:p w14:paraId="568FDB92">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供应商确认收到磋商文件修改的形式</w:t>
            </w:r>
          </w:p>
        </w:tc>
        <w:tc>
          <w:tcPr>
            <w:tcW w:w="6338" w:type="dxa"/>
            <w:tcBorders>
              <w:top w:val="single" w:color="auto" w:sz="4" w:space="0"/>
              <w:left w:val="nil"/>
              <w:bottom w:val="single" w:color="auto" w:sz="4" w:space="0"/>
              <w:right w:val="single" w:color="auto" w:sz="4" w:space="0"/>
            </w:tcBorders>
            <w:vAlign w:val="center"/>
          </w:tcPr>
          <w:p w14:paraId="38344035">
            <w:pPr>
              <w:pStyle w:val="103"/>
              <w:keepNext w:val="0"/>
              <w:keepLines w:val="0"/>
              <w:pageBreakBefore w:val="0"/>
              <w:widowControl w:val="0"/>
              <w:kinsoku/>
              <w:wordWrap/>
              <w:overflowPunct/>
              <w:topLinePunct/>
              <w:autoSpaceDE/>
              <w:autoSpaceDN/>
              <w:bidi w:val="0"/>
              <w:adjustRightInd w:val="0"/>
              <w:snapToGrid w:val="0"/>
              <w:spacing w:beforeAutospacing="0" w:line="360" w:lineRule="auto"/>
              <w:rPr>
                <w:color w:val="auto"/>
                <w:highlight w:val="none"/>
                <w:lang w:eastAsia="zh-CN"/>
              </w:rPr>
            </w:pPr>
            <w:r>
              <w:rPr>
                <w:rFonts w:hint="eastAsia" w:cs="Times New Roman"/>
                <w:color w:val="auto"/>
                <w:sz w:val="21"/>
                <w:szCs w:val="21"/>
                <w:highlight w:val="none"/>
                <w:lang w:eastAsia="zh-CN"/>
              </w:rPr>
              <w:t>在河南省公共资源交易中心电子交易平台上传修改，供应商自行下载，同时在原公告发布媒介上发布，一经发出即视为供应商已确认收到。</w:t>
            </w:r>
          </w:p>
        </w:tc>
      </w:tr>
      <w:tr w14:paraId="0C05E881">
        <w:tblPrEx>
          <w:tblCellMar>
            <w:top w:w="0" w:type="dxa"/>
            <w:left w:w="108" w:type="dxa"/>
            <w:bottom w:w="0" w:type="dxa"/>
            <w:right w:w="108" w:type="dxa"/>
          </w:tblCellMar>
        </w:tblPrEx>
        <w:trPr>
          <w:trHeight w:val="769"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7978A7B9">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3.1.1</w:t>
            </w:r>
          </w:p>
        </w:tc>
        <w:tc>
          <w:tcPr>
            <w:tcW w:w="1711" w:type="dxa"/>
            <w:gridSpan w:val="2"/>
            <w:tcBorders>
              <w:top w:val="single" w:color="auto" w:sz="4" w:space="0"/>
              <w:left w:val="nil"/>
              <w:bottom w:val="single" w:color="auto" w:sz="4" w:space="0"/>
              <w:right w:val="single" w:color="auto" w:sz="4" w:space="0"/>
            </w:tcBorders>
            <w:vAlign w:val="center"/>
          </w:tcPr>
          <w:p w14:paraId="64495705">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构成响应文件的其他材料</w:t>
            </w:r>
          </w:p>
        </w:tc>
        <w:tc>
          <w:tcPr>
            <w:tcW w:w="6338" w:type="dxa"/>
            <w:tcBorders>
              <w:top w:val="single" w:color="auto" w:sz="4" w:space="0"/>
              <w:left w:val="nil"/>
              <w:bottom w:val="single" w:color="auto" w:sz="4" w:space="0"/>
              <w:right w:val="single" w:color="auto" w:sz="4" w:space="0"/>
            </w:tcBorders>
            <w:vAlign w:val="center"/>
          </w:tcPr>
          <w:p w14:paraId="16F06F1C">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供应商认为需要提交的其他证明材料</w:t>
            </w:r>
          </w:p>
        </w:tc>
      </w:tr>
      <w:tr w14:paraId="40DA2C49">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16DF2284">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3.2</w:t>
            </w:r>
          </w:p>
        </w:tc>
        <w:tc>
          <w:tcPr>
            <w:tcW w:w="1711" w:type="dxa"/>
            <w:gridSpan w:val="2"/>
            <w:tcBorders>
              <w:top w:val="single" w:color="auto" w:sz="4" w:space="0"/>
              <w:left w:val="nil"/>
              <w:bottom w:val="single" w:color="auto" w:sz="4" w:space="0"/>
              <w:right w:val="single" w:color="auto" w:sz="4" w:space="0"/>
            </w:tcBorders>
            <w:vAlign w:val="center"/>
          </w:tcPr>
          <w:p w14:paraId="783223AA">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center"/>
              <w:rPr>
                <w:rFonts w:ascii="宋体" w:hAnsi="宋体"/>
                <w:color w:val="auto"/>
                <w:highlight w:val="none"/>
              </w:rPr>
            </w:pPr>
            <w:r>
              <w:rPr>
                <w:rFonts w:hint="eastAsia" w:ascii="宋体" w:hAnsi="宋体"/>
                <w:color w:val="auto"/>
                <w:highlight w:val="none"/>
              </w:rPr>
              <w:t>磋商报价</w:t>
            </w:r>
          </w:p>
        </w:tc>
        <w:tc>
          <w:tcPr>
            <w:tcW w:w="6338" w:type="dxa"/>
            <w:tcBorders>
              <w:top w:val="single" w:color="auto" w:sz="4" w:space="0"/>
              <w:left w:val="nil"/>
              <w:bottom w:val="single" w:color="auto" w:sz="4" w:space="0"/>
              <w:right w:val="single" w:color="auto" w:sz="4" w:space="0"/>
            </w:tcBorders>
            <w:vAlign w:val="center"/>
          </w:tcPr>
          <w:p w14:paraId="1EA3DE80">
            <w:pPr>
              <w:keepNext w:val="0"/>
              <w:keepLines w:val="0"/>
              <w:pageBreakBefore w:val="0"/>
              <w:widowControl w:val="0"/>
              <w:numPr>
                <w:ilvl w:val="0"/>
                <w:numId w:val="0"/>
              </w:numPr>
              <w:kinsoku/>
              <w:wordWrap/>
              <w:overflowPunct/>
              <w:topLinePunct/>
              <w:autoSpaceDE/>
              <w:autoSpaceDN/>
              <w:bidi w:val="0"/>
              <w:adjustRightInd w:val="0"/>
              <w:snapToGrid w:val="0"/>
              <w:spacing w:beforeAutospacing="0" w:line="360" w:lineRule="auto"/>
              <w:jc w:val="left"/>
              <w:textAlignment w:val="center"/>
              <w:rPr>
                <w:rFonts w:hint="eastAsia" w:ascii="宋体" w:hAnsi="宋体"/>
                <w:color w:val="auto"/>
                <w:highlight w:val="none"/>
                <w:lang w:eastAsia="zh-CN"/>
              </w:rPr>
            </w:pPr>
            <w:r>
              <w:rPr>
                <w:rFonts w:hint="eastAsia" w:ascii="宋体" w:hAnsi="宋体" w:eastAsia="宋体" w:cs="Times New Roman"/>
                <w:color w:val="auto"/>
                <w:kern w:val="2"/>
                <w:sz w:val="21"/>
                <w:szCs w:val="21"/>
                <w:highlight w:val="none"/>
                <w:lang w:val="en-US" w:eastAsia="zh-CN" w:bidi="ar-SA"/>
              </w:rPr>
              <w:t>1.</w:t>
            </w:r>
            <w:r>
              <w:rPr>
                <w:rFonts w:hint="eastAsia" w:ascii="宋体" w:hAnsi="宋体"/>
                <w:color w:val="auto"/>
                <w:highlight w:val="none"/>
              </w:rPr>
              <w:t>磋商报价为本项目实施</w:t>
            </w:r>
            <w:r>
              <w:rPr>
                <w:rFonts w:hint="eastAsia" w:ascii="宋体" w:hAnsi="宋体"/>
                <w:color w:val="auto"/>
                <w:highlight w:val="none"/>
                <w:lang w:val="en-US" w:eastAsia="zh-CN"/>
              </w:rPr>
              <w:t>总报</w:t>
            </w:r>
            <w:r>
              <w:rPr>
                <w:rFonts w:hint="eastAsia" w:ascii="宋体" w:hAnsi="宋体"/>
                <w:color w:val="auto"/>
                <w:highlight w:val="none"/>
              </w:rPr>
              <w:t>价（包括：建筑安装工程费、保险费、相关服务费、税费和相关费用等项目的所有费用）</w:t>
            </w:r>
            <w:r>
              <w:rPr>
                <w:rFonts w:hint="eastAsia" w:ascii="宋体" w:hAnsi="宋体"/>
                <w:color w:val="auto"/>
                <w:highlight w:val="none"/>
                <w:lang w:eastAsia="zh-CN"/>
              </w:rPr>
              <w:t>。</w:t>
            </w:r>
          </w:p>
          <w:p w14:paraId="4A8130B0">
            <w:pPr>
              <w:keepNext w:val="0"/>
              <w:keepLines w:val="0"/>
              <w:pageBreakBefore w:val="0"/>
              <w:widowControl w:val="0"/>
              <w:numPr>
                <w:ilvl w:val="0"/>
                <w:numId w:val="0"/>
              </w:numPr>
              <w:kinsoku/>
              <w:wordWrap/>
              <w:overflowPunct/>
              <w:topLinePunct/>
              <w:autoSpaceDE/>
              <w:autoSpaceDN/>
              <w:bidi w:val="0"/>
              <w:adjustRightInd w:val="0"/>
              <w:snapToGrid w:val="0"/>
              <w:spacing w:beforeAutospacing="0" w:line="360" w:lineRule="auto"/>
              <w:jc w:val="left"/>
              <w:textAlignment w:val="center"/>
              <w:rPr>
                <w:rFonts w:ascii="宋体" w:hAnsi="宋体"/>
                <w:color w:val="auto"/>
                <w:highlight w:val="none"/>
              </w:rPr>
            </w:pPr>
            <w:r>
              <w:rPr>
                <w:rFonts w:hint="eastAsia" w:ascii="宋体" w:hAnsi="宋体"/>
                <w:color w:val="auto"/>
                <w:highlight w:val="none"/>
                <w:lang w:val="en-US" w:eastAsia="zh-CN"/>
              </w:rPr>
              <w:t>2.</w:t>
            </w:r>
            <w:r>
              <w:rPr>
                <w:rFonts w:hint="eastAsia" w:ascii="宋体" w:hAnsi="宋体"/>
                <w:color w:val="auto"/>
                <w:highlight w:val="none"/>
              </w:rPr>
              <w:t>随同响应文件密封递交的响应报价为第一轮报价，供应商通过符合性审查后，将进行</w:t>
            </w:r>
            <w:r>
              <w:rPr>
                <w:rFonts w:hint="eastAsia" w:ascii="宋体" w:hAnsi="宋体"/>
                <w:color w:val="auto"/>
                <w:highlight w:val="none"/>
                <w:lang w:val="en-US" w:eastAsia="zh-CN"/>
              </w:rPr>
              <w:t>磋商环节，供应商对磋商小组发出的磋商内容如实进行回复后进行</w:t>
            </w:r>
            <w:r>
              <w:rPr>
                <w:rFonts w:hint="eastAsia" w:ascii="宋体" w:hAnsi="宋体"/>
                <w:color w:val="auto"/>
                <w:highlight w:val="none"/>
              </w:rPr>
              <w:t>第二轮报价。供应商的后一次报价不得高于前一次报价（磋商过程中采购需求发生实质性变动的除外），否则磋商申请将被拒绝。</w:t>
            </w:r>
          </w:p>
        </w:tc>
      </w:tr>
      <w:tr w14:paraId="7624FAE8">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0BA4B57B">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3.3.1</w:t>
            </w:r>
          </w:p>
        </w:tc>
        <w:tc>
          <w:tcPr>
            <w:tcW w:w="1711" w:type="dxa"/>
            <w:gridSpan w:val="2"/>
            <w:tcBorders>
              <w:top w:val="single" w:color="auto" w:sz="4" w:space="0"/>
              <w:left w:val="nil"/>
              <w:bottom w:val="single" w:color="auto" w:sz="4" w:space="0"/>
              <w:right w:val="single" w:color="auto" w:sz="4" w:space="0"/>
            </w:tcBorders>
            <w:vAlign w:val="center"/>
          </w:tcPr>
          <w:p w14:paraId="6EBF5A42">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磋商有效期</w:t>
            </w:r>
          </w:p>
        </w:tc>
        <w:tc>
          <w:tcPr>
            <w:tcW w:w="6338" w:type="dxa"/>
            <w:tcBorders>
              <w:top w:val="single" w:color="auto" w:sz="4" w:space="0"/>
              <w:left w:val="nil"/>
              <w:bottom w:val="single" w:color="auto" w:sz="4" w:space="0"/>
              <w:right w:val="single" w:color="auto" w:sz="4" w:space="0"/>
            </w:tcBorders>
            <w:vAlign w:val="center"/>
          </w:tcPr>
          <w:p w14:paraId="41DDC620">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kern w:val="0"/>
                <w:highlight w:val="none"/>
                <w:lang w:val="en-US" w:eastAsia="zh-CN"/>
              </w:rPr>
              <w:t>60</w:t>
            </w:r>
            <w:r>
              <w:rPr>
                <w:rFonts w:hint="eastAsia" w:ascii="宋体" w:hAnsi="宋体"/>
                <w:color w:val="auto"/>
                <w:kern w:val="0"/>
                <w:highlight w:val="none"/>
                <w:lang w:eastAsia="zh-CN"/>
              </w:rPr>
              <w:t>日历天</w:t>
            </w:r>
            <w:r>
              <w:rPr>
                <w:rFonts w:hint="eastAsia" w:ascii="宋体" w:hAnsi="宋体"/>
                <w:color w:val="auto"/>
                <w:kern w:val="0"/>
                <w:highlight w:val="none"/>
              </w:rPr>
              <w:t>（响应文件提交截止之日起）</w:t>
            </w:r>
          </w:p>
        </w:tc>
      </w:tr>
      <w:tr w14:paraId="60C9BEB3">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517658C9">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3.4.1</w:t>
            </w:r>
          </w:p>
        </w:tc>
        <w:tc>
          <w:tcPr>
            <w:tcW w:w="1711" w:type="dxa"/>
            <w:gridSpan w:val="2"/>
            <w:tcBorders>
              <w:top w:val="single" w:color="auto" w:sz="4" w:space="0"/>
              <w:left w:val="nil"/>
              <w:bottom w:val="single" w:color="auto" w:sz="4" w:space="0"/>
              <w:right w:val="single" w:color="auto" w:sz="4" w:space="0"/>
            </w:tcBorders>
            <w:vAlign w:val="center"/>
          </w:tcPr>
          <w:p w14:paraId="6620663C">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磋商保证金</w:t>
            </w:r>
          </w:p>
        </w:tc>
        <w:tc>
          <w:tcPr>
            <w:tcW w:w="6338" w:type="dxa"/>
            <w:tcBorders>
              <w:top w:val="single" w:color="auto" w:sz="4" w:space="0"/>
              <w:left w:val="nil"/>
              <w:bottom w:val="single" w:color="auto" w:sz="4" w:space="0"/>
              <w:right w:val="single" w:color="auto" w:sz="4" w:space="0"/>
            </w:tcBorders>
            <w:vAlign w:val="center"/>
          </w:tcPr>
          <w:p w14:paraId="383807E6">
            <w:pPr>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highlight w:val="none"/>
              </w:rPr>
            </w:pPr>
            <w:r>
              <w:rPr>
                <w:rFonts w:hint="eastAsia" w:ascii="宋体" w:hAnsi="宋体"/>
                <w:color w:val="auto"/>
                <w:highlight w:val="none"/>
              </w:rPr>
              <w:t>不收取</w:t>
            </w:r>
          </w:p>
        </w:tc>
      </w:tr>
      <w:tr w14:paraId="149FF533">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45F93DB4">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3.6</w:t>
            </w:r>
          </w:p>
        </w:tc>
        <w:tc>
          <w:tcPr>
            <w:tcW w:w="1711" w:type="dxa"/>
            <w:gridSpan w:val="2"/>
            <w:tcBorders>
              <w:top w:val="single" w:color="auto" w:sz="4" w:space="0"/>
              <w:left w:val="nil"/>
              <w:bottom w:val="single" w:color="auto" w:sz="4" w:space="0"/>
              <w:right w:val="single" w:color="auto" w:sz="4" w:space="0"/>
            </w:tcBorders>
            <w:vAlign w:val="center"/>
          </w:tcPr>
          <w:p w14:paraId="6982152A">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是否允许递交备选磋商方案</w:t>
            </w:r>
          </w:p>
        </w:tc>
        <w:tc>
          <w:tcPr>
            <w:tcW w:w="6338" w:type="dxa"/>
            <w:tcBorders>
              <w:top w:val="single" w:color="auto" w:sz="4" w:space="0"/>
              <w:left w:val="nil"/>
              <w:bottom w:val="single" w:color="auto" w:sz="4" w:space="0"/>
              <w:right w:val="single" w:color="auto" w:sz="4" w:space="0"/>
            </w:tcBorders>
            <w:vAlign w:val="center"/>
          </w:tcPr>
          <w:p w14:paraId="3D4D6344">
            <w:pPr>
              <w:pStyle w:val="18"/>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kern w:val="2"/>
                <w:sz w:val="21"/>
                <w:szCs w:val="21"/>
                <w:highlight w:val="none"/>
              </w:rPr>
            </w:pPr>
            <w:r>
              <w:rPr>
                <w:rFonts w:hint="eastAsia" w:ascii="宋体" w:hAnsi="宋体"/>
                <w:color w:val="auto"/>
                <w:kern w:val="2"/>
                <w:sz w:val="21"/>
                <w:szCs w:val="21"/>
                <w:highlight w:val="none"/>
              </w:rPr>
              <w:t>不允许</w:t>
            </w:r>
          </w:p>
        </w:tc>
      </w:tr>
      <w:tr w14:paraId="036D2A94">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1E53741">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3.7.3</w:t>
            </w:r>
          </w:p>
        </w:tc>
        <w:tc>
          <w:tcPr>
            <w:tcW w:w="1711" w:type="dxa"/>
            <w:gridSpan w:val="2"/>
            <w:tcBorders>
              <w:top w:val="single" w:color="auto" w:sz="4" w:space="0"/>
              <w:left w:val="nil"/>
              <w:bottom w:val="single" w:color="auto" w:sz="4" w:space="0"/>
              <w:right w:val="single" w:color="auto" w:sz="4" w:space="0"/>
            </w:tcBorders>
            <w:vAlign w:val="center"/>
          </w:tcPr>
          <w:p w14:paraId="7D39D00C">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签字盖章要求</w:t>
            </w:r>
          </w:p>
        </w:tc>
        <w:tc>
          <w:tcPr>
            <w:tcW w:w="6338" w:type="dxa"/>
            <w:tcBorders>
              <w:top w:val="single" w:color="auto" w:sz="4" w:space="0"/>
              <w:left w:val="nil"/>
              <w:bottom w:val="single" w:color="auto" w:sz="4" w:space="0"/>
              <w:right w:val="single" w:color="auto" w:sz="4" w:space="0"/>
            </w:tcBorders>
            <w:vAlign w:val="center"/>
          </w:tcPr>
          <w:p w14:paraId="0B751717">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（1）所有要求供应商加盖公章的地方都应用供应商单位的CA签章。</w:t>
            </w:r>
          </w:p>
          <w:p w14:paraId="4090FBFE">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（2）所有要求法定代表人签字的地方都应用法定代表人的CA签章。若有委托代理人，且委托代理人没有CA签章，则需上传有手写签名的扫描件。</w:t>
            </w:r>
          </w:p>
          <w:p w14:paraId="7548883E">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（3）已标价工程量清单需加盖供应商公章及造价师执业资格章并签字</w:t>
            </w:r>
            <w:r>
              <w:rPr>
                <w:rFonts w:hint="eastAsia" w:ascii="宋体" w:hAnsi="宋体"/>
                <w:color w:val="auto"/>
                <w:highlight w:val="none"/>
                <w:lang w:eastAsia="zh-CN"/>
              </w:rPr>
              <w:t>；</w:t>
            </w:r>
            <w:r>
              <w:rPr>
                <w:rFonts w:hint="eastAsia" w:ascii="宋体" w:hAnsi="宋体"/>
                <w:color w:val="auto"/>
                <w:highlight w:val="none"/>
              </w:rPr>
              <w:t>委托造价咨询单位编制已标价工程量清单的</w:t>
            </w:r>
            <w:r>
              <w:rPr>
                <w:rFonts w:hint="eastAsia" w:ascii="宋体" w:hAnsi="宋体"/>
                <w:color w:val="auto"/>
                <w:highlight w:val="none"/>
                <w:lang w:eastAsia="zh-CN"/>
              </w:rPr>
              <w:t>，需加盖</w:t>
            </w:r>
            <w:r>
              <w:rPr>
                <w:rFonts w:hint="eastAsia" w:ascii="宋体" w:hAnsi="宋体"/>
                <w:color w:val="auto"/>
                <w:highlight w:val="none"/>
              </w:rPr>
              <w:t>造价单位公章</w:t>
            </w:r>
            <w:r>
              <w:rPr>
                <w:rFonts w:hint="eastAsia" w:ascii="宋体" w:hAnsi="宋体"/>
                <w:color w:val="auto"/>
                <w:highlight w:val="none"/>
                <w:lang w:eastAsia="zh-CN"/>
              </w:rPr>
              <w:t>、该</w:t>
            </w:r>
            <w:r>
              <w:rPr>
                <w:rFonts w:hint="eastAsia" w:ascii="宋体" w:hAnsi="宋体"/>
                <w:color w:val="auto"/>
                <w:highlight w:val="none"/>
              </w:rPr>
              <w:t>单位造价师执业资格章并签字，</w:t>
            </w:r>
            <w:r>
              <w:rPr>
                <w:rFonts w:hint="eastAsia" w:ascii="宋体" w:hAnsi="宋体"/>
                <w:color w:val="auto"/>
                <w:highlight w:val="none"/>
                <w:lang w:eastAsia="zh-CN"/>
              </w:rPr>
              <w:t>同时</w:t>
            </w:r>
            <w:r>
              <w:rPr>
                <w:rFonts w:hint="eastAsia" w:ascii="宋体" w:hAnsi="宋体"/>
                <w:color w:val="auto"/>
                <w:highlight w:val="none"/>
              </w:rPr>
              <w:t>加盖供应商公章。</w:t>
            </w:r>
          </w:p>
        </w:tc>
      </w:tr>
      <w:tr w14:paraId="10537D1F">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4D38B45">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3.7.4</w:t>
            </w:r>
          </w:p>
        </w:tc>
        <w:tc>
          <w:tcPr>
            <w:tcW w:w="1711" w:type="dxa"/>
            <w:gridSpan w:val="2"/>
            <w:tcBorders>
              <w:top w:val="single" w:color="auto" w:sz="4" w:space="0"/>
              <w:left w:val="nil"/>
              <w:bottom w:val="single" w:color="auto" w:sz="4" w:space="0"/>
              <w:right w:val="single" w:color="auto" w:sz="4" w:space="0"/>
            </w:tcBorders>
            <w:vAlign w:val="center"/>
          </w:tcPr>
          <w:p w14:paraId="7ECB9576">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响应文件份数</w:t>
            </w:r>
          </w:p>
        </w:tc>
        <w:tc>
          <w:tcPr>
            <w:tcW w:w="6338" w:type="dxa"/>
            <w:tcBorders>
              <w:top w:val="single" w:color="auto" w:sz="4" w:space="0"/>
              <w:left w:val="nil"/>
              <w:bottom w:val="single" w:color="auto" w:sz="4" w:space="0"/>
              <w:right w:val="single" w:color="auto" w:sz="4" w:space="0"/>
            </w:tcBorders>
            <w:vAlign w:val="center"/>
          </w:tcPr>
          <w:p w14:paraId="1DCC670E">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b/>
                <w:color w:val="auto"/>
                <w:highlight w:val="none"/>
                <w:lang w:eastAsia="zh-CN"/>
              </w:rPr>
            </w:pPr>
            <w:r>
              <w:rPr>
                <w:rFonts w:hint="eastAsia" w:ascii="宋体" w:hAnsi="宋体"/>
                <w:b/>
                <w:color w:val="auto"/>
                <w:highlight w:val="none"/>
              </w:rPr>
              <w:t>网上上传的电子响应文件应使用数字证书认证并加密的电子响应文件壹份（*.hntf格式</w:t>
            </w:r>
            <w:r>
              <w:rPr>
                <w:rFonts w:hint="eastAsia" w:ascii="宋体" w:hAnsi="宋体"/>
                <w:b/>
                <w:color w:val="auto"/>
                <w:highlight w:val="none"/>
                <w:lang w:eastAsia="zh-CN"/>
              </w:rPr>
              <w:t>），</w:t>
            </w:r>
            <w:r>
              <w:rPr>
                <w:rFonts w:hint="eastAsia" w:ascii="宋体" w:hAnsi="宋体"/>
                <w:b/>
                <w:color w:val="auto"/>
                <w:highlight w:val="none"/>
              </w:rPr>
              <w:t>在会员系统指定位置上传</w:t>
            </w:r>
            <w:r>
              <w:rPr>
                <w:rFonts w:hint="eastAsia" w:ascii="宋体" w:hAnsi="宋体"/>
                <w:b/>
                <w:color w:val="auto"/>
                <w:highlight w:val="none"/>
                <w:lang w:eastAsia="zh-CN"/>
              </w:rPr>
              <w:t>，若因河南省公共资源交易中心系统问题无法上传电子响应文件的，各供应商应在工作时间与中心技术人员联系，电话0371-65915501。</w:t>
            </w:r>
          </w:p>
          <w:p w14:paraId="5BBA8FE8">
            <w:pPr>
              <w:keepNext w:val="0"/>
              <w:keepLines w:val="0"/>
              <w:pageBreakBefore w:val="0"/>
              <w:widowControl w:val="0"/>
              <w:kinsoku/>
              <w:wordWrap/>
              <w:overflowPunct/>
              <w:topLinePunct/>
              <w:autoSpaceDE/>
              <w:autoSpaceDN/>
              <w:bidi w:val="0"/>
              <w:adjustRightInd w:val="0"/>
              <w:snapToGrid w:val="0"/>
              <w:spacing w:beforeAutospacing="0" w:line="360" w:lineRule="auto"/>
              <w:rPr>
                <w:rFonts w:hint="default" w:ascii="宋体" w:hAnsi="宋体"/>
                <w:b/>
                <w:color w:val="auto"/>
                <w:highlight w:val="none"/>
                <w:lang w:val="en-US" w:eastAsia="zh-CN"/>
              </w:rPr>
            </w:pPr>
            <w:r>
              <w:rPr>
                <w:rFonts w:hint="eastAsia" w:ascii="宋体" w:hAnsi="宋体"/>
                <w:b/>
                <w:color w:val="auto"/>
                <w:highlight w:val="none"/>
                <w:lang w:eastAsia="zh-CN"/>
              </w:rPr>
              <w:t>注意：成交供应商领取成交通知书时需提交</w:t>
            </w:r>
            <w:r>
              <w:rPr>
                <w:rFonts w:hint="eastAsia" w:ascii="宋体" w:hAnsi="宋体"/>
                <w:b/>
                <w:color w:val="auto"/>
                <w:highlight w:val="none"/>
                <w:lang w:val="en-US" w:eastAsia="zh-CN"/>
              </w:rPr>
              <w:t>2套与电子响应文件一致的纸质版响应文件。</w:t>
            </w:r>
          </w:p>
        </w:tc>
      </w:tr>
      <w:tr w14:paraId="462A2342">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1E101827">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3.7.5</w:t>
            </w:r>
          </w:p>
        </w:tc>
        <w:tc>
          <w:tcPr>
            <w:tcW w:w="1711" w:type="dxa"/>
            <w:gridSpan w:val="2"/>
            <w:tcBorders>
              <w:top w:val="single" w:color="auto" w:sz="4" w:space="0"/>
              <w:left w:val="nil"/>
              <w:bottom w:val="single" w:color="auto" w:sz="4" w:space="0"/>
              <w:right w:val="single" w:color="auto" w:sz="4" w:space="0"/>
            </w:tcBorders>
            <w:vAlign w:val="center"/>
          </w:tcPr>
          <w:p w14:paraId="34571779">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b/>
                <w:color w:val="auto"/>
                <w:highlight w:val="none"/>
              </w:rPr>
              <w:t>投标所需相关的资质、证明等资料要求</w:t>
            </w:r>
          </w:p>
        </w:tc>
        <w:tc>
          <w:tcPr>
            <w:tcW w:w="6338" w:type="dxa"/>
            <w:tcBorders>
              <w:top w:val="single" w:color="auto" w:sz="4" w:space="0"/>
              <w:left w:val="nil"/>
              <w:bottom w:val="single" w:color="auto" w:sz="4" w:space="0"/>
              <w:right w:val="single" w:color="auto" w:sz="4" w:space="0"/>
            </w:tcBorders>
            <w:vAlign w:val="center"/>
          </w:tcPr>
          <w:p w14:paraId="35171A3A">
            <w:pPr>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eastAsia="宋体"/>
                <w:b/>
                <w:color w:val="auto"/>
                <w:highlight w:val="none"/>
                <w:lang w:eastAsia="zh-CN"/>
              </w:rPr>
            </w:pPr>
            <w:r>
              <w:rPr>
                <w:rFonts w:hint="eastAsia" w:ascii="宋体" w:hAnsi="宋体"/>
                <w:b/>
                <w:color w:val="auto"/>
                <w:highlight w:val="none"/>
              </w:rPr>
              <w:t>投标时涉及营业执照、资质、业绩、获奖、人员、财务、社保、纳税、各类证书等资料，均需先上传至河南省公共资源交易中心主体信息库并经核验，投标供应商制作响应文件所需资料须从主体信息库中提取，主体信息库中上传的资料扫描件必须完整、清晰、易辨，如因资料缺失或与响应文件中不一致的不予认定，供应商自行承担不利于其的评审后果。</w:t>
            </w:r>
          </w:p>
        </w:tc>
      </w:tr>
      <w:tr w14:paraId="693BA71C">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1100C4B2">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hint="eastAsia" w:ascii="宋体" w:hAnsi="宋体" w:eastAsia="宋体"/>
                <w:color w:val="auto"/>
                <w:highlight w:val="none"/>
                <w:lang w:eastAsia="zh-CN"/>
              </w:rPr>
            </w:pPr>
            <w:r>
              <w:rPr>
                <w:rFonts w:hint="eastAsia" w:ascii="宋体" w:hAnsi="宋体"/>
                <w:color w:val="auto"/>
                <w:highlight w:val="none"/>
              </w:rPr>
              <w:t>4.2.</w:t>
            </w:r>
            <w:r>
              <w:rPr>
                <w:rFonts w:hint="eastAsia" w:ascii="宋体" w:hAnsi="宋体"/>
                <w:color w:val="auto"/>
                <w:highlight w:val="none"/>
                <w:lang w:val="en-US" w:eastAsia="zh-CN"/>
              </w:rPr>
              <w:t>1</w:t>
            </w:r>
          </w:p>
        </w:tc>
        <w:tc>
          <w:tcPr>
            <w:tcW w:w="1711" w:type="dxa"/>
            <w:gridSpan w:val="2"/>
            <w:tcBorders>
              <w:top w:val="single" w:color="auto" w:sz="4" w:space="0"/>
              <w:left w:val="nil"/>
              <w:bottom w:val="single" w:color="auto" w:sz="4" w:space="0"/>
              <w:right w:val="single" w:color="auto" w:sz="4" w:space="0"/>
            </w:tcBorders>
            <w:vAlign w:val="center"/>
          </w:tcPr>
          <w:p w14:paraId="27BB8237">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提交响应文件地点</w:t>
            </w:r>
          </w:p>
        </w:tc>
        <w:tc>
          <w:tcPr>
            <w:tcW w:w="6338" w:type="dxa"/>
            <w:tcBorders>
              <w:top w:val="single" w:color="auto" w:sz="4" w:space="0"/>
              <w:left w:val="nil"/>
              <w:bottom w:val="single" w:color="auto" w:sz="4" w:space="0"/>
              <w:right w:val="single" w:color="auto" w:sz="4" w:space="0"/>
            </w:tcBorders>
            <w:vAlign w:val="center"/>
          </w:tcPr>
          <w:p w14:paraId="5EC183D5">
            <w:pPr>
              <w:keepNext w:val="0"/>
              <w:keepLines w:val="0"/>
              <w:pageBreakBefore w:val="0"/>
              <w:widowControl w:val="0"/>
              <w:kinsoku/>
              <w:wordWrap/>
              <w:overflowPunct/>
              <w:topLinePunct/>
              <w:autoSpaceDE/>
              <w:autoSpaceDN/>
              <w:bidi w:val="0"/>
              <w:adjustRightInd w:val="0"/>
              <w:snapToGrid w:val="0"/>
              <w:spacing w:beforeAutospacing="0" w:line="360" w:lineRule="auto"/>
              <w:jc w:val="left"/>
              <w:rPr>
                <w:rFonts w:ascii="宋体" w:hAnsi="宋体"/>
                <w:color w:val="auto"/>
                <w:highlight w:val="none"/>
              </w:rPr>
            </w:pPr>
            <w:r>
              <w:rPr>
                <w:rFonts w:hint="eastAsia" w:ascii="宋体" w:hAnsi="宋体"/>
                <w:color w:val="auto"/>
                <w:highlight w:val="none"/>
              </w:rPr>
              <w:t>加密电子响应文件须在响应文件提交截止时间前通过“河南省公共资源交易中心（</w:t>
            </w:r>
            <w:r>
              <w:rPr>
                <w:color w:val="auto"/>
                <w:highlight w:val="none"/>
              </w:rPr>
              <w:fldChar w:fldCharType="begin"/>
            </w:r>
            <w:r>
              <w:rPr>
                <w:color w:val="auto"/>
                <w:highlight w:val="none"/>
              </w:rPr>
              <w:instrText xml:space="preserve"> HYPERLINK "http://www.hnggzy.net/" </w:instrText>
            </w:r>
            <w:r>
              <w:rPr>
                <w:color w:val="auto"/>
                <w:highlight w:val="none"/>
              </w:rPr>
              <w:fldChar w:fldCharType="separate"/>
            </w:r>
            <w:r>
              <w:rPr>
                <w:rFonts w:hint="eastAsia" w:ascii="宋体" w:hAnsi="宋体"/>
                <w:color w:val="auto"/>
                <w:highlight w:val="none"/>
              </w:rPr>
              <w:t>http://hnsggzyjy.henan.gov.cn/</w:t>
            </w:r>
            <w:r>
              <w:rPr>
                <w:rFonts w:hint="eastAsia" w:ascii="宋体" w:hAnsi="宋体"/>
                <w:color w:val="auto"/>
                <w:highlight w:val="none"/>
              </w:rPr>
              <w:fldChar w:fldCharType="end"/>
            </w:r>
            <w:r>
              <w:rPr>
                <w:rFonts w:hint="eastAsia" w:ascii="宋体" w:hAnsi="宋体"/>
                <w:color w:val="auto"/>
                <w:highlight w:val="none"/>
              </w:rPr>
              <w:t>）”电子交易平台加密上传。逾期</w:t>
            </w:r>
            <w:r>
              <w:rPr>
                <w:rFonts w:hint="eastAsia" w:ascii="宋体" w:hAnsi="宋体"/>
                <w:color w:val="auto"/>
                <w:highlight w:val="none"/>
                <w:lang w:eastAsia="zh-CN"/>
              </w:rPr>
              <w:t>上传</w:t>
            </w:r>
            <w:r>
              <w:rPr>
                <w:rFonts w:hint="eastAsia" w:ascii="宋体" w:hAnsi="宋体"/>
                <w:color w:val="auto"/>
                <w:highlight w:val="none"/>
              </w:rPr>
              <w:t>或者未上传</w:t>
            </w:r>
            <w:r>
              <w:rPr>
                <w:rFonts w:hint="eastAsia" w:ascii="宋体" w:hAnsi="宋体"/>
                <w:color w:val="auto"/>
                <w:highlight w:val="none"/>
                <w:lang w:eastAsia="zh-CN"/>
              </w:rPr>
              <w:t>至指定</w:t>
            </w:r>
            <w:r>
              <w:rPr>
                <w:rFonts w:hint="eastAsia" w:ascii="宋体" w:hAnsi="宋体"/>
                <w:color w:val="auto"/>
                <w:highlight w:val="none"/>
              </w:rPr>
              <w:t>地点的响应文件，采购人不予受理。</w:t>
            </w:r>
          </w:p>
        </w:tc>
      </w:tr>
      <w:tr w14:paraId="03D34365">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1C2C95C1">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hint="eastAsia" w:ascii="宋体" w:hAnsi="宋体" w:eastAsia="宋体"/>
                <w:color w:val="auto"/>
                <w:highlight w:val="none"/>
                <w:lang w:eastAsia="zh-CN"/>
              </w:rPr>
            </w:pPr>
            <w:r>
              <w:rPr>
                <w:rFonts w:hint="eastAsia" w:ascii="宋体" w:hAnsi="宋体"/>
                <w:color w:val="auto"/>
                <w:highlight w:val="none"/>
              </w:rPr>
              <w:t>4.2.</w:t>
            </w:r>
            <w:r>
              <w:rPr>
                <w:rFonts w:hint="eastAsia" w:ascii="宋体" w:hAnsi="宋体"/>
                <w:color w:val="auto"/>
                <w:highlight w:val="none"/>
                <w:lang w:val="en-US" w:eastAsia="zh-CN"/>
              </w:rPr>
              <w:t>4</w:t>
            </w:r>
          </w:p>
        </w:tc>
        <w:tc>
          <w:tcPr>
            <w:tcW w:w="1711" w:type="dxa"/>
            <w:gridSpan w:val="2"/>
            <w:tcBorders>
              <w:top w:val="single" w:color="auto" w:sz="4" w:space="0"/>
              <w:left w:val="nil"/>
              <w:bottom w:val="single" w:color="auto" w:sz="4" w:space="0"/>
              <w:right w:val="single" w:color="auto" w:sz="4" w:space="0"/>
            </w:tcBorders>
            <w:vAlign w:val="center"/>
          </w:tcPr>
          <w:p w14:paraId="44966092">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是否退还响应文件</w:t>
            </w:r>
          </w:p>
        </w:tc>
        <w:tc>
          <w:tcPr>
            <w:tcW w:w="6338" w:type="dxa"/>
            <w:tcBorders>
              <w:top w:val="single" w:color="auto" w:sz="4" w:space="0"/>
              <w:left w:val="nil"/>
              <w:bottom w:val="single" w:color="auto" w:sz="4" w:space="0"/>
              <w:right w:val="single" w:color="auto" w:sz="4" w:space="0"/>
            </w:tcBorders>
            <w:vAlign w:val="center"/>
          </w:tcPr>
          <w:p w14:paraId="0F8F68D3">
            <w:pPr>
              <w:pStyle w:val="18"/>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kern w:val="2"/>
                <w:sz w:val="21"/>
                <w:szCs w:val="21"/>
                <w:highlight w:val="none"/>
              </w:rPr>
            </w:pPr>
            <w:r>
              <w:rPr>
                <w:rFonts w:hint="eastAsia" w:ascii="宋体" w:hAnsi="宋体"/>
                <w:color w:val="auto"/>
                <w:kern w:val="2"/>
                <w:sz w:val="21"/>
                <w:szCs w:val="21"/>
                <w:highlight w:val="none"/>
              </w:rPr>
              <w:t>否</w:t>
            </w:r>
          </w:p>
        </w:tc>
      </w:tr>
      <w:tr w14:paraId="5F0A5124">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42F46A5">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5.1</w:t>
            </w:r>
          </w:p>
        </w:tc>
        <w:tc>
          <w:tcPr>
            <w:tcW w:w="1711" w:type="dxa"/>
            <w:gridSpan w:val="2"/>
            <w:tcBorders>
              <w:top w:val="single" w:color="auto" w:sz="4" w:space="0"/>
              <w:left w:val="nil"/>
              <w:bottom w:val="single" w:color="auto" w:sz="4" w:space="0"/>
              <w:right w:val="single" w:color="auto" w:sz="4" w:space="0"/>
            </w:tcBorders>
            <w:vAlign w:val="center"/>
          </w:tcPr>
          <w:p w14:paraId="467094A9">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磋商时间和地点</w:t>
            </w:r>
          </w:p>
        </w:tc>
        <w:tc>
          <w:tcPr>
            <w:tcW w:w="6338" w:type="dxa"/>
            <w:tcBorders>
              <w:top w:val="single" w:color="auto" w:sz="4" w:space="0"/>
              <w:left w:val="nil"/>
              <w:bottom w:val="single" w:color="auto" w:sz="4" w:space="0"/>
              <w:right w:val="single" w:color="auto" w:sz="4" w:space="0"/>
            </w:tcBorders>
            <w:vAlign w:val="center"/>
          </w:tcPr>
          <w:p w14:paraId="5EC1D0C5">
            <w:pPr>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b/>
                <w:bCs/>
                <w:color w:val="auto"/>
                <w:highlight w:val="none"/>
              </w:rPr>
            </w:pPr>
            <w:r>
              <w:rPr>
                <w:rFonts w:hint="eastAsia" w:ascii="宋体" w:hAnsi="宋体"/>
                <w:b/>
                <w:bCs/>
                <w:color w:val="auto"/>
                <w:highlight w:val="none"/>
              </w:rPr>
              <w:t>时间：202</w:t>
            </w:r>
            <w:r>
              <w:rPr>
                <w:rFonts w:hint="eastAsia" w:ascii="宋体" w:hAnsi="宋体"/>
                <w:b/>
                <w:bCs/>
                <w:color w:val="auto"/>
                <w:highlight w:val="none"/>
                <w:lang w:val="en-US" w:eastAsia="zh-CN"/>
              </w:rPr>
              <w:t>6</w:t>
            </w:r>
            <w:r>
              <w:rPr>
                <w:rFonts w:hint="eastAsia" w:ascii="宋体" w:hAnsi="宋体"/>
                <w:b/>
                <w:bCs/>
                <w:color w:val="auto"/>
                <w:highlight w:val="none"/>
              </w:rPr>
              <w:t>年</w:t>
            </w:r>
            <w:r>
              <w:rPr>
                <w:rFonts w:hint="eastAsia" w:ascii="宋体" w:hAnsi="宋体"/>
                <w:b/>
                <w:bCs/>
                <w:color w:val="auto"/>
                <w:highlight w:val="none"/>
                <w:lang w:val="en-US" w:eastAsia="zh-CN"/>
              </w:rPr>
              <w:t>07</w:t>
            </w:r>
            <w:r>
              <w:rPr>
                <w:rFonts w:hint="eastAsia" w:ascii="宋体" w:hAnsi="宋体"/>
                <w:b/>
                <w:bCs/>
                <w:color w:val="auto"/>
                <w:highlight w:val="none"/>
              </w:rPr>
              <w:t>月</w:t>
            </w:r>
            <w:r>
              <w:rPr>
                <w:rFonts w:hint="eastAsia" w:ascii="宋体" w:hAnsi="宋体"/>
                <w:b/>
                <w:bCs/>
                <w:color w:val="auto"/>
                <w:highlight w:val="none"/>
                <w:lang w:val="en-US" w:eastAsia="zh-CN"/>
              </w:rPr>
              <w:t>20</w:t>
            </w:r>
            <w:r>
              <w:rPr>
                <w:rFonts w:hint="eastAsia" w:ascii="宋体" w:hAnsi="宋体"/>
                <w:b/>
                <w:bCs/>
                <w:color w:val="auto"/>
                <w:highlight w:val="none"/>
              </w:rPr>
              <w:t>日 9 时00分</w:t>
            </w:r>
          </w:p>
          <w:p w14:paraId="375CA4FF">
            <w:pPr>
              <w:keepNext w:val="0"/>
              <w:keepLines w:val="0"/>
              <w:pageBreakBefore w:val="0"/>
              <w:widowControl w:val="0"/>
              <w:kinsoku/>
              <w:wordWrap/>
              <w:overflowPunct/>
              <w:topLinePunct/>
              <w:autoSpaceDE/>
              <w:autoSpaceDN/>
              <w:bidi w:val="0"/>
              <w:adjustRightInd w:val="0"/>
              <w:snapToGrid w:val="0"/>
              <w:spacing w:beforeAutospacing="0" w:line="360" w:lineRule="auto"/>
              <w:rPr>
                <w:rFonts w:hint="default" w:ascii="宋体" w:hAnsi="宋体" w:eastAsia="宋体"/>
                <w:color w:val="auto"/>
                <w:highlight w:val="none"/>
                <w:lang w:val="en-US" w:eastAsia="zh-CN"/>
              </w:rPr>
            </w:pPr>
            <w:r>
              <w:rPr>
                <w:rFonts w:hint="eastAsia" w:ascii="宋体" w:hAnsi="宋体"/>
                <w:b/>
                <w:bCs/>
                <w:color w:val="auto"/>
                <w:highlight w:val="none"/>
              </w:rPr>
              <w:t>磋商地点：河南省公共资源交易中心（郑州市经二路与纬四路向南50米路西）远程开标室</w:t>
            </w:r>
            <w:r>
              <w:rPr>
                <w:rFonts w:hint="eastAsia" w:ascii="宋体" w:hAnsi="宋体"/>
                <w:b/>
                <w:bCs/>
                <w:color w:val="auto"/>
                <w:highlight w:val="none"/>
                <w:lang w:eastAsia="zh-CN"/>
              </w:rPr>
              <w:t>（</w:t>
            </w:r>
            <w:r>
              <w:rPr>
                <w:rFonts w:hint="eastAsia" w:ascii="宋体" w:hAnsi="宋体"/>
                <w:b/>
                <w:bCs/>
                <w:color w:val="auto"/>
                <w:highlight w:val="none"/>
                <w:lang w:val="en-US" w:eastAsia="zh-CN"/>
              </w:rPr>
              <w:t>二）</w:t>
            </w:r>
            <w:r>
              <w:rPr>
                <w:rFonts w:hint="eastAsia" w:ascii="宋体" w:hAnsi="宋体"/>
                <w:b/>
                <w:bCs/>
                <w:color w:val="auto"/>
                <w:highlight w:val="none"/>
              </w:rPr>
              <w:t>-</w:t>
            </w:r>
            <w:r>
              <w:rPr>
                <w:rFonts w:hint="eastAsia" w:ascii="宋体" w:hAnsi="宋体"/>
                <w:b/>
                <w:bCs/>
                <w:color w:val="auto"/>
                <w:highlight w:val="none"/>
                <w:lang w:val="en-US" w:eastAsia="zh-CN"/>
              </w:rPr>
              <w:t>4</w:t>
            </w:r>
          </w:p>
        </w:tc>
      </w:tr>
      <w:tr w14:paraId="7369D8AB">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FD75860">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6.1.1</w:t>
            </w:r>
          </w:p>
        </w:tc>
        <w:tc>
          <w:tcPr>
            <w:tcW w:w="1711" w:type="dxa"/>
            <w:gridSpan w:val="2"/>
            <w:tcBorders>
              <w:top w:val="single" w:color="auto" w:sz="4" w:space="0"/>
              <w:left w:val="nil"/>
              <w:bottom w:val="single" w:color="auto" w:sz="4" w:space="0"/>
              <w:right w:val="single" w:color="auto" w:sz="4" w:space="0"/>
            </w:tcBorders>
            <w:vAlign w:val="center"/>
          </w:tcPr>
          <w:p w14:paraId="5ED8A82D">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磋商小组的组建</w:t>
            </w:r>
          </w:p>
        </w:tc>
        <w:tc>
          <w:tcPr>
            <w:tcW w:w="6338" w:type="dxa"/>
            <w:tcBorders>
              <w:top w:val="single" w:color="auto" w:sz="4" w:space="0"/>
              <w:left w:val="nil"/>
              <w:bottom w:val="single" w:color="auto" w:sz="4" w:space="0"/>
              <w:right w:val="single" w:color="auto" w:sz="4" w:space="0"/>
            </w:tcBorders>
            <w:vAlign w:val="center"/>
          </w:tcPr>
          <w:p w14:paraId="39BAF6B5">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磋商小组构成：3人，由1名采购人代表、2名相关专业评标专家组成；</w:t>
            </w:r>
          </w:p>
          <w:p w14:paraId="64E28629">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评标专家确定方式：从河南省</w:t>
            </w:r>
            <w:r>
              <w:rPr>
                <w:rFonts w:hint="eastAsia" w:ascii="宋体" w:hAnsi="宋体"/>
                <w:color w:val="auto"/>
                <w:kern w:val="0"/>
                <w:highlight w:val="none"/>
              </w:rPr>
              <w:t>政府采购评审</w:t>
            </w:r>
            <w:r>
              <w:rPr>
                <w:rFonts w:hint="eastAsia" w:ascii="宋体" w:hAnsi="宋体"/>
                <w:color w:val="auto"/>
                <w:highlight w:val="none"/>
              </w:rPr>
              <w:t>专家库中随机抽取。</w:t>
            </w:r>
          </w:p>
        </w:tc>
      </w:tr>
      <w:tr w14:paraId="6C1ED752">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0BBA6E1D">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7.1</w:t>
            </w:r>
          </w:p>
        </w:tc>
        <w:tc>
          <w:tcPr>
            <w:tcW w:w="1711" w:type="dxa"/>
            <w:gridSpan w:val="2"/>
            <w:tcBorders>
              <w:top w:val="single" w:color="auto" w:sz="4" w:space="0"/>
              <w:left w:val="nil"/>
              <w:bottom w:val="single" w:color="auto" w:sz="4" w:space="0"/>
              <w:right w:val="single" w:color="auto" w:sz="4" w:space="0"/>
            </w:tcBorders>
            <w:vAlign w:val="center"/>
          </w:tcPr>
          <w:p w14:paraId="338A16FB">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是否授权磋商小组确定成交人</w:t>
            </w:r>
          </w:p>
        </w:tc>
        <w:tc>
          <w:tcPr>
            <w:tcW w:w="6338" w:type="dxa"/>
            <w:tcBorders>
              <w:top w:val="single" w:color="auto" w:sz="4" w:space="0"/>
              <w:left w:val="nil"/>
              <w:bottom w:val="single" w:color="auto" w:sz="4" w:space="0"/>
              <w:right w:val="single" w:color="auto" w:sz="4" w:space="0"/>
            </w:tcBorders>
            <w:vAlign w:val="center"/>
          </w:tcPr>
          <w:p w14:paraId="64AD15AB">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否；推荐的成交候选人数：3名</w:t>
            </w:r>
          </w:p>
        </w:tc>
      </w:tr>
      <w:tr w14:paraId="264CA149">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69BEE671">
            <w:pPr>
              <w:keepNext w:val="0"/>
              <w:keepLines w:val="0"/>
              <w:pageBreakBefore w:val="0"/>
              <w:widowControl w:val="0"/>
              <w:kinsoku/>
              <w:wordWrap/>
              <w:overflowPunct/>
              <w:autoSpaceDE/>
              <w:autoSpaceDN/>
              <w:bidi w:val="0"/>
              <w:adjustRightInd w:val="0"/>
              <w:snapToGrid w:val="0"/>
              <w:spacing w:beforeAutospacing="0" w:line="360" w:lineRule="auto"/>
              <w:jc w:val="center"/>
              <w:textAlignment w:val="baseline"/>
              <w:rPr>
                <w:rFonts w:ascii="宋体" w:hAnsi="宋体"/>
                <w:color w:val="auto"/>
                <w:highlight w:val="none"/>
              </w:rPr>
            </w:pPr>
            <w:r>
              <w:rPr>
                <w:rFonts w:hint="eastAsia" w:ascii="宋体" w:hAnsi="宋体"/>
                <w:color w:val="auto"/>
                <w:highlight w:val="none"/>
              </w:rPr>
              <w:t>7.3.1</w:t>
            </w:r>
          </w:p>
        </w:tc>
        <w:tc>
          <w:tcPr>
            <w:tcW w:w="1711" w:type="dxa"/>
            <w:gridSpan w:val="2"/>
            <w:tcBorders>
              <w:top w:val="single" w:color="auto" w:sz="4" w:space="0"/>
              <w:left w:val="nil"/>
              <w:bottom w:val="single" w:color="auto" w:sz="4" w:space="0"/>
              <w:right w:val="single" w:color="auto" w:sz="4" w:space="0"/>
            </w:tcBorders>
            <w:vAlign w:val="center"/>
          </w:tcPr>
          <w:p w14:paraId="5C588439">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hint="eastAsia" w:ascii="宋体" w:hAnsi="宋体" w:eastAsia="宋体"/>
                <w:color w:val="auto"/>
                <w:highlight w:val="none"/>
                <w:lang w:eastAsia="zh-CN"/>
              </w:rPr>
            </w:pPr>
            <w:r>
              <w:rPr>
                <w:rFonts w:hint="eastAsia" w:ascii="宋体" w:hAnsi="宋体"/>
                <w:color w:val="auto"/>
                <w:highlight w:val="none"/>
                <w:lang w:eastAsia="zh-CN"/>
              </w:rPr>
              <w:t>履约担保</w:t>
            </w:r>
          </w:p>
        </w:tc>
        <w:tc>
          <w:tcPr>
            <w:tcW w:w="6338" w:type="dxa"/>
            <w:tcBorders>
              <w:top w:val="single" w:color="auto" w:sz="4" w:space="0"/>
              <w:left w:val="nil"/>
              <w:bottom w:val="single" w:color="auto" w:sz="4" w:space="0"/>
              <w:right w:val="single" w:color="auto" w:sz="4" w:space="0"/>
            </w:tcBorders>
            <w:vAlign w:val="center"/>
          </w:tcPr>
          <w:p w14:paraId="24F88974">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是否要求提供履约担保：是</w:t>
            </w:r>
          </w:p>
          <w:p w14:paraId="7B537AAA">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hint="eastAsia" w:ascii="宋体" w:hAnsi="宋体" w:eastAsia="宋体"/>
                <w:color w:val="auto"/>
                <w:highlight w:val="none"/>
              </w:rPr>
            </w:pPr>
            <w:r>
              <w:rPr>
                <w:rFonts w:hint="eastAsia" w:ascii="宋体" w:hAnsi="宋体" w:eastAsia="宋体"/>
                <w:color w:val="auto"/>
                <w:highlight w:val="none"/>
              </w:rPr>
              <w:t>金额：成交价的</w:t>
            </w:r>
            <w:r>
              <w:rPr>
                <w:rFonts w:hint="eastAsia" w:ascii="宋体" w:hAnsi="宋体"/>
                <w:color w:val="auto"/>
                <w:highlight w:val="none"/>
                <w:lang w:val="en-US" w:eastAsia="zh-CN"/>
              </w:rPr>
              <w:t>5</w:t>
            </w:r>
            <w:r>
              <w:rPr>
                <w:rFonts w:hint="eastAsia" w:ascii="宋体" w:hAnsi="宋体" w:eastAsia="宋体"/>
                <w:color w:val="auto"/>
                <w:highlight w:val="none"/>
              </w:rPr>
              <w:t>%</w:t>
            </w:r>
          </w:p>
          <w:p w14:paraId="4235F27E">
            <w:pPr>
              <w:pStyle w:val="17"/>
              <w:keepNext w:val="0"/>
              <w:keepLines w:val="0"/>
              <w:pageBreakBefore w:val="0"/>
              <w:widowControl w:val="0"/>
              <w:kinsoku/>
              <w:wordWrap/>
              <w:overflowPunct/>
              <w:autoSpaceDE/>
              <w:autoSpaceDN/>
              <w:bidi w:val="0"/>
              <w:adjustRightInd w:val="0"/>
              <w:snapToGrid w:val="0"/>
              <w:spacing w:line="360" w:lineRule="auto"/>
              <w:rPr>
                <w:rFonts w:hint="eastAsia" w:ascii="宋体" w:hAnsi="宋体" w:eastAsia="宋体" w:cs="宋体"/>
                <w:color w:val="auto"/>
                <w:sz w:val="21"/>
                <w:szCs w:val="21"/>
                <w:highlight w:val="none"/>
              </w:rPr>
            </w:pPr>
            <w:r>
              <w:rPr>
                <w:rFonts w:hint="eastAsia" w:ascii="宋体" w:hAnsi="宋体"/>
                <w:color w:val="auto"/>
                <w:highlight w:val="none"/>
                <w:lang w:eastAsia="zh-CN"/>
              </w:rPr>
              <w:t>履约担保</w:t>
            </w:r>
            <w:r>
              <w:rPr>
                <w:rFonts w:hint="eastAsia" w:ascii="宋体" w:hAnsi="宋体" w:eastAsia="宋体"/>
                <w:color w:val="auto"/>
                <w:highlight w:val="none"/>
              </w:rPr>
              <w:t>形式：</w:t>
            </w:r>
            <w:r>
              <w:rPr>
                <w:rFonts w:hint="eastAsia" w:ascii="宋体" w:hAnsi="宋体" w:eastAsia="宋体" w:cs="宋体"/>
                <w:i w:val="0"/>
                <w:iCs w:val="0"/>
                <w:color w:val="auto"/>
                <w:sz w:val="21"/>
                <w:szCs w:val="21"/>
                <w:u w:val="none"/>
                <w:lang w:val="en-US" w:eastAsia="zh-CN"/>
              </w:rPr>
              <w:t>银行转账或银行保函</w:t>
            </w:r>
            <w:r>
              <w:rPr>
                <w:rFonts w:hint="eastAsia" w:ascii="宋体" w:hAnsi="宋体" w:eastAsia="宋体" w:cs="宋体"/>
                <w:color w:val="auto"/>
                <w:sz w:val="21"/>
                <w:szCs w:val="21"/>
                <w:highlight w:val="none"/>
                <w:lang w:val="en-US" w:eastAsia="zh-CN"/>
              </w:rPr>
              <w:t>等非现金形式</w:t>
            </w:r>
            <w:r>
              <w:rPr>
                <w:rFonts w:hint="eastAsia" w:ascii="宋体" w:hAnsi="宋体" w:eastAsia="宋体" w:cs="宋体"/>
                <w:color w:val="auto"/>
                <w:sz w:val="21"/>
                <w:szCs w:val="21"/>
                <w:highlight w:val="none"/>
              </w:rPr>
              <w:t>；</w:t>
            </w:r>
          </w:p>
          <w:p w14:paraId="0946922B">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hint="eastAsia" w:ascii="宋体" w:hAnsi="宋体"/>
                <w:color w:val="auto"/>
                <w:highlight w:val="none"/>
                <w:lang w:val="en-US" w:eastAsia="zh-CN"/>
              </w:rPr>
            </w:pPr>
            <w:r>
              <w:rPr>
                <w:rFonts w:hint="eastAsia" w:ascii="宋体" w:hAnsi="宋体" w:eastAsia="宋体" w:cs="宋体"/>
                <w:color w:val="auto"/>
                <w:sz w:val="21"/>
                <w:szCs w:val="21"/>
                <w:highlight w:val="none"/>
              </w:rPr>
              <w:t>退还：</w:t>
            </w:r>
            <w:r>
              <w:rPr>
                <w:rFonts w:hint="eastAsia" w:ascii="宋体" w:hAnsi="宋体" w:eastAsia="宋体" w:cs="宋体"/>
                <w:color w:val="auto"/>
                <w:sz w:val="21"/>
                <w:szCs w:val="21"/>
                <w:highlight w:val="none"/>
                <w:lang w:val="en-US" w:eastAsia="zh-CN"/>
              </w:rPr>
              <w:t>工程竣工验收合格后无质量问题，供应商未出现任何违约行为，未出现安全事故无息退还。</w:t>
            </w:r>
          </w:p>
        </w:tc>
      </w:tr>
      <w:tr w14:paraId="265DB008">
        <w:tblPrEx>
          <w:tblCellMar>
            <w:top w:w="0" w:type="dxa"/>
            <w:left w:w="108" w:type="dxa"/>
            <w:bottom w:w="0" w:type="dxa"/>
            <w:right w:w="108" w:type="dxa"/>
          </w:tblCellMar>
        </w:tblPrEx>
        <w:trPr>
          <w:trHeight w:val="23" w:hRule="atLeast"/>
          <w:jc w:val="center"/>
        </w:trPr>
        <w:tc>
          <w:tcPr>
            <w:tcW w:w="9029" w:type="dxa"/>
            <w:gridSpan w:val="4"/>
            <w:tcBorders>
              <w:top w:val="single" w:color="auto" w:sz="4" w:space="0"/>
              <w:left w:val="single" w:color="auto" w:sz="4" w:space="0"/>
              <w:bottom w:val="single" w:color="auto" w:sz="4" w:space="0"/>
              <w:right w:val="single" w:color="auto" w:sz="4" w:space="0"/>
            </w:tcBorders>
            <w:vAlign w:val="center"/>
          </w:tcPr>
          <w:p w14:paraId="444D2B62">
            <w:pPr>
              <w:keepNext w:val="0"/>
              <w:keepLines w:val="0"/>
              <w:pageBreakBefore w:val="0"/>
              <w:widowControl w:val="0"/>
              <w:kinsoku/>
              <w:wordWrap/>
              <w:overflowPunct/>
              <w:topLinePunct/>
              <w:autoSpaceDE/>
              <w:autoSpaceDN/>
              <w:bidi w:val="0"/>
              <w:adjustRightInd w:val="0"/>
              <w:snapToGrid w:val="0"/>
              <w:spacing w:beforeAutospacing="0" w:line="360" w:lineRule="auto"/>
              <w:ind w:left="0" w:leftChars="0" w:firstLine="0" w:firstLineChars="0"/>
              <w:jc w:val="left"/>
              <w:textAlignment w:val="baseline"/>
              <w:rPr>
                <w:rFonts w:ascii="宋体" w:hAnsi="宋体"/>
                <w:color w:val="auto"/>
                <w:highlight w:val="none"/>
              </w:rPr>
            </w:pPr>
            <w:r>
              <w:rPr>
                <w:rFonts w:hint="eastAsia" w:ascii="宋体" w:hAnsi="宋体"/>
                <w:b/>
                <w:bCs/>
                <w:color w:val="auto"/>
                <w:highlight w:val="none"/>
              </w:rPr>
              <w:t>10.需要补充的其他内容</w:t>
            </w:r>
          </w:p>
        </w:tc>
      </w:tr>
      <w:tr w14:paraId="4220D3E2">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76839BFB">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bookmarkStart w:id="34" w:name="_Toc144974497"/>
            <w:r>
              <w:rPr>
                <w:rFonts w:hint="eastAsia" w:ascii="宋体" w:hAnsi="宋体"/>
                <w:color w:val="auto"/>
                <w:highlight w:val="none"/>
              </w:rPr>
              <w:t>10.1</w:t>
            </w:r>
            <w:bookmarkEnd w:id="34"/>
          </w:p>
        </w:tc>
        <w:tc>
          <w:tcPr>
            <w:tcW w:w="1691" w:type="dxa"/>
            <w:tcBorders>
              <w:top w:val="single" w:color="auto" w:sz="4" w:space="0"/>
              <w:left w:val="nil"/>
              <w:bottom w:val="single" w:color="auto" w:sz="4" w:space="0"/>
              <w:right w:val="single" w:color="auto" w:sz="4" w:space="0"/>
            </w:tcBorders>
            <w:vAlign w:val="center"/>
          </w:tcPr>
          <w:p w14:paraId="664C68A9">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textAlignment w:val="baseline"/>
              <w:rPr>
                <w:rFonts w:ascii="宋体" w:hAnsi="宋体"/>
                <w:color w:val="auto"/>
                <w:highlight w:val="none"/>
              </w:rPr>
            </w:pPr>
            <w:r>
              <w:rPr>
                <w:rFonts w:hint="eastAsia" w:ascii="宋体" w:hAnsi="宋体"/>
                <w:color w:val="auto"/>
                <w:highlight w:val="none"/>
              </w:rPr>
              <w:t>解释权</w:t>
            </w:r>
          </w:p>
        </w:tc>
        <w:tc>
          <w:tcPr>
            <w:tcW w:w="6338" w:type="dxa"/>
            <w:tcBorders>
              <w:top w:val="single" w:color="auto" w:sz="4" w:space="0"/>
              <w:left w:val="nil"/>
              <w:bottom w:val="single" w:color="auto" w:sz="4" w:space="0"/>
              <w:right w:val="single" w:color="auto" w:sz="4" w:space="0"/>
            </w:tcBorders>
            <w:vAlign w:val="center"/>
          </w:tcPr>
          <w:p w14:paraId="4B060F6A">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ascii="宋体" w:hAnsi="宋体"/>
                <w:color w:val="auto"/>
                <w:highlight w:val="none"/>
              </w:rPr>
            </w:pPr>
            <w:r>
              <w:rPr>
                <w:rFonts w:hint="eastAsia" w:ascii="宋体" w:hAnsi="宋体"/>
                <w:color w:val="auto"/>
                <w:highlight w:val="none"/>
              </w:rPr>
              <w:t>构成本磋商文件的各个组成文件应互为解释，互为说明；如有不明确或不一致，按磋商公告、供应商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3D254DA2">
        <w:tblPrEx>
          <w:tblCellMar>
            <w:top w:w="0" w:type="dxa"/>
            <w:left w:w="108" w:type="dxa"/>
            <w:bottom w:w="0" w:type="dxa"/>
            <w:right w:w="108" w:type="dxa"/>
          </w:tblCellMar>
        </w:tblPrEx>
        <w:trPr>
          <w:trHeight w:val="525"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20A86225">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10.2</w:t>
            </w:r>
          </w:p>
        </w:tc>
        <w:tc>
          <w:tcPr>
            <w:tcW w:w="1691" w:type="dxa"/>
            <w:tcBorders>
              <w:top w:val="single" w:color="auto" w:sz="4" w:space="0"/>
              <w:left w:val="nil"/>
              <w:bottom w:val="single" w:color="auto" w:sz="4" w:space="0"/>
              <w:right w:val="single" w:color="auto" w:sz="4" w:space="0"/>
            </w:tcBorders>
            <w:vAlign w:val="center"/>
          </w:tcPr>
          <w:p w14:paraId="1367BEF7">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b/>
                <w:bCs/>
                <w:color w:val="auto"/>
                <w:highlight w:val="none"/>
              </w:rPr>
            </w:pPr>
            <w:r>
              <w:rPr>
                <w:rFonts w:hint="eastAsia" w:ascii="宋体" w:hAnsi="宋体"/>
                <w:b/>
                <w:bCs/>
                <w:color w:val="auto"/>
                <w:highlight w:val="none"/>
              </w:rPr>
              <w:t>最高</w:t>
            </w:r>
            <w:r>
              <w:rPr>
                <w:rFonts w:hint="eastAsia" w:ascii="宋体" w:hAnsi="宋体"/>
                <w:b/>
                <w:bCs/>
                <w:color w:val="auto"/>
                <w:highlight w:val="none"/>
                <w:lang w:eastAsia="zh-CN"/>
              </w:rPr>
              <w:t>投标</w:t>
            </w:r>
            <w:r>
              <w:rPr>
                <w:rFonts w:hint="eastAsia" w:ascii="宋体" w:hAnsi="宋体"/>
                <w:b/>
                <w:bCs/>
                <w:color w:val="auto"/>
                <w:highlight w:val="none"/>
              </w:rPr>
              <w:t>限价</w:t>
            </w:r>
          </w:p>
        </w:tc>
        <w:tc>
          <w:tcPr>
            <w:tcW w:w="6338" w:type="dxa"/>
            <w:tcBorders>
              <w:top w:val="single" w:color="auto" w:sz="4" w:space="0"/>
              <w:left w:val="nil"/>
              <w:bottom w:val="single" w:color="auto" w:sz="4" w:space="0"/>
              <w:right w:val="single" w:color="auto" w:sz="4" w:space="0"/>
            </w:tcBorders>
            <w:vAlign w:val="center"/>
          </w:tcPr>
          <w:p w14:paraId="116C6CB7">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hint="default" w:ascii="宋体" w:hAnsi="宋体" w:eastAsia="宋体"/>
                <w:b/>
                <w:bCs/>
                <w:color w:val="auto"/>
                <w:highlight w:val="none"/>
                <w:lang w:val="en-US" w:eastAsia="zh-CN"/>
              </w:rPr>
            </w:pPr>
            <w:r>
              <w:rPr>
                <w:rFonts w:hint="eastAsia" w:ascii="宋体" w:hAnsi="宋体"/>
                <w:b/>
                <w:bCs/>
                <w:color w:val="auto"/>
                <w:highlight w:val="none"/>
              </w:rPr>
              <w:t>大写：</w:t>
            </w:r>
            <w:r>
              <w:rPr>
                <w:rFonts w:hint="eastAsia" w:ascii="宋体" w:hAnsi="宋体"/>
                <w:b/>
                <w:bCs/>
                <w:color w:val="auto"/>
                <w:highlight w:val="none"/>
                <w:lang w:val="en-US" w:eastAsia="zh-CN"/>
              </w:rPr>
              <w:t>壹佰伍拾伍万陆仟肆佰玖拾元捌角壹分</w:t>
            </w:r>
          </w:p>
          <w:p w14:paraId="225B53B9">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hint="default" w:ascii="宋体" w:hAnsi="宋体" w:eastAsia="宋体"/>
                <w:b/>
                <w:bCs/>
                <w:color w:val="auto"/>
                <w:highlight w:val="none"/>
                <w:lang w:val="en-US" w:eastAsia="zh-CN"/>
              </w:rPr>
            </w:pPr>
            <w:r>
              <w:rPr>
                <w:rFonts w:hint="eastAsia" w:ascii="宋体" w:hAnsi="宋体"/>
                <w:b/>
                <w:bCs/>
                <w:color w:val="auto"/>
                <w:highlight w:val="none"/>
              </w:rPr>
              <w:t>小写：</w:t>
            </w:r>
            <w:r>
              <w:rPr>
                <w:rFonts w:hint="eastAsia" w:ascii="宋体" w:hAnsi="宋体"/>
                <w:b/>
                <w:bCs/>
                <w:color w:val="auto"/>
                <w:highlight w:val="none"/>
                <w:lang w:val="en-US" w:eastAsia="zh-CN"/>
              </w:rPr>
              <w:t>1556490.81元</w:t>
            </w:r>
          </w:p>
          <w:p w14:paraId="4B268C5B">
            <w:pPr>
              <w:keepNext w:val="0"/>
              <w:keepLines w:val="0"/>
              <w:pageBreakBefore w:val="0"/>
              <w:widowControl w:val="0"/>
              <w:kinsoku/>
              <w:wordWrap/>
              <w:overflowPunct/>
              <w:topLinePunct/>
              <w:autoSpaceDE/>
              <w:autoSpaceDN/>
              <w:bidi w:val="0"/>
              <w:adjustRightInd w:val="0"/>
              <w:snapToGrid w:val="0"/>
              <w:spacing w:beforeAutospacing="0" w:line="360" w:lineRule="auto"/>
              <w:textAlignment w:val="baseline"/>
              <w:rPr>
                <w:rFonts w:hint="eastAsia" w:ascii="宋体" w:hAnsi="宋体" w:eastAsia="宋体"/>
                <w:color w:val="auto"/>
                <w:highlight w:val="none"/>
                <w:lang w:eastAsia="zh-CN"/>
              </w:rPr>
            </w:pPr>
            <w:r>
              <w:rPr>
                <w:rFonts w:hint="eastAsia" w:ascii="宋体" w:hAnsi="宋体"/>
                <w:color w:val="auto"/>
                <w:highlight w:val="none"/>
              </w:rPr>
              <w:t>超过最高</w:t>
            </w:r>
            <w:r>
              <w:rPr>
                <w:rFonts w:hint="eastAsia" w:ascii="宋体" w:hAnsi="宋体"/>
                <w:color w:val="auto"/>
                <w:highlight w:val="none"/>
                <w:lang w:eastAsia="zh-CN"/>
              </w:rPr>
              <w:t>投标</w:t>
            </w:r>
            <w:r>
              <w:rPr>
                <w:rFonts w:hint="eastAsia" w:ascii="宋体" w:hAnsi="宋体"/>
                <w:color w:val="auto"/>
                <w:highlight w:val="none"/>
              </w:rPr>
              <w:t>限价的按无效响应处理</w:t>
            </w:r>
            <w:r>
              <w:rPr>
                <w:rFonts w:hint="eastAsia" w:ascii="宋体" w:hAnsi="宋体"/>
                <w:color w:val="auto"/>
                <w:highlight w:val="none"/>
                <w:lang w:eastAsia="zh-CN"/>
              </w:rPr>
              <w:t>。</w:t>
            </w:r>
          </w:p>
        </w:tc>
      </w:tr>
      <w:tr w14:paraId="1D7FF6B5">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66E04385">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10.3</w:t>
            </w:r>
          </w:p>
        </w:tc>
        <w:tc>
          <w:tcPr>
            <w:tcW w:w="1691" w:type="dxa"/>
            <w:tcBorders>
              <w:top w:val="single" w:color="auto" w:sz="4" w:space="0"/>
              <w:left w:val="nil"/>
              <w:bottom w:val="single" w:color="auto" w:sz="4" w:space="0"/>
              <w:right w:val="single" w:color="auto" w:sz="4" w:space="0"/>
            </w:tcBorders>
            <w:vAlign w:val="center"/>
          </w:tcPr>
          <w:p w14:paraId="5EC17028">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b/>
                <w:bCs/>
                <w:color w:val="auto"/>
                <w:sz w:val="21"/>
                <w:szCs w:val="21"/>
                <w:highlight w:val="none"/>
              </w:rPr>
            </w:pPr>
            <w:r>
              <w:rPr>
                <w:rFonts w:hint="eastAsia" w:ascii="宋体" w:hAnsi="宋体"/>
                <w:b/>
                <w:bCs/>
                <w:color w:val="auto"/>
                <w:sz w:val="21"/>
                <w:szCs w:val="21"/>
                <w:highlight w:val="none"/>
              </w:rPr>
              <w:t>付款方式</w:t>
            </w:r>
          </w:p>
        </w:tc>
        <w:tc>
          <w:tcPr>
            <w:tcW w:w="6338" w:type="dxa"/>
            <w:tcBorders>
              <w:top w:val="single" w:color="auto" w:sz="4" w:space="0"/>
              <w:left w:val="nil"/>
              <w:bottom w:val="single" w:color="auto" w:sz="4" w:space="0"/>
              <w:right w:val="single" w:color="auto" w:sz="4" w:space="0"/>
            </w:tcBorders>
            <w:vAlign w:val="center"/>
          </w:tcPr>
          <w:p w14:paraId="3DF8FB13">
            <w:pPr>
              <w:keepNext w:val="0"/>
              <w:keepLines w:val="0"/>
              <w:pageBreakBefore w:val="0"/>
              <w:widowControl w:val="0"/>
              <w:kinsoku/>
              <w:wordWrap/>
              <w:overflowPunct/>
              <w:topLinePunct/>
              <w:autoSpaceDE/>
              <w:autoSpaceDN/>
              <w:bidi w:val="0"/>
              <w:adjustRightInd w:val="0"/>
              <w:snapToGrid w:val="0"/>
              <w:spacing w:beforeAutospacing="0" w:line="360" w:lineRule="auto"/>
              <w:textAlignment w:val="auto"/>
              <w:rPr>
                <w:rFonts w:hint="default"/>
                <w:color w:val="auto"/>
                <w:highlight w:val="none"/>
                <w:lang w:val="en-US" w:eastAsia="zh-CN"/>
              </w:rPr>
            </w:pPr>
            <w:r>
              <w:rPr>
                <w:rFonts w:hint="eastAsia" w:ascii="宋体" w:hAnsi="宋体"/>
                <w:b/>
                <w:bCs/>
                <w:color w:val="auto"/>
                <w:sz w:val="21"/>
                <w:szCs w:val="21"/>
                <w:highlight w:val="none"/>
                <w:lang w:eastAsia="zh-CN"/>
              </w:rPr>
              <w:t>工程竣工验收合格后，支付至合同价款的80%；竣工结算审计完成后，支付至审定价款的97%；剩余3%作为质量保证金，待缺陷责任期满且无质量问题后，一次性无息退还。</w:t>
            </w:r>
          </w:p>
        </w:tc>
      </w:tr>
      <w:tr w14:paraId="0CE8568C">
        <w:tblPrEx>
          <w:tblCellMar>
            <w:top w:w="0" w:type="dxa"/>
            <w:left w:w="108" w:type="dxa"/>
            <w:bottom w:w="0" w:type="dxa"/>
            <w:right w:w="108" w:type="dxa"/>
          </w:tblCellMar>
        </w:tblPrEx>
        <w:trPr>
          <w:trHeight w:val="1341"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2BF74346">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10.4</w:t>
            </w:r>
          </w:p>
        </w:tc>
        <w:tc>
          <w:tcPr>
            <w:tcW w:w="1691" w:type="dxa"/>
            <w:tcBorders>
              <w:top w:val="single" w:color="auto" w:sz="4" w:space="0"/>
              <w:left w:val="nil"/>
              <w:bottom w:val="single" w:color="auto" w:sz="4" w:space="0"/>
              <w:right w:val="single" w:color="auto" w:sz="4" w:space="0"/>
            </w:tcBorders>
            <w:vAlign w:val="center"/>
          </w:tcPr>
          <w:p w14:paraId="619BD986">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成交服务费</w:t>
            </w:r>
          </w:p>
        </w:tc>
        <w:tc>
          <w:tcPr>
            <w:tcW w:w="6338" w:type="dxa"/>
            <w:tcBorders>
              <w:top w:val="single" w:color="auto" w:sz="4" w:space="0"/>
              <w:left w:val="nil"/>
              <w:bottom w:val="single" w:color="auto" w:sz="4" w:space="0"/>
              <w:right w:val="single" w:color="auto" w:sz="4" w:space="0"/>
            </w:tcBorders>
            <w:vAlign w:val="center"/>
          </w:tcPr>
          <w:p w14:paraId="083B3B61">
            <w:pPr>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kern w:val="0"/>
                <w:highlight w:val="none"/>
              </w:rPr>
            </w:pPr>
            <w:r>
              <w:rPr>
                <w:rFonts w:hint="eastAsia" w:ascii="宋体" w:hAnsi="宋体"/>
                <w:color w:val="auto"/>
                <w:kern w:val="0"/>
                <w:highlight w:val="none"/>
              </w:rPr>
              <w:t>按照豫招协</w:t>
            </w:r>
            <w:r>
              <w:rPr>
                <w:rFonts w:hint="eastAsia" w:ascii="宋体" w:hAnsi="宋体"/>
                <w:color w:val="auto"/>
                <w:kern w:val="0"/>
                <w:highlight w:val="none"/>
                <w:lang w:eastAsia="zh-CN"/>
              </w:rPr>
              <w:t>〔2023〕2号</w:t>
            </w:r>
            <w:r>
              <w:rPr>
                <w:rFonts w:hint="eastAsia" w:ascii="宋体" w:hAnsi="宋体"/>
                <w:color w:val="auto"/>
                <w:kern w:val="0"/>
                <w:highlight w:val="none"/>
              </w:rPr>
              <w:t>《河南省招标代理服务收费指导意见》</w:t>
            </w:r>
            <w:r>
              <w:rPr>
                <w:rFonts w:hint="eastAsia" w:ascii="宋体" w:hAnsi="宋体"/>
                <w:color w:val="auto"/>
                <w:kern w:val="0"/>
                <w:highlight w:val="none"/>
                <w:lang w:val="en-US" w:eastAsia="zh-CN"/>
              </w:rPr>
              <w:t>工程</w:t>
            </w:r>
            <w:r>
              <w:rPr>
                <w:rFonts w:hint="eastAsia" w:ascii="宋体" w:hAnsi="宋体"/>
                <w:color w:val="auto"/>
                <w:kern w:val="0"/>
                <w:highlight w:val="none"/>
              </w:rPr>
              <w:t>类标准向成交供应商收取。由成交供应商在领取成交通知书时，一次性向采购代理机构缴纳。</w:t>
            </w:r>
          </w:p>
        </w:tc>
      </w:tr>
      <w:tr w14:paraId="2637A834">
        <w:tblPrEx>
          <w:tblCellMar>
            <w:top w:w="0" w:type="dxa"/>
            <w:left w:w="108" w:type="dxa"/>
            <w:bottom w:w="0" w:type="dxa"/>
            <w:right w:w="108" w:type="dxa"/>
          </w:tblCellMar>
        </w:tblPrEx>
        <w:trPr>
          <w:trHeight w:val="551"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5302C1C8">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10.5</w:t>
            </w:r>
          </w:p>
        </w:tc>
        <w:tc>
          <w:tcPr>
            <w:tcW w:w="1691" w:type="dxa"/>
            <w:tcBorders>
              <w:top w:val="single" w:color="auto" w:sz="4" w:space="0"/>
              <w:left w:val="nil"/>
              <w:bottom w:val="single" w:color="auto" w:sz="4" w:space="0"/>
              <w:right w:val="single" w:color="auto" w:sz="4" w:space="0"/>
            </w:tcBorders>
            <w:vAlign w:val="center"/>
          </w:tcPr>
          <w:p w14:paraId="4F7BD68B">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政府采购政策要求</w:t>
            </w:r>
          </w:p>
        </w:tc>
        <w:tc>
          <w:tcPr>
            <w:tcW w:w="6338" w:type="dxa"/>
            <w:tcBorders>
              <w:top w:val="single" w:color="auto" w:sz="4" w:space="0"/>
              <w:left w:val="nil"/>
              <w:bottom w:val="single" w:color="auto" w:sz="4" w:space="0"/>
              <w:right w:val="single" w:color="auto" w:sz="4" w:space="0"/>
            </w:tcBorders>
            <w:vAlign w:val="center"/>
          </w:tcPr>
          <w:p w14:paraId="1B4ED96A">
            <w:pPr>
              <w:keepNext w:val="0"/>
              <w:keepLines w:val="0"/>
              <w:pageBreakBefore w:val="0"/>
              <w:widowControl w:val="0"/>
              <w:kinsoku/>
              <w:wordWrap/>
              <w:overflowPunct/>
              <w:topLinePunct w:val="0"/>
              <w:autoSpaceDE/>
              <w:autoSpaceDN/>
              <w:bidi w:val="0"/>
              <w:adjustRightInd w:val="0"/>
              <w:snapToGrid w:val="0"/>
              <w:spacing w:beforeAutospacing="0" w:line="360" w:lineRule="auto"/>
              <w:jc w:val="left"/>
              <w:textAlignment w:val="auto"/>
              <w:rPr>
                <w:rFonts w:ascii="宋体" w:hAnsi="宋体"/>
                <w:color w:val="auto"/>
                <w:highlight w:val="none"/>
              </w:rPr>
            </w:pPr>
            <w:r>
              <w:rPr>
                <w:rFonts w:hint="eastAsia" w:ascii="宋体" w:hAnsi="宋体"/>
                <w:color w:val="auto"/>
                <w:highlight w:val="none"/>
              </w:rPr>
              <w:t>政府采购相关政策信息</w:t>
            </w:r>
          </w:p>
          <w:p w14:paraId="31F6656D">
            <w:pPr>
              <w:keepNext w:val="0"/>
              <w:keepLines w:val="0"/>
              <w:pageBreakBefore w:val="0"/>
              <w:widowControl w:val="0"/>
              <w:kinsoku/>
              <w:wordWrap/>
              <w:overflowPunct/>
              <w:autoSpaceDE/>
              <w:autoSpaceDN/>
              <w:bidi w:val="0"/>
              <w:adjustRightInd w:val="0"/>
              <w:snapToGrid w:val="0"/>
              <w:spacing w:beforeAutospacing="0" w:line="360" w:lineRule="auto"/>
              <w:jc w:val="left"/>
              <w:textAlignment w:val="auto"/>
              <w:rPr>
                <w:rFonts w:hint="eastAsia" w:ascii="宋体" w:hAnsi="宋体"/>
                <w:color w:val="auto"/>
                <w:highlight w:val="none"/>
              </w:rPr>
            </w:pPr>
            <w:r>
              <w:rPr>
                <w:rFonts w:hint="eastAsia" w:ascii="宋体" w:hAnsi="宋体"/>
                <w:color w:val="auto"/>
                <w:highlight w:val="none"/>
              </w:rPr>
              <w:t>A．为贯彻落实《财政部 工业和信息化部关于印发</w:t>
            </w:r>
            <w:r>
              <w:rPr>
                <w:rFonts w:hint="eastAsia" w:ascii="宋体" w:hAnsi="宋体"/>
                <w:color w:val="auto"/>
                <w:highlight w:val="none"/>
                <w:lang w:eastAsia="zh-CN"/>
              </w:rPr>
              <w:t>〈</w:t>
            </w:r>
            <w:r>
              <w:rPr>
                <w:rFonts w:hint="eastAsia" w:ascii="宋体" w:hAnsi="宋体"/>
                <w:color w:val="auto"/>
                <w:highlight w:val="none"/>
              </w:rPr>
              <w:t>政府采购促进中小企业发展管理办法</w:t>
            </w:r>
            <w:r>
              <w:rPr>
                <w:rFonts w:hint="eastAsia" w:ascii="宋体" w:hAnsi="宋体"/>
                <w:color w:val="auto"/>
                <w:highlight w:val="none"/>
                <w:lang w:eastAsia="zh-CN"/>
              </w:rPr>
              <w:t>〉的通知》</w:t>
            </w:r>
            <w:r>
              <w:rPr>
                <w:rFonts w:hint="eastAsia" w:ascii="宋体" w:hAnsi="宋体"/>
                <w:color w:val="auto"/>
                <w:highlight w:val="none"/>
              </w:rPr>
              <w:t>（财库〔2020〕46号）和《关于进一步加大政府采购支持中小企业力度的通知》（财库〔2022〕19号）</w:t>
            </w:r>
            <w:r>
              <w:rPr>
                <w:rFonts w:hint="eastAsia" w:ascii="宋体" w:hAnsi="宋体"/>
                <w:color w:val="auto"/>
                <w:highlight w:val="none"/>
                <w:lang w:eastAsia="zh-CN"/>
              </w:rPr>
              <w:t>，</w:t>
            </w:r>
            <w:r>
              <w:rPr>
                <w:rFonts w:hint="eastAsia" w:ascii="宋体" w:hAnsi="宋体"/>
                <w:color w:val="auto"/>
                <w:highlight w:val="none"/>
              </w:rPr>
              <w:t>本项目鼓励中小企业参与，若供应商为符合政府采购政策价格扣除的小型及微型企业，应提交信息完整有效的《中小企业声明函》。若不能提供，则视为非小微型企业，价格不予扣除；本项目对属于小微型企业的磋商报价给予 3 %的价格扣除。</w:t>
            </w:r>
          </w:p>
          <w:p w14:paraId="20B8788E">
            <w:pPr>
              <w:keepNext w:val="0"/>
              <w:keepLines w:val="0"/>
              <w:pageBreakBefore w:val="0"/>
              <w:widowControl w:val="0"/>
              <w:kinsoku/>
              <w:wordWrap/>
              <w:overflowPunct/>
              <w:autoSpaceDE/>
              <w:autoSpaceDN/>
              <w:bidi w:val="0"/>
              <w:adjustRightInd w:val="0"/>
              <w:snapToGrid w:val="0"/>
              <w:spacing w:beforeAutospacing="0" w:line="360" w:lineRule="auto"/>
              <w:jc w:val="left"/>
              <w:textAlignment w:val="auto"/>
              <w:rPr>
                <w:rFonts w:hint="eastAsia" w:ascii="宋体" w:hAnsi="宋体"/>
                <w:color w:val="auto"/>
                <w:highlight w:val="none"/>
              </w:rPr>
            </w:pPr>
            <w:r>
              <w:rPr>
                <w:rFonts w:hint="eastAsia" w:ascii="宋体" w:hAnsi="宋体"/>
                <w:color w:val="auto"/>
                <w:highlight w:val="none"/>
              </w:rPr>
              <w:t>B．根据《财政部、司法部关于政府采购支持监狱企业发展有关问题的通知》（财库〔2014〕68号）规定，监狱企业参加本项目投标时，须提供由省级以上监狱管理局、戒毒管理局（含新疆生产建设兵团）出具的属于监狱企业的证明文件，视同小型、微型企业，享受评审中价格扣除等政府采购促进中小企业发展的政府采购政策。</w:t>
            </w:r>
          </w:p>
          <w:p w14:paraId="45149D11">
            <w:pPr>
              <w:keepNext w:val="0"/>
              <w:keepLines w:val="0"/>
              <w:pageBreakBefore w:val="0"/>
              <w:widowControl w:val="0"/>
              <w:kinsoku/>
              <w:wordWrap/>
              <w:overflowPunct/>
              <w:autoSpaceDE/>
              <w:autoSpaceDN/>
              <w:bidi w:val="0"/>
              <w:adjustRightInd w:val="0"/>
              <w:snapToGrid w:val="0"/>
              <w:spacing w:beforeAutospacing="0" w:line="360" w:lineRule="auto"/>
              <w:jc w:val="left"/>
              <w:textAlignment w:val="auto"/>
              <w:rPr>
                <w:rFonts w:hint="eastAsia" w:ascii="宋体" w:hAnsi="宋体"/>
                <w:color w:val="auto"/>
                <w:highlight w:val="none"/>
              </w:rPr>
            </w:pPr>
            <w:r>
              <w:rPr>
                <w:rFonts w:hint="eastAsia" w:ascii="宋体" w:hAnsi="宋体"/>
                <w:color w:val="auto"/>
                <w:highlight w:val="none"/>
              </w:rPr>
              <w:t>C．根据《财政部、民政部、中国残疾人联合会关于关于促进残疾人就业政府采购政策的通知》（财库〔2017〕141号）规定，本项目支持残疾人福利性单位参与政府采购活动。在政府采购活动中，残疾人福利性单位视同小型、微型企业，享受预留份额、评审中价格扣除等促进中小企业发展的政府采购政策。</w:t>
            </w:r>
          </w:p>
          <w:p w14:paraId="55B8B6A9">
            <w:pPr>
              <w:keepNext w:val="0"/>
              <w:keepLines w:val="0"/>
              <w:pageBreakBefore w:val="0"/>
              <w:widowControl w:val="0"/>
              <w:kinsoku/>
              <w:wordWrap/>
              <w:overflowPunct/>
              <w:autoSpaceDE/>
              <w:autoSpaceDN/>
              <w:bidi w:val="0"/>
              <w:adjustRightInd w:val="0"/>
              <w:snapToGrid w:val="0"/>
              <w:spacing w:beforeAutospacing="0" w:line="360" w:lineRule="auto"/>
              <w:jc w:val="left"/>
              <w:textAlignment w:val="auto"/>
              <w:rPr>
                <w:rFonts w:hint="eastAsia" w:ascii="宋体" w:hAnsi="宋体"/>
                <w:color w:val="auto"/>
                <w:highlight w:val="none"/>
              </w:rPr>
            </w:pPr>
            <w:r>
              <w:rPr>
                <w:rFonts w:hint="eastAsia" w:ascii="宋体" w:hAnsi="宋体"/>
                <w:color w:val="auto"/>
                <w:highlight w:val="none"/>
              </w:rPr>
              <w:t>供应商提供的以上《声明函》与事实不符的，将依照</w:t>
            </w:r>
            <w:r>
              <w:rPr>
                <w:rFonts w:hint="eastAsia" w:ascii="宋体" w:hAnsi="宋体"/>
                <w:color w:val="auto"/>
                <w:highlight w:val="none"/>
                <w:lang w:eastAsia="zh-CN"/>
              </w:rPr>
              <w:t>《中华人民共和国政府采购法》</w:t>
            </w:r>
            <w:r>
              <w:rPr>
                <w:rFonts w:hint="eastAsia" w:ascii="宋体" w:hAnsi="宋体"/>
                <w:color w:val="auto"/>
                <w:highlight w:val="none"/>
              </w:rPr>
              <w:t>第七十七条第一款的规定追究法律责任。</w:t>
            </w:r>
          </w:p>
          <w:p w14:paraId="61DD0797">
            <w:pPr>
              <w:keepNext w:val="0"/>
              <w:keepLines w:val="0"/>
              <w:pageBreakBefore w:val="0"/>
              <w:widowControl w:val="0"/>
              <w:kinsoku/>
              <w:wordWrap/>
              <w:overflowPunct/>
              <w:autoSpaceDE/>
              <w:autoSpaceDN/>
              <w:bidi w:val="0"/>
              <w:adjustRightInd w:val="0"/>
              <w:snapToGrid w:val="0"/>
              <w:spacing w:beforeAutospacing="0" w:line="360" w:lineRule="auto"/>
              <w:jc w:val="left"/>
              <w:textAlignment w:val="auto"/>
              <w:rPr>
                <w:rFonts w:hint="eastAsia" w:ascii="宋体" w:hAnsi="宋体"/>
                <w:color w:val="auto"/>
                <w:highlight w:val="none"/>
              </w:rPr>
            </w:pPr>
            <w:r>
              <w:rPr>
                <w:rFonts w:hint="eastAsia" w:ascii="宋体" w:hAnsi="宋体"/>
                <w:color w:val="auto"/>
                <w:highlight w:val="none"/>
                <w:lang w:val="en-US" w:eastAsia="zh-CN"/>
              </w:rPr>
              <w:t>D．根据</w:t>
            </w:r>
            <w:r>
              <w:rPr>
                <w:rFonts w:hint="eastAsia" w:ascii="宋体" w:hAnsi="宋体"/>
                <w:color w:val="auto"/>
                <w:highlight w:val="none"/>
              </w:rPr>
              <w:t>《关于印发环境标志产品政府采购品目清单的通知》（财库〔2019〕18号）和《关于印发节能产品政府采购品目清单的通知》（财库〔2019〕19号）的规定，采购的产品属于品目清单范围的，将依据国家确定的认证机构出具的、处于有效期之内的节能产品、环境标志产品认证证书，对获得证书的产品实施政府优先采购或强制采购。（环境标志产品目录详见本章附件</w:t>
            </w:r>
            <w:r>
              <w:rPr>
                <w:rFonts w:hint="eastAsia" w:ascii="宋体" w:hAnsi="宋体"/>
                <w:color w:val="auto"/>
                <w:highlight w:val="none"/>
                <w:lang w:val="en-US" w:eastAsia="zh-CN"/>
              </w:rPr>
              <w:t>3，本项目不涉及</w:t>
            </w:r>
            <w:r>
              <w:rPr>
                <w:rFonts w:hint="eastAsia" w:ascii="宋体" w:hAnsi="宋体"/>
                <w:color w:val="auto"/>
                <w:highlight w:val="none"/>
              </w:rPr>
              <w:t>节能产品政府采购品目清单</w:t>
            </w:r>
            <w:r>
              <w:rPr>
                <w:rFonts w:hint="eastAsia" w:ascii="宋体" w:hAnsi="宋体"/>
                <w:color w:val="auto"/>
                <w:highlight w:val="none"/>
                <w:lang w:eastAsia="zh-CN"/>
              </w:rPr>
              <w:t>中产品</w:t>
            </w:r>
            <w:r>
              <w:rPr>
                <w:rFonts w:hint="eastAsia" w:ascii="宋体" w:hAnsi="宋体"/>
                <w:color w:val="auto"/>
                <w:highlight w:val="none"/>
              </w:rPr>
              <w:t>）。</w:t>
            </w:r>
          </w:p>
          <w:p w14:paraId="2679E192">
            <w:pPr>
              <w:keepNext w:val="0"/>
              <w:keepLines w:val="0"/>
              <w:pageBreakBefore w:val="0"/>
              <w:widowControl w:val="0"/>
              <w:kinsoku/>
              <w:wordWrap/>
              <w:overflowPunct/>
              <w:autoSpaceDE/>
              <w:autoSpaceDN/>
              <w:bidi w:val="0"/>
              <w:adjustRightInd w:val="0"/>
              <w:snapToGrid w:val="0"/>
              <w:spacing w:beforeAutospacing="0" w:line="360" w:lineRule="auto"/>
              <w:jc w:val="left"/>
              <w:textAlignment w:val="auto"/>
              <w:rPr>
                <w:rFonts w:hint="eastAsia" w:ascii="宋体" w:hAnsi="宋体"/>
                <w:color w:val="auto"/>
                <w:highlight w:val="none"/>
              </w:rPr>
            </w:pPr>
            <w:r>
              <w:rPr>
                <w:rFonts w:hint="eastAsia" w:ascii="宋体" w:hAnsi="宋体"/>
                <w:color w:val="auto"/>
                <w:highlight w:val="none"/>
                <w:lang w:eastAsia="zh-CN"/>
              </w:rPr>
              <w:t>施工中使用</w:t>
            </w:r>
            <w:r>
              <w:rPr>
                <w:rFonts w:hint="eastAsia" w:ascii="宋体" w:hAnsi="宋体"/>
                <w:color w:val="auto"/>
                <w:highlight w:val="none"/>
              </w:rPr>
              <w:t>产品属于政府采购清单中环境标志产品的，对产品实施优先采购。</w:t>
            </w:r>
          </w:p>
          <w:p w14:paraId="70ACEA62">
            <w:pPr>
              <w:keepNext w:val="0"/>
              <w:keepLines w:val="0"/>
              <w:pageBreakBefore w:val="0"/>
              <w:widowControl w:val="0"/>
              <w:kinsoku/>
              <w:wordWrap/>
              <w:overflowPunct/>
              <w:autoSpaceDE/>
              <w:autoSpaceDN/>
              <w:bidi w:val="0"/>
              <w:adjustRightInd w:val="0"/>
              <w:snapToGrid w:val="0"/>
              <w:spacing w:beforeAutospacing="0" w:line="360" w:lineRule="auto"/>
              <w:jc w:val="left"/>
              <w:textAlignment w:val="auto"/>
              <w:rPr>
                <w:rFonts w:hint="eastAsia" w:ascii="宋体" w:hAnsi="宋体"/>
                <w:color w:val="auto"/>
                <w:highlight w:val="none"/>
              </w:rPr>
            </w:pPr>
            <w:r>
              <w:rPr>
                <w:rFonts w:hint="eastAsia" w:ascii="宋体" w:hAnsi="宋体"/>
                <w:color w:val="auto"/>
                <w:highlight w:val="none"/>
              </w:rPr>
              <w:t>注意：根据财政部有关优化营商环境文件精神，减少供应商投标前不必要的背书、授权等行为，本次采购活动供应商可提供节能产品认证证书、环境标志产品认证证书复印件或证书编号的官网查询截图，查询官网为：国家市场监督管理总局（全国认证认可信息公共服务平台）https://cx.cnca.cn---政采信息栏目。</w:t>
            </w:r>
          </w:p>
        </w:tc>
      </w:tr>
      <w:tr w14:paraId="0867929C">
        <w:tblPrEx>
          <w:tblCellMar>
            <w:top w:w="0" w:type="dxa"/>
            <w:left w:w="108" w:type="dxa"/>
            <w:bottom w:w="0" w:type="dxa"/>
            <w:right w:w="108" w:type="dxa"/>
          </w:tblCellMar>
        </w:tblPrEx>
        <w:trPr>
          <w:trHeight w:val="2068"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63D87BF4">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bookmarkStart w:id="35" w:name="_Toc466298091"/>
            <w:r>
              <w:rPr>
                <w:rFonts w:hint="eastAsia" w:ascii="宋体" w:hAnsi="宋体"/>
                <w:color w:val="auto"/>
                <w:highlight w:val="none"/>
              </w:rPr>
              <w:t>10.6</w:t>
            </w:r>
          </w:p>
        </w:tc>
        <w:tc>
          <w:tcPr>
            <w:tcW w:w="1691" w:type="dxa"/>
            <w:tcBorders>
              <w:top w:val="single" w:color="auto" w:sz="4" w:space="0"/>
              <w:left w:val="nil"/>
              <w:bottom w:val="single" w:color="auto" w:sz="4" w:space="0"/>
              <w:right w:val="single" w:color="auto" w:sz="4" w:space="0"/>
            </w:tcBorders>
            <w:vAlign w:val="center"/>
          </w:tcPr>
          <w:p w14:paraId="332170C5">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Style w:val="100"/>
                <w:rFonts w:hint="eastAsia" w:ascii="宋体" w:hAnsi="宋体" w:cs="宋体"/>
                <w:color w:val="auto"/>
                <w:szCs w:val="24"/>
                <w:highlight w:val="none"/>
              </w:rPr>
              <w:t>本项目所属行业</w:t>
            </w:r>
          </w:p>
        </w:tc>
        <w:tc>
          <w:tcPr>
            <w:tcW w:w="6338" w:type="dxa"/>
            <w:tcBorders>
              <w:top w:val="single" w:color="auto" w:sz="4" w:space="0"/>
              <w:left w:val="nil"/>
              <w:bottom w:val="single" w:color="auto" w:sz="4" w:space="0"/>
              <w:right w:val="single" w:color="auto" w:sz="4" w:space="0"/>
            </w:tcBorders>
            <w:vAlign w:val="center"/>
          </w:tcPr>
          <w:p w14:paraId="5A18C50D">
            <w:pPr>
              <w:keepNext w:val="0"/>
              <w:keepLines w:val="0"/>
              <w:pageBreakBefore w:val="0"/>
              <w:widowControl w:val="0"/>
              <w:kinsoku/>
              <w:wordWrap/>
              <w:overflowPunct/>
              <w:topLinePunct/>
              <w:autoSpaceDE/>
              <w:autoSpaceDN/>
              <w:bidi w:val="0"/>
              <w:adjustRightInd w:val="0"/>
              <w:snapToGrid w:val="0"/>
              <w:spacing w:beforeAutospacing="0" w:line="360" w:lineRule="auto"/>
              <w:rPr>
                <w:rStyle w:val="100"/>
                <w:rFonts w:ascii="宋体" w:hAnsi="宋体" w:cs="宋体"/>
                <w:b/>
                <w:bCs/>
                <w:color w:val="auto"/>
                <w:szCs w:val="24"/>
                <w:highlight w:val="none"/>
              </w:rPr>
            </w:pPr>
            <w:r>
              <w:rPr>
                <w:rStyle w:val="100"/>
                <w:rFonts w:hint="eastAsia" w:ascii="宋体" w:hAnsi="宋体" w:cs="宋体"/>
                <w:b/>
                <w:bCs/>
                <w:color w:val="auto"/>
                <w:szCs w:val="24"/>
                <w:highlight w:val="none"/>
              </w:rPr>
              <w:t>本项目所属行业</w:t>
            </w:r>
            <w:r>
              <w:rPr>
                <w:rStyle w:val="100"/>
                <w:rFonts w:hint="eastAsia" w:ascii="宋体" w:hAnsi="宋体" w:cs="宋体"/>
                <w:b/>
                <w:bCs/>
                <w:color w:val="auto"/>
                <w:szCs w:val="24"/>
                <w:highlight w:val="none"/>
                <w:lang w:eastAsia="zh-CN"/>
              </w:rPr>
              <w:t>：</w:t>
            </w:r>
            <w:r>
              <w:rPr>
                <w:rStyle w:val="100"/>
                <w:rFonts w:hint="eastAsia" w:ascii="宋体" w:hAnsi="宋体" w:cs="宋体"/>
                <w:b/>
                <w:bCs/>
                <w:color w:val="auto"/>
                <w:szCs w:val="24"/>
                <w:highlight w:val="none"/>
              </w:rPr>
              <w:t>建筑业</w:t>
            </w:r>
          </w:p>
          <w:p w14:paraId="6E06C1C9">
            <w:pPr>
              <w:keepNext w:val="0"/>
              <w:keepLines w:val="0"/>
              <w:pageBreakBefore w:val="0"/>
              <w:widowControl w:val="0"/>
              <w:kinsoku/>
              <w:wordWrap/>
              <w:overflowPunct/>
              <w:topLinePunct/>
              <w:autoSpaceDE/>
              <w:autoSpaceDN/>
              <w:bidi w:val="0"/>
              <w:adjustRightInd w:val="0"/>
              <w:snapToGrid w:val="0"/>
              <w:spacing w:beforeAutospacing="0" w:line="360" w:lineRule="auto"/>
              <w:jc w:val="left"/>
              <w:rPr>
                <w:rFonts w:ascii="宋体" w:hAnsi="宋体"/>
                <w:color w:val="auto"/>
                <w:highlight w:val="none"/>
              </w:rPr>
            </w:pPr>
            <w:r>
              <w:rPr>
                <w:rStyle w:val="100"/>
                <w:rFonts w:hint="eastAsia" w:ascii="宋体" w:hAnsi="宋体" w:cs="宋体"/>
                <w:color w:val="auto"/>
                <w:szCs w:val="24"/>
                <w:highlight w:val="none"/>
              </w:rPr>
              <w:t>中小企业划型标准：中小微企业划分按照工业和信息化部、国家统计局、国家发展和改革委员会、</w:t>
            </w:r>
            <w:r>
              <w:rPr>
                <w:rStyle w:val="100"/>
                <w:rFonts w:hint="eastAsia" w:ascii="宋体" w:hAnsi="宋体" w:cs="宋体"/>
                <w:color w:val="auto"/>
                <w:szCs w:val="24"/>
                <w:highlight w:val="none"/>
                <w:lang w:eastAsia="zh-CN"/>
              </w:rPr>
              <w:t>财政部</w:t>
            </w:r>
            <w:r>
              <w:rPr>
                <w:rStyle w:val="100"/>
                <w:rFonts w:hint="eastAsia" w:ascii="宋体" w:hAnsi="宋体" w:cs="宋体"/>
                <w:color w:val="auto"/>
                <w:szCs w:val="24"/>
                <w:highlight w:val="none"/>
              </w:rPr>
              <w:t>《关于印发中小企业划型标准规定的通知》（工信部联企业</w:t>
            </w:r>
            <w:r>
              <w:rPr>
                <w:rStyle w:val="100"/>
                <w:rFonts w:hint="eastAsia" w:ascii="宋体" w:hAnsi="宋体" w:cs="宋体"/>
                <w:color w:val="auto"/>
                <w:szCs w:val="24"/>
                <w:highlight w:val="none"/>
                <w:lang w:eastAsia="zh-CN"/>
              </w:rPr>
              <w:t>〔2011〕300号</w:t>
            </w:r>
            <w:r>
              <w:rPr>
                <w:rStyle w:val="100"/>
                <w:rFonts w:hint="eastAsia" w:ascii="宋体" w:hAnsi="宋体" w:cs="宋体"/>
                <w:color w:val="auto"/>
                <w:szCs w:val="24"/>
                <w:highlight w:val="none"/>
              </w:rPr>
              <w:t>）规定的划型</w:t>
            </w:r>
            <w:r>
              <w:rPr>
                <w:rStyle w:val="100"/>
                <w:rFonts w:hint="eastAsia" w:ascii="宋体" w:hAnsi="宋体" w:cs="宋体"/>
                <w:color w:val="auto"/>
                <w:szCs w:val="24"/>
                <w:highlight w:val="none"/>
                <w:lang w:eastAsia="zh-CN"/>
              </w:rPr>
              <w:t>标准</w:t>
            </w:r>
            <w:r>
              <w:rPr>
                <w:rStyle w:val="100"/>
                <w:rFonts w:hint="eastAsia" w:ascii="宋体" w:hAnsi="宋体" w:cs="宋体"/>
                <w:color w:val="auto"/>
                <w:szCs w:val="24"/>
                <w:highlight w:val="none"/>
              </w:rPr>
              <w:t>。</w:t>
            </w:r>
          </w:p>
        </w:tc>
      </w:tr>
      <w:tr w14:paraId="19159752">
        <w:tblPrEx>
          <w:tblCellMar>
            <w:top w:w="0" w:type="dxa"/>
            <w:left w:w="108" w:type="dxa"/>
            <w:bottom w:w="0" w:type="dxa"/>
            <w:right w:w="108" w:type="dxa"/>
          </w:tblCellMar>
        </w:tblPrEx>
        <w:trPr>
          <w:trHeight w:val="2068"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40644444">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10.7</w:t>
            </w:r>
          </w:p>
        </w:tc>
        <w:tc>
          <w:tcPr>
            <w:tcW w:w="1691" w:type="dxa"/>
            <w:tcBorders>
              <w:top w:val="single" w:color="auto" w:sz="4" w:space="0"/>
              <w:left w:val="nil"/>
              <w:bottom w:val="single" w:color="auto" w:sz="4" w:space="0"/>
              <w:right w:val="single" w:color="auto" w:sz="4" w:space="0"/>
            </w:tcBorders>
            <w:vAlign w:val="center"/>
          </w:tcPr>
          <w:p w14:paraId="10C91362">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Style w:val="100"/>
                <w:rFonts w:hint="eastAsia" w:ascii="宋体" w:hAnsi="宋体" w:cs="宋体"/>
                <w:color w:val="auto"/>
                <w:sz w:val="21"/>
                <w:szCs w:val="21"/>
                <w:highlight w:val="none"/>
              </w:rPr>
            </w:pPr>
            <w:r>
              <w:rPr>
                <w:rStyle w:val="100"/>
                <w:rFonts w:hint="eastAsia" w:ascii="宋体" w:hAnsi="宋体" w:cs="宋体"/>
                <w:color w:val="auto"/>
                <w:sz w:val="21"/>
                <w:szCs w:val="21"/>
                <w:highlight w:val="none"/>
              </w:rPr>
              <w:t>异常低价问题的审查</w:t>
            </w:r>
          </w:p>
        </w:tc>
        <w:tc>
          <w:tcPr>
            <w:tcW w:w="6338" w:type="dxa"/>
            <w:tcBorders>
              <w:top w:val="single" w:color="auto" w:sz="4" w:space="0"/>
              <w:left w:val="nil"/>
              <w:bottom w:val="single" w:color="auto" w:sz="4" w:space="0"/>
              <w:right w:val="single" w:color="auto" w:sz="4" w:space="0"/>
            </w:tcBorders>
            <w:vAlign w:val="center"/>
          </w:tcPr>
          <w:p w14:paraId="0DCDE654">
            <w:pPr>
              <w:pStyle w:val="44"/>
              <w:keepNext w:val="0"/>
              <w:keepLines w:val="0"/>
              <w:pageBreakBefore w:val="0"/>
              <w:widowControl w:val="0"/>
              <w:kinsoku/>
              <w:wordWrap/>
              <w:overflowPunct/>
              <w:topLinePunct w:val="0"/>
              <w:autoSpaceDE/>
              <w:autoSpaceDN/>
              <w:bidi w:val="0"/>
              <w:adjustRightInd w:val="0"/>
              <w:snapToGrid w:val="0"/>
              <w:spacing w:before="0" w:beforeAutospacing="0" w:after="0" w:line="360" w:lineRule="auto"/>
              <w:ind w:left="0" w:leftChars="0" w:firstLine="0" w:firstLineChars="0"/>
              <w:textAlignment w:val="auto"/>
              <w:rPr>
                <w:rFonts w:hint="eastAsia" w:ascii="宋体" w:hAnsi="宋体" w:eastAsia="宋体" w:cs="宋体"/>
                <w:color w:val="auto"/>
                <w:kern w:val="0"/>
                <w:sz w:val="21"/>
                <w:szCs w:val="21"/>
                <w:lang w:val="en-US" w:eastAsia="zh-CN" w:bidi="ar-SA"/>
                <w14:ligatures w14:val="none"/>
              </w:rPr>
            </w:pPr>
            <w:r>
              <w:rPr>
                <w:rFonts w:hint="eastAsia" w:ascii="宋体" w:hAnsi="宋体" w:eastAsia="宋体" w:cs="宋体"/>
                <w:color w:val="auto"/>
                <w:kern w:val="0"/>
                <w:sz w:val="21"/>
                <w:szCs w:val="21"/>
                <w:lang w:val="en-US" w:eastAsia="zh-CN" w:bidi="ar-SA"/>
                <w14:ligatures w14:val="none"/>
              </w:rPr>
              <w:t>落实《关于推动解决政府采购异常低价问题的通知》财库〔2026〕2号文件，强化政府采购异常低价审查：</w:t>
            </w:r>
          </w:p>
          <w:p w14:paraId="6D04BEBB">
            <w:pPr>
              <w:pStyle w:val="44"/>
              <w:keepNext w:val="0"/>
              <w:keepLines w:val="0"/>
              <w:pageBreakBefore w:val="0"/>
              <w:widowControl w:val="0"/>
              <w:kinsoku/>
              <w:wordWrap/>
              <w:overflowPunct/>
              <w:topLinePunct w:val="0"/>
              <w:autoSpaceDE/>
              <w:autoSpaceDN/>
              <w:bidi w:val="0"/>
              <w:adjustRightInd w:val="0"/>
              <w:snapToGrid w:val="0"/>
              <w:spacing w:before="0" w:beforeAutospacing="0" w:after="0" w:line="360" w:lineRule="auto"/>
              <w:ind w:left="0" w:leftChars="0" w:firstLine="0" w:firstLineChars="0"/>
              <w:textAlignment w:val="auto"/>
              <w:rPr>
                <w:rFonts w:hint="eastAsia" w:ascii="宋体" w:hAnsi="宋体" w:eastAsia="宋体" w:cs="宋体"/>
                <w:color w:val="auto"/>
                <w:kern w:val="0"/>
                <w:sz w:val="21"/>
                <w:szCs w:val="21"/>
                <w:lang w:val="en-US" w:eastAsia="zh-CN" w:bidi="ar-SA"/>
                <w14:ligatures w14:val="none"/>
              </w:rPr>
            </w:pPr>
            <w:r>
              <w:rPr>
                <w:rFonts w:hint="eastAsia" w:ascii="宋体" w:hAnsi="宋体" w:eastAsia="宋体" w:cs="宋体"/>
                <w:color w:val="auto"/>
                <w:kern w:val="0"/>
                <w:sz w:val="21"/>
                <w:szCs w:val="21"/>
                <w:lang w:val="en-US" w:eastAsia="zh-CN" w:bidi="ar-SA"/>
                <w14:ligatures w14:val="none"/>
              </w:rPr>
              <w:t>①政府采购评审中出现下列情形之一的，评审委员会应当启动异常低价投标（响应）审查程序：</w:t>
            </w:r>
          </w:p>
          <w:p w14:paraId="5C17275F">
            <w:pPr>
              <w:pStyle w:val="44"/>
              <w:keepNext w:val="0"/>
              <w:keepLines w:val="0"/>
              <w:pageBreakBefore w:val="0"/>
              <w:widowControl w:val="0"/>
              <w:kinsoku/>
              <w:wordWrap/>
              <w:overflowPunct/>
              <w:topLinePunct w:val="0"/>
              <w:autoSpaceDE/>
              <w:autoSpaceDN/>
              <w:bidi w:val="0"/>
              <w:adjustRightInd w:val="0"/>
              <w:snapToGrid w:val="0"/>
              <w:spacing w:before="0" w:beforeAutospacing="0" w:after="0" w:line="360" w:lineRule="auto"/>
              <w:ind w:left="0" w:leftChars="0" w:firstLine="0" w:firstLineChars="0"/>
              <w:textAlignment w:val="auto"/>
              <w:rPr>
                <w:rFonts w:hint="eastAsia" w:ascii="宋体" w:hAnsi="宋体" w:eastAsia="宋体" w:cs="宋体"/>
                <w:color w:val="auto"/>
                <w:kern w:val="0"/>
                <w:sz w:val="21"/>
                <w:szCs w:val="21"/>
                <w:lang w:val="en-US" w:eastAsia="zh-CN" w:bidi="ar-SA"/>
                <w14:ligatures w14:val="none"/>
              </w:rPr>
            </w:pPr>
            <w:r>
              <w:rPr>
                <w:rFonts w:hint="eastAsia" w:ascii="宋体" w:hAnsi="宋体" w:eastAsia="宋体" w:cs="宋体"/>
                <w:color w:val="auto"/>
                <w:kern w:val="0"/>
                <w:sz w:val="21"/>
                <w:szCs w:val="21"/>
                <w:lang w:val="en-US" w:eastAsia="zh-CN" w:bidi="ar-SA"/>
                <w14:ligatures w14:val="none"/>
              </w:rPr>
              <w:t>1.投标（响应）报价低于全部通过符合性审查供应商投标（响应）报价平均值50%的，即投标（响应）报价〈全部通过符合性审查供应商投标（响应）报价平均值×50%；</w:t>
            </w:r>
          </w:p>
          <w:p w14:paraId="0C3E5677">
            <w:pPr>
              <w:pStyle w:val="44"/>
              <w:keepNext w:val="0"/>
              <w:keepLines w:val="0"/>
              <w:pageBreakBefore w:val="0"/>
              <w:widowControl w:val="0"/>
              <w:kinsoku/>
              <w:wordWrap/>
              <w:overflowPunct/>
              <w:topLinePunct w:val="0"/>
              <w:autoSpaceDE/>
              <w:autoSpaceDN/>
              <w:bidi w:val="0"/>
              <w:adjustRightInd w:val="0"/>
              <w:snapToGrid w:val="0"/>
              <w:spacing w:before="0" w:beforeAutospacing="0" w:after="0" w:line="360" w:lineRule="auto"/>
              <w:ind w:left="0" w:leftChars="0" w:firstLine="0" w:firstLineChars="0"/>
              <w:textAlignment w:val="auto"/>
              <w:rPr>
                <w:rFonts w:hint="eastAsia" w:ascii="宋体" w:hAnsi="宋体" w:eastAsia="宋体" w:cs="宋体"/>
                <w:color w:val="auto"/>
                <w:kern w:val="0"/>
                <w:sz w:val="21"/>
                <w:szCs w:val="21"/>
                <w:lang w:val="en-US" w:eastAsia="zh-CN" w:bidi="ar-SA"/>
                <w14:ligatures w14:val="none"/>
              </w:rPr>
            </w:pPr>
            <w:r>
              <w:rPr>
                <w:rFonts w:hint="eastAsia" w:ascii="宋体" w:hAnsi="宋体" w:eastAsia="宋体" w:cs="宋体"/>
                <w:color w:val="auto"/>
                <w:kern w:val="0"/>
                <w:sz w:val="21"/>
                <w:szCs w:val="21"/>
                <w:lang w:val="en-US" w:eastAsia="zh-CN" w:bidi="ar-SA"/>
                <w14:ligatures w14:val="none"/>
              </w:rPr>
              <w:t>2.投标（响应）报价低于通过符合性审查的次低报价供应商投标（响应）报价50%的，即投标（响应）报价〈通过符合性审查的次低报价供应商投标（响应）报价×50%；</w:t>
            </w:r>
          </w:p>
          <w:p w14:paraId="78C15566">
            <w:pPr>
              <w:pStyle w:val="44"/>
              <w:keepNext w:val="0"/>
              <w:keepLines w:val="0"/>
              <w:pageBreakBefore w:val="0"/>
              <w:widowControl w:val="0"/>
              <w:kinsoku/>
              <w:wordWrap/>
              <w:overflowPunct/>
              <w:topLinePunct w:val="0"/>
              <w:autoSpaceDE/>
              <w:autoSpaceDN/>
              <w:bidi w:val="0"/>
              <w:adjustRightInd w:val="0"/>
              <w:snapToGrid w:val="0"/>
              <w:spacing w:before="0" w:beforeAutospacing="0" w:after="0" w:line="360" w:lineRule="auto"/>
              <w:ind w:left="0" w:leftChars="0" w:firstLine="0" w:firstLineChars="0"/>
              <w:textAlignment w:val="auto"/>
              <w:rPr>
                <w:rFonts w:hint="eastAsia" w:ascii="宋体" w:hAnsi="宋体" w:eastAsia="宋体" w:cs="宋体"/>
                <w:color w:val="auto"/>
                <w:kern w:val="0"/>
                <w:sz w:val="21"/>
                <w:szCs w:val="21"/>
                <w:lang w:val="en-US" w:eastAsia="zh-CN" w:bidi="ar-SA"/>
                <w14:ligatures w14:val="none"/>
              </w:rPr>
            </w:pPr>
            <w:r>
              <w:rPr>
                <w:rFonts w:hint="eastAsia" w:ascii="宋体" w:hAnsi="宋体" w:eastAsia="宋体" w:cs="宋体"/>
                <w:color w:val="auto"/>
                <w:kern w:val="0"/>
                <w:sz w:val="21"/>
                <w:szCs w:val="21"/>
                <w:lang w:val="en-US" w:eastAsia="zh-CN" w:bidi="ar-SA"/>
                <w14:ligatures w14:val="none"/>
              </w:rPr>
              <w:t>3.投标（响应）报价低于采购项目最高限价 45%的，即投标（响应）报价〈采购项目最高限价×45%；</w:t>
            </w:r>
          </w:p>
          <w:p w14:paraId="7BA62BD7">
            <w:pPr>
              <w:pStyle w:val="44"/>
              <w:keepNext w:val="0"/>
              <w:keepLines w:val="0"/>
              <w:pageBreakBefore w:val="0"/>
              <w:widowControl w:val="0"/>
              <w:kinsoku/>
              <w:wordWrap/>
              <w:overflowPunct/>
              <w:topLinePunct w:val="0"/>
              <w:autoSpaceDE/>
              <w:autoSpaceDN/>
              <w:bidi w:val="0"/>
              <w:adjustRightInd w:val="0"/>
              <w:snapToGrid w:val="0"/>
              <w:spacing w:before="0" w:beforeAutospacing="0" w:after="0" w:line="360" w:lineRule="auto"/>
              <w:ind w:left="0" w:leftChars="0" w:firstLine="0" w:firstLineChars="0"/>
              <w:textAlignment w:val="auto"/>
              <w:rPr>
                <w:rFonts w:hint="eastAsia" w:ascii="宋体" w:hAnsi="宋体" w:eastAsia="宋体" w:cs="宋体"/>
                <w:color w:val="auto"/>
                <w:kern w:val="0"/>
                <w:sz w:val="21"/>
                <w:szCs w:val="21"/>
                <w:lang w:val="en-US" w:eastAsia="zh-CN" w:bidi="ar-SA"/>
                <w14:ligatures w14:val="none"/>
              </w:rPr>
            </w:pPr>
            <w:r>
              <w:rPr>
                <w:rFonts w:hint="eastAsia" w:ascii="宋体" w:hAnsi="宋体" w:eastAsia="宋体" w:cs="宋体"/>
                <w:color w:val="auto"/>
                <w:kern w:val="0"/>
                <w:sz w:val="21"/>
                <w:szCs w:val="21"/>
                <w:lang w:val="en-US" w:eastAsia="zh-CN" w:bidi="ar-SA"/>
                <w14:ligatures w14:val="none"/>
              </w:rPr>
              <w:t>4.评审委员会基于专业判断，认为供应商报价过低，有可能影响产品质量或者不能诚信履约的其他情形。</w:t>
            </w:r>
          </w:p>
          <w:p w14:paraId="326EECA7">
            <w:pPr>
              <w:pStyle w:val="44"/>
              <w:keepNext w:val="0"/>
              <w:keepLines w:val="0"/>
              <w:pageBreakBefore w:val="0"/>
              <w:widowControl w:val="0"/>
              <w:kinsoku/>
              <w:wordWrap/>
              <w:overflowPunct/>
              <w:topLinePunct w:val="0"/>
              <w:autoSpaceDE/>
              <w:autoSpaceDN/>
              <w:bidi w:val="0"/>
              <w:adjustRightInd w:val="0"/>
              <w:snapToGrid w:val="0"/>
              <w:spacing w:before="0" w:beforeAutospacing="0" w:after="0" w:line="360" w:lineRule="auto"/>
              <w:ind w:left="0" w:leftChars="0" w:firstLine="0" w:firstLineChars="0"/>
              <w:textAlignment w:val="auto"/>
              <w:rPr>
                <w:rFonts w:hint="eastAsia" w:ascii="宋体" w:hAnsi="宋体" w:eastAsia="宋体" w:cs="宋体"/>
                <w:color w:val="auto"/>
                <w:kern w:val="0"/>
                <w:sz w:val="21"/>
                <w:szCs w:val="21"/>
                <w:lang w:val="en-US" w:eastAsia="zh-CN" w:bidi="ar-SA"/>
                <w14:ligatures w14:val="none"/>
              </w:rPr>
            </w:pPr>
            <w:r>
              <w:rPr>
                <w:rFonts w:hint="eastAsia" w:ascii="宋体" w:hAnsi="宋体" w:eastAsia="宋体" w:cs="宋体"/>
                <w:color w:val="auto"/>
                <w:kern w:val="0"/>
                <w:sz w:val="21"/>
                <w:szCs w:val="21"/>
                <w:lang w:val="en-US" w:eastAsia="zh-CN" w:bidi="ar-SA"/>
                <w14:ligatures w14:val="none"/>
              </w:rPr>
              <w:t>②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EE2C52A">
            <w:pPr>
              <w:pStyle w:val="44"/>
              <w:keepNext w:val="0"/>
              <w:keepLines w:val="0"/>
              <w:pageBreakBefore w:val="0"/>
              <w:widowControl w:val="0"/>
              <w:kinsoku/>
              <w:wordWrap/>
              <w:overflowPunct/>
              <w:topLinePunct w:val="0"/>
              <w:autoSpaceDE/>
              <w:autoSpaceDN/>
              <w:bidi w:val="0"/>
              <w:adjustRightInd w:val="0"/>
              <w:snapToGrid w:val="0"/>
              <w:spacing w:before="0" w:beforeAutospacing="0" w:after="0" w:line="360" w:lineRule="auto"/>
              <w:ind w:left="0" w:leftChars="0" w:firstLine="0" w:firstLineChars="0"/>
              <w:textAlignment w:val="auto"/>
              <w:rPr>
                <w:rFonts w:hint="eastAsia" w:ascii="宋体" w:hAnsi="宋体" w:eastAsia="宋体" w:cs="宋体"/>
                <w:color w:val="auto"/>
                <w:kern w:val="0"/>
                <w:sz w:val="21"/>
                <w:szCs w:val="21"/>
                <w:lang w:val="en-US" w:eastAsia="zh-CN" w:bidi="ar-SA"/>
                <w14:ligatures w14:val="none"/>
              </w:rPr>
            </w:pPr>
            <w:r>
              <w:rPr>
                <w:rFonts w:hint="eastAsia" w:ascii="宋体" w:hAnsi="宋体" w:eastAsia="宋体" w:cs="宋体"/>
                <w:color w:val="auto"/>
                <w:kern w:val="0"/>
                <w:sz w:val="21"/>
                <w:szCs w:val="21"/>
                <w:lang w:val="en-US" w:eastAsia="zh-CN" w:bidi="ar-SA"/>
                <w14:ligatures w14: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2111D8B">
            <w:pPr>
              <w:keepNext w:val="0"/>
              <w:keepLines w:val="0"/>
              <w:pageBreakBefore w:val="0"/>
              <w:widowControl w:val="0"/>
              <w:kinsoku/>
              <w:wordWrap/>
              <w:overflowPunct/>
              <w:topLinePunct/>
              <w:autoSpaceDE/>
              <w:autoSpaceDN/>
              <w:bidi w:val="0"/>
              <w:adjustRightInd w:val="0"/>
              <w:snapToGrid w:val="0"/>
              <w:spacing w:beforeAutospacing="0" w:line="360" w:lineRule="auto"/>
              <w:jc w:val="left"/>
              <w:rPr>
                <w:rStyle w:val="100"/>
                <w:rFonts w:hint="eastAsia" w:ascii="宋体" w:hAnsi="宋体" w:cs="宋体"/>
                <w:color w:val="auto"/>
                <w:sz w:val="21"/>
                <w:szCs w:val="21"/>
                <w:highlight w:val="none"/>
              </w:rPr>
            </w:pPr>
            <w:r>
              <w:rPr>
                <w:rFonts w:hint="eastAsia" w:ascii="宋体" w:hAnsi="宋体" w:eastAsia="宋体" w:cs="宋体"/>
                <w:color w:val="auto"/>
                <w:kern w:val="0"/>
                <w:sz w:val="21"/>
                <w:szCs w:val="21"/>
                <w:lang w:val="en-US" w:eastAsia="zh-CN" w:bidi="ar-SA"/>
                <w14:ligatures w14:val="none"/>
              </w:rPr>
              <w:t>异常低价投标（响应）审查的启动原因、审查意见和审查结果应当在评审报告中记录，并随供应商提供的相关书面说明及证明材料，以及评审委员会有关互联网浏览、查询历史一并归档。</w:t>
            </w:r>
          </w:p>
        </w:tc>
      </w:tr>
      <w:tr w14:paraId="62E29023">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41142B0B">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hint="eastAsia" w:ascii="宋体" w:hAnsi="宋体" w:eastAsia="宋体"/>
                <w:color w:val="auto"/>
                <w:highlight w:val="none"/>
                <w:lang w:eastAsia="zh-CN"/>
              </w:rPr>
            </w:pPr>
            <w:r>
              <w:rPr>
                <w:rFonts w:hint="eastAsia" w:ascii="宋体" w:hAnsi="宋体"/>
                <w:color w:val="auto"/>
                <w:highlight w:val="none"/>
              </w:rPr>
              <w:t>10.</w:t>
            </w:r>
            <w:r>
              <w:rPr>
                <w:rFonts w:hint="eastAsia" w:ascii="宋体" w:hAnsi="宋体"/>
                <w:color w:val="auto"/>
                <w:highlight w:val="none"/>
                <w:lang w:val="en-US" w:eastAsia="zh-CN"/>
              </w:rPr>
              <w:t>8</w:t>
            </w:r>
          </w:p>
        </w:tc>
        <w:tc>
          <w:tcPr>
            <w:tcW w:w="1691" w:type="dxa"/>
            <w:tcBorders>
              <w:top w:val="single" w:color="auto" w:sz="4" w:space="0"/>
              <w:left w:val="nil"/>
              <w:bottom w:val="single" w:color="auto" w:sz="4" w:space="0"/>
              <w:right w:val="single" w:color="auto" w:sz="4" w:space="0"/>
            </w:tcBorders>
            <w:vAlign w:val="center"/>
          </w:tcPr>
          <w:p w14:paraId="337A3E14">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Style w:val="100"/>
                <w:rFonts w:ascii="宋体" w:hAnsi="宋体" w:cs="宋体"/>
                <w:color w:val="auto"/>
                <w:szCs w:val="24"/>
                <w:highlight w:val="none"/>
              </w:rPr>
            </w:pPr>
            <w:r>
              <w:rPr>
                <w:rStyle w:val="100"/>
                <w:rFonts w:hint="eastAsia" w:ascii="宋体" w:hAnsi="宋体" w:cs="宋体"/>
                <w:color w:val="auto"/>
                <w:szCs w:val="24"/>
                <w:highlight w:val="none"/>
              </w:rPr>
              <w:t>质疑投诉</w:t>
            </w:r>
          </w:p>
        </w:tc>
        <w:tc>
          <w:tcPr>
            <w:tcW w:w="6338" w:type="dxa"/>
            <w:tcBorders>
              <w:top w:val="single" w:color="auto" w:sz="4" w:space="0"/>
              <w:left w:val="nil"/>
              <w:bottom w:val="single" w:color="auto" w:sz="4" w:space="0"/>
              <w:right w:val="single" w:color="auto" w:sz="4" w:space="0"/>
            </w:tcBorders>
            <w:vAlign w:val="center"/>
          </w:tcPr>
          <w:p w14:paraId="769A30E5">
            <w:pPr>
              <w:keepNext w:val="0"/>
              <w:keepLines w:val="0"/>
              <w:pageBreakBefore w:val="0"/>
              <w:widowControl w:val="0"/>
              <w:kinsoku/>
              <w:wordWrap/>
              <w:overflowPunct/>
              <w:topLinePunct/>
              <w:autoSpaceDE/>
              <w:autoSpaceDN/>
              <w:bidi w:val="0"/>
              <w:adjustRightInd w:val="0"/>
              <w:snapToGrid w:val="0"/>
              <w:spacing w:beforeAutospacing="0" w:line="360" w:lineRule="auto"/>
              <w:rPr>
                <w:color w:val="auto"/>
                <w:highlight w:val="none"/>
              </w:rPr>
            </w:pPr>
            <w:r>
              <w:rPr>
                <w:rFonts w:hint="eastAsia"/>
                <w:color w:val="auto"/>
                <w:highlight w:val="none"/>
              </w:rPr>
              <w:t>针对同一采购程序环节的质疑次数：</w:t>
            </w:r>
            <w:r>
              <w:rPr>
                <w:rFonts w:hint="eastAsia"/>
                <w:b/>
                <w:bCs/>
                <w:color w:val="auto"/>
                <w:highlight w:val="none"/>
              </w:rPr>
              <w:t>一次性提出</w:t>
            </w:r>
          </w:p>
          <w:p w14:paraId="7F39249F">
            <w:pPr>
              <w:keepNext w:val="0"/>
              <w:keepLines w:val="0"/>
              <w:pageBreakBefore w:val="0"/>
              <w:widowControl w:val="0"/>
              <w:kinsoku/>
              <w:wordWrap/>
              <w:overflowPunct/>
              <w:topLinePunct/>
              <w:autoSpaceDE/>
              <w:autoSpaceDN/>
              <w:bidi w:val="0"/>
              <w:adjustRightInd w:val="0"/>
              <w:snapToGrid w:val="0"/>
              <w:spacing w:beforeAutospacing="0" w:line="360" w:lineRule="auto"/>
              <w:rPr>
                <w:color w:val="auto"/>
                <w:highlight w:val="none"/>
              </w:rPr>
            </w:pPr>
            <w:r>
              <w:rPr>
                <w:rFonts w:hint="eastAsia"/>
                <w:color w:val="auto"/>
                <w:highlight w:val="none"/>
              </w:rPr>
              <w:t>供应商认为竞争性磋商文件、采购过程、中标或者成交结果使自己的权益受到损害的，可以在知道或者应知其权益受到损害之日起7个工作日内，以书面形式向采购人、采购代理机构提出质疑，具体事项按照《中华人民共和国财政部令第94号</w:t>
            </w:r>
            <w:r>
              <w:rPr>
                <w:rFonts w:hint="eastAsia"/>
                <w:color w:val="auto"/>
                <w:highlight w:val="none"/>
                <w:lang w:eastAsia="zh-CN"/>
              </w:rPr>
              <w:t>——</w:t>
            </w:r>
            <w:r>
              <w:rPr>
                <w:rFonts w:hint="eastAsia"/>
                <w:color w:val="auto"/>
                <w:highlight w:val="none"/>
              </w:rPr>
              <w:t>政府采购质疑和投诉办法》执行。</w:t>
            </w:r>
          </w:p>
          <w:p w14:paraId="5EC940DF">
            <w:pPr>
              <w:keepNext w:val="0"/>
              <w:keepLines w:val="0"/>
              <w:pageBreakBefore w:val="0"/>
              <w:widowControl w:val="0"/>
              <w:kinsoku/>
              <w:wordWrap/>
              <w:overflowPunct/>
              <w:topLinePunct/>
              <w:autoSpaceDE/>
              <w:autoSpaceDN/>
              <w:bidi w:val="0"/>
              <w:adjustRightInd w:val="0"/>
              <w:snapToGrid w:val="0"/>
              <w:spacing w:beforeAutospacing="0" w:line="360" w:lineRule="auto"/>
              <w:rPr>
                <w:color w:val="auto"/>
                <w:highlight w:val="none"/>
              </w:rPr>
            </w:pPr>
            <w:r>
              <w:rPr>
                <w:rFonts w:hint="eastAsia"/>
                <w:color w:val="auto"/>
                <w:highlight w:val="none"/>
              </w:rPr>
              <w:t>提出质疑的供应商（以下简称质疑供应商）应当是参与所质疑项目采购活动的供应商。</w:t>
            </w:r>
          </w:p>
          <w:p w14:paraId="311C6403">
            <w:pPr>
              <w:keepNext w:val="0"/>
              <w:keepLines w:val="0"/>
              <w:pageBreakBefore w:val="0"/>
              <w:widowControl w:val="0"/>
              <w:kinsoku/>
              <w:wordWrap/>
              <w:overflowPunct/>
              <w:topLinePunct/>
              <w:autoSpaceDE/>
              <w:autoSpaceDN/>
              <w:bidi w:val="0"/>
              <w:adjustRightInd w:val="0"/>
              <w:snapToGrid w:val="0"/>
              <w:spacing w:beforeAutospacing="0" w:line="360" w:lineRule="auto"/>
              <w:rPr>
                <w:color w:val="auto"/>
                <w:highlight w:val="none"/>
              </w:rPr>
            </w:pPr>
            <w:r>
              <w:rPr>
                <w:rFonts w:hint="eastAsia"/>
                <w:color w:val="auto"/>
                <w:highlight w:val="none"/>
              </w:rPr>
              <w:t>采购人、采购代理机构接收质疑函的方式：</w:t>
            </w:r>
          </w:p>
          <w:p w14:paraId="499BD23E">
            <w:pPr>
              <w:keepNext w:val="0"/>
              <w:keepLines w:val="0"/>
              <w:pageBreakBefore w:val="0"/>
              <w:widowControl w:val="0"/>
              <w:kinsoku/>
              <w:wordWrap/>
              <w:overflowPunct/>
              <w:topLinePunct/>
              <w:autoSpaceDE/>
              <w:autoSpaceDN/>
              <w:bidi w:val="0"/>
              <w:adjustRightInd w:val="0"/>
              <w:snapToGrid w:val="0"/>
              <w:spacing w:beforeAutospacing="0" w:line="360" w:lineRule="auto"/>
              <w:rPr>
                <w:color w:val="auto"/>
                <w:highlight w:val="none"/>
              </w:rPr>
            </w:pPr>
            <w:r>
              <w:rPr>
                <w:rFonts w:hint="eastAsia"/>
                <w:color w:val="auto"/>
                <w:highlight w:val="none"/>
              </w:rPr>
              <w:t>对竞争性磋商文件、采购过程提出的质疑：在河南省公共资源交易系统内提出；</w:t>
            </w:r>
          </w:p>
          <w:p w14:paraId="7C386F06">
            <w:pPr>
              <w:keepNext w:val="0"/>
              <w:keepLines w:val="0"/>
              <w:pageBreakBefore w:val="0"/>
              <w:widowControl w:val="0"/>
              <w:kinsoku/>
              <w:wordWrap/>
              <w:overflowPunct/>
              <w:topLinePunct/>
              <w:autoSpaceDE/>
              <w:autoSpaceDN/>
              <w:bidi w:val="0"/>
              <w:adjustRightInd w:val="0"/>
              <w:snapToGrid w:val="0"/>
              <w:spacing w:beforeAutospacing="0" w:line="360" w:lineRule="auto"/>
              <w:rPr>
                <w:color w:val="auto"/>
                <w:highlight w:val="none"/>
              </w:rPr>
            </w:pPr>
            <w:r>
              <w:rPr>
                <w:rFonts w:hint="eastAsia"/>
                <w:color w:val="auto"/>
                <w:highlight w:val="none"/>
              </w:rPr>
              <w:t>对成交结果提出的质疑</w:t>
            </w:r>
            <w:r>
              <w:rPr>
                <w:rFonts w:hint="eastAsia"/>
                <w:color w:val="auto"/>
                <w:highlight w:val="none"/>
                <w:lang w:eastAsia="zh-CN"/>
              </w:rPr>
              <w:t>：以</w:t>
            </w:r>
            <w:r>
              <w:rPr>
                <w:rFonts w:hint="eastAsia"/>
                <w:color w:val="auto"/>
                <w:highlight w:val="none"/>
              </w:rPr>
              <w:t>书面形式当面递交，由法定代表人或其授权代表携带本人身份证件（原件和加盖公章的复印件）、质疑函原件</w:t>
            </w:r>
            <w:r>
              <w:rPr>
                <w:rFonts w:hint="eastAsia"/>
                <w:color w:val="auto"/>
                <w:highlight w:val="none"/>
                <w:lang w:eastAsia="zh-CN"/>
              </w:rPr>
              <w:t>（</w:t>
            </w:r>
            <w:r>
              <w:rPr>
                <w:rFonts w:hint="eastAsia"/>
                <w:color w:val="auto"/>
                <w:highlight w:val="none"/>
              </w:rPr>
              <w:t>加盖公章及法定代表人或其授权代表签字</w:t>
            </w:r>
            <w:r>
              <w:rPr>
                <w:rFonts w:hint="eastAsia"/>
                <w:color w:val="auto"/>
                <w:highlight w:val="none"/>
                <w:lang w:eastAsia="zh-CN"/>
              </w:rPr>
              <w:t>）</w:t>
            </w:r>
            <w:r>
              <w:rPr>
                <w:rFonts w:hint="eastAsia"/>
                <w:color w:val="auto"/>
                <w:highlight w:val="none"/>
              </w:rPr>
              <w:t>及相关证明材料向采购人和采购代理机构提出质疑（邮寄件、传真件不予受理），逾期将不再受理，质疑函格式详见附件1。</w:t>
            </w:r>
          </w:p>
          <w:p w14:paraId="553949AC">
            <w:pPr>
              <w:keepNext w:val="0"/>
              <w:keepLines w:val="0"/>
              <w:pageBreakBefore w:val="0"/>
              <w:widowControl w:val="0"/>
              <w:kinsoku/>
              <w:wordWrap/>
              <w:overflowPunct/>
              <w:topLinePunct/>
              <w:autoSpaceDE/>
              <w:autoSpaceDN/>
              <w:bidi w:val="0"/>
              <w:adjustRightInd w:val="0"/>
              <w:snapToGrid w:val="0"/>
              <w:spacing w:beforeAutospacing="0" w:line="360" w:lineRule="auto"/>
              <w:rPr>
                <w:rStyle w:val="100"/>
                <w:rFonts w:ascii="宋体" w:hAnsi="宋体" w:cs="宋体"/>
                <w:color w:val="auto"/>
                <w:szCs w:val="24"/>
                <w:highlight w:val="none"/>
              </w:rPr>
            </w:pPr>
            <w:r>
              <w:rPr>
                <w:rFonts w:hint="eastAsia"/>
                <w:color w:val="auto"/>
                <w:highlight w:val="none"/>
              </w:rPr>
              <w:t>接受质疑的联系电话和通讯地址详见竞争性磋商公告。</w:t>
            </w:r>
          </w:p>
        </w:tc>
      </w:tr>
      <w:tr w14:paraId="72F1F43B">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3A096AF5">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hint="eastAsia" w:ascii="宋体" w:hAnsi="宋体" w:eastAsia="宋体"/>
                <w:color w:val="auto"/>
                <w:highlight w:val="none"/>
                <w:lang w:eastAsia="zh-CN"/>
              </w:rPr>
            </w:pPr>
            <w:r>
              <w:rPr>
                <w:rFonts w:hint="eastAsia" w:ascii="宋体" w:hAnsi="宋体"/>
                <w:color w:val="auto"/>
                <w:highlight w:val="none"/>
              </w:rPr>
              <w:t>10.</w:t>
            </w:r>
            <w:bookmarkEnd w:id="35"/>
            <w:r>
              <w:rPr>
                <w:rFonts w:hint="eastAsia" w:ascii="宋体" w:hAnsi="宋体"/>
                <w:color w:val="auto"/>
                <w:highlight w:val="none"/>
                <w:lang w:val="en-US" w:eastAsia="zh-CN"/>
              </w:rPr>
              <w:t>9</w:t>
            </w:r>
          </w:p>
        </w:tc>
        <w:tc>
          <w:tcPr>
            <w:tcW w:w="1691" w:type="dxa"/>
            <w:tcBorders>
              <w:top w:val="single" w:color="auto" w:sz="4" w:space="0"/>
              <w:left w:val="nil"/>
              <w:bottom w:val="single" w:color="auto" w:sz="4" w:space="0"/>
              <w:right w:val="single" w:color="auto" w:sz="4" w:space="0"/>
            </w:tcBorders>
            <w:vAlign w:val="center"/>
          </w:tcPr>
          <w:p w14:paraId="7E432E60">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ascii="宋体" w:hAnsi="宋体"/>
                <w:color w:val="auto"/>
                <w:highlight w:val="none"/>
              </w:rPr>
            </w:pPr>
            <w:r>
              <w:rPr>
                <w:rFonts w:hint="eastAsia" w:ascii="宋体" w:hAnsi="宋体"/>
                <w:color w:val="auto"/>
                <w:highlight w:val="none"/>
              </w:rPr>
              <w:t>政府采购合同融资政策</w:t>
            </w:r>
          </w:p>
        </w:tc>
        <w:tc>
          <w:tcPr>
            <w:tcW w:w="6338" w:type="dxa"/>
            <w:tcBorders>
              <w:top w:val="single" w:color="auto" w:sz="4" w:space="0"/>
              <w:left w:val="nil"/>
              <w:bottom w:val="single" w:color="auto" w:sz="4" w:space="0"/>
              <w:right w:val="single" w:color="auto" w:sz="4" w:space="0"/>
            </w:tcBorders>
            <w:vAlign w:val="center"/>
          </w:tcPr>
          <w:p w14:paraId="11953708">
            <w:pPr>
              <w:pStyle w:val="17"/>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sz w:val="21"/>
                <w:szCs w:val="21"/>
                <w:highlight w:val="none"/>
              </w:rPr>
            </w:pPr>
            <w:r>
              <w:rPr>
                <w:rFonts w:hint="eastAsia" w:ascii="宋体" w:hAnsi="宋体"/>
                <w:color w:val="auto"/>
                <w:sz w:val="21"/>
                <w:szCs w:val="21"/>
                <w:highlight w:val="none"/>
              </w:rPr>
              <w:t>河南省政府采购合同融资政策告知函</w:t>
            </w:r>
          </w:p>
          <w:p w14:paraId="437123F7">
            <w:pPr>
              <w:pStyle w:val="17"/>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sz w:val="21"/>
                <w:szCs w:val="21"/>
                <w:highlight w:val="none"/>
              </w:rPr>
            </w:pPr>
            <w:r>
              <w:rPr>
                <w:rFonts w:hint="eastAsia" w:ascii="宋体" w:hAnsi="宋体"/>
                <w:color w:val="auto"/>
                <w:sz w:val="21"/>
                <w:szCs w:val="21"/>
                <w:highlight w:val="none"/>
              </w:rPr>
              <w:t>各供应商：</w:t>
            </w:r>
          </w:p>
          <w:p w14:paraId="59D98CB0">
            <w:pPr>
              <w:pStyle w:val="17"/>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sz w:val="21"/>
                <w:szCs w:val="21"/>
                <w:highlight w:val="none"/>
              </w:rPr>
            </w:pPr>
            <w:r>
              <w:rPr>
                <w:rFonts w:hint="eastAsia" w:ascii="宋体" w:hAnsi="宋体"/>
                <w:color w:val="auto"/>
                <w:sz w:val="21"/>
                <w:szCs w:val="21"/>
                <w:highlight w:val="none"/>
              </w:rPr>
              <w:t>欢迎贵公司参与河南省政府采购活动！</w:t>
            </w:r>
          </w:p>
          <w:p w14:paraId="198ECFF1">
            <w:pPr>
              <w:pStyle w:val="17"/>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sz w:val="21"/>
                <w:szCs w:val="21"/>
                <w:highlight w:val="none"/>
              </w:rPr>
            </w:pPr>
            <w:r>
              <w:rPr>
                <w:rFonts w:hint="eastAsia" w:ascii="宋体" w:hAnsi="宋体"/>
                <w:color w:val="auto"/>
                <w:sz w:val="21"/>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3092091C">
            <w:pPr>
              <w:pStyle w:val="17"/>
              <w:keepNext w:val="0"/>
              <w:keepLines w:val="0"/>
              <w:pageBreakBefore w:val="0"/>
              <w:widowControl w:val="0"/>
              <w:kinsoku/>
              <w:wordWrap/>
              <w:overflowPunct/>
              <w:topLinePunct/>
              <w:autoSpaceDE/>
              <w:autoSpaceDN/>
              <w:bidi w:val="0"/>
              <w:adjustRightInd w:val="0"/>
              <w:snapToGrid w:val="0"/>
              <w:spacing w:beforeAutospacing="0" w:line="360" w:lineRule="auto"/>
              <w:rPr>
                <w:rFonts w:ascii="宋体" w:hAnsi="宋体"/>
                <w:color w:val="auto"/>
                <w:sz w:val="21"/>
                <w:szCs w:val="21"/>
                <w:highlight w:val="none"/>
              </w:rPr>
            </w:pPr>
            <w:r>
              <w:rPr>
                <w:rFonts w:hint="eastAsia" w:ascii="宋体" w:hAnsi="宋体"/>
                <w:color w:val="auto"/>
                <w:sz w:val="21"/>
                <w:szCs w:val="21"/>
                <w:highlight w:val="none"/>
              </w:rPr>
              <w:t>贷款渠道和提供贷款的金融机构，可在河南省政府采购网“河南省政府采购合同融资平台”查询联系。</w:t>
            </w:r>
          </w:p>
        </w:tc>
      </w:tr>
      <w:tr w14:paraId="30484315">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236DCEAC">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10.10</w:t>
            </w:r>
          </w:p>
        </w:tc>
        <w:tc>
          <w:tcPr>
            <w:tcW w:w="1691" w:type="dxa"/>
            <w:tcBorders>
              <w:top w:val="single" w:color="auto" w:sz="4" w:space="0"/>
              <w:left w:val="nil"/>
              <w:bottom w:val="single" w:color="auto" w:sz="4" w:space="0"/>
              <w:right w:val="single" w:color="auto" w:sz="4" w:space="0"/>
            </w:tcBorders>
            <w:shd w:val="clear" w:color="auto" w:fill="auto"/>
            <w:vAlign w:val="center"/>
          </w:tcPr>
          <w:p w14:paraId="5819140F">
            <w:pPr>
              <w:keepNext w:val="0"/>
              <w:keepLines w:val="0"/>
              <w:pageBreakBefore w:val="0"/>
              <w:widowControl w:val="0"/>
              <w:kinsoku/>
              <w:wordWrap/>
              <w:overflowPunct/>
              <w:autoSpaceDE/>
              <w:autoSpaceDN/>
              <w:bidi w:val="0"/>
              <w:adjustRightInd w:val="0"/>
              <w:snapToGrid w:val="0"/>
              <w:spacing w:beforeAutospacing="0" w:line="360" w:lineRule="auto"/>
              <w:ind w:left="0" w:leftChars="0"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highlight w:val="none"/>
              </w:rPr>
              <w:t>解释权</w:t>
            </w:r>
          </w:p>
        </w:tc>
        <w:tc>
          <w:tcPr>
            <w:tcW w:w="6338" w:type="dxa"/>
            <w:tcBorders>
              <w:top w:val="single" w:color="auto" w:sz="4" w:space="0"/>
              <w:left w:val="nil"/>
              <w:bottom w:val="single" w:color="auto" w:sz="4" w:space="0"/>
              <w:right w:val="single" w:color="auto" w:sz="4" w:space="0"/>
            </w:tcBorders>
            <w:shd w:val="clear" w:color="auto" w:fill="auto"/>
            <w:vAlign w:val="center"/>
          </w:tcPr>
          <w:p w14:paraId="655E17AF">
            <w:pPr>
              <w:pStyle w:val="17"/>
              <w:keepNext w:val="0"/>
              <w:keepLines w:val="0"/>
              <w:pageBreakBefore w:val="0"/>
              <w:widowControl w:val="0"/>
              <w:kinsoku/>
              <w:wordWrap/>
              <w:overflowPunct/>
              <w:topLinePunct/>
              <w:autoSpaceDE/>
              <w:autoSpaceDN/>
              <w:bidi w:val="0"/>
              <w:adjustRightInd w:val="0"/>
              <w:snapToGrid w:val="0"/>
              <w:spacing w:beforeAutospacing="0" w:line="360" w:lineRule="auto"/>
              <w:rPr>
                <w:rFonts w:hint="eastAsia" w:ascii="宋体" w:hAnsi="宋体" w:eastAsia="宋体" w:cs="Times New Roman"/>
                <w:color w:val="auto"/>
                <w:kern w:val="0"/>
                <w:sz w:val="21"/>
                <w:szCs w:val="21"/>
                <w:highlight w:val="none"/>
                <w:lang w:val="en-US" w:eastAsia="zh-CN" w:bidi="ar-SA"/>
              </w:rPr>
            </w:pPr>
            <w:r>
              <w:rPr>
                <w:rFonts w:hint="eastAsia" w:ascii="宋体" w:hAnsi="宋体"/>
                <w:color w:val="auto"/>
                <w:sz w:val="21"/>
                <w:szCs w:val="21"/>
                <w:highlight w:val="none"/>
              </w:rPr>
              <w:t>竞争性磋商文件的最终解释权归采购人，</w:t>
            </w:r>
            <w:r>
              <w:rPr>
                <w:rFonts w:hint="eastAsia" w:ascii="宋体" w:hAnsi="宋体"/>
                <w:color w:val="auto"/>
                <w:sz w:val="21"/>
                <w:szCs w:val="21"/>
                <w:highlight w:val="none"/>
                <w:lang w:eastAsia="zh-CN"/>
              </w:rPr>
              <w:t>其他</w:t>
            </w:r>
            <w:r>
              <w:rPr>
                <w:rFonts w:hint="eastAsia" w:ascii="宋体" w:hAnsi="宋体"/>
                <w:color w:val="auto"/>
                <w:sz w:val="21"/>
                <w:szCs w:val="21"/>
                <w:highlight w:val="none"/>
              </w:rPr>
              <w:t>未尽事宜，按国家有关</w:t>
            </w:r>
            <w:r>
              <w:rPr>
                <w:rFonts w:hint="eastAsia" w:ascii="宋体" w:hAnsi="宋体"/>
                <w:color w:val="auto"/>
                <w:sz w:val="21"/>
                <w:szCs w:val="21"/>
                <w:highlight w:val="none"/>
                <w:lang w:eastAsia="zh-CN"/>
              </w:rPr>
              <w:t>法律法规</w:t>
            </w:r>
            <w:r>
              <w:rPr>
                <w:rFonts w:hint="eastAsia" w:ascii="宋体" w:hAnsi="宋体"/>
                <w:color w:val="auto"/>
                <w:sz w:val="21"/>
                <w:szCs w:val="21"/>
                <w:highlight w:val="none"/>
              </w:rPr>
              <w:t>执行。</w:t>
            </w:r>
          </w:p>
        </w:tc>
      </w:tr>
    </w:tbl>
    <w:p w14:paraId="4F5EF310">
      <w:pPr>
        <w:rPr>
          <w:rFonts w:ascii="宋体" w:hAnsi="宋体"/>
          <w:color w:val="auto"/>
          <w:highlight w:val="none"/>
        </w:rPr>
      </w:pPr>
      <w:r>
        <w:rPr>
          <w:rFonts w:hint="eastAsia" w:ascii="宋体" w:hAnsi="宋体"/>
          <w:color w:val="auto"/>
          <w:highlight w:val="none"/>
        </w:rPr>
        <w:br w:type="page"/>
      </w:r>
    </w:p>
    <w:bookmarkEnd w:id="33"/>
    <w:p w14:paraId="1B94B69F">
      <w:pPr>
        <w:pStyle w:val="92"/>
        <w:ind w:firstLine="420"/>
        <w:jc w:val="center"/>
        <w:rPr>
          <w:color w:val="auto"/>
          <w:highlight w:val="none"/>
        </w:rPr>
      </w:pPr>
      <w:bookmarkStart w:id="36" w:name="_Toc22308"/>
      <w:bookmarkStart w:id="37" w:name="_Toc3643"/>
      <w:bookmarkStart w:id="38" w:name="_Toc21936"/>
      <w:bookmarkStart w:id="39" w:name="_Toc30825"/>
      <w:bookmarkStart w:id="40" w:name="_Toc5216"/>
      <w:bookmarkStart w:id="41" w:name="_Toc15979"/>
      <w:bookmarkStart w:id="42" w:name="_Toc22051"/>
      <w:bookmarkStart w:id="43" w:name="_Toc18840"/>
      <w:bookmarkStart w:id="44" w:name="_Toc15071"/>
      <w:r>
        <w:rPr>
          <w:rFonts w:hint="eastAsia"/>
          <w:color w:val="auto"/>
          <w:highlight w:val="none"/>
        </w:rPr>
        <w:t>供应商须知</w:t>
      </w:r>
      <w:bookmarkEnd w:id="36"/>
      <w:bookmarkEnd w:id="37"/>
      <w:bookmarkEnd w:id="38"/>
      <w:bookmarkEnd w:id="39"/>
      <w:bookmarkEnd w:id="40"/>
      <w:bookmarkEnd w:id="41"/>
      <w:bookmarkEnd w:id="42"/>
      <w:bookmarkEnd w:id="43"/>
      <w:bookmarkEnd w:id="44"/>
    </w:p>
    <w:p w14:paraId="0691C668">
      <w:pPr>
        <w:pStyle w:val="92"/>
        <w:ind w:firstLine="420"/>
        <w:rPr>
          <w:color w:val="auto"/>
          <w:highlight w:val="none"/>
        </w:rPr>
      </w:pPr>
      <w:bookmarkStart w:id="45" w:name="_Toc22219"/>
      <w:bookmarkStart w:id="46" w:name="_Toc12696"/>
      <w:bookmarkStart w:id="47" w:name="_Toc7338"/>
      <w:bookmarkStart w:id="48" w:name="_Toc31402"/>
      <w:bookmarkStart w:id="49" w:name="_Toc11688"/>
      <w:bookmarkStart w:id="50" w:name="_Toc14063"/>
      <w:bookmarkStart w:id="51" w:name="_Toc19288"/>
      <w:bookmarkStart w:id="52" w:name="_Toc21007"/>
      <w:bookmarkStart w:id="53" w:name="_Toc19593"/>
      <w:r>
        <w:rPr>
          <w:rFonts w:hint="eastAsia"/>
          <w:color w:val="auto"/>
          <w:highlight w:val="none"/>
        </w:rPr>
        <w:t>1. 总则</w:t>
      </w:r>
      <w:bookmarkEnd w:id="45"/>
      <w:bookmarkEnd w:id="46"/>
      <w:bookmarkEnd w:id="47"/>
      <w:bookmarkEnd w:id="48"/>
      <w:bookmarkEnd w:id="49"/>
      <w:bookmarkEnd w:id="50"/>
      <w:bookmarkEnd w:id="51"/>
      <w:bookmarkEnd w:id="52"/>
      <w:bookmarkEnd w:id="53"/>
    </w:p>
    <w:p w14:paraId="45AFF49F">
      <w:pPr>
        <w:pStyle w:val="93"/>
        <w:keepNext w:val="0"/>
        <w:keepLines w:val="0"/>
        <w:spacing w:line="360" w:lineRule="auto"/>
        <w:ind w:firstLine="422" w:firstLineChars="200"/>
        <w:rPr>
          <w:rFonts w:ascii="宋体" w:hAnsi="宋体" w:eastAsia="宋体"/>
          <w:b/>
          <w:bCs/>
          <w:color w:val="auto"/>
          <w:sz w:val="21"/>
          <w:szCs w:val="21"/>
          <w:highlight w:val="none"/>
        </w:rPr>
      </w:pPr>
      <w:bookmarkStart w:id="54" w:name="_Toc152045531"/>
      <w:bookmarkEnd w:id="54"/>
      <w:bookmarkStart w:id="55" w:name="_Toc21458"/>
      <w:bookmarkEnd w:id="55"/>
      <w:bookmarkStart w:id="56" w:name="_Toc10273"/>
      <w:bookmarkEnd w:id="56"/>
      <w:bookmarkStart w:id="57" w:name="_Toc466298092"/>
      <w:bookmarkEnd w:id="57"/>
      <w:bookmarkStart w:id="58" w:name="_Toc509667261"/>
      <w:bookmarkEnd w:id="58"/>
      <w:bookmarkStart w:id="59" w:name="_Toc144974499"/>
      <w:bookmarkEnd w:id="59"/>
      <w:bookmarkStart w:id="60" w:name="_Toc455867769"/>
      <w:bookmarkEnd w:id="60"/>
      <w:bookmarkStart w:id="61" w:name="_Toc490667828"/>
      <w:bookmarkEnd w:id="61"/>
      <w:bookmarkStart w:id="62" w:name="_Toc29023"/>
      <w:bookmarkEnd w:id="62"/>
      <w:bookmarkStart w:id="63" w:name="_Toc281380952"/>
      <w:bookmarkEnd w:id="63"/>
      <w:bookmarkStart w:id="64" w:name="_Toc455080109"/>
      <w:bookmarkEnd w:id="64"/>
      <w:bookmarkStart w:id="65" w:name="_Toc31404"/>
      <w:bookmarkEnd w:id="65"/>
      <w:bookmarkStart w:id="66" w:name="_Toc1172"/>
      <w:bookmarkEnd w:id="66"/>
      <w:bookmarkStart w:id="67" w:name="_Toc274409866"/>
      <w:bookmarkEnd w:id="67"/>
      <w:bookmarkStart w:id="68" w:name="_Toc318450675"/>
      <w:bookmarkEnd w:id="68"/>
      <w:bookmarkStart w:id="69" w:name="_Toc15709"/>
      <w:bookmarkEnd w:id="69"/>
      <w:bookmarkStart w:id="70" w:name="_Toc19216"/>
      <w:bookmarkStart w:id="71" w:name="_Toc24535"/>
      <w:bookmarkStart w:id="72" w:name="_Toc152042307"/>
      <w:bookmarkStart w:id="73" w:name="_Toc129073458"/>
      <w:bookmarkStart w:id="74" w:name="_Toc22280"/>
      <w:bookmarkStart w:id="75" w:name="_Toc31037"/>
      <w:r>
        <w:rPr>
          <w:rFonts w:hint="eastAsia" w:ascii="宋体" w:hAnsi="宋体" w:eastAsia="宋体"/>
          <w:b/>
          <w:bCs/>
          <w:color w:val="auto"/>
          <w:sz w:val="21"/>
          <w:szCs w:val="21"/>
          <w:highlight w:val="none"/>
        </w:rPr>
        <w:t>1.1 适用范围</w:t>
      </w:r>
      <w:bookmarkEnd w:id="70"/>
      <w:bookmarkEnd w:id="71"/>
      <w:bookmarkEnd w:id="72"/>
      <w:bookmarkEnd w:id="73"/>
      <w:bookmarkEnd w:id="74"/>
      <w:bookmarkEnd w:id="75"/>
    </w:p>
    <w:p w14:paraId="1FABB47A">
      <w:pPr>
        <w:spacing w:line="360" w:lineRule="auto"/>
        <w:ind w:firstLine="420" w:firstLineChars="200"/>
        <w:rPr>
          <w:rFonts w:ascii="宋体" w:hAnsi="宋体"/>
          <w:color w:val="auto"/>
          <w:highlight w:val="none"/>
        </w:rPr>
      </w:pPr>
      <w:r>
        <w:rPr>
          <w:rFonts w:hint="eastAsia" w:ascii="宋体" w:hAnsi="宋体"/>
          <w:color w:val="auto"/>
          <w:highlight w:val="none"/>
        </w:rPr>
        <w:t>1.1.1根据《中华人民共和国政府采购法》等有关</w:t>
      </w:r>
      <w:r>
        <w:rPr>
          <w:rFonts w:hint="eastAsia" w:ascii="宋体" w:hAnsi="宋体"/>
          <w:color w:val="auto"/>
          <w:highlight w:val="none"/>
          <w:lang w:eastAsia="zh-CN"/>
        </w:rPr>
        <w:t>法律法规</w:t>
      </w:r>
      <w:r>
        <w:rPr>
          <w:rFonts w:hint="eastAsia" w:ascii="宋体" w:hAnsi="宋体"/>
          <w:color w:val="auto"/>
          <w:highlight w:val="none"/>
        </w:rPr>
        <w:t>和规章的规定，编制本项目磋商文件。</w:t>
      </w:r>
    </w:p>
    <w:p w14:paraId="0F184AE1">
      <w:pPr>
        <w:spacing w:line="360" w:lineRule="auto"/>
        <w:ind w:firstLine="420" w:firstLineChars="200"/>
        <w:rPr>
          <w:rFonts w:ascii="宋体" w:hAnsi="宋体"/>
          <w:color w:val="auto"/>
          <w:highlight w:val="none"/>
        </w:rPr>
      </w:pPr>
      <w:bookmarkStart w:id="76" w:name="_Toc25773"/>
      <w:bookmarkEnd w:id="76"/>
      <w:bookmarkStart w:id="77" w:name="_Toc318450676"/>
      <w:bookmarkEnd w:id="77"/>
      <w:bookmarkStart w:id="78" w:name="_Toc274409867"/>
      <w:bookmarkEnd w:id="78"/>
      <w:bookmarkStart w:id="79" w:name="_Toc455867770"/>
      <w:bookmarkEnd w:id="79"/>
      <w:bookmarkStart w:id="80" w:name="_Toc509667262"/>
      <w:bookmarkEnd w:id="80"/>
      <w:bookmarkStart w:id="81" w:name="_Toc490667829"/>
      <w:bookmarkEnd w:id="81"/>
      <w:bookmarkStart w:id="82" w:name="_Toc2929"/>
      <w:bookmarkEnd w:id="82"/>
      <w:bookmarkStart w:id="83" w:name="_Toc281405468"/>
      <w:bookmarkEnd w:id="83"/>
      <w:bookmarkStart w:id="84" w:name="_Toc32619"/>
      <w:bookmarkEnd w:id="84"/>
      <w:bookmarkStart w:id="85" w:name="_Toc710"/>
      <w:bookmarkEnd w:id="85"/>
      <w:bookmarkStart w:id="86" w:name="_Toc455080110"/>
      <w:bookmarkEnd w:id="86"/>
      <w:bookmarkStart w:id="87" w:name="_Toc30891"/>
      <w:bookmarkEnd w:id="87"/>
      <w:bookmarkStart w:id="88" w:name="_Toc3336"/>
      <w:bookmarkEnd w:id="88"/>
      <w:r>
        <w:rPr>
          <w:rFonts w:hint="eastAsia" w:ascii="宋体" w:hAnsi="宋体"/>
          <w:color w:val="auto"/>
          <w:highlight w:val="none"/>
        </w:rPr>
        <w:t>1.1.2 本项目采购人：见供应商须知前附表。</w:t>
      </w:r>
    </w:p>
    <w:p w14:paraId="163AE3A5">
      <w:pPr>
        <w:spacing w:line="360" w:lineRule="auto"/>
        <w:ind w:firstLine="420" w:firstLineChars="200"/>
        <w:rPr>
          <w:rFonts w:ascii="宋体" w:hAnsi="宋体"/>
          <w:color w:val="auto"/>
          <w:highlight w:val="none"/>
        </w:rPr>
      </w:pPr>
      <w:r>
        <w:rPr>
          <w:rFonts w:hint="eastAsia" w:ascii="宋体" w:hAnsi="宋体"/>
          <w:color w:val="auto"/>
          <w:highlight w:val="none"/>
        </w:rPr>
        <w:t>1.1.3 本项目采购代理机构：见供应商须知前附表。</w:t>
      </w:r>
    </w:p>
    <w:p w14:paraId="0EA70573">
      <w:pPr>
        <w:spacing w:line="360" w:lineRule="auto"/>
        <w:ind w:firstLine="420" w:firstLineChars="200"/>
        <w:rPr>
          <w:rFonts w:ascii="宋体" w:hAnsi="宋体"/>
          <w:color w:val="auto"/>
          <w:highlight w:val="none"/>
        </w:rPr>
      </w:pPr>
      <w:r>
        <w:rPr>
          <w:rFonts w:hint="eastAsia" w:ascii="宋体" w:hAnsi="宋体"/>
          <w:color w:val="auto"/>
          <w:highlight w:val="none"/>
        </w:rPr>
        <w:t>1.1.4 本项目名称：见供应商须知前附表。</w:t>
      </w:r>
      <w:bookmarkStart w:id="89" w:name="_Toc30702"/>
      <w:bookmarkStart w:id="90" w:name="_Toc20229"/>
      <w:bookmarkStart w:id="91" w:name="_Toc17925"/>
    </w:p>
    <w:p w14:paraId="3277F6D2">
      <w:pPr>
        <w:spacing w:line="360" w:lineRule="auto"/>
        <w:ind w:firstLine="420" w:firstLineChars="200"/>
        <w:rPr>
          <w:rFonts w:ascii="宋体" w:hAnsi="宋体"/>
          <w:color w:val="auto"/>
          <w:highlight w:val="none"/>
        </w:rPr>
      </w:pPr>
      <w:r>
        <w:rPr>
          <w:rFonts w:hint="eastAsia" w:ascii="宋体" w:hAnsi="宋体"/>
          <w:color w:val="auto"/>
          <w:highlight w:val="none"/>
        </w:rPr>
        <w:t>1.1.5 本项目属性：见供应商须知前附表。</w:t>
      </w:r>
    </w:p>
    <w:p w14:paraId="32D9262F">
      <w:pPr>
        <w:spacing w:line="360" w:lineRule="auto"/>
        <w:ind w:firstLine="422" w:firstLineChars="200"/>
        <w:rPr>
          <w:rFonts w:ascii="宋体" w:hAnsi="宋体"/>
          <w:b/>
          <w:bCs/>
          <w:color w:val="auto"/>
          <w:highlight w:val="none"/>
        </w:rPr>
      </w:pPr>
      <w:r>
        <w:rPr>
          <w:rFonts w:hint="eastAsia" w:ascii="宋体" w:hAnsi="宋体"/>
          <w:b/>
          <w:bCs/>
          <w:color w:val="auto"/>
          <w:highlight w:val="none"/>
        </w:rPr>
        <w:t>1.2 资金来源及落实情况</w:t>
      </w:r>
      <w:bookmarkEnd w:id="89"/>
      <w:bookmarkEnd w:id="90"/>
      <w:bookmarkEnd w:id="91"/>
    </w:p>
    <w:p w14:paraId="643CD0E9">
      <w:pPr>
        <w:spacing w:line="360" w:lineRule="auto"/>
        <w:ind w:firstLine="420" w:firstLineChars="200"/>
        <w:rPr>
          <w:rFonts w:ascii="宋体" w:hAnsi="宋体"/>
          <w:color w:val="auto"/>
          <w:highlight w:val="none"/>
        </w:rPr>
      </w:pPr>
      <w:r>
        <w:rPr>
          <w:rFonts w:hint="eastAsia" w:ascii="宋体" w:hAnsi="宋体"/>
          <w:color w:val="auto"/>
          <w:highlight w:val="none"/>
        </w:rPr>
        <w:t>1.2.1资金来源：见供应商须知前附表。</w:t>
      </w:r>
    </w:p>
    <w:p w14:paraId="50CB5CB7">
      <w:pPr>
        <w:spacing w:line="360" w:lineRule="auto"/>
        <w:ind w:firstLine="420" w:firstLineChars="200"/>
        <w:rPr>
          <w:rFonts w:ascii="宋体" w:hAnsi="宋体"/>
          <w:color w:val="auto"/>
          <w:highlight w:val="none"/>
        </w:rPr>
      </w:pPr>
      <w:r>
        <w:rPr>
          <w:rFonts w:hint="eastAsia" w:ascii="宋体" w:hAnsi="宋体"/>
          <w:color w:val="auto"/>
          <w:highlight w:val="none"/>
        </w:rPr>
        <w:t>1.2.2 资金落实情况：见供应商须知前附表。</w:t>
      </w:r>
    </w:p>
    <w:p w14:paraId="6F5AE2CF">
      <w:pPr>
        <w:pStyle w:val="93"/>
        <w:keepNext w:val="0"/>
        <w:keepLines w:val="0"/>
        <w:spacing w:line="360" w:lineRule="auto"/>
        <w:ind w:firstLine="422" w:firstLineChars="200"/>
        <w:rPr>
          <w:rFonts w:ascii="宋体" w:hAnsi="宋体" w:eastAsia="宋体"/>
          <w:b/>
          <w:bCs/>
          <w:color w:val="auto"/>
          <w:sz w:val="21"/>
          <w:szCs w:val="21"/>
          <w:highlight w:val="none"/>
        </w:rPr>
      </w:pPr>
      <w:bookmarkStart w:id="92" w:name="_Toc21766"/>
      <w:bookmarkEnd w:id="92"/>
      <w:bookmarkStart w:id="93" w:name="_Toc274409868"/>
      <w:bookmarkEnd w:id="93"/>
      <w:bookmarkStart w:id="94" w:name="_Toc152042308"/>
      <w:bookmarkEnd w:id="94"/>
      <w:bookmarkStart w:id="95" w:name="_Toc490667830"/>
      <w:bookmarkEnd w:id="95"/>
      <w:bookmarkStart w:id="96" w:name="_Toc4952"/>
      <w:bookmarkEnd w:id="96"/>
      <w:bookmarkStart w:id="97" w:name="_Toc17016"/>
      <w:bookmarkEnd w:id="97"/>
      <w:bookmarkStart w:id="98" w:name="_Toc455080112"/>
      <w:bookmarkEnd w:id="98"/>
      <w:bookmarkStart w:id="99" w:name="_Toc466298095"/>
      <w:bookmarkEnd w:id="99"/>
      <w:bookmarkStart w:id="100" w:name="_Toc14043"/>
      <w:bookmarkEnd w:id="100"/>
      <w:bookmarkStart w:id="101" w:name="_Toc16470"/>
      <w:bookmarkEnd w:id="101"/>
      <w:bookmarkStart w:id="102" w:name="_Toc3477"/>
      <w:bookmarkEnd w:id="102"/>
      <w:bookmarkStart w:id="103" w:name="_Toc12752"/>
      <w:bookmarkEnd w:id="103"/>
      <w:bookmarkStart w:id="104" w:name="_Toc490667831"/>
      <w:bookmarkEnd w:id="104"/>
      <w:bookmarkStart w:id="105" w:name="_Toc509667264"/>
      <w:bookmarkEnd w:id="105"/>
      <w:bookmarkStart w:id="106" w:name="_Toc318450677"/>
      <w:bookmarkEnd w:id="106"/>
      <w:bookmarkStart w:id="107" w:name="_Toc16931"/>
      <w:bookmarkEnd w:id="107"/>
      <w:bookmarkStart w:id="108" w:name="_Toc509667263"/>
      <w:bookmarkEnd w:id="108"/>
      <w:bookmarkStart w:id="109" w:name="_Toc18960"/>
      <w:bookmarkEnd w:id="109"/>
      <w:bookmarkStart w:id="110" w:name="_Toc152045532"/>
      <w:bookmarkEnd w:id="110"/>
      <w:bookmarkStart w:id="111" w:name="_Toc455867771"/>
      <w:bookmarkEnd w:id="111"/>
      <w:bookmarkStart w:id="112" w:name="_Toc1373"/>
      <w:bookmarkEnd w:id="112"/>
      <w:bookmarkStart w:id="113" w:name="_Toc27407"/>
      <w:bookmarkEnd w:id="113"/>
      <w:bookmarkStart w:id="114" w:name="_Toc19363"/>
      <w:bookmarkEnd w:id="114"/>
      <w:bookmarkStart w:id="115" w:name="_Toc466298094"/>
      <w:bookmarkEnd w:id="115"/>
      <w:bookmarkStart w:id="116" w:name="_Toc455867772"/>
      <w:bookmarkEnd w:id="116"/>
      <w:bookmarkStart w:id="117" w:name="_Toc281405469"/>
      <w:bookmarkEnd w:id="117"/>
      <w:bookmarkStart w:id="118" w:name="_Toc144974500"/>
      <w:bookmarkEnd w:id="118"/>
      <w:bookmarkStart w:id="119" w:name="_Toc318450678"/>
      <w:bookmarkStart w:id="120" w:name="_Toc129073461"/>
      <w:bookmarkStart w:id="121" w:name="_Toc8454"/>
      <w:bookmarkStart w:id="122" w:name="_Toc24068"/>
      <w:bookmarkStart w:id="123" w:name="_Toc17026"/>
      <w:bookmarkStart w:id="124" w:name="_Toc24274"/>
      <w:r>
        <w:rPr>
          <w:rFonts w:hint="eastAsia" w:ascii="宋体" w:hAnsi="宋体" w:eastAsia="宋体"/>
          <w:b/>
          <w:bCs/>
          <w:color w:val="auto"/>
          <w:sz w:val="21"/>
          <w:szCs w:val="21"/>
          <w:highlight w:val="none"/>
        </w:rPr>
        <w:t xml:space="preserve">1.3 </w:t>
      </w:r>
      <w:r>
        <w:rPr>
          <w:rFonts w:hint="eastAsia" w:ascii="宋体" w:hAnsi="宋体" w:eastAsia="宋体"/>
          <w:b/>
          <w:bCs/>
          <w:color w:val="auto"/>
          <w:sz w:val="21"/>
          <w:szCs w:val="21"/>
          <w:highlight w:val="none"/>
          <w:lang w:val="en-US" w:eastAsia="zh-CN"/>
        </w:rPr>
        <w:t>采购</w:t>
      </w:r>
      <w:r>
        <w:rPr>
          <w:rFonts w:hint="eastAsia" w:ascii="宋体" w:hAnsi="宋体" w:eastAsia="宋体"/>
          <w:b/>
          <w:bCs/>
          <w:color w:val="auto"/>
          <w:sz w:val="21"/>
          <w:szCs w:val="21"/>
          <w:highlight w:val="none"/>
        </w:rPr>
        <w:t>内容及范围</w:t>
      </w:r>
      <w:bookmarkEnd w:id="119"/>
      <w:r>
        <w:rPr>
          <w:rFonts w:hint="eastAsia" w:ascii="宋体" w:hAnsi="宋体" w:eastAsia="宋体"/>
          <w:b/>
          <w:bCs/>
          <w:color w:val="auto"/>
          <w:sz w:val="21"/>
          <w:szCs w:val="21"/>
          <w:highlight w:val="none"/>
        </w:rPr>
        <w:t>、建设地点、工期</w:t>
      </w:r>
      <w:r>
        <w:rPr>
          <w:rFonts w:hint="eastAsia" w:ascii="宋体" w:hAnsi="宋体" w:eastAsia="宋体"/>
          <w:b/>
          <w:bCs/>
          <w:color w:val="auto"/>
          <w:sz w:val="21"/>
          <w:szCs w:val="21"/>
          <w:highlight w:val="none"/>
          <w:lang w:val="en-US" w:eastAsia="zh-CN"/>
        </w:rPr>
        <w:t>要求</w:t>
      </w:r>
      <w:r>
        <w:rPr>
          <w:rFonts w:hint="eastAsia" w:ascii="宋体" w:hAnsi="宋体" w:eastAsia="宋体"/>
          <w:b/>
          <w:bCs/>
          <w:color w:val="auto"/>
          <w:sz w:val="21"/>
          <w:szCs w:val="21"/>
          <w:highlight w:val="none"/>
        </w:rPr>
        <w:t>、质量要求</w:t>
      </w:r>
      <w:bookmarkEnd w:id="120"/>
      <w:r>
        <w:rPr>
          <w:rFonts w:hint="eastAsia" w:ascii="宋体" w:hAnsi="宋体" w:eastAsia="宋体"/>
          <w:b/>
          <w:bCs/>
          <w:color w:val="auto"/>
          <w:sz w:val="21"/>
          <w:szCs w:val="21"/>
          <w:highlight w:val="none"/>
        </w:rPr>
        <w:t>等</w:t>
      </w:r>
      <w:bookmarkEnd w:id="121"/>
      <w:bookmarkEnd w:id="122"/>
      <w:bookmarkEnd w:id="123"/>
      <w:bookmarkEnd w:id="124"/>
    </w:p>
    <w:p w14:paraId="533D24F3">
      <w:pPr>
        <w:spacing w:line="360" w:lineRule="auto"/>
        <w:ind w:firstLine="420" w:firstLineChars="200"/>
        <w:rPr>
          <w:rFonts w:ascii="宋体" w:hAnsi="宋体"/>
          <w:color w:val="auto"/>
          <w:highlight w:val="none"/>
        </w:rPr>
      </w:pPr>
      <w:r>
        <w:rPr>
          <w:rFonts w:hint="eastAsia" w:ascii="宋体" w:hAnsi="宋体"/>
          <w:color w:val="auto"/>
          <w:highlight w:val="none"/>
        </w:rPr>
        <w:t>1.3.1 本次</w:t>
      </w:r>
      <w:r>
        <w:rPr>
          <w:rFonts w:hint="eastAsia" w:ascii="宋体" w:hAnsi="宋体"/>
          <w:color w:val="auto"/>
          <w:highlight w:val="none"/>
          <w:lang w:val="en-US" w:eastAsia="zh-CN"/>
        </w:rPr>
        <w:t>采购</w:t>
      </w:r>
      <w:r>
        <w:rPr>
          <w:rFonts w:hint="eastAsia" w:ascii="宋体" w:hAnsi="宋体"/>
          <w:color w:val="auto"/>
          <w:highlight w:val="none"/>
        </w:rPr>
        <w:t>内容及范围：见供应商须知前附表。</w:t>
      </w:r>
    </w:p>
    <w:p w14:paraId="2CFABEF5">
      <w:pPr>
        <w:spacing w:line="360" w:lineRule="auto"/>
        <w:ind w:firstLine="420" w:firstLineChars="200"/>
        <w:rPr>
          <w:rFonts w:ascii="宋体" w:hAnsi="宋体"/>
          <w:color w:val="auto"/>
          <w:highlight w:val="none"/>
        </w:rPr>
      </w:pPr>
      <w:r>
        <w:rPr>
          <w:rFonts w:hint="eastAsia" w:ascii="宋体" w:hAnsi="宋体"/>
          <w:color w:val="auto"/>
          <w:highlight w:val="none"/>
        </w:rPr>
        <w:t>1.3.2 本项目的建设地点：见供应商须知前附表。</w:t>
      </w:r>
    </w:p>
    <w:p w14:paraId="21ACEB2B">
      <w:pPr>
        <w:spacing w:line="360" w:lineRule="auto"/>
        <w:ind w:firstLine="420" w:firstLineChars="200"/>
        <w:rPr>
          <w:rFonts w:ascii="宋体" w:hAnsi="宋体"/>
          <w:color w:val="auto"/>
          <w:highlight w:val="none"/>
        </w:rPr>
      </w:pPr>
      <w:r>
        <w:rPr>
          <w:rFonts w:hint="eastAsia" w:ascii="宋体" w:hAnsi="宋体"/>
          <w:color w:val="auto"/>
          <w:highlight w:val="none"/>
        </w:rPr>
        <w:t>1.3.3 本项目的工期要求：见供应商须知前附表。</w:t>
      </w:r>
    </w:p>
    <w:p w14:paraId="2878449E">
      <w:pPr>
        <w:spacing w:line="360" w:lineRule="auto"/>
        <w:ind w:firstLine="420" w:firstLineChars="200"/>
        <w:rPr>
          <w:rFonts w:ascii="宋体" w:hAnsi="宋体"/>
          <w:color w:val="auto"/>
          <w:highlight w:val="none"/>
        </w:rPr>
      </w:pPr>
      <w:r>
        <w:rPr>
          <w:rFonts w:hint="eastAsia" w:ascii="宋体" w:hAnsi="宋体"/>
          <w:color w:val="auto"/>
          <w:highlight w:val="none"/>
        </w:rPr>
        <w:t>1.3.4 本项目的质量要求：见供应商须知前附表。</w:t>
      </w:r>
    </w:p>
    <w:p w14:paraId="7160D55E">
      <w:pPr>
        <w:spacing w:line="360" w:lineRule="auto"/>
        <w:ind w:firstLine="420" w:firstLineChars="200"/>
        <w:rPr>
          <w:rFonts w:hint="eastAsia" w:ascii="宋体" w:hAnsi="宋体"/>
          <w:color w:val="auto"/>
          <w:highlight w:val="none"/>
        </w:rPr>
      </w:pPr>
      <w:r>
        <w:rPr>
          <w:rFonts w:hint="eastAsia" w:ascii="宋体" w:hAnsi="宋体"/>
          <w:color w:val="auto"/>
          <w:highlight w:val="none"/>
        </w:rPr>
        <w:t>1.3.5 本项目</w:t>
      </w:r>
      <w:r>
        <w:rPr>
          <w:rFonts w:hint="eastAsia" w:ascii="宋体" w:hAnsi="宋体"/>
          <w:color w:val="auto"/>
          <w:highlight w:val="none"/>
          <w:lang w:eastAsia="zh-CN"/>
        </w:rPr>
        <w:t>缺陷责任期</w:t>
      </w:r>
      <w:r>
        <w:rPr>
          <w:rFonts w:hint="eastAsia" w:ascii="宋体" w:hAnsi="宋体"/>
          <w:color w:val="auto"/>
          <w:highlight w:val="none"/>
        </w:rPr>
        <w:t>：见供应商须知前附表。</w:t>
      </w:r>
    </w:p>
    <w:p w14:paraId="4A0F4CFA">
      <w:pPr>
        <w:spacing w:line="360" w:lineRule="auto"/>
        <w:ind w:firstLine="420" w:firstLineChars="200"/>
        <w:rPr>
          <w:rFonts w:hint="default" w:ascii="宋体" w:hAnsi="宋体" w:eastAsia="宋体"/>
          <w:color w:val="auto"/>
          <w:highlight w:val="none"/>
          <w:lang w:val="en-US" w:eastAsia="zh-CN"/>
        </w:rPr>
      </w:pPr>
      <w:r>
        <w:rPr>
          <w:rFonts w:hint="eastAsia" w:ascii="宋体" w:hAnsi="宋体"/>
          <w:color w:val="auto"/>
          <w:highlight w:val="none"/>
          <w:lang w:val="en-US" w:eastAsia="zh-CN"/>
        </w:rPr>
        <w:t>1.3.6 本项目保修期：</w:t>
      </w:r>
      <w:r>
        <w:rPr>
          <w:rFonts w:hint="eastAsia" w:ascii="宋体" w:hAnsi="宋体"/>
          <w:color w:val="auto"/>
          <w:highlight w:val="none"/>
        </w:rPr>
        <w:t>见供应商须知前附表。</w:t>
      </w:r>
    </w:p>
    <w:p w14:paraId="3FD77610">
      <w:pPr>
        <w:pStyle w:val="93"/>
        <w:keepNext w:val="0"/>
        <w:keepLines w:val="0"/>
        <w:spacing w:line="360" w:lineRule="auto"/>
        <w:ind w:firstLine="422" w:firstLineChars="200"/>
        <w:rPr>
          <w:rFonts w:ascii="宋体" w:hAnsi="宋体" w:eastAsia="宋体"/>
          <w:b/>
          <w:bCs/>
          <w:color w:val="auto"/>
          <w:sz w:val="21"/>
          <w:szCs w:val="21"/>
          <w:highlight w:val="none"/>
        </w:rPr>
      </w:pPr>
      <w:bookmarkStart w:id="125" w:name="_Toc4301"/>
      <w:bookmarkEnd w:id="125"/>
      <w:bookmarkStart w:id="126" w:name="_Toc455080113"/>
      <w:bookmarkEnd w:id="126"/>
      <w:bookmarkStart w:id="127" w:name="_Toc18689"/>
      <w:bookmarkEnd w:id="127"/>
      <w:bookmarkStart w:id="128" w:name="_Toc144974502"/>
      <w:bookmarkEnd w:id="128"/>
      <w:bookmarkStart w:id="129" w:name="_Toc509667265"/>
      <w:bookmarkEnd w:id="129"/>
      <w:bookmarkStart w:id="130" w:name="_Toc490667832"/>
      <w:bookmarkEnd w:id="130"/>
      <w:bookmarkStart w:id="131" w:name="_Toc5019"/>
      <w:bookmarkEnd w:id="131"/>
      <w:bookmarkStart w:id="132" w:name="_Toc22643"/>
      <w:bookmarkEnd w:id="132"/>
      <w:bookmarkStart w:id="133" w:name="_Toc455867773"/>
      <w:bookmarkEnd w:id="133"/>
      <w:bookmarkStart w:id="134" w:name="_Toc466298096"/>
      <w:bookmarkEnd w:id="134"/>
      <w:bookmarkStart w:id="135" w:name="_Toc152042310"/>
      <w:bookmarkEnd w:id="135"/>
      <w:bookmarkStart w:id="136" w:name="_Toc152045534"/>
      <w:bookmarkEnd w:id="136"/>
      <w:bookmarkStart w:id="137" w:name="_Toc318450679"/>
      <w:bookmarkEnd w:id="137"/>
      <w:bookmarkStart w:id="138" w:name="_Toc11063"/>
      <w:bookmarkEnd w:id="138"/>
      <w:bookmarkStart w:id="139" w:name="_Toc7209"/>
      <w:bookmarkStart w:id="140" w:name="_Toc31570"/>
      <w:bookmarkStart w:id="141" w:name="_Toc129073462"/>
      <w:bookmarkStart w:id="142" w:name="_Toc2786"/>
      <w:bookmarkStart w:id="143" w:name="_Toc22115"/>
      <w:bookmarkStart w:id="144" w:name="_Toc19858"/>
      <w:r>
        <w:rPr>
          <w:rFonts w:hint="eastAsia" w:ascii="宋体" w:hAnsi="宋体" w:eastAsia="宋体"/>
          <w:b/>
          <w:bCs/>
          <w:color w:val="auto"/>
          <w:sz w:val="21"/>
          <w:szCs w:val="21"/>
          <w:highlight w:val="none"/>
        </w:rPr>
        <w:t xml:space="preserve">1.4 </w:t>
      </w:r>
      <w:bookmarkEnd w:id="139"/>
      <w:r>
        <w:rPr>
          <w:rFonts w:hint="eastAsia" w:ascii="宋体" w:hAnsi="宋体" w:eastAsia="宋体"/>
          <w:b/>
          <w:bCs/>
          <w:color w:val="auto"/>
          <w:sz w:val="21"/>
          <w:szCs w:val="21"/>
          <w:highlight w:val="none"/>
        </w:rPr>
        <w:t>供应商资质条件和能力</w:t>
      </w:r>
      <w:bookmarkEnd w:id="140"/>
      <w:bookmarkEnd w:id="141"/>
      <w:bookmarkEnd w:id="142"/>
      <w:bookmarkEnd w:id="143"/>
      <w:bookmarkEnd w:id="144"/>
    </w:p>
    <w:p w14:paraId="0A31B1D6">
      <w:pPr>
        <w:spacing w:line="360" w:lineRule="auto"/>
        <w:ind w:firstLine="420" w:firstLineChars="200"/>
        <w:rPr>
          <w:rFonts w:ascii="宋体" w:hAnsi="宋体"/>
          <w:color w:val="auto"/>
          <w:highlight w:val="none"/>
        </w:rPr>
      </w:pPr>
      <w:r>
        <w:rPr>
          <w:rFonts w:hint="eastAsia" w:ascii="宋体" w:hAnsi="宋体"/>
          <w:color w:val="auto"/>
          <w:highlight w:val="none"/>
        </w:rPr>
        <w:t>1.4.1供应商资质及能力要求：见供应商须知前附表。</w:t>
      </w:r>
    </w:p>
    <w:p w14:paraId="7175D323">
      <w:pPr>
        <w:spacing w:line="360" w:lineRule="auto"/>
        <w:ind w:firstLine="420" w:firstLineChars="200"/>
        <w:rPr>
          <w:rFonts w:ascii="宋体" w:hAnsi="宋体"/>
          <w:color w:val="auto"/>
          <w:highlight w:val="none"/>
        </w:rPr>
      </w:pPr>
      <w:r>
        <w:rPr>
          <w:rFonts w:hint="eastAsia" w:ascii="宋体" w:hAnsi="宋体"/>
          <w:color w:val="auto"/>
          <w:highlight w:val="none"/>
        </w:rPr>
        <w:t>1.4.2是否接受联合体：见供应商须知前附表。</w:t>
      </w:r>
    </w:p>
    <w:p w14:paraId="53A4C1D5">
      <w:pPr>
        <w:spacing w:line="360" w:lineRule="auto"/>
        <w:ind w:firstLine="420" w:firstLineChars="200"/>
        <w:rPr>
          <w:rFonts w:ascii="宋体" w:hAnsi="宋体"/>
          <w:color w:val="auto"/>
          <w:highlight w:val="none"/>
        </w:rPr>
      </w:pPr>
      <w:r>
        <w:rPr>
          <w:rFonts w:hint="eastAsia" w:ascii="宋体" w:hAnsi="宋体"/>
          <w:color w:val="auto"/>
          <w:highlight w:val="none"/>
        </w:rPr>
        <w:t>1.4.3 供应商不得存在下列情形之一</w:t>
      </w:r>
      <w:r>
        <w:rPr>
          <w:rFonts w:hint="eastAsia" w:ascii="宋体" w:hAnsi="宋体"/>
          <w:color w:val="auto"/>
          <w:highlight w:val="none"/>
          <w:lang w:eastAsia="zh-CN"/>
        </w:rPr>
        <w:t>：</w:t>
      </w:r>
    </w:p>
    <w:p w14:paraId="734D945D">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（1）</w:t>
      </w:r>
      <w:r>
        <w:rPr>
          <w:rFonts w:hint="eastAsia" w:ascii="宋体" w:hAnsi="宋体"/>
          <w:color w:val="auto"/>
          <w:highlight w:val="none"/>
        </w:rPr>
        <w:t>与采购人存在利害关系且可能影响磋商公正性；</w:t>
      </w:r>
    </w:p>
    <w:p w14:paraId="215730FE">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（2）</w:t>
      </w:r>
      <w:r>
        <w:rPr>
          <w:rFonts w:hint="eastAsia" w:ascii="宋体" w:hAnsi="宋体"/>
          <w:color w:val="auto"/>
          <w:highlight w:val="none"/>
        </w:rPr>
        <w:t>与本磋商项目的其他供应商为同一个单位负责人；</w:t>
      </w:r>
    </w:p>
    <w:p w14:paraId="77A03A95">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（3）</w:t>
      </w:r>
      <w:r>
        <w:rPr>
          <w:rFonts w:hint="eastAsia" w:ascii="宋体" w:hAnsi="宋体"/>
          <w:color w:val="auto"/>
          <w:highlight w:val="none"/>
        </w:rPr>
        <w:t>与本磋商项目的其他供应商存在控股、管理关系；</w:t>
      </w:r>
    </w:p>
    <w:p w14:paraId="68F2912A">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（4）</w:t>
      </w:r>
      <w:r>
        <w:rPr>
          <w:rFonts w:hint="eastAsia" w:ascii="宋体" w:hAnsi="宋体"/>
          <w:color w:val="auto"/>
          <w:highlight w:val="none"/>
        </w:rPr>
        <w:t>为本磋商项目提供过整体设计、规范编制或者项目管理、监理、检测等服务；</w:t>
      </w:r>
    </w:p>
    <w:p w14:paraId="3304F24C">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（5）</w:t>
      </w:r>
      <w:r>
        <w:rPr>
          <w:rFonts w:hint="eastAsia" w:ascii="宋体" w:hAnsi="宋体"/>
          <w:color w:val="auto"/>
          <w:highlight w:val="none"/>
        </w:rPr>
        <w:t>为本项目的监理人；</w:t>
      </w:r>
    </w:p>
    <w:p w14:paraId="32C7E9D5">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（6）</w:t>
      </w:r>
      <w:r>
        <w:rPr>
          <w:rFonts w:hint="eastAsia" w:ascii="宋体" w:hAnsi="宋体"/>
          <w:color w:val="auto"/>
          <w:highlight w:val="none"/>
        </w:rPr>
        <w:t>为本项目的代建人；</w:t>
      </w:r>
    </w:p>
    <w:p w14:paraId="0453807B">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（7）</w:t>
      </w:r>
      <w:r>
        <w:rPr>
          <w:rFonts w:hint="eastAsia" w:ascii="宋体" w:hAnsi="宋体"/>
          <w:color w:val="auto"/>
          <w:highlight w:val="none"/>
        </w:rPr>
        <w:t>与本项目的监理人或代建人或采购代理机构同为一个法定代表人；</w:t>
      </w:r>
    </w:p>
    <w:p w14:paraId="120CD5F1">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（8）</w:t>
      </w:r>
      <w:r>
        <w:rPr>
          <w:rFonts w:hint="eastAsia" w:ascii="宋体" w:hAnsi="宋体"/>
          <w:color w:val="auto"/>
          <w:highlight w:val="none"/>
        </w:rPr>
        <w:t>与本项目的监理人或代建人或采购代理机构存在控股或参股关系；</w:t>
      </w:r>
    </w:p>
    <w:p w14:paraId="402DB4EB">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（9）</w:t>
      </w:r>
      <w:r>
        <w:rPr>
          <w:rFonts w:hint="eastAsia" w:ascii="宋体" w:hAnsi="宋体"/>
          <w:color w:val="auto"/>
          <w:highlight w:val="none"/>
        </w:rPr>
        <w:t>为本磋商项目的采购代理机构；</w:t>
      </w:r>
    </w:p>
    <w:p w14:paraId="30DA92AD">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（10）</w:t>
      </w:r>
      <w:r>
        <w:rPr>
          <w:rFonts w:hint="eastAsia" w:ascii="宋体" w:hAnsi="宋体"/>
          <w:color w:val="auto"/>
          <w:highlight w:val="none"/>
        </w:rPr>
        <w:t>供应商以他人名义投标、串通投标、以行贿手段牟取中标，或在投标中弄虚作假的；</w:t>
      </w:r>
    </w:p>
    <w:p w14:paraId="5A19F599">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（11）</w:t>
      </w:r>
      <w:r>
        <w:rPr>
          <w:rFonts w:hint="eastAsia" w:ascii="宋体" w:hAnsi="宋体"/>
          <w:color w:val="auto"/>
          <w:highlight w:val="none"/>
        </w:rPr>
        <w:t>法律法规规定的其他情形。</w:t>
      </w:r>
    </w:p>
    <w:p w14:paraId="05CFAB9D">
      <w:pPr>
        <w:pStyle w:val="93"/>
        <w:keepNext w:val="0"/>
        <w:keepLines w:val="0"/>
        <w:spacing w:line="360" w:lineRule="auto"/>
        <w:ind w:firstLine="422" w:firstLineChars="200"/>
        <w:rPr>
          <w:rFonts w:ascii="宋体" w:hAnsi="宋体" w:eastAsia="宋体"/>
          <w:b/>
          <w:bCs/>
          <w:color w:val="auto"/>
          <w:sz w:val="21"/>
          <w:szCs w:val="21"/>
          <w:highlight w:val="none"/>
        </w:rPr>
      </w:pPr>
      <w:bookmarkStart w:id="145" w:name="_Toc651"/>
      <w:bookmarkEnd w:id="145"/>
      <w:bookmarkStart w:id="146" w:name="_Toc509667266"/>
      <w:bookmarkEnd w:id="146"/>
      <w:bookmarkStart w:id="147" w:name="_Toc31854"/>
      <w:bookmarkEnd w:id="147"/>
      <w:bookmarkStart w:id="148" w:name="_Toc16889"/>
      <w:bookmarkEnd w:id="148"/>
      <w:bookmarkStart w:id="149" w:name="_Toc981"/>
      <w:bookmarkEnd w:id="149"/>
      <w:bookmarkStart w:id="150" w:name="_Toc455867774"/>
      <w:bookmarkEnd w:id="150"/>
      <w:bookmarkStart w:id="151" w:name="_Toc466298097"/>
      <w:bookmarkEnd w:id="151"/>
      <w:bookmarkStart w:id="152" w:name="_Toc318450680"/>
      <w:bookmarkEnd w:id="152"/>
      <w:bookmarkStart w:id="153" w:name="_Toc144974503"/>
      <w:bookmarkEnd w:id="153"/>
      <w:bookmarkStart w:id="154" w:name="_Toc12403"/>
      <w:bookmarkEnd w:id="154"/>
      <w:bookmarkStart w:id="155" w:name="_Toc5162"/>
      <w:bookmarkEnd w:id="155"/>
      <w:bookmarkStart w:id="156" w:name="_Toc455080114"/>
      <w:bookmarkEnd w:id="156"/>
      <w:bookmarkStart w:id="157" w:name="_Toc152042311"/>
      <w:bookmarkEnd w:id="157"/>
      <w:bookmarkStart w:id="158" w:name="_Toc490667833"/>
      <w:bookmarkEnd w:id="158"/>
      <w:bookmarkStart w:id="159" w:name="_Toc129073463"/>
      <w:bookmarkStart w:id="160" w:name="_Toc22152"/>
      <w:bookmarkStart w:id="161" w:name="_Toc152045535"/>
      <w:bookmarkStart w:id="162" w:name="_Toc20385"/>
      <w:bookmarkStart w:id="163" w:name="_Toc11938"/>
      <w:bookmarkStart w:id="164" w:name="_Toc14189"/>
      <w:r>
        <w:rPr>
          <w:rFonts w:hint="eastAsia" w:ascii="宋体" w:hAnsi="宋体" w:eastAsia="宋体"/>
          <w:b/>
          <w:bCs/>
          <w:color w:val="auto"/>
          <w:sz w:val="21"/>
          <w:szCs w:val="21"/>
          <w:highlight w:val="none"/>
        </w:rPr>
        <w:t>1.5 费用承担</w:t>
      </w:r>
      <w:bookmarkEnd w:id="159"/>
      <w:bookmarkEnd w:id="160"/>
      <w:bookmarkEnd w:id="161"/>
      <w:bookmarkEnd w:id="162"/>
      <w:bookmarkEnd w:id="163"/>
      <w:bookmarkEnd w:id="164"/>
    </w:p>
    <w:p w14:paraId="1BE5E729">
      <w:pPr>
        <w:spacing w:line="360" w:lineRule="auto"/>
        <w:ind w:firstLine="420" w:firstLineChars="200"/>
        <w:rPr>
          <w:rFonts w:ascii="宋体" w:hAnsi="宋体"/>
          <w:color w:val="auto"/>
          <w:highlight w:val="none"/>
        </w:rPr>
      </w:pPr>
      <w:r>
        <w:rPr>
          <w:rFonts w:hint="eastAsia" w:ascii="宋体" w:hAnsi="宋体"/>
          <w:color w:val="auto"/>
          <w:highlight w:val="none"/>
        </w:rPr>
        <w:t>供应商准备和参加磋商活动发生的费用自理，不论磋商的结果如何，采购人和采购代理机构在任何情况下均无义务和责任承担这些费用。</w:t>
      </w:r>
    </w:p>
    <w:p w14:paraId="5D5E4292">
      <w:pPr>
        <w:pStyle w:val="93"/>
        <w:keepNext w:val="0"/>
        <w:keepLines w:val="0"/>
        <w:spacing w:line="360" w:lineRule="auto"/>
        <w:ind w:firstLine="422" w:firstLineChars="200"/>
        <w:rPr>
          <w:rFonts w:ascii="宋体" w:hAnsi="宋体" w:eastAsia="宋体"/>
          <w:b/>
          <w:bCs/>
          <w:color w:val="auto"/>
          <w:sz w:val="21"/>
          <w:szCs w:val="21"/>
          <w:highlight w:val="none"/>
        </w:rPr>
      </w:pPr>
      <w:bookmarkStart w:id="165" w:name="_Toc2622"/>
      <w:bookmarkEnd w:id="165"/>
      <w:bookmarkStart w:id="166" w:name="_Toc6014"/>
      <w:bookmarkEnd w:id="166"/>
      <w:bookmarkStart w:id="167" w:name="_Toc32053"/>
      <w:bookmarkEnd w:id="167"/>
      <w:bookmarkStart w:id="168" w:name="_Toc455867775"/>
      <w:bookmarkEnd w:id="168"/>
      <w:bookmarkStart w:id="169" w:name="_Toc20145"/>
      <w:bookmarkEnd w:id="169"/>
      <w:bookmarkStart w:id="170" w:name="_Toc8055"/>
      <w:bookmarkEnd w:id="170"/>
      <w:bookmarkStart w:id="171" w:name="_Toc152042312"/>
      <w:bookmarkEnd w:id="171"/>
      <w:bookmarkStart w:id="172" w:name="_Toc152045536"/>
      <w:bookmarkEnd w:id="172"/>
      <w:bookmarkStart w:id="173" w:name="_Toc318450681"/>
      <w:bookmarkEnd w:id="173"/>
      <w:bookmarkStart w:id="174" w:name="_Toc5402"/>
      <w:bookmarkEnd w:id="174"/>
      <w:bookmarkStart w:id="175" w:name="_Toc455080115"/>
      <w:bookmarkEnd w:id="175"/>
      <w:bookmarkStart w:id="176" w:name="_Toc490667834"/>
      <w:bookmarkEnd w:id="176"/>
      <w:bookmarkStart w:id="177" w:name="_Toc509667267"/>
      <w:bookmarkEnd w:id="177"/>
      <w:bookmarkStart w:id="178" w:name="_Toc144974504"/>
      <w:bookmarkEnd w:id="178"/>
      <w:bookmarkStart w:id="179" w:name="_Toc9033"/>
      <w:bookmarkStart w:id="180" w:name="_Toc129073464"/>
      <w:bookmarkStart w:id="181" w:name="_Toc31095"/>
      <w:bookmarkStart w:id="182" w:name="_Toc466298098"/>
      <w:bookmarkStart w:id="183" w:name="_Toc27888"/>
      <w:bookmarkStart w:id="184" w:name="_Toc17734"/>
      <w:r>
        <w:rPr>
          <w:rFonts w:hint="eastAsia" w:ascii="宋体" w:hAnsi="宋体" w:eastAsia="宋体"/>
          <w:b/>
          <w:bCs/>
          <w:color w:val="auto"/>
          <w:sz w:val="21"/>
          <w:szCs w:val="21"/>
          <w:highlight w:val="none"/>
        </w:rPr>
        <w:t>1.6保密</w:t>
      </w:r>
      <w:bookmarkEnd w:id="179"/>
      <w:bookmarkEnd w:id="180"/>
      <w:bookmarkEnd w:id="181"/>
      <w:bookmarkEnd w:id="182"/>
      <w:bookmarkEnd w:id="183"/>
      <w:bookmarkEnd w:id="184"/>
    </w:p>
    <w:p w14:paraId="1C5E6909">
      <w:pPr>
        <w:spacing w:line="360" w:lineRule="auto"/>
        <w:ind w:firstLine="420" w:firstLineChars="200"/>
        <w:rPr>
          <w:rFonts w:ascii="宋体" w:hAnsi="宋体"/>
          <w:color w:val="auto"/>
          <w:highlight w:val="none"/>
        </w:rPr>
      </w:pPr>
      <w:r>
        <w:rPr>
          <w:rFonts w:hint="eastAsia" w:ascii="宋体" w:hAnsi="宋体"/>
          <w:color w:val="auto"/>
          <w:highlight w:val="none"/>
        </w:rPr>
        <w:t xml:space="preserve">参与磋商活动的各方应对磋商文件和响应文件中的商业和技术等秘密保密，违者应对由此造成的后果承担法律责任。 </w:t>
      </w:r>
    </w:p>
    <w:p w14:paraId="123E518A">
      <w:pPr>
        <w:pStyle w:val="93"/>
        <w:keepNext w:val="0"/>
        <w:keepLines w:val="0"/>
        <w:spacing w:line="360" w:lineRule="auto"/>
        <w:ind w:firstLine="422" w:firstLineChars="200"/>
        <w:rPr>
          <w:rFonts w:ascii="宋体" w:hAnsi="宋体" w:eastAsia="宋体"/>
          <w:b/>
          <w:bCs/>
          <w:color w:val="auto"/>
          <w:sz w:val="21"/>
          <w:szCs w:val="21"/>
          <w:highlight w:val="none"/>
        </w:rPr>
      </w:pPr>
      <w:bookmarkStart w:id="185" w:name="_Toc490667835"/>
      <w:bookmarkEnd w:id="185"/>
      <w:bookmarkStart w:id="186" w:name="_Toc509667268"/>
      <w:bookmarkEnd w:id="186"/>
      <w:bookmarkStart w:id="187" w:name="_Toc30583"/>
      <w:bookmarkEnd w:id="187"/>
      <w:bookmarkStart w:id="188" w:name="_Toc466298099"/>
      <w:bookmarkEnd w:id="188"/>
      <w:bookmarkStart w:id="189" w:name="_Toc455080116"/>
      <w:bookmarkEnd w:id="189"/>
      <w:bookmarkStart w:id="190" w:name="_Toc3628"/>
      <w:bookmarkEnd w:id="190"/>
      <w:bookmarkStart w:id="191" w:name="_Toc14775"/>
      <w:bookmarkEnd w:id="191"/>
      <w:bookmarkStart w:id="192" w:name="_Toc455867776"/>
      <w:bookmarkEnd w:id="192"/>
      <w:bookmarkStart w:id="193" w:name="_Toc25517"/>
      <w:bookmarkEnd w:id="193"/>
      <w:bookmarkStart w:id="194" w:name="_Toc144974505"/>
      <w:bookmarkEnd w:id="194"/>
      <w:bookmarkStart w:id="195" w:name="_Toc152042313"/>
      <w:bookmarkEnd w:id="195"/>
      <w:bookmarkStart w:id="196" w:name="_Toc318450682"/>
      <w:bookmarkEnd w:id="196"/>
      <w:bookmarkStart w:id="197" w:name="_Toc30747"/>
      <w:bookmarkEnd w:id="197"/>
      <w:bookmarkStart w:id="198" w:name="_Toc21089"/>
      <w:bookmarkEnd w:id="198"/>
      <w:bookmarkStart w:id="199" w:name="_Toc152045537"/>
      <w:bookmarkStart w:id="200" w:name="_Toc24239"/>
      <w:bookmarkStart w:id="201" w:name="_Toc129073465"/>
      <w:bookmarkStart w:id="202" w:name="_Toc17163"/>
      <w:bookmarkStart w:id="203" w:name="_Toc18959"/>
      <w:bookmarkStart w:id="204" w:name="_Toc10859"/>
      <w:r>
        <w:rPr>
          <w:rFonts w:hint="eastAsia" w:ascii="宋体" w:hAnsi="宋体" w:eastAsia="宋体"/>
          <w:b/>
          <w:bCs/>
          <w:color w:val="auto"/>
          <w:sz w:val="21"/>
          <w:szCs w:val="21"/>
          <w:highlight w:val="none"/>
        </w:rPr>
        <w:t>1.7 语言</w:t>
      </w:r>
      <w:bookmarkEnd w:id="199"/>
      <w:r>
        <w:rPr>
          <w:rFonts w:hint="eastAsia" w:ascii="宋体" w:hAnsi="宋体" w:eastAsia="宋体"/>
          <w:b/>
          <w:bCs/>
          <w:color w:val="auto"/>
          <w:sz w:val="21"/>
          <w:szCs w:val="21"/>
          <w:highlight w:val="none"/>
        </w:rPr>
        <w:t>文字</w:t>
      </w:r>
      <w:bookmarkEnd w:id="200"/>
      <w:bookmarkEnd w:id="201"/>
      <w:bookmarkEnd w:id="202"/>
      <w:bookmarkEnd w:id="203"/>
      <w:bookmarkEnd w:id="204"/>
    </w:p>
    <w:p w14:paraId="02488C6B">
      <w:pPr>
        <w:spacing w:line="360" w:lineRule="auto"/>
        <w:ind w:firstLine="420" w:firstLineChars="200"/>
        <w:rPr>
          <w:rFonts w:ascii="宋体" w:hAnsi="宋体"/>
          <w:color w:val="auto"/>
          <w:highlight w:val="none"/>
        </w:rPr>
      </w:pPr>
      <w:r>
        <w:rPr>
          <w:rFonts w:hint="eastAsia" w:ascii="宋体" w:hAnsi="宋体"/>
          <w:color w:val="auto"/>
          <w:highlight w:val="none"/>
        </w:rPr>
        <w:t>除专用术语外，与磋商有关的语言均使用中文。必要时专用术语应附有中文注释，对不同文字文本响应文件的解释发生异议的，以中文文本为准。</w:t>
      </w:r>
    </w:p>
    <w:p w14:paraId="6BFF082F">
      <w:pPr>
        <w:pStyle w:val="93"/>
        <w:keepNext w:val="0"/>
        <w:keepLines w:val="0"/>
        <w:spacing w:line="360" w:lineRule="auto"/>
        <w:ind w:firstLine="422" w:firstLineChars="200"/>
        <w:rPr>
          <w:rFonts w:ascii="宋体" w:hAnsi="宋体" w:eastAsia="宋体"/>
          <w:b/>
          <w:bCs/>
          <w:color w:val="auto"/>
          <w:sz w:val="21"/>
          <w:szCs w:val="21"/>
          <w:highlight w:val="none"/>
        </w:rPr>
      </w:pPr>
      <w:bookmarkStart w:id="205" w:name="_Toc4237"/>
      <w:bookmarkEnd w:id="205"/>
      <w:bookmarkStart w:id="206" w:name="_Toc152045538"/>
      <w:bookmarkEnd w:id="206"/>
      <w:bookmarkStart w:id="207" w:name="_Toc2702"/>
      <w:bookmarkEnd w:id="207"/>
      <w:bookmarkStart w:id="208" w:name="_Toc466298100"/>
      <w:bookmarkEnd w:id="208"/>
      <w:bookmarkStart w:id="209" w:name="_Toc455867777"/>
      <w:bookmarkEnd w:id="209"/>
      <w:bookmarkStart w:id="210" w:name="_Toc455080117"/>
      <w:bookmarkEnd w:id="210"/>
      <w:bookmarkStart w:id="211" w:name="_Toc318450683"/>
      <w:bookmarkEnd w:id="211"/>
      <w:bookmarkStart w:id="212" w:name="_Toc490667836"/>
      <w:bookmarkEnd w:id="212"/>
      <w:bookmarkStart w:id="213" w:name="_Toc152042314"/>
      <w:bookmarkEnd w:id="213"/>
      <w:bookmarkStart w:id="214" w:name="_Toc144974506"/>
      <w:bookmarkEnd w:id="214"/>
      <w:bookmarkStart w:id="215" w:name="_Toc22378"/>
      <w:bookmarkEnd w:id="215"/>
      <w:bookmarkStart w:id="216" w:name="_Toc509667269"/>
      <w:bookmarkEnd w:id="216"/>
      <w:bookmarkStart w:id="217" w:name="_Toc9446"/>
      <w:bookmarkEnd w:id="217"/>
      <w:bookmarkStart w:id="218" w:name="_Toc24337"/>
      <w:bookmarkEnd w:id="218"/>
      <w:bookmarkStart w:id="219" w:name="_Toc23692"/>
      <w:bookmarkStart w:id="220" w:name="_Toc4679"/>
      <w:bookmarkStart w:id="221" w:name="_Toc5973"/>
      <w:bookmarkStart w:id="222" w:name="_Toc32507"/>
      <w:bookmarkStart w:id="223" w:name="_Toc129073466"/>
      <w:bookmarkStart w:id="224" w:name="_Toc11568"/>
      <w:r>
        <w:rPr>
          <w:rFonts w:hint="eastAsia" w:ascii="宋体" w:hAnsi="宋体" w:eastAsia="宋体"/>
          <w:b/>
          <w:bCs/>
          <w:color w:val="auto"/>
          <w:sz w:val="21"/>
          <w:szCs w:val="21"/>
          <w:highlight w:val="none"/>
        </w:rPr>
        <w:t>1.8 计量单位</w:t>
      </w:r>
      <w:bookmarkEnd w:id="219"/>
      <w:bookmarkEnd w:id="220"/>
      <w:bookmarkEnd w:id="221"/>
      <w:bookmarkEnd w:id="222"/>
      <w:bookmarkEnd w:id="223"/>
      <w:bookmarkEnd w:id="224"/>
    </w:p>
    <w:p w14:paraId="6425BFFB">
      <w:pPr>
        <w:spacing w:line="360" w:lineRule="auto"/>
        <w:ind w:firstLine="420" w:firstLineChars="200"/>
        <w:rPr>
          <w:rFonts w:ascii="宋体" w:hAnsi="宋体"/>
          <w:color w:val="auto"/>
          <w:highlight w:val="none"/>
        </w:rPr>
      </w:pPr>
      <w:r>
        <w:rPr>
          <w:rFonts w:hint="eastAsia" w:ascii="宋体" w:hAnsi="宋体"/>
          <w:color w:val="auto"/>
          <w:highlight w:val="none"/>
        </w:rPr>
        <w:t>所有计量均采用中华人民共和国法定计量单位。</w:t>
      </w:r>
    </w:p>
    <w:p w14:paraId="51D72FDC">
      <w:pPr>
        <w:pStyle w:val="93"/>
        <w:keepNext w:val="0"/>
        <w:keepLines w:val="0"/>
        <w:spacing w:line="360" w:lineRule="auto"/>
        <w:ind w:firstLine="422" w:firstLineChars="200"/>
        <w:rPr>
          <w:rFonts w:ascii="宋体" w:hAnsi="宋体" w:eastAsia="宋体"/>
          <w:b/>
          <w:bCs/>
          <w:color w:val="auto"/>
          <w:sz w:val="21"/>
          <w:szCs w:val="21"/>
          <w:highlight w:val="none"/>
        </w:rPr>
      </w:pPr>
      <w:bookmarkStart w:id="225" w:name="_Toc490667837"/>
      <w:bookmarkEnd w:id="225"/>
      <w:bookmarkStart w:id="226" w:name="_Toc152042318"/>
      <w:bookmarkEnd w:id="226"/>
      <w:bookmarkStart w:id="227" w:name="_Toc455867778"/>
      <w:bookmarkEnd w:id="227"/>
      <w:bookmarkStart w:id="228" w:name="_Toc284"/>
      <w:bookmarkEnd w:id="228"/>
      <w:bookmarkStart w:id="229" w:name="_Toc466298101"/>
      <w:bookmarkEnd w:id="229"/>
      <w:bookmarkStart w:id="230" w:name="_Toc509667272"/>
      <w:bookmarkEnd w:id="230"/>
      <w:bookmarkStart w:id="231" w:name="_Toc455080118"/>
      <w:bookmarkEnd w:id="231"/>
      <w:bookmarkStart w:id="232" w:name="_Toc21248"/>
      <w:bookmarkEnd w:id="232"/>
      <w:bookmarkStart w:id="233" w:name="_Toc152042316"/>
      <w:bookmarkEnd w:id="233"/>
      <w:bookmarkStart w:id="234" w:name="_Toc144974510"/>
      <w:bookmarkEnd w:id="234"/>
      <w:bookmarkStart w:id="235" w:name="_Toc152045542"/>
      <w:bookmarkEnd w:id="235"/>
      <w:bookmarkStart w:id="236" w:name="_Toc152045540"/>
      <w:bookmarkEnd w:id="236"/>
      <w:bookmarkStart w:id="237" w:name="_Toc144974508"/>
      <w:bookmarkEnd w:id="237"/>
      <w:bookmarkStart w:id="238" w:name="_Toc318450684"/>
      <w:bookmarkEnd w:id="238"/>
      <w:bookmarkStart w:id="239" w:name="_Toc13675"/>
      <w:bookmarkEnd w:id="239"/>
      <w:bookmarkStart w:id="240" w:name="_Toc2508"/>
      <w:bookmarkEnd w:id="240"/>
      <w:bookmarkStart w:id="241" w:name="_Toc27570"/>
      <w:bookmarkEnd w:id="241"/>
      <w:bookmarkStart w:id="242" w:name="_Toc509667270"/>
      <w:bookmarkEnd w:id="242"/>
      <w:bookmarkStart w:id="243" w:name="_Toc12027"/>
      <w:bookmarkEnd w:id="243"/>
      <w:bookmarkStart w:id="244" w:name="_Toc25180"/>
      <w:bookmarkStart w:id="245" w:name="_Toc25557"/>
      <w:bookmarkStart w:id="246" w:name="_Toc9995"/>
      <w:bookmarkStart w:id="247" w:name="_Toc10532"/>
      <w:bookmarkStart w:id="248" w:name="_Toc16399"/>
      <w:bookmarkStart w:id="249" w:name="_Toc6491"/>
      <w:bookmarkStart w:id="250" w:name="_Toc455080120"/>
      <w:bookmarkStart w:id="251" w:name="_Toc129073469"/>
      <w:r>
        <w:rPr>
          <w:rFonts w:hint="eastAsia" w:ascii="宋体" w:hAnsi="宋体" w:eastAsia="宋体"/>
          <w:b/>
          <w:bCs/>
          <w:color w:val="auto"/>
          <w:sz w:val="21"/>
          <w:szCs w:val="21"/>
          <w:highlight w:val="none"/>
        </w:rPr>
        <w:t>1.9 踏勘现场</w:t>
      </w:r>
      <w:bookmarkEnd w:id="244"/>
      <w:bookmarkEnd w:id="245"/>
      <w:bookmarkEnd w:id="246"/>
      <w:bookmarkEnd w:id="247"/>
      <w:bookmarkEnd w:id="248"/>
      <w:bookmarkEnd w:id="249"/>
    </w:p>
    <w:p w14:paraId="516E29CF">
      <w:pPr>
        <w:spacing w:line="360" w:lineRule="auto"/>
        <w:ind w:firstLine="420" w:firstLineChars="200"/>
        <w:rPr>
          <w:color w:val="auto"/>
          <w:highlight w:val="none"/>
        </w:rPr>
      </w:pPr>
      <w:r>
        <w:rPr>
          <w:rFonts w:hint="eastAsia"/>
          <w:color w:val="auto"/>
          <w:highlight w:val="none"/>
        </w:rPr>
        <w:t>不组织踏勘现场。</w:t>
      </w:r>
    </w:p>
    <w:p w14:paraId="26B1203B">
      <w:pPr>
        <w:pStyle w:val="93"/>
        <w:keepNext w:val="0"/>
        <w:keepLines w:val="0"/>
        <w:spacing w:line="360" w:lineRule="auto"/>
        <w:ind w:firstLine="422" w:firstLineChars="200"/>
        <w:rPr>
          <w:rFonts w:ascii="宋体" w:hAnsi="宋体" w:eastAsia="宋体"/>
          <w:b/>
          <w:bCs/>
          <w:color w:val="auto"/>
          <w:sz w:val="21"/>
          <w:szCs w:val="21"/>
          <w:highlight w:val="none"/>
        </w:rPr>
      </w:pPr>
      <w:bookmarkStart w:id="252" w:name="_Toc11734"/>
      <w:bookmarkStart w:id="253" w:name="_Toc16872"/>
      <w:bookmarkStart w:id="254" w:name="_Toc3960"/>
      <w:bookmarkStart w:id="255" w:name="_Toc9909"/>
      <w:bookmarkStart w:id="256" w:name="_Toc17130"/>
      <w:bookmarkStart w:id="257" w:name="_Toc16108"/>
      <w:r>
        <w:rPr>
          <w:rFonts w:hint="eastAsia" w:ascii="宋体" w:hAnsi="宋体" w:eastAsia="宋体"/>
          <w:b/>
          <w:bCs/>
          <w:color w:val="auto"/>
          <w:sz w:val="21"/>
          <w:szCs w:val="21"/>
          <w:highlight w:val="none"/>
        </w:rPr>
        <w:t>1.10 投标预备会</w:t>
      </w:r>
      <w:bookmarkEnd w:id="252"/>
      <w:bookmarkEnd w:id="253"/>
      <w:bookmarkEnd w:id="254"/>
      <w:bookmarkEnd w:id="255"/>
      <w:bookmarkEnd w:id="256"/>
      <w:bookmarkEnd w:id="257"/>
    </w:p>
    <w:p w14:paraId="6AEC2E2D">
      <w:pPr>
        <w:spacing w:line="360" w:lineRule="auto"/>
        <w:ind w:firstLine="420" w:firstLineChars="200"/>
        <w:rPr>
          <w:color w:val="auto"/>
          <w:highlight w:val="none"/>
        </w:rPr>
      </w:pPr>
      <w:r>
        <w:rPr>
          <w:rFonts w:hint="eastAsia"/>
          <w:color w:val="auto"/>
          <w:highlight w:val="none"/>
        </w:rPr>
        <w:t>不召开磋商预备会。</w:t>
      </w:r>
    </w:p>
    <w:p w14:paraId="6AD8A0F7">
      <w:pPr>
        <w:pStyle w:val="93"/>
        <w:keepNext w:val="0"/>
        <w:keepLines w:val="0"/>
        <w:spacing w:line="360" w:lineRule="auto"/>
        <w:ind w:firstLine="422" w:firstLineChars="200"/>
        <w:rPr>
          <w:rFonts w:ascii="宋体" w:hAnsi="宋体" w:eastAsia="宋体"/>
          <w:b/>
          <w:bCs/>
          <w:color w:val="auto"/>
          <w:sz w:val="21"/>
          <w:szCs w:val="21"/>
          <w:highlight w:val="none"/>
        </w:rPr>
      </w:pPr>
      <w:bookmarkStart w:id="258" w:name="_Toc16270"/>
      <w:bookmarkStart w:id="259" w:name="_Toc21853"/>
      <w:bookmarkStart w:id="260" w:name="_Toc23740"/>
      <w:bookmarkStart w:id="261" w:name="_Toc8079"/>
      <w:bookmarkStart w:id="262" w:name="_Toc27923"/>
      <w:bookmarkStart w:id="263" w:name="_Toc21740"/>
      <w:r>
        <w:rPr>
          <w:rFonts w:hint="eastAsia" w:ascii="宋体" w:hAnsi="宋体" w:eastAsia="宋体"/>
          <w:b/>
          <w:bCs/>
          <w:color w:val="auto"/>
          <w:sz w:val="21"/>
          <w:szCs w:val="21"/>
          <w:highlight w:val="none"/>
        </w:rPr>
        <w:t>1.11 偏离</w:t>
      </w:r>
      <w:bookmarkEnd w:id="258"/>
      <w:bookmarkEnd w:id="259"/>
      <w:bookmarkEnd w:id="260"/>
      <w:bookmarkEnd w:id="261"/>
      <w:bookmarkEnd w:id="262"/>
      <w:bookmarkEnd w:id="263"/>
    </w:p>
    <w:p w14:paraId="0964FD28">
      <w:pPr>
        <w:spacing w:line="360" w:lineRule="auto"/>
        <w:ind w:firstLine="420" w:firstLineChars="200"/>
        <w:rPr>
          <w:rFonts w:ascii="宋体" w:hAnsi="宋体"/>
          <w:color w:val="auto"/>
          <w:highlight w:val="none"/>
        </w:rPr>
      </w:pPr>
      <w:r>
        <w:rPr>
          <w:rFonts w:hint="eastAsia" w:ascii="宋体" w:hAnsi="宋体"/>
          <w:color w:val="auto"/>
          <w:highlight w:val="none"/>
        </w:rPr>
        <w:t>不允许负偏离。</w:t>
      </w:r>
    </w:p>
    <w:p w14:paraId="6A5EF231">
      <w:pPr>
        <w:pStyle w:val="93"/>
        <w:keepNext w:val="0"/>
        <w:keepLines w:val="0"/>
        <w:spacing w:line="360" w:lineRule="auto"/>
        <w:ind w:firstLine="422" w:firstLineChars="200"/>
        <w:rPr>
          <w:rFonts w:ascii="宋体" w:hAnsi="宋体" w:eastAsia="宋体"/>
          <w:b/>
          <w:bCs/>
          <w:color w:val="auto"/>
          <w:sz w:val="21"/>
          <w:szCs w:val="21"/>
          <w:highlight w:val="none"/>
        </w:rPr>
      </w:pPr>
      <w:bookmarkStart w:id="264" w:name="_Toc17085"/>
      <w:bookmarkStart w:id="265" w:name="_Toc19827"/>
      <w:bookmarkStart w:id="266" w:name="_Toc5931"/>
      <w:bookmarkStart w:id="267" w:name="_Toc23549"/>
      <w:bookmarkStart w:id="268" w:name="_Toc9300"/>
      <w:bookmarkStart w:id="269" w:name="_Toc26742"/>
      <w:r>
        <w:rPr>
          <w:rFonts w:hint="eastAsia" w:ascii="宋体" w:hAnsi="宋体" w:eastAsia="宋体"/>
          <w:b/>
          <w:bCs/>
          <w:color w:val="auto"/>
          <w:sz w:val="21"/>
          <w:szCs w:val="21"/>
          <w:highlight w:val="none"/>
        </w:rPr>
        <w:t>1.12 分包</w:t>
      </w:r>
      <w:bookmarkEnd w:id="264"/>
      <w:bookmarkEnd w:id="265"/>
      <w:bookmarkEnd w:id="266"/>
      <w:bookmarkEnd w:id="267"/>
      <w:bookmarkEnd w:id="268"/>
      <w:bookmarkEnd w:id="269"/>
    </w:p>
    <w:p w14:paraId="49B36B6C">
      <w:pPr>
        <w:spacing w:line="360" w:lineRule="auto"/>
        <w:ind w:firstLine="420" w:firstLineChars="200"/>
        <w:rPr>
          <w:color w:val="auto"/>
          <w:highlight w:val="none"/>
        </w:rPr>
      </w:pPr>
      <w:r>
        <w:rPr>
          <w:rFonts w:hint="eastAsia"/>
          <w:color w:val="auto"/>
          <w:highlight w:val="none"/>
        </w:rPr>
        <w:t>不允许分包。</w:t>
      </w:r>
    </w:p>
    <w:p w14:paraId="444F3012">
      <w:pPr>
        <w:pStyle w:val="93"/>
        <w:keepNext w:val="0"/>
        <w:keepLines w:val="0"/>
        <w:spacing w:line="360" w:lineRule="auto"/>
        <w:ind w:firstLine="422" w:firstLineChars="200"/>
        <w:rPr>
          <w:rFonts w:ascii="宋体" w:hAnsi="宋体" w:eastAsia="宋体"/>
          <w:b/>
          <w:bCs/>
          <w:color w:val="auto"/>
          <w:sz w:val="21"/>
          <w:szCs w:val="21"/>
          <w:highlight w:val="none"/>
        </w:rPr>
      </w:pPr>
      <w:bookmarkStart w:id="270" w:name="_Toc9124"/>
      <w:bookmarkStart w:id="271" w:name="_Toc23605"/>
      <w:bookmarkStart w:id="272" w:name="_Toc18645"/>
      <w:bookmarkStart w:id="273" w:name="_Toc25414"/>
      <w:bookmarkStart w:id="274" w:name="_Toc27423"/>
      <w:bookmarkStart w:id="275" w:name="_Toc28246"/>
      <w:r>
        <w:rPr>
          <w:rFonts w:hint="eastAsia" w:ascii="宋体" w:hAnsi="宋体" w:eastAsia="宋体"/>
          <w:b/>
          <w:bCs/>
          <w:color w:val="auto"/>
          <w:sz w:val="21"/>
          <w:szCs w:val="21"/>
          <w:highlight w:val="none"/>
        </w:rPr>
        <w:t>1.13 知识产权</w:t>
      </w:r>
      <w:bookmarkEnd w:id="270"/>
      <w:bookmarkEnd w:id="271"/>
      <w:bookmarkEnd w:id="272"/>
      <w:bookmarkEnd w:id="273"/>
      <w:bookmarkEnd w:id="274"/>
      <w:bookmarkEnd w:id="275"/>
    </w:p>
    <w:p w14:paraId="28BCACD4">
      <w:pPr>
        <w:spacing w:line="360" w:lineRule="auto"/>
        <w:ind w:firstLine="420" w:firstLineChars="200"/>
        <w:rPr>
          <w:color w:val="auto"/>
          <w:highlight w:val="none"/>
        </w:rPr>
      </w:pPr>
      <w:r>
        <w:rPr>
          <w:rFonts w:hint="eastAsia"/>
          <w:color w:val="auto"/>
          <w:highlight w:val="none"/>
        </w:rPr>
        <w:t>所有涉及知识产权的成果，供应商必须确保采购人拥有其合法的、不受限制的无偿使用权，并免受任何侵权诉讼或索偿，否则，由此产生的一切经济损失和法律责任由供应商承担。</w:t>
      </w:r>
    </w:p>
    <w:p w14:paraId="0FAEF52F">
      <w:pPr>
        <w:pStyle w:val="92"/>
        <w:ind w:firstLine="420"/>
        <w:rPr>
          <w:color w:val="auto"/>
          <w:highlight w:val="none"/>
        </w:rPr>
      </w:pPr>
      <w:bookmarkStart w:id="276" w:name="_Toc22840"/>
      <w:bookmarkStart w:id="277" w:name="_Toc22375"/>
      <w:bookmarkStart w:id="278" w:name="_Toc13286"/>
      <w:bookmarkStart w:id="279" w:name="_Toc16623"/>
      <w:bookmarkStart w:id="280" w:name="_Toc8134"/>
      <w:bookmarkStart w:id="281" w:name="_Toc28585"/>
      <w:bookmarkStart w:id="282" w:name="_Toc15275"/>
      <w:bookmarkStart w:id="283" w:name="_Toc21278"/>
      <w:bookmarkStart w:id="284" w:name="_Toc14992"/>
      <w:r>
        <w:rPr>
          <w:rFonts w:hint="eastAsia"/>
          <w:color w:val="auto"/>
          <w:highlight w:val="none"/>
        </w:rPr>
        <w:t xml:space="preserve">2. </w:t>
      </w:r>
      <w:bookmarkEnd w:id="250"/>
      <w:r>
        <w:rPr>
          <w:rFonts w:hint="eastAsia"/>
          <w:color w:val="auto"/>
          <w:highlight w:val="none"/>
        </w:rPr>
        <w:t>磋商文件</w:t>
      </w:r>
      <w:bookmarkEnd w:id="251"/>
      <w:bookmarkEnd w:id="276"/>
      <w:bookmarkEnd w:id="277"/>
      <w:bookmarkEnd w:id="278"/>
      <w:bookmarkEnd w:id="279"/>
      <w:bookmarkEnd w:id="280"/>
      <w:bookmarkEnd w:id="281"/>
      <w:bookmarkEnd w:id="282"/>
      <w:bookmarkEnd w:id="283"/>
      <w:bookmarkEnd w:id="284"/>
    </w:p>
    <w:p w14:paraId="7873A65D">
      <w:pPr>
        <w:pStyle w:val="93"/>
        <w:keepNext w:val="0"/>
        <w:keepLines w:val="0"/>
        <w:spacing w:line="360" w:lineRule="auto"/>
        <w:ind w:firstLine="422" w:firstLineChars="200"/>
        <w:rPr>
          <w:rFonts w:ascii="宋体" w:hAnsi="宋体" w:eastAsia="宋体"/>
          <w:b/>
          <w:bCs/>
          <w:color w:val="auto"/>
          <w:sz w:val="21"/>
          <w:szCs w:val="21"/>
          <w:highlight w:val="none"/>
        </w:rPr>
      </w:pPr>
      <w:bookmarkStart w:id="285" w:name="_Toc490667840"/>
      <w:bookmarkEnd w:id="285"/>
      <w:bookmarkStart w:id="286" w:name="_Toc32711"/>
      <w:bookmarkEnd w:id="286"/>
      <w:bookmarkStart w:id="287" w:name="_Toc455080121"/>
      <w:bookmarkEnd w:id="287"/>
      <w:bookmarkStart w:id="288" w:name="_Toc1008"/>
      <w:bookmarkEnd w:id="288"/>
      <w:bookmarkStart w:id="289" w:name="_Toc152045543"/>
      <w:bookmarkEnd w:id="289"/>
      <w:bookmarkStart w:id="290" w:name="_Toc11599"/>
      <w:bookmarkEnd w:id="290"/>
      <w:bookmarkStart w:id="291" w:name="_Toc144974511"/>
      <w:bookmarkEnd w:id="291"/>
      <w:bookmarkStart w:id="292" w:name="_Toc12640"/>
      <w:bookmarkEnd w:id="292"/>
      <w:bookmarkStart w:id="293" w:name="_Toc455867781"/>
      <w:bookmarkEnd w:id="293"/>
      <w:bookmarkStart w:id="294" w:name="_Toc466298104"/>
      <w:bookmarkEnd w:id="294"/>
      <w:bookmarkStart w:id="295" w:name="_Toc11567"/>
      <w:bookmarkEnd w:id="295"/>
      <w:bookmarkStart w:id="296" w:name="_Toc9780"/>
      <w:bookmarkEnd w:id="296"/>
      <w:bookmarkStart w:id="297" w:name="_Toc152042319"/>
      <w:bookmarkEnd w:id="297"/>
      <w:bookmarkStart w:id="298" w:name="_Toc509667273"/>
      <w:bookmarkEnd w:id="298"/>
      <w:bookmarkStart w:id="299" w:name="_Toc15502"/>
      <w:bookmarkStart w:id="300" w:name="_Toc129073470"/>
      <w:bookmarkStart w:id="301" w:name="_Toc32119"/>
      <w:bookmarkStart w:id="302" w:name="_Toc29644"/>
      <w:bookmarkStart w:id="303" w:name="_Toc13264"/>
      <w:bookmarkStart w:id="304" w:name="_Toc318450687"/>
      <w:r>
        <w:rPr>
          <w:rFonts w:hint="eastAsia" w:ascii="宋体" w:hAnsi="宋体" w:eastAsia="宋体"/>
          <w:b/>
          <w:bCs/>
          <w:color w:val="auto"/>
          <w:sz w:val="21"/>
          <w:szCs w:val="21"/>
          <w:highlight w:val="none"/>
        </w:rPr>
        <w:t>2.1 磋商文件的组成</w:t>
      </w:r>
      <w:bookmarkEnd w:id="299"/>
      <w:bookmarkEnd w:id="300"/>
      <w:bookmarkEnd w:id="301"/>
      <w:bookmarkEnd w:id="302"/>
      <w:bookmarkEnd w:id="303"/>
      <w:bookmarkEnd w:id="304"/>
    </w:p>
    <w:p w14:paraId="7B016E5F">
      <w:pPr>
        <w:spacing w:line="360" w:lineRule="auto"/>
        <w:ind w:firstLine="420" w:firstLineChars="200"/>
        <w:rPr>
          <w:rFonts w:ascii="宋体" w:hAnsi="宋体"/>
          <w:color w:val="auto"/>
          <w:highlight w:val="none"/>
        </w:rPr>
      </w:pPr>
      <w:r>
        <w:rPr>
          <w:rFonts w:hint="eastAsia" w:ascii="宋体" w:hAnsi="宋体"/>
          <w:color w:val="auto"/>
          <w:highlight w:val="none"/>
        </w:rPr>
        <w:t>第一章  竞争性磋商公告</w:t>
      </w:r>
    </w:p>
    <w:p w14:paraId="1FFACE1F">
      <w:pPr>
        <w:spacing w:line="360" w:lineRule="auto"/>
        <w:ind w:firstLine="420" w:firstLineChars="200"/>
        <w:rPr>
          <w:rFonts w:ascii="宋体" w:hAnsi="宋体"/>
          <w:color w:val="auto"/>
          <w:highlight w:val="none"/>
        </w:rPr>
      </w:pPr>
      <w:r>
        <w:rPr>
          <w:rFonts w:hint="eastAsia" w:ascii="宋体" w:hAnsi="宋体"/>
          <w:color w:val="auto"/>
          <w:highlight w:val="none"/>
        </w:rPr>
        <w:t>第二章  供应商须知</w:t>
      </w:r>
    </w:p>
    <w:p w14:paraId="34F19549">
      <w:pPr>
        <w:spacing w:line="360" w:lineRule="auto"/>
        <w:ind w:firstLine="420" w:firstLineChars="200"/>
        <w:rPr>
          <w:rFonts w:ascii="宋体" w:hAnsi="宋体"/>
          <w:color w:val="auto"/>
          <w:highlight w:val="none"/>
        </w:rPr>
      </w:pPr>
      <w:r>
        <w:rPr>
          <w:rFonts w:hint="eastAsia" w:ascii="宋体" w:hAnsi="宋体"/>
          <w:color w:val="auto"/>
          <w:highlight w:val="none"/>
        </w:rPr>
        <w:t>第三章  评审办法（综合评分法）</w:t>
      </w:r>
    </w:p>
    <w:p w14:paraId="1DFA504C">
      <w:pPr>
        <w:spacing w:line="360" w:lineRule="auto"/>
        <w:ind w:firstLine="420" w:firstLineChars="200"/>
        <w:rPr>
          <w:rFonts w:ascii="宋体" w:hAnsi="宋体"/>
          <w:color w:val="auto"/>
          <w:highlight w:val="none"/>
        </w:rPr>
      </w:pPr>
      <w:r>
        <w:rPr>
          <w:rFonts w:hint="eastAsia" w:ascii="宋体" w:hAnsi="宋体"/>
          <w:color w:val="auto"/>
          <w:highlight w:val="none"/>
        </w:rPr>
        <w:t>第四章  合同条款及格式</w:t>
      </w:r>
    </w:p>
    <w:p w14:paraId="7A860386">
      <w:pPr>
        <w:spacing w:line="360" w:lineRule="auto"/>
        <w:ind w:firstLine="420" w:firstLineChars="200"/>
        <w:rPr>
          <w:rFonts w:ascii="宋体" w:hAnsi="宋体"/>
          <w:color w:val="auto"/>
          <w:highlight w:val="none"/>
        </w:rPr>
      </w:pPr>
      <w:r>
        <w:rPr>
          <w:rFonts w:hint="eastAsia" w:ascii="宋体" w:hAnsi="宋体"/>
          <w:color w:val="auto"/>
          <w:highlight w:val="none"/>
        </w:rPr>
        <w:t>第五章  工程量清单</w:t>
      </w:r>
    </w:p>
    <w:p w14:paraId="258CFC33">
      <w:pPr>
        <w:spacing w:line="360" w:lineRule="auto"/>
        <w:ind w:firstLine="420" w:firstLineChars="200"/>
        <w:rPr>
          <w:rFonts w:ascii="宋体" w:hAnsi="宋体"/>
          <w:color w:val="auto"/>
          <w:highlight w:val="none"/>
        </w:rPr>
      </w:pPr>
      <w:r>
        <w:rPr>
          <w:rFonts w:hint="eastAsia" w:ascii="宋体" w:hAnsi="宋体"/>
          <w:color w:val="auto"/>
          <w:highlight w:val="none"/>
        </w:rPr>
        <w:t>第</w:t>
      </w:r>
      <w:r>
        <w:rPr>
          <w:rFonts w:hint="eastAsia" w:ascii="宋体" w:hAnsi="宋体"/>
          <w:color w:val="auto"/>
          <w:highlight w:val="none"/>
          <w:lang w:val="en-US" w:eastAsia="zh-CN"/>
        </w:rPr>
        <w:t>六</w:t>
      </w:r>
      <w:r>
        <w:rPr>
          <w:rFonts w:hint="eastAsia" w:ascii="宋体" w:hAnsi="宋体"/>
          <w:color w:val="auto"/>
          <w:highlight w:val="none"/>
        </w:rPr>
        <w:t>章  技术标准和要求</w:t>
      </w:r>
    </w:p>
    <w:p w14:paraId="2DAD6A20">
      <w:pPr>
        <w:spacing w:line="360" w:lineRule="auto"/>
        <w:ind w:firstLine="420" w:firstLineChars="200"/>
        <w:rPr>
          <w:rFonts w:ascii="宋体" w:hAnsi="宋体"/>
          <w:color w:val="auto"/>
          <w:highlight w:val="none"/>
        </w:rPr>
      </w:pPr>
      <w:r>
        <w:rPr>
          <w:rFonts w:hint="eastAsia" w:ascii="宋体" w:hAnsi="宋体"/>
          <w:color w:val="auto"/>
          <w:highlight w:val="none"/>
        </w:rPr>
        <w:t>第</w:t>
      </w:r>
      <w:r>
        <w:rPr>
          <w:rFonts w:hint="eastAsia" w:ascii="宋体" w:hAnsi="宋体"/>
          <w:color w:val="auto"/>
          <w:highlight w:val="none"/>
          <w:lang w:val="en-US" w:eastAsia="zh-CN"/>
        </w:rPr>
        <w:t>七</w:t>
      </w:r>
      <w:r>
        <w:rPr>
          <w:rFonts w:hint="eastAsia" w:ascii="宋体" w:hAnsi="宋体"/>
          <w:color w:val="auto"/>
          <w:highlight w:val="none"/>
        </w:rPr>
        <w:t>章  响应文件格式</w:t>
      </w:r>
    </w:p>
    <w:p w14:paraId="6EA9C389">
      <w:pPr>
        <w:spacing w:line="360" w:lineRule="auto"/>
        <w:ind w:firstLine="420" w:firstLineChars="200"/>
        <w:rPr>
          <w:rFonts w:ascii="宋体" w:hAnsi="宋体"/>
          <w:color w:val="auto"/>
          <w:highlight w:val="none"/>
        </w:rPr>
      </w:pPr>
      <w:r>
        <w:rPr>
          <w:rFonts w:hint="eastAsia" w:ascii="宋体" w:hAnsi="宋体"/>
          <w:color w:val="auto"/>
          <w:highlight w:val="none"/>
        </w:rPr>
        <w:t>根据本章第2.2款和第2.3款对磋商文件所作的澄清、修改，构成磋商文件的组成部分。</w:t>
      </w:r>
    </w:p>
    <w:p w14:paraId="4D293C43">
      <w:pPr>
        <w:pStyle w:val="93"/>
        <w:keepNext w:val="0"/>
        <w:keepLines w:val="0"/>
        <w:spacing w:line="360" w:lineRule="auto"/>
        <w:ind w:firstLine="422" w:firstLineChars="200"/>
        <w:rPr>
          <w:rFonts w:ascii="宋体" w:hAnsi="宋体" w:eastAsia="宋体"/>
          <w:b/>
          <w:bCs/>
          <w:color w:val="auto"/>
          <w:sz w:val="21"/>
          <w:szCs w:val="21"/>
          <w:highlight w:val="none"/>
        </w:rPr>
      </w:pPr>
      <w:bookmarkStart w:id="305" w:name="_Toc318450688"/>
      <w:bookmarkEnd w:id="305"/>
      <w:bookmarkStart w:id="306" w:name="_Toc490667841"/>
      <w:bookmarkEnd w:id="306"/>
      <w:bookmarkStart w:id="307" w:name="_Toc152042320"/>
      <w:bookmarkEnd w:id="307"/>
      <w:bookmarkStart w:id="308" w:name="_Toc466298105"/>
      <w:bookmarkEnd w:id="308"/>
      <w:bookmarkStart w:id="309" w:name="_Toc7939"/>
      <w:bookmarkEnd w:id="309"/>
      <w:bookmarkStart w:id="310" w:name="_Toc455080122"/>
      <w:bookmarkEnd w:id="310"/>
      <w:bookmarkStart w:id="311" w:name="_Toc152045544"/>
      <w:bookmarkEnd w:id="311"/>
      <w:bookmarkStart w:id="312" w:name="_Toc455867782"/>
      <w:bookmarkEnd w:id="312"/>
      <w:bookmarkStart w:id="313" w:name="_Toc18661"/>
      <w:bookmarkEnd w:id="313"/>
      <w:bookmarkStart w:id="314" w:name="_Toc8943"/>
      <w:bookmarkEnd w:id="314"/>
      <w:bookmarkStart w:id="315" w:name="_Toc509667274"/>
      <w:bookmarkEnd w:id="315"/>
      <w:bookmarkStart w:id="316" w:name="_Toc8875"/>
      <w:bookmarkEnd w:id="316"/>
      <w:bookmarkStart w:id="317" w:name="_Toc17296"/>
      <w:bookmarkEnd w:id="317"/>
      <w:bookmarkStart w:id="318" w:name="_Toc144974512"/>
      <w:bookmarkEnd w:id="318"/>
      <w:bookmarkStart w:id="319" w:name="_Toc22287"/>
      <w:bookmarkStart w:id="320" w:name="_Toc129073471"/>
      <w:bookmarkStart w:id="321" w:name="_Toc11998"/>
      <w:bookmarkStart w:id="322" w:name="_Toc6664"/>
      <w:bookmarkStart w:id="323" w:name="_Toc13700"/>
      <w:bookmarkStart w:id="324" w:name="_Toc14590"/>
      <w:r>
        <w:rPr>
          <w:rFonts w:hint="eastAsia" w:ascii="宋体" w:hAnsi="宋体" w:eastAsia="宋体"/>
          <w:b/>
          <w:bCs/>
          <w:color w:val="auto"/>
          <w:sz w:val="21"/>
          <w:szCs w:val="21"/>
          <w:highlight w:val="none"/>
        </w:rPr>
        <w:t>2.2 磋商文件的澄清</w:t>
      </w:r>
      <w:bookmarkEnd w:id="319"/>
      <w:bookmarkEnd w:id="320"/>
      <w:bookmarkEnd w:id="321"/>
      <w:bookmarkEnd w:id="322"/>
      <w:bookmarkEnd w:id="323"/>
      <w:bookmarkEnd w:id="324"/>
    </w:p>
    <w:p w14:paraId="1224BF30">
      <w:pPr>
        <w:spacing w:line="360" w:lineRule="auto"/>
        <w:ind w:firstLine="420" w:firstLineChars="200"/>
        <w:rPr>
          <w:rFonts w:ascii="宋体" w:hAnsi="宋体"/>
          <w:color w:val="auto"/>
          <w:highlight w:val="none"/>
        </w:rPr>
      </w:pPr>
      <w:bookmarkStart w:id="325" w:name="_Toc455080123"/>
      <w:bookmarkEnd w:id="325"/>
      <w:bookmarkStart w:id="326" w:name="_Toc152042321"/>
      <w:bookmarkEnd w:id="326"/>
      <w:bookmarkStart w:id="327" w:name="_Toc466298106"/>
      <w:bookmarkEnd w:id="327"/>
      <w:bookmarkStart w:id="328" w:name="_Toc490667842"/>
      <w:bookmarkEnd w:id="328"/>
      <w:bookmarkStart w:id="329" w:name="_Toc11948"/>
      <w:bookmarkEnd w:id="329"/>
      <w:bookmarkStart w:id="330" w:name="_Toc13617"/>
      <w:bookmarkEnd w:id="330"/>
      <w:bookmarkStart w:id="331" w:name="_Toc509667275"/>
      <w:bookmarkEnd w:id="331"/>
      <w:bookmarkStart w:id="332" w:name="_Toc5907"/>
      <w:bookmarkEnd w:id="332"/>
      <w:bookmarkStart w:id="333" w:name="_Toc455867783"/>
      <w:bookmarkEnd w:id="333"/>
      <w:bookmarkStart w:id="334" w:name="_Toc318450689"/>
      <w:bookmarkEnd w:id="334"/>
      <w:bookmarkStart w:id="335" w:name="_Toc152045545"/>
      <w:bookmarkEnd w:id="335"/>
      <w:bookmarkStart w:id="336" w:name="_Toc17619"/>
      <w:bookmarkEnd w:id="336"/>
      <w:bookmarkStart w:id="337" w:name="_Toc2131"/>
      <w:bookmarkEnd w:id="337"/>
      <w:bookmarkStart w:id="338" w:name="_Toc14966"/>
      <w:bookmarkEnd w:id="338"/>
      <w:bookmarkStart w:id="339" w:name="_Toc144974513"/>
      <w:bookmarkStart w:id="340" w:name="_Toc129073472"/>
      <w:r>
        <w:rPr>
          <w:rFonts w:ascii="宋体" w:hAnsi="宋体"/>
          <w:color w:val="auto"/>
          <w:highlight w:val="none"/>
        </w:rPr>
        <w:t>2.2.1 供应商应仔细阅读和检查磋商文件的全部内容。如有疑问，应在供应商须知前附表规定的时间前在河南省公共资源交易中心交易平台上进行提问，要求采购人对磋商文件予以澄清</w:t>
      </w:r>
      <w:r>
        <w:rPr>
          <w:rFonts w:hint="eastAsia" w:ascii="宋体" w:hAnsi="宋体"/>
          <w:color w:val="auto"/>
          <w:highlight w:val="none"/>
        </w:rPr>
        <w:t>，</w:t>
      </w:r>
      <w:r>
        <w:rPr>
          <w:rFonts w:ascii="宋体" w:hAnsi="宋体"/>
          <w:color w:val="auto"/>
          <w:highlight w:val="none"/>
        </w:rPr>
        <w:t>并及时电话</w:t>
      </w:r>
      <w:r>
        <w:rPr>
          <w:rFonts w:hint="eastAsia" w:ascii="宋体" w:hAnsi="宋体"/>
          <w:color w:val="auto"/>
          <w:highlight w:val="none"/>
        </w:rPr>
        <w:t>告知</w:t>
      </w:r>
      <w:r>
        <w:rPr>
          <w:rFonts w:ascii="宋体" w:hAnsi="宋体"/>
          <w:color w:val="auto"/>
          <w:highlight w:val="none"/>
        </w:rPr>
        <w:t>采购人和采购代理机构。供应商在规定的时间内未</w:t>
      </w:r>
      <w:r>
        <w:rPr>
          <w:rFonts w:hint="eastAsia" w:ascii="宋体" w:hAnsi="宋体"/>
          <w:color w:val="auto"/>
          <w:highlight w:val="none"/>
        </w:rPr>
        <w:t>按</w:t>
      </w:r>
      <w:r>
        <w:rPr>
          <w:rFonts w:ascii="宋体" w:hAnsi="宋体"/>
          <w:color w:val="auto"/>
          <w:highlight w:val="none"/>
        </w:rPr>
        <w:t>要求对磋商文件提出疑问的，采购人和采购代理机构将视其为无异议，开标后，采购人和采购代理机构</w:t>
      </w:r>
      <w:r>
        <w:rPr>
          <w:rFonts w:hint="eastAsia" w:ascii="宋体" w:hAnsi="宋体"/>
          <w:color w:val="auto"/>
          <w:highlight w:val="none"/>
        </w:rPr>
        <w:t>可以</w:t>
      </w:r>
      <w:r>
        <w:rPr>
          <w:rFonts w:ascii="宋体" w:hAnsi="宋体"/>
          <w:color w:val="auto"/>
          <w:highlight w:val="none"/>
        </w:rPr>
        <w:t>不接受其对磋商文件内容的质疑。</w:t>
      </w:r>
    </w:p>
    <w:p w14:paraId="69D6928C">
      <w:pPr>
        <w:spacing w:line="360" w:lineRule="auto"/>
        <w:ind w:firstLine="420" w:firstLineChars="200"/>
        <w:rPr>
          <w:rFonts w:ascii="宋体" w:hAnsi="宋体"/>
          <w:color w:val="auto"/>
          <w:highlight w:val="none"/>
        </w:rPr>
      </w:pPr>
      <w:r>
        <w:rPr>
          <w:rFonts w:hint="eastAsia" w:ascii="宋体" w:hAnsi="宋体"/>
          <w:color w:val="auto"/>
          <w:highlight w:val="none"/>
        </w:rPr>
        <w:t xml:space="preserve">2.2.2 </w:t>
      </w:r>
      <w:r>
        <w:rPr>
          <w:rFonts w:ascii="宋体" w:hAnsi="宋体"/>
          <w:color w:val="auto"/>
          <w:highlight w:val="none"/>
        </w:rPr>
        <w:t>磋商文件的澄清或答疑将在供应商须知前附表规定的</w:t>
      </w:r>
      <w:r>
        <w:rPr>
          <w:rFonts w:hint="eastAsia" w:ascii="宋体" w:hAnsi="宋体"/>
          <w:color w:val="auto"/>
          <w:highlight w:val="none"/>
        </w:rPr>
        <w:t>形式</w:t>
      </w:r>
      <w:r>
        <w:rPr>
          <w:rFonts w:ascii="宋体" w:hAnsi="宋体"/>
          <w:color w:val="auto"/>
          <w:highlight w:val="none"/>
        </w:rPr>
        <w:t>发给</w:t>
      </w:r>
      <w:r>
        <w:rPr>
          <w:rFonts w:hint="eastAsia" w:ascii="宋体" w:hAnsi="宋体"/>
          <w:color w:val="auto"/>
          <w:highlight w:val="none"/>
        </w:rPr>
        <w:t>获取</w:t>
      </w:r>
      <w:r>
        <w:rPr>
          <w:rFonts w:ascii="宋体" w:hAnsi="宋体"/>
          <w:color w:val="auto"/>
          <w:highlight w:val="none"/>
        </w:rPr>
        <w:t>磋商文件的供应商，但不指明澄清或答疑问题的来源。如果澄清发出的时间距提交响应文件截止时间不足5天，并且澄清内容影响磋商响应文件编制的，</w:t>
      </w:r>
      <w:r>
        <w:rPr>
          <w:rFonts w:hint="eastAsia" w:ascii="宋体" w:hAnsi="宋体"/>
          <w:color w:val="auto"/>
          <w:highlight w:val="none"/>
        </w:rPr>
        <w:t>将</w:t>
      </w:r>
      <w:r>
        <w:rPr>
          <w:rFonts w:ascii="宋体" w:hAnsi="宋体"/>
          <w:color w:val="auto"/>
          <w:highlight w:val="none"/>
        </w:rPr>
        <w:t>相应延长响应文件递交截止时间。</w:t>
      </w:r>
    </w:p>
    <w:p w14:paraId="36B76641">
      <w:pPr>
        <w:spacing w:line="360" w:lineRule="auto"/>
        <w:ind w:firstLine="420" w:firstLineChars="200"/>
        <w:rPr>
          <w:rFonts w:ascii="宋体" w:hAnsi="宋体"/>
          <w:color w:val="auto"/>
          <w:highlight w:val="none"/>
        </w:rPr>
      </w:pPr>
      <w:r>
        <w:rPr>
          <w:rFonts w:ascii="宋体" w:hAnsi="宋体"/>
          <w:color w:val="auto"/>
          <w:highlight w:val="none"/>
        </w:rPr>
        <w:t>2.2.3澄清内容是磋商文件的组成部分，澄清内容一经在项目公告网站和电子交易平台发布，视作已送达所有供应商，并对供应商具有约束力。</w:t>
      </w:r>
    </w:p>
    <w:p w14:paraId="55D1C5FB">
      <w:pPr>
        <w:spacing w:line="360" w:lineRule="auto"/>
        <w:ind w:firstLine="420" w:firstLineChars="200"/>
        <w:rPr>
          <w:rFonts w:ascii="宋体" w:hAnsi="宋体"/>
          <w:color w:val="auto"/>
          <w:highlight w:val="none"/>
        </w:rPr>
      </w:pPr>
      <w:r>
        <w:rPr>
          <w:rFonts w:ascii="宋体" w:hAnsi="宋体"/>
          <w:color w:val="auto"/>
          <w:highlight w:val="none"/>
        </w:rPr>
        <w:t>2.2.4供应商在投标截止时间前须自行查看项目进展、下载磋商文件的澄清等，因供应商未及时查看和下载而造成的后果自负。</w:t>
      </w:r>
    </w:p>
    <w:p w14:paraId="1FE66D39">
      <w:pPr>
        <w:spacing w:line="360" w:lineRule="auto"/>
        <w:ind w:firstLine="422" w:firstLineChars="200"/>
        <w:rPr>
          <w:rFonts w:ascii="宋体" w:hAnsi="宋体"/>
          <w:b/>
          <w:bCs/>
          <w:color w:val="auto"/>
          <w:highlight w:val="none"/>
        </w:rPr>
      </w:pPr>
      <w:r>
        <w:rPr>
          <w:rFonts w:hint="eastAsia" w:ascii="宋体" w:hAnsi="宋体"/>
          <w:b/>
          <w:bCs/>
          <w:color w:val="auto"/>
          <w:highlight w:val="none"/>
        </w:rPr>
        <w:t>2.3 磋商文件的修改</w:t>
      </w:r>
      <w:bookmarkEnd w:id="339"/>
      <w:bookmarkEnd w:id="340"/>
    </w:p>
    <w:p w14:paraId="2F835388">
      <w:pPr>
        <w:spacing w:line="360" w:lineRule="auto"/>
        <w:ind w:firstLine="420" w:firstLineChars="200"/>
        <w:rPr>
          <w:rFonts w:ascii="宋体" w:hAnsi="宋体"/>
          <w:color w:val="auto"/>
          <w:highlight w:val="none"/>
        </w:rPr>
      </w:pPr>
      <w:r>
        <w:rPr>
          <w:rFonts w:hint="eastAsia" w:ascii="宋体" w:hAnsi="宋体"/>
          <w:color w:val="auto"/>
          <w:highlight w:val="none"/>
        </w:rPr>
        <w:t>2.3.1采购人或者采购代理机构可以对已发出的竞争性磋商文件进行必要的修改，但不得改变采购标的和资格条件，修改的内容为竞争性磋商文件的组成部分。</w:t>
      </w:r>
    </w:p>
    <w:p w14:paraId="55E8561E">
      <w:pPr>
        <w:spacing w:line="360" w:lineRule="auto"/>
        <w:ind w:firstLine="420" w:firstLineChars="200"/>
        <w:rPr>
          <w:rFonts w:ascii="宋体" w:hAnsi="宋体"/>
          <w:color w:val="auto"/>
          <w:highlight w:val="none"/>
        </w:rPr>
      </w:pPr>
      <w:r>
        <w:rPr>
          <w:rFonts w:hint="eastAsia" w:ascii="宋体" w:hAnsi="宋体"/>
          <w:color w:val="auto"/>
          <w:highlight w:val="none"/>
        </w:rPr>
        <w:t>2.3.2采购人或采购代理机构以供应商须知前附表规定的形式修改竞争性磋商文件，并通知所有已获取竞争性磋商文件的供应商，同时在原公告媒体发布变更公告。修改竞争性磋商文件的时间距提交首次响应文件截止时间不足5日的，并且修改内容可能影响响应文件编制的，将相应延长提交首次响应文件截止时间。</w:t>
      </w:r>
    </w:p>
    <w:p w14:paraId="0350B62F">
      <w:pPr>
        <w:spacing w:line="360" w:lineRule="auto"/>
        <w:ind w:firstLine="420" w:firstLineChars="200"/>
        <w:rPr>
          <w:rFonts w:ascii="宋体" w:hAnsi="宋体"/>
          <w:color w:val="auto"/>
          <w:highlight w:val="none"/>
        </w:rPr>
      </w:pPr>
      <w:r>
        <w:rPr>
          <w:rFonts w:hint="eastAsia" w:ascii="宋体" w:hAnsi="宋体"/>
          <w:color w:val="auto"/>
          <w:highlight w:val="none"/>
        </w:rPr>
        <w:t>2.3.3修改内容是竞争性磋商文件的组成部分，修改内容一经在项目公告网站和电子交易平台发布，视作已送达所有供应商，并对供应商具有约束力。若供应商对修改内容仍有疑问，应在修改内容发出后24小时内在电子交易平台进行提问，否则视为已接收，并同意修改或澄清内容。开标后，采购人和采购代理机构不接受其对竞争性磋商文件内容的质疑。</w:t>
      </w:r>
    </w:p>
    <w:p w14:paraId="2892DBC4">
      <w:pPr>
        <w:spacing w:line="360" w:lineRule="auto"/>
        <w:ind w:firstLine="420" w:firstLineChars="200"/>
        <w:rPr>
          <w:rFonts w:ascii="宋体" w:hAnsi="宋体"/>
          <w:color w:val="auto"/>
          <w:highlight w:val="none"/>
        </w:rPr>
      </w:pPr>
      <w:r>
        <w:rPr>
          <w:rFonts w:hint="eastAsia" w:ascii="宋体" w:hAnsi="宋体"/>
          <w:color w:val="auto"/>
          <w:highlight w:val="none"/>
        </w:rPr>
        <w:t>2.3.4供应商在投标截止时间前须自行查看项目进展、下载竞争性磋商文件的修改等，因供应商未及时查看和下载而造成的后果自负。</w:t>
      </w:r>
    </w:p>
    <w:p w14:paraId="4689568D">
      <w:pPr>
        <w:pStyle w:val="92"/>
        <w:ind w:firstLine="420"/>
        <w:rPr>
          <w:color w:val="auto"/>
          <w:highlight w:val="none"/>
        </w:rPr>
      </w:pPr>
      <w:bookmarkStart w:id="341" w:name="_Toc152045546"/>
      <w:bookmarkEnd w:id="341"/>
      <w:bookmarkStart w:id="342" w:name="_Toc152042322"/>
      <w:bookmarkEnd w:id="342"/>
      <w:bookmarkStart w:id="343" w:name="_Toc455080124"/>
      <w:bookmarkEnd w:id="343"/>
      <w:bookmarkStart w:id="344" w:name="_Toc509667276"/>
      <w:bookmarkEnd w:id="344"/>
      <w:bookmarkStart w:id="345" w:name="_Toc144974514"/>
      <w:bookmarkEnd w:id="345"/>
      <w:bookmarkStart w:id="346" w:name="_Toc7665"/>
      <w:bookmarkStart w:id="347" w:name="_Toc18668"/>
      <w:bookmarkStart w:id="348" w:name="_Toc24233"/>
      <w:bookmarkStart w:id="349" w:name="_Toc20123"/>
      <w:bookmarkStart w:id="350" w:name="_Toc129073473"/>
      <w:bookmarkStart w:id="351" w:name="_Toc28694"/>
      <w:bookmarkStart w:id="352" w:name="_Toc1514"/>
      <w:bookmarkStart w:id="353" w:name="_Toc6779"/>
      <w:bookmarkStart w:id="354" w:name="_Toc29175"/>
      <w:bookmarkStart w:id="355" w:name="_Toc10728"/>
      <w:bookmarkStart w:id="356" w:name="_Toc31097"/>
      <w:r>
        <w:rPr>
          <w:rFonts w:hint="eastAsia"/>
          <w:color w:val="auto"/>
          <w:highlight w:val="none"/>
        </w:rPr>
        <w:t xml:space="preserve">3. </w:t>
      </w:r>
      <w:bookmarkEnd w:id="346"/>
      <w:r>
        <w:rPr>
          <w:rFonts w:hint="eastAsia"/>
          <w:color w:val="auto"/>
          <w:highlight w:val="none"/>
        </w:rPr>
        <w:t>响应文件</w:t>
      </w:r>
      <w:bookmarkEnd w:id="347"/>
      <w:bookmarkEnd w:id="348"/>
      <w:bookmarkEnd w:id="349"/>
      <w:bookmarkEnd w:id="350"/>
      <w:bookmarkEnd w:id="351"/>
      <w:bookmarkEnd w:id="352"/>
      <w:bookmarkEnd w:id="353"/>
      <w:bookmarkEnd w:id="354"/>
      <w:bookmarkEnd w:id="355"/>
      <w:bookmarkEnd w:id="356"/>
    </w:p>
    <w:p w14:paraId="05ABD4D5">
      <w:pPr>
        <w:pStyle w:val="93"/>
        <w:keepNext w:val="0"/>
        <w:keepLines w:val="0"/>
        <w:spacing w:line="360" w:lineRule="auto"/>
        <w:ind w:firstLine="422" w:firstLineChars="200"/>
        <w:rPr>
          <w:rFonts w:ascii="宋体" w:hAnsi="宋体" w:eastAsia="宋体"/>
          <w:b/>
          <w:bCs/>
          <w:color w:val="auto"/>
          <w:sz w:val="21"/>
          <w:szCs w:val="21"/>
          <w:highlight w:val="none"/>
        </w:rPr>
      </w:pPr>
      <w:bookmarkStart w:id="357" w:name="_Toc24440"/>
      <w:bookmarkEnd w:id="357"/>
      <w:bookmarkStart w:id="358" w:name="_Toc490667844"/>
      <w:bookmarkEnd w:id="358"/>
      <w:bookmarkStart w:id="359" w:name="_Toc15810"/>
      <w:bookmarkEnd w:id="359"/>
      <w:bookmarkStart w:id="360" w:name="_Toc152042323"/>
      <w:bookmarkEnd w:id="360"/>
      <w:bookmarkStart w:id="361" w:name="_Toc144974515"/>
      <w:bookmarkEnd w:id="361"/>
      <w:bookmarkStart w:id="362" w:name="_Toc152045547"/>
      <w:bookmarkEnd w:id="362"/>
      <w:bookmarkStart w:id="363" w:name="_Toc318450691"/>
      <w:bookmarkStart w:id="364" w:name="_Toc14317"/>
      <w:bookmarkStart w:id="365" w:name="_Toc26190"/>
      <w:bookmarkStart w:id="366" w:name="_Toc129073474"/>
      <w:bookmarkStart w:id="367" w:name="_Toc21419"/>
      <w:bookmarkStart w:id="368" w:name="_Toc19334"/>
      <w:r>
        <w:rPr>
          <w:rFonts w:hint="eastAsia" w:ascii="宋体" w:hAnsi="宋体" w:eastAsia="宋体"/>
          <w:b/>
          <w:bCs/>
          <w:color w:val="auto"/>
          <w:sz w:val="21"/>
          <w:szCs w:val="21"/>
          <w:highlight w:val="none"/>
        </w:rPr>
        <w:t>3.1 响应文件的组成</w:t>
      </w:r>
      <w:bookmarkEnd w:id="363"/>
      <w:bookmarkEnd w:id="364"/>
      <w:bookmarkEnd w:id="365"/>
      <w:bookmarkEnd w:id="366"/>
      <w:bookmarkEnd w:id="367"/>
      <w:bookmarkEnd w:id="368"/>
    </w:p>
    <w:p w14:paraId="4BF8037D">
      <w:pPr>
        <w:spacing w:line="360" w:lineRule="auto"/>
        <w:ind w:firstLine="420" w:firstLineChars="200"/>
        <w:rPr>
          <w:rFonts w:ascii="宋体" w:hAnsi="宋体"/>
          <w:color w:val="auto"/>
          <w:highlight w:val="none"/>
        </w:rPr>
      </w:pPr>
      <w:bookmarkStart w:id="369" w:name="_Toc152042324"/>
      <w:bookmarkEnd w:id="369"/>
      <w:bookmarkStart w:id="370" w:name="_Toc22864"/>
      <w:bookmarkEnd w:id="370"/>
      <w:bookmarkStart w:id="371" w:name="_Toc26291"/>
      <w:bookmarkEnd w:id="371"/>
      <w:bookmarkStart w:id="372" w:name="_Toc455080125"/>
      <w:bookmarkEnd w:id="372"/>
      <w:bookmarkStart w:id="373" w:name="_Toc18750"/>
      <w:bookmarkEnd w:id="373"/>
      <w:bookmarkStart w:id="374" w:name="_Toc455867785"/>
      <w:bookmarkEnd w:id="374"/>
      <w:bookmarkStart w:id="375" w:name="_Toc144974516"/>
      <w:bookmarkEnd w:id="375"/>
      <w:bookmarkStart w:id="376" w:name="_Toc30182"/>
      <w:bookmarkEnd w:id="376"/>
      <w:bookmarkStart w:id="377" w:name="_Toc279156232"/>
      <w:bookmarkEnd w:id="377"/>
      <w:bookmarkStart w:id="378" w:name="_Toc13280"/>
      <w:bookmarkEnd w:id="378"/>
      <w:bookmarkStart w:id="379" w:name="_Toc779"/>
      <w:bookmarkEnd w:id="379"/>
      <w:bookmarkStart w:id="380" w:name="_Toc318450692"/>
      <w:bookmarkEnd w:id="380"/>
      <w:bookmarkStart w:id="381" w:name="_Toc152045548"/>
      <w:bookmarkEnd w:id="381"/>
      <w:bookmarkStart w:id="382" w:name="_Toc466298108"/>
      <w:bookmarkEnd w:id="382"/>
      <w:bookmarkStart w:id="383" w:name="_Toc899"/>
      <w:r>
        <w:rPr>
          <w:rFonts w:hint="eastAsia" w:ascii="宋体" w:hAnsi="宋体"/>
          <w:color w:val="auto"/>
          <w:highlight w:val="none"/>
        </w:rPr>
        <w:t>详见第</w:t>
      </w:r>
      <w:r>
        <w:rPr>
          <w:rFonts w:hint="eastAsia" w:ascii="宋体" w:hAnsi="宋体"/>
          <w:color w:val="auto"/>
          <w:highlight w:val="none"/>
          <w:lang w:eastAsia="zh-CN"/>
        </w:rPr>
        <w:t>七</w:t>
      </w:r>
      <w:r>
        <w:rPr>
          <w:rFonts w:hint="eastAsia" w:ascii="宋体" w:hAnsi="宋体"/>
          <w:color w:val="auto"/>
          <w:highlight w:val="none"/>
        </w:rPr>
        <w:t>章“响应文件格式”</w:t>
      </w:r>
      <w:bookmarkEnd w:id="383"/>
    </w:p>
    <w:p w14:paraId="6D8316D4">
      <w:pPr>
        <w:pStyle w:val="93"/>
        <w:keepNext w:val="0"/>
        <w:keepLines w:val="0"/>
        <w:spacing w:line="360" w:lineRule="auto"/>
        <w:ind w:firstLine="422" w:firstLineChars="200"/>
        <w:rPr>
          <w:rFonts w:ascii="宋体" w:hAnsi="宋体" w:eastAsia="宋体"/>
          <w:b/>
          <w:bCs/>
          <w:color w:val="auto"/>
          <w:sz w:val="21"/>
          <w:szCs w:val="21"/>
          <w:highlight w:val="none"/>
        </w:rPr>
      </w:pPr>
      <w:bookmarkStart w:id="384" w:name="_Toc129073475"/>
      <w:bookmarkStart w:id="385" w:name="_Toc10785"/>
      <w:bookmarkStart w:id="386" w:name="_Toc17845"/>
      <w:bookmarkStart w:id="387" w:name="_Toc9243"/>
      <w:bookmarkStart w:id="388" w:name="_Toc28763"/>
      <w:r>
        <w:rPr>
          <w:rFonts w:hint="eastAsia" w:ascii="宋体" w:hAnsi="宋体" w:eastAsia="宋体"/>
          <w:b/>
          <w:bCs/>
          <w:color w:val="auto"/>
          <w:sz w:val="21"/>
          <w:szCs w:val="21"/>
          <w:highlight w:val="none"/>
        </w:rPr>
        <w:t>3.2 磋商报价</w:t>
      </w:r>
      <w:bookmarkEnd w:id="384"/>
      <w:bookmarkEnd w:id="385"/>
      <w:bookmarkEnd w:id="386"/>
      <w:bookmarkEnd w:id="387"/>
      <w:bookmarkEnd w:id="388"/>
    </w:p>
    <w:p w14:paraId="72484983">
      <w:pPr>
        <w:spacing w:line="360" w:lineRule="auto"/>
        <w:ind w:firstLine="420" w:firstLineChars="200"/>
        <w:rPr>
          <w:rFonts w:ascii="宋体" w:hAnsi="宋体"/>
          <w:color w:val="auto"/>
          <w:highlight w:val="none"/>
        </w:rPr>
      </w:pPr>
      <w:bookmarkStart w:id="389" w:name="_Toc2425"/>
      <w:bookmarkEnd w:id="389"/>
      <w:bookmarkStart w:id="390" w:name="_Toc490667846"/>
      <w:bookmarkEnd w:id="390"/>
      <w:bookmarkStart w:id="391" w:name="_Toc509667277"/>
      <w:bookmarkEnd w:id="391"/>
      <w:bookmarkStart w:id="392" w:name="_Toc6105"/>
      <w:bookmarkEnd w:id="392"/>
      <w:bookmarkStart w:id="393" w:name="_Toc455867786"/>
      <w:bookmarkEnd w:id="393"/>
      <w:bookmarkStart w:id="394" w:name="_Toc7910"/>
      <w:bookmarkEnd w:id="394"/>
      <w:bookmarkStart w:id="395" w:name="_Toc152045549"/>
      <w:bookmarkEnd w:id="395"/>
      <w:bookmarkStart w:id="396" w:name="_Toc21680"/>
      <w:bookmarkEnd w:id="396"/>
      <w:bookmarkStart w:id="397" w:name="_Toc318450693"/>
      <w:bookmarkEnd w:id="397"/>
      <w:bookmarkStart w:id="398" w:name="_Toc21600"/>
      <w:bookmarkEnd w:id="398"/>
      <w:bookmarkStart w:id="399" w:name="_Toc144974517"/>
      <w:bookmarkEnd w:id="399"/>
      <w:bookmarkStart w:id="400" w:name="_Toc152042325"/>
      <w:bookmarkEnd w:id="400"/>
      <w:bookmarkStart w:id="401" w:name="_Toc3624"/>
      <w:bookmarkEnd w:id="401"/>
      <w:bookmarkStart w:id="402" w:name="_Toc455080126"/>
      <w:bookmarkEnd w:id="402"/>
      <w:bookmarkStart w:id="403" w:name="_Toc129073476"/>
      <w:bookmarkStart w:id="404" w:name="_Toc466298109"/>
      <w:r>
        <w:rPr>
          <w:rFonts w:hint="eastAsia" w:ascii="宋体" w:hAnsi="宋体"/>
          <w:color w:val="auto"/>
          <w:highlight w:val="none"/>
        </w:rPr>
        <w:t>3.2.1 供应商应按第</w:t>
      </w:r>
      <w:r>
        <w:rPr>
          <w:rFonts w:hint="eastAsia" w:ascii="宋体" w:hAnsi="宋体"/>
          <w:color w:val="auto"/>
          <w:highlight w:val="none"/>
          <w:lang w:eastAsia="zh-CN"/>
        </w:rPr>
        <w:t>七</w:t>
      </w:r>
      <w:r>
        <w:rPr>
          <w:rFonts w:hint="eastAsia" w:ascii="宋体" w:hAnsi="宋体"/>
          <w:color w:val="auto"/>
          <w:highlight w:val="none"/>
        </w:rPr>
        <w:t>章“磋商函附录”的要求填写相应表格，投标总报价应包括完成该项目的成本、利润、税金、风险等所有伴随的其他费用。</w:t>
      </w:r>
    </w:p>
    <w:p w14:paraId="142C8DA9">
      <w:pPr>
        <w:spacing w:line="360" w:lineRule="auto"/>
        <w:ind w:firstLine="420" w:firstLineChars="200"/>
        <w:rPr>
          <w:rFonts w:ascii="宋体" w:hAnsi="宋体"/>
          <w:color w:val="auto"/>
          <w:highlight w:val="none"/>
        </w:rPr>
      </w:pPr>
      <w:r>
        <w:rPr>
          <w:rFonts w:hint="eastAsia" w:ascii="宋体" w:hAnsi="宋体"/>
          <w:color w:val="auto"/>
          <w:highlight w:val="none"/>
        </w:rPr>
        <w:t>3.2.2 供应商在投标截止时间前修改磋商函中的投标总报价，应同时修改第</w:t>
      </w:r>
      <w:r>
        <w:rPr>
          <w:rFonts w:hint="eastAsia" w:ascii="宋体" w:hAnsi="宋体"/>
          <w:color w:val="auto"/>
          <w:highlight w:val="none"/>
          <w:lang w:eastAsia="zh-CN"/>
        </w:rPr>
        <w:t>七</w:t>
      </w:r>
      <w:r>
        <w:rPr>
          <w:rFonts w:hint="eastAsia" w:ascii="宋体" w:hAnsi="宋体"/>
          <w:color w:val="auto"/>
          <w:highlight w:val="none"/>
        </w:rPr>
        <w:t>章“磋商函附录”中的相应报价。此修改须符合本章第4.3 款的有关要求。</w:t>
      </w:r>
    </w:p>
    <w:p w14:paraId="2E6C38DB">
      <w:pPr>
        <w:spacing w:line="360" w:lineRule="auto"/>
        <w:ind w:firstLine="420" w:firstLineChars="200"/>
        <w:rPr>
          <w:rFonts w:ascii="宋体" w:hAnsi="宋体"/>
          <w:color w:val="auto"/>
          <w:highlight w:val="none"/>
        </w:rPr>
      </w:pPr>
      <w:r>
        <w:rPr>
          <w:rFonts w:hint="eastAsia" w:ascii="宋体" w:hAnsi="宋体"/>
          <w:color w:val="auto"/>
          <w:highlight w:val="none"/>
        </w:rPr>
        <w:t>3.2.3 投标总报价应是采购人指定地点的包括履约完成前发生的各种税费、保险费、运杂费、全部建筑安装费、技术服务费以及伴随的</w:t>
      </w:r>
      <w:r>
        <w:rPr>
          <w:rFonts w:hint="eastAsia" w:ascii="宋体" w:hAnsi="宋体"/>
          <w:color w:val="auto"/>
          <w:highlight w:val="none"/>
          <w:lang w:eastAsia="zh-CN"/>
        </w:rPr>
        <w:t>其他</w:t>
      </w:r>
      <w:r>
        <w:rPr>
          <w:rFonts w:hint="eastAsia" w:ascii="宋体" w:hAnsi="宋体"/>
          <w:color w:val="auto"/>
          <w:highlight w:val="none"/>
        </w:rPr>
        <w:t>服务费总报价。各项报价应准确填入投标总报价表相应栏内。</w:t>
      </w:r>
    </w:p>
    <w:p w14:paraId="552C363E">
      <w:pPr>
        <w:spacing w:line="360" w:lineRule="auto"/>
        <w:ind w:firstLine="420" w:firstLineChars="200"/>
        <w:rPr>
          <w:rFonts w:ascii="宋体" w:hAnsi="宋体"/>
          <w:color w:val="auto"/>
          <w:highlight w:val="none"/>
        </w:rPr>
      </w:pPr>
      <w:r>
        <w:rPr>
          <w:rFonts w:hint="eastAsia" w:ascii="宋体" w:hAnsi="宋体"/>
          <w:color w:val="auto"/>
          <w:highlight w:val="none"/>
        </w:rPr>
        <w:t>3.2.4 供应商每次只能提出一个不变报价，采购人不接受任何选择价。磋商报价不作为中标的唯一因素，不保证最低价中标。</w:t>
      </w:r>
    </w:p>
    <w:p w14:paraId="6FF97CCE">
      <w:pPr>
        <w:spacing w:line="360" w:lineRule="auto"/>
        <w:ind w:firstLine="420" w:firstLineChars="200"/>
        <w:rPr>
          <w:rFonts w:ascii="宋体" w:hAnsi="宋体"/>
          <w:color w:val="auto"/>
          <w:highlight w:val="none"/>
        </w:rPr>
      </w:pPr>
      <w:r>
        <w:rPr>
          <w:rFonts w:hint="eastAsia" w:ascii="宋体" w:hAnsi="宋体"/>
          <w:color w:val="auto"/>
          <w:highlight w:val="none"/>
        </w:rPr>
        <w:t>3.2.5 采购人设有最高投标限价的，供应商的投标报价不得超过最高投标限价，最高投标限价在供应商须知前附表中载明。</w:t>
      </w:r>
    </w:p>
    <w:p w14:paraId="2C55A1E3">
      <w:pPr>
        <w:pStyle w:val="93"/>
        <w:keepNext w:val="0"/>
        <w:keepLines w:val="0"/>
        <w:spacing w:line="360" w:lineRule="auto"/>
        <w:ind w:firstLine="422" w:firstLineChars="200"/>
        <w:rPr>
          <w:rFonts w:ascii="宋体" w:hAnsi="宋体" w:eastAsia="宋体"/>
          <w:b/>
          <w:bCs/>
          <w:color w:val="auto"/>
          <w:sz w:val="21"/>
          <w:szCs w:val="21"/>
          <w:highlight w:val="none"/>
        </w:rPr>
      </w:pPr>
      <w:bookmarkStart w:id="405" w:name="_Toc31729"/>
      <w:bookmarkStart w:id="406" w:name="_Toc29116"/>
      <w:bookmarkStart w:id="407" w:name="_Toc25512"/>
      <w:bookmarkStart w:id="408" w:name="_Toc7251"/>
      <w:r>
        <w:rPr>
          <w:rFonts w:hint="eastAsia" w:ascii="宋体" w:hAnsi="宋体" w:eastAsia="宋体"/>
          <w:b/>
          <w:bCs/>
          <w:color w:val="auto"/>
          <w:sz w:val="21"/>
          <w:szCs w:val="21"/>
          <w:highlight w:val="none"/>
        </w:rPr>
        <w:t>3.3 磋商有效期</w:t>
      </w:r>
      <w:bookmarkEnd w:id="403"/>
      <w:bookmarkEnd w:id="404"/>
      <w:bookmarkEnd w:id="405"/>
      <w:bookmarkEnd w:id="406"/>
      <w:bookmarkEnd w:id="407"/>
      <w:bookmarkEnd w:id="408"/>
    </w:p>
    <w:p w14:paraId="301F35CB">
      <w:pPr>
        <w:spacing w:line="360" w:lineRule="auto"/>
        <w:ind w:firstLine="420" w:firstLineChars="200"/>
        <w:rPr>
          <w:rFonts w:ascii="宋体" w:hAnsi="宋体"/>
          <w:color w:val="auto"/>
          <w:highlight w:val="none"/>
        </w:rPr>
      </w:pPr>
      <w:r>
        <w:rPr>
          <w:rFonts w:hint="eastAsia" w:ascii="宋体" w:hAnsi="宋体"/>
          <w:color w:val="auto"/>
          <w:highlight w:val="none"/>
        </w:rPr>
        <w:t>3.3.1在供应商须知前附表规定的磋商有效期内，供应商不得要求撤销或修改其响应文件。</w:t>
      </w:r>
    </w:p>
    <w:p w14:paraId="584039C4">
      <w:pPr>
        <w:spacing w:line="360" w:lineRule="auto"/>
        <w:ind w:firstLine="420" w:firstLineChars="200"/>
        <w:rPr>
          <w:rFonts w:ascii="宋体" w:hAnsi="宋体"/>
          <w:color w:val="auto"/>
          <w:highlight w:val="none"/>
        </w:rPr>
      </w:pPr>
      <w:r>
        <w:rPr>
          <w:rFonts w:hint="eastAsia" w:ascii="宋体" w:hAnsi="宋体"/>
          <w:color w:val="auto"/>
          <w:highlight w:val="none"/>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4E028BB5">
      <w:pPr>
        <w:pStyle w:val="93"/>
        <w:keepNext w:val="0"/>
        <w:keepLines w:val="0"/>
        <w:spacing w:line="360" w:lineRule="auto"/>
        <w:ind w:firstLine="422" w:firstLineChars="200"/>
        <w:rPr>
          <w:rFonts w:ascii="宋体" w:hAnsi="宋体" w:eastAsia="宋体"/>
          <w:b/>
          <w:bCs/>
          <w:color w:val="auto"/>
          <w:sz w:val="21"/>
          <w:szCs w:val="21"/>
          <w:highlight w:val="none"/>
        </w:rPr>
      </w:pPr>
      <w:bookmarkStart w:id="409" w:name="_Toc455080127"/>
      <w:bookmarkEnd w:id="409"/>
      <w:bookmarkStart w:id="410" w:name="_Toc2505"/>
      <w:bookmarkEnd w:id="410"/>
      <w:bookmarkStart w:id="411" w:name="_Toc318450694"/>
      <w:bookmarkEnd w:id="411"/>
      <w:bookmarkStart w:id="412" w:name="_Toc7057"/>
      <w:bookmarkEnd w:id="412"/>
      <w:bookmarkStart w:id="413" w:name="_Toc466298110"/>
      <w:bookmarkEnd w:id="413"/>
      <w:bookmarkStart w:id="414" w:name="_Toc455867787"/>
      <w:bookmarkEnd w:id="414"/>
      <w:bookmarkStart w:id="415" w:name="_Toc509667278"/>
      <w:bookmarkEnd w:id="415"/>
      <w:bookmarkStart w:id="416" w:name="_Toc30697"/>
      <w:bookmarkEnd w:id="416"/>
      <w:bookmarkStart w:id="417" w:name="_Toc152042326"/>
      <w:bookmarkEnd w:id="417"/>
      <w:bookmarkStart w:id="418" w:name="_Toc4165"/>
      <w:bookmarkEnd w:id="418"/>
      <w:bookmarkStart w:id="419" w:name="_Toc490667847"/>
      <w:bookmarkEnd w:id="419"/>
      <w:bookmarkStart w:id="420" w:name="_Toc7973"/>
      <w:bookmarkEnd w:id="420"/>
      <w:bookmarkStart w:id="421" w:name="_Toc144974518"/>
      <w:bookmarkEnd w:id="421"/>
      <w:bookmarkStart w:id="422" w:name="_Toc152045550"/>
      <w:bookmarkEnd w:id="422"/>
      <w:bookmarkStart w:id="423" w:name="_Toc16649"/>
      <w:bookmarkStart w:id="424" w:name="_Toc10485"/>
      <w:bookmarkStart w:id="425" w:name="_Toc20277"/>
      <w:bookmarkStart w:id="426" w:name="_Toc5810"/>
      <w:bookmarkStart w:id="427" w:name="_Toc10370"/>
      <w:bookmarkStart w:id="428" w:name="_Toc129073477"/>
      <w:r>
        <w:rPr>
          <w:rFonts w:hint="eastAsia" w:ascii="宋体" w:hAnsi="宋体" w:eastAsia="宋体"/>
          <w:b/>
          <w:bCs/>
          <w:color w:val="auto"/>
          <w:sz w:val="21"/>
          <w:szCs w:val="21"/>
          <w:highlight w:val="none"/>
        </w:rPr>
        <w:t>3.4 磋商保证金</w:t>
      </w:r>
      <w:bookmarkEnd w:id="423"/>
      <w:bookmarkEnd w:id="424"/>
      <w:bookmarkEnd w:id="425"/>
      <w:bookmarkEnd w:id="426"/>
    </w:p>
    <w:bookmarkEnd w:id="427"/>
    <w:bookmarkEnd w:id="428"/>
    <w:p w14:paraId="4F87E37E">
      <w:pPr>
        <w:spacing w:line="360" w:lineRule="auto"/>
        <w:ind w:firstLine="420" w:firstLineChars="200"/>
        <w:rPr>
          <w:rFonts w:ascii="宋体" w:hAnsi="宋体"/>
          <w:color w:val="auto"/>
          <w:highlight w:val="none"/>
        </w:rPr>
      </w:pPr>
      <w:bookmarkStart w:id="429" w:name="_Toc152045552"/>
      <w:bookmarkEnd w:id="429"/>
      <w:bookmarkStart w:id="430" w:name="_Toc27579"/>
      <w:bookmarkEnd w:id="430"/>
      <w:bookmarkStart w:id="431" w:name="_Toc318450695"/>
      <w:bookmarkEnd w:id="431"/>
      <w:bookmarkStart w:id="432" w:name="_Toc490667848"/>
      <w:bookmarkEnd w:id="432"/>
      <w:bookmarkStart w:id="433" w:name="_Toc455867788"/>
      <w:bookmarkEnd w:id="433"/>
      <w:bookmarkStart w:id="434" w:name="_Toc16747"/>
      <w:bookmarkEnd w:id="434"/>
      <w:bookmarkStart w:id="435" w:name="_Toc144974520"/>
      <w:bookmarkEnd w:id="435"/>
      <w:bookmarkStart w:id="436" w:name="_Toc22384"/>
      <w:bookmarkEnd w:id="436"/>
      <w:bookmarkStart w:id="437" w:name="_Toc17153"/>
      <w:bookmarkEnd w:id="437"/>
      <w:bookmarkStart w:id="438" w:name="_Toc466298111"/>
      <w:bookmarkEnd w:id="438"/>
      <w:bookmarkStart w:id="439" w:name="_Toc455080128"/>
      <w:bookmarkEnd w:id="439"/>
      <w:bookmarkStart w:id="440" w:name="_Toc22527"/>
      <w:bookmarkEnd w:id="440"/>
      <w:bookmarkStart w:id="441" w:name="_Toc509667279"/>
      <w:bookmarkEnd w:id="441"/>
      <w:bookmarkStart w:id="442" w:name="_Toc152042328"/>
      <w:bookmarkEnd w:id="442"/>
      <w:bookmarkStart w:id="443" w:name="_Toc129073478"/>
      <w:bookmarkStart w:id="444" w:name="_Toc11077"/>
      <w:r>
        <w:rPr>
          <w:rFonts w:hint="eastAsia" w:ascii="宋体" w:hAnsi="宋体"/>
          <w:color w:val="auto"/>
          <w:highlight w:val="none"/>
        </w:rPr>
        <w:t>根据《关于优化政府采购营商环境有关问题的通知》</w:t>
      </w:r>
      <w:r>
        <w:rPr>
          <w:rFonts w:hint="eastAsia" w:ascii="宋体" w:hAnsi="宋体"/>
          <w:color w:val="auto"/>
          <w:highlight w:val="none"/>
          <w:lang w:eastAsia="zh-CN"/>
        </w:rPr>
        <w:t>（</w:t>
      </w:r>
      <w:r>
        <w:rPr>
          <w:rFonts w:hint="eastAsia" w:ascii="宋体" w:hAnsi="宋体"/>
          <w:color w:val="auto"/>
          <w:highlight w:val="none"/>
        </w:rPr>
        <w:t>豫财购〔2019〕4号</w:t>
      </w:r>
      <w:r>
        <w:rPr>
          <w:rFonts w:hint="eastAsia" w:ascii="宋体" w:hAnsi="宋体"/>
          <w:color w:val="auto"/>
          <w:highlight w:val="none"/>
          <w:lang w:eastAsia="zh-CN"/>
        </w:rPr>
        <w:t>）</w:t>
      </w:r>
      <w:r>
        <w:rPr>
          <w:rFonts w:hint="eastAsia" w:ascii="宋体" w:hAnsi="宋体"/>
          <w:color w:val="auto"/>
          <w:highlight w:val="none"/>
        </w:rPr>
        <w:t>的相关要求，本项目不再收取磋商保证金。</w:t>
      </w:r>
    </w:p>
    <w:p w14:paraId="1750A6B0">
      <w:pPr>
        <w:pStyle w:val="93"/>
        <w:keepNext w:val="0"/>
        <w:keepLines w:val="0"/>
        <w:spacing w:line="360" w:lineRule="auto"/>
        <w:ind w:firstLine="422" w:firstLineChars="200"/>
        <w:rPr>
          <w:rFonts w:ascii="宋体" w:hAnsi="宋体" w:eastAsia="宋体"/>
          <w:b/>
          <w:bCs/>
          <w:color w:val="auto"/>
          <w:sz w:val="21"/>
          <w:szCs w:val="21"/>
          <w:highlight w:val="none"/>
        </w:rPr>
      </w:pPr>
      <w:bookmarkStart w:id="445" w:name="_Toc11547"/>
      <w:bookmarkStart w:id="446" w:name="_Toc938"/>
      <w:bookmarkStart w:id="447" w:name="_Toc5253"/>
      <w:bookmarkStart w:id="448" w:name="_Toc39"/>
      <w:r>
        <w:rPr>
          <w:rFonts w:hint="eastAsia" w:ascii="宋体" w:hAnsi="宋体" w:eastAsia="宋体"/>
          <w:b/>
          <w:bCs/>
          <w:color w:val="auto"/>
          <w:sz w:val="21"/>
          <w:szCs w:val="21"/>
          <w:highlight w:val="none"/>
        </w:rPr>
        <w:t>3.5资格审查资料</w:t>
      </w:r>
      <w:bookmarkEnd w:id="443"/>
      <w:bookmarkEnd w:id="444"/>
      <w:bookmarkEnd w:id="445"/>
      <w:bookmarkEnd w:id="446"/>
      <w:bookmarkEnd w:id="447"/>
      <w:bookmarkEnd w:id="448"/>
    </w:p>
    <w:p w14:paraId="73B9A073">
      <w:pPr>
        <w:spacing w:line="360" w:lineRule="auto"/>
        <w:ind w:firstLine="420" w:firstLineChars="200"/>
        <w:rPr>
          <w:rFonts w:ascii="宋体" w:hAnsi="宋体"/>
          <w:color w:val="auto"/>
          <w:highlight w:val="none"/>
        </w:rPr>
      </w:pPr>
      <w:bookmarkStart w:id="449" w:name="_Toc318450696"/>
      <w:bookmarkEnd w:id="449"/>
      <w:bookmarkStart w:id="450" w:name="_Toc144974521"/>
      <w:bookmarkEnd w:id="450"/>
      <w:bookmarkStart w:id="451" w:name="_Toc152042329"/>
      <w:bookmarkEnd w:id="451"/>
      <w:bookmarkStart w:id="452" w:name="_Toc152045553"/>
      <w:bookmarkEnd w:id="452"/>
      <w:bookmarkStart w:id="453" w:name="_Toc26258"/>
      <w:bookmarkEnd w:id="453"/>
      <w:bookmarkStart w:id="454" w:name="_Toc5132"/>
      <w:r>
        <w:rPr>
          <w:rFonts w:hint="eastAsia" w:ascii="宋体" w:hAnsi="宋体"/>
          <w:color w:val="auto"/>
          <w:highlight w:val="none"/>
        </w:rPr>
        <w:t>见供应商须知前附表。</w:t>
      </w:r>
      <w:bookmarkEnd w:id="454"/>
    </w:p>
    <w:p w14:paraId="7DC4AEAE">
      <w:pPr>
        <w:pStyle w:val="93"/>
        <w:keepNext w:val="0"/>
        <w:keepLines w:val="0"/>
        <w:spacing w:line="360" w:lineRule="auto"/>
        <w:ind w:firstLine="422" w:firstLineChars="200"/>
        <w:rPr>
          <w:rFonts w:ascii="宋体" w:hAnsi="宋体" w:eastAsia="宋体"/>
          <w:b/>
          <w:bCs/>
          <w:color w:val="auto"/>
          <w:sz w:val="21"/>
          <w:szCs w:val="21"/>
          <w:highlight w:val="none"/>
        </w:rPr>
      </w:pPr>
      <w:bookmarkStart w:id="455" w:name="_Toc466298112"/>
      <w:bookmarkEnd w:id="455"/>
      <w:bookmarkStart w:id="456" w:name="_Toc509667280"/>
      <w:bookmarkEnd w:id="456"/>
      <w:bookmarkStart w:id="457" w:name="_Toc30442"/>
      <w:bookmarkEnd w:id="457"/>
      <w:bookmarkStart w:id="458" w:name="_Toc455080129"/>
      <w:bookmarkEnd w:id="458"/>
      <w:bookmarkStart w:id="459" w:name="_Toc490667849"/>
      <w:bookmarkEnd w:id="459"/>
      <w:bookmarkStart w:id="460" w:name="_Toc11694"/>
      <w:bookmarkEnd w:id="460"/>
      <w:bookmarkStart w:id="461" w:name="_Toc9015"/>
      <w:bookmarkEnd w:id="461"/>
      <w:bookmarkStart w:id="462" w:name="_Toc19724"/>
      <w:bookmarkEnd w:id="462"/>
      <w:bookmarkStart w:id="463" w:name="_Toc455867789"/>
      <w:bookmarkStart w:id="464" w:name="_Toc14059"/>
      <w:bookmarkStart w:id="465" w:name="_Toc2414"/>
      <w:bookmarkStart w:id="466" w:name="_Toc129073479"/>
      <w:bookmarkStart w:id="467" w:name="_Toc25523"/>
      <w:bookmarkStart w:id="468" w:name="_Toc1596"/>
      <w:r>
        <w:rPr>
          <w:rFonts w:hint="eastAsia" w:ascii="宋体" w:hAnsi="宋体" w:eastAsia="宋体"/>
          <w:b/>
          <w:bCs/>
          <w:color w:val="auto"/>
          <w:sz w:val="21"/>
          <w:szCs w:val="21"/>
          <w:highlight w:val="none"/>
        </w:rPr>
        <w:t>3.6 备选方案</w:t>
      </w:r>
      <w:bookmarkEnd w:id="463"/>
      <w:bookmarkEnd w:id="464"/>
      <w:bookmarkEnd w:id="465"/>
      <w:bookmarkEnd w:id="466"/>
      <w:bookmarkEnd w:id="467"/>
      <w:bookmarkEnd w:id="468"/>
    </w:p>
    <w:p w14:paraId="5E2A3557">
      <w:pPr>
        <w:spacing w:line="360" w:lineRule="auto"/>
        <w:ind w:firstLine="420" w:firstLineChars="200"/>
        <w:rPr>
          <w:rFonts w:ascii="宋体" w:hAnsi="宋体"/>
          <w:color w:val="auto"/>
          <w:highlight w:val="none"/>
        </w:rPr>
      </w:pPr>
      <w:r>
        <w:rPr>
          <w:rFonts w:hint="eastAsia" w:ascii="宋体" w:hAnsi="宋体"/>
          <w:color w:val="auto"/>
          <w:highlight w:val="none"/>
        </w:rPr>
        <w:t>除供应商须知前附表另有规定外，供应商不得递交备选磋商方案。</w:t>
      </w:r>
    </w:p>
    <w:p w14:paraId="0FD5B09E">
      <w:pPr>
        <w:pStyle w:val="93"/>
        <w:keepNext w:val="0"/>
        <w:keepLines w:val="0"/>
        <w:spacing w:line="360" w:lineRule="auto"/>
        <w:ind w:firstLine="422" w:firstLineChars="200"/>
        <w:rPr>
          <w:rFonts w:ascii="宋体" w:hAnsi="宋体" w:eastAsia="宋体"/>
          <w:b/>
          <w:bCs/>
          <w:color w:val="auto"/>
          <w:sz w:val="21"/>
          <w:szCs w:val="21"/>
          <w:highlight w:val="none"/>
        </w:rPr>
      </w:pPr>
      <w:bookmarkStart w:id="469" w:name="_Toc7626"/>
      <w:bookmarkEnd w:id="469"/>
      <w:bookmarkStart w:id="470" w:name="_Toc466298113"/>
      <w:bookmarkEnd w:id="470"/>
      <w:bookmarkStart w:id="471" w:name="_Toc455867790"/>
      <w:bookmarkEnd w:id="471"/>
      <w:bookmarkStart w:id="472" w:name="_Toc152045554"/>
      <w:bookmarkEnd w:id="472"/>
      <w:bookmarkStart w:id="473" w:name="_Toc6323"/>
      <w:bookmarkEnd w:id="473"/>
      <w:bookmarkStart w:id="474" w:name="_Toc12275"/>
      <w:bookmarkEnd w:id="474"/>
      <w:bookmarkStart w:id="475" w:name="_Toc7966"/>
      <w:bookmarkEnd w:id="475"/>
      <w:bookmarkStart w:id="476" w:name="_Toc144974522"/>
      <w:bookmarkEnd w:id="476"/>
      <w:bookmarkStart w:id="477" w:name="_Toc509667281"/>
      <w:bookmarkEnd w:id="477"/>
      <w:bookmarkStart w:id="478" w:name="_Toc25620"/>
      <w:bookmarkEnd w:id="478"/>
      <w:bookmarkStart w:id="479" w:name="_Toc28656"/>
      <w:bookmarkEnd w:id="479"/>
      <w:bookmarkStart w:id="480" w:name="_Toc318450697"/>
      <w:bookmarkEnd w:id="480"/>
      <w:bookmarkStart w:id="481" w:name="_Toc152042330"/>
      <w:bookmarkEnd w:id="481"/>
      <w:bookmarkStart w:id="482" w:name="_Toc455080130"/>
      <w:bookmarkEnd w:id="482"/>
      <w:bookmarkStart w:id="483" w:name="_Toc129073480"/>
      <w:bookmarkStart w:id="484" w:name="_Toc490667850"/>
      <w:bookmarkStart w:id="485" w:name="_Toc23456"/>
      <w:bookmarkStart w:id="486" w:name="_Toc14471"/>
      <w:bookmarkStart w:id="487" w:name="_Toc3619"/>
      <w:bookmarkStart w:id="488" w:name="_Toc5528"/>
      <w:r>
        <w:rPr>
          <w:rFonts w:hint="eastAsia" w:ascii="宋体" w:hAnsi="宋体" w:eastAsia="宋体"/>
          <w:b/>
          <w:bCs/>
          <w:color w:val="auto"/>
          <w:sz w:val="21"/>
          <w:szCs w:val="21"/>
          <w:highlight w:val="none"/>
        </w:rPr>
        <w:t>3.7 响应文件的编制</w:t>
      </w:r>
      <w:bookmarkEnd w:id="483"/>
      <w:bookmarkEnd w:id="484"/>
      <w:bookmarkEnd w:id="485"/>
      <w:bookmarkEnd w:id="486"/>
      <w:bookmarkEnd w:id="487"/>
      <w:bookmarkEnd w:id="488"/>
    </w:p>
    <w:p w14:paraId="591F5E2F">
      <w:pPr>
        <w:pStyle w:val="26"/>
        <w:adjustRightInd w:val="0"/>
        <w:snapToGrid w:val="0"/>
        <w:spacing w:line="360" w:lineRule="auto"/>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3.7.1 响应文件应按“第</w:t>
      </w:r>
      <w:r>
        <w:rPr>
          <w:rFonts w:hint="eastAsia" w:ascii="宋体" w:hAnsi="宋体"/>
          <w:color w:val="auto"/>
          <w:kern w:val="2"/>
          <w:sz w:val="21"/>
          <w:szCs w:val="21"/>
          <w:highlight w:val="none"/>
          <w:lang w:eastAsia="zh-CN"/>
        </w:rPr>
        <w:t>七</w:t>
      </w:r>
      <w:r>
        <w:rPr>
          <w:rFonts w:hint="eastAsia" w:ascii="宋体" w:hAnsi="宋体"/>
          <w:color w:val="auto"/>
          <w:kern w:val="2"/>
          <w:sz w:val="21"/>
          <w:szCs w:val="21"/>
          <w:highlight w:val="none"/>
        </w:rPr>
        <w:t>章响应文件格式”进行编写，如有必要，可以增加附页，作为响应文件的组成部分。其中，磋商函附录在满足磋商文件实质性要求的基础上，可以提出比磋商文件要求更有利于采购人的承诺。</w:t>
      </w:r>
    </w:p>
    <w:p w14:paraId="0E56384B">
      <w:pPr>
        <w:pStyle w:val="26"/>
        <w:adjustRightInd w:val="0"/>
        <w:snapToGrid w:val="0"/>
        <w:spacing w:line="360" w:lineRule="auto"/>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3.7.2 响应文件应当对磋商文件有关工期、磋商有效期、质量要求、采购内容及范围等实质性内容作出响应。</w:t>
      </w:r>
    </w:p>
    <w:p w14:paraId="7E17C587">
      <w:pPr>
        <w:pStyle w:val="26"/>
        <w:adjustRightInd w:val="0"/>
        <w:snapToGrid w:val="0"/>
        <w:spacing w:line="360" w:lineRule="auto"/>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 xml:space="preserve">3.7.3 响应文件全部采用电子文档，除供应商须知前附表另有规定外，响应文件所附证书证件均为原件扫描件，并采用单位和个人数字证书，按磋商文件要求在相应位置加盖电子印章。由供应商的法定代表人（单位负责人）签字或加盖电子印章的，应附法定代表人（单位负责人）身份证明，由代理人签字或加盖电子印章的，应附由法定代表人（单位负责人）签署的授权委托书。签字或盖章的具体要求见供应商须知前附表。 </w:t>
      </w:r>
    </w:p>
    <w:p w14:paraId="5A6C983A">
      <w:pPr>
        <w:pStyle w:val="26"/>
        <w:adjustRightInd w:val="0"/>
        <w:snapToGrid w:val="0"/>
        <w:spacing w:line="360" w:lineRule="auto"/>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3.7.4 供应商编制响应文件时，涉及营业执照、资质、业绩、获奖、人员、财务、社保、纳税、各类证书等内容，在市场主体信息库中已登记的信息中选取，并附</w:t>
      </w:r>
      <w:r>
        <w:rPr>
          <w:rFonts w:hint="eastAsia" w:ascii="宋体" w:hAnsi="宋体"/>
          <w:color w:val="auto"/>
          <w:kern w:val="2"/>
          <w:sz w:val="21"/>
          <w:szCs w:val="21"/>
          <w:highlight w:val="none"/>
          <w:lang w:eastAsia="zh-CN"/>
        </w:rPr>
        <w:t>入</w:t>
      </w:r>
      <w:r>
        <w:rPr>
          <w:rFonts w:hint="eastAsia" w:ascii="宋体" w:hAnsi="宋体"/>
          <w:color w:val="auto"/>
          <w:kern w:val="2"/>
          <w:sz w:val="21"/>
          <w:szCs w:val="21"/>
          <w:highlight w:val="none"/>
        </w:rPr>
        <w:t xml:space="preserve">响应文件中。供应商应及时对市场主体信息库的相关内容进行补充、更新。 </w:t>
      </w:r>
    </w:p>
    <w:p w14:paraId="1F940F8C">
      <w:pPr>
        <w:pStyle w:val="26"/>
        <w:adjustRightInd w:val="0"/>
        <w:snapToGrid w:val="0"/>
        <w:spacing w:line="360" w:lineRule="auto"/>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3.7.5 投标所需相关的资质、证明等资料要求：见供应商须知前附表。</w:t>
      </w:r>
    </w:p>
    <w:p w14:paraId="4BE9BB9E">
      <w:pPr>
        <w:pStyle w:val="92"/>
        <w:ind w:firstLine="420"/>
        <w:rPr>
          <w:color w:val="auto"/>
          <w:highlight w:val="none"/>
        </w:rPr>
      </w:pPr>
      <w:bookmarkStart w:id="489" w:name="_Toc23788"/>
      <w:bookmarkEnd w:id="489"/>
      <w:bookmarkStart w:id="490" w:name="_Toc12348"/>
      <w:bookmarkStart w:id="491" w:name="_Toc11915"/>
      <w:bookmarkStart w:id="492" w:name="_Toc1627"/>
      <w:bookmarkStart w:id="493" w:name="_Toc1338"/>
      <w:bookmarkStart w:id="494" w:name="_Toc28728"/>
      <w:bookmarkStart w:id="495" w:name="_Toc129073481"/>
      <w:bookmarkStart w:id="496" w:name="_Toc15191"/>
      <w:bookmarkStart w:id="497" w:name="_Toc18083"/>
      <w:bookmarkStart w:id="498" w:name="_Toc9199"/>
      <w:bookmarkStart w:id="499" w:name="_Toc20732"/>
      <w:r>
        <w:rPr>
          <w:rFonts w:hint="eastAsia"/>
          <w:color w:val="auto"/>
          <w:highlight w:val="none"/>
        </w:rPr>
        <w:t xml:space="preserve">4. </w:t>
      </w:r>
      <w:bookmarkEnd w:id="490"/>
      <w:bookmarkEnd w:id="491"/>
      <w:bookmarkEnd w:id="492"/>
      <w:bookmarkEnd w:id="493"/>
      <w:bookmarkEnd w:id="494"/>
      <w:bookmarkEnd w:id="495"/>
      <w:r>
        <w:rPr>
          <w:rFonts w:hint="eastAsia"/>
          <w:color w:val="auto"/>
          <w:highlight w:val="none"/>
        </w:rPr>
        <w:t>响应文件上传</w:t>
      </w:r>
      <w:bookmarkEnd w:id="496"/>
      <w:bookmarkEnd w:id="497"/>
      <w:bookmarkEnd w:id="498"/>
      <w:bookmarkEnd w:id="499"/>
    </w:p>
    <w:p w14:paraId="1A338444">
      <w:pPr>
        <w:pStyle w:val="93"/>
        <w:keepNext w:val="0"/>
        <w:keepLines w:val="0"/>
        <w:spacing w:line="360" w:lineRule="auto"/>
        <w:ind w:firstLine="422" w:firstLineChars="200"/>
        <w:rPr>
          <w:rFonts w:ascii="宋体" w:hAnsi="宋体" w:eastAsia="宋体"/>
          <w:b/>
          <w:bCs/>
          <w:color w:val="auto"/>
          <w:sz w:val="21"/>
          <w:szCs w:val="21"/>
          <w:highlight w:val="none"/>
        </w:rPr>
      </w:pPr>
      <w:bookmarkStart w:id="500" w:name="_Toc11243"/>
      <w:bookmarkEnd w:id="500"/>
      <w:bookmarkStart w:id="501" w:name="_Toc152045557"/>
      <w:bookmarkEnd w:id="501"/>
      <w:bookmarkStart w:id="502" w:name="_Toc152045556"/>
      <w:bookmarkEnd w:id="502"/>
      <w:bookmarkStart w:id="503" w:name="_Toc26550"/>
      <w:bookmarkEnd w:id="503"/>
      <w:bookmarkStart w:id="504" w:name="_Toc144974524"/>
      <w:bookmarkEnd w:id="504"/>
      <w:bookmarkStart w:id="505" w:name="_Toc152042333"/>
      <w:bookmarkEnd w:id="505"/>
      <w:bookmarkStart w:id="506" w:name="_Toc318450700"/>
      <w:bookmarkEnd w:id="506"/>
      <w:bookmarkStart w:id="507" w:name="_Toc31492"/>
      <w:bookmarkEnd w:id="507"/>
      <w:bookmarkStart w:id="508" w:name="_Toc509667283"/>
      <w:bookmarkEnd w:id="508"/>
      <w:bookmarkStart w:id="509" w:name="_Toc16832"/>
      <w:bookmarkEnd w:id="509"/>
      <w:bookmarkStart w:id="510" w:name="_Toc462"/>
      <w:bookmarkEnd w:id="510"/>
      <w:bookmarkStart w:id="511" w:name="_Toc455867792"/>
      <w:bookmarkEnd w:id="511"/>
      <w:bookmarkStart w:id="512" w:name="_Toc490667852"/>
      <w:bookmarkEnd w:id="512"/>
      <w:bookmarkStart w:id="513" w:name="_Toc455867793"/>
      <w:bookmarkEnd w:id="513"/>
      <w:bookmarkStart w:id="514" w:name="_Toc8754"/>
      <w:bookmarkEnd w:id="514"/>
      <w:bookmarkStart w:id="515" w:name="_Toc455080133"/>
      <w:bookmarkEnd w:id="515"/>
      <w:bookmarkStart w:id="516" w:name="_Toc144974525"/>
      <w:bookmarkEnd w:id="516"/>
      <w:bookmarkStart w:id="517" w:name="_Toc466298116"/>
      <w:bookmarkEnd w:id="517"/>
      <w:bookmarkStart w:id="518" w:name="_Toc16344"/>
      <w:bookmarkEnd w:id="518"/>
      <w:bookmarkStart w:id="519" w:name="_Toc21072"/>
      <w:bookmarkEnd w:id="519"/>
      <w:bookmarkStart w:id="520" w:name="_Toc16783"/>
      <w:bookmarkEnd w:id="520"/>
      <w:bookmarkStart w:id="521" w:name="_Toc466298115"/>
      <w:bookmarkEnd w:id="521"/>
      <w:bookmarkStart w:id="522" w:name="_Toc455080132"/>
      <w:bookmarkEnd w:id="522"/>
      <w:bookmarkStart w:id="523" w:name="_Toc318450699"/>
      <w:bookmarkEnd w:id="523"/>
      <w:bookmarkStart w:id="524" w:name="_Toc27132"/>
      <w:bookmarkEnd w:id="524"/>
      <w:bookmarkStart w:id="525" w:name="_Toc28272"/>
      <w:bookmarkEnd w:id="525"/>
      <w:bookmarkStart w:id="526" w:name="_Toc16962"/>
      <w:bookmarkEnd w:id="526"/>
      <w:bookmarkStart w:id="527" w:name="_Toc509667284"/>
      <w:bookmarkEnd w:id="527"/>
      <w:bookmarkStart w:id="528" w:name="_Toc17041"/>
      <w:bookmarkStart w:id="529" w:name="_Toc2705"/>
      <w:bookmarkStart w:id="530" w:name="_Toc2192"/>
      <w:bookmarkStart w:id="531" w:name="_Toc129073483"/>
      <w:bookmarkStart w:id="532" w:name="_Toc17989"/>
      <w:r>
        <w:rPr>
          <w:rFonts w:hint="eastAsia" w:ascii="宋体" w:hAnsi="宋体" w:eastAsia="宋体"/>
          <w:b/>
          <w:bCs/>
          <w:color w:val="auto"/>
          <w:sz w:val="21"/>
          <w:szCs w:val="21"/>
          <w:highlight w:val="none"/>
        </w:rPr>
        <w:t xml:space="preserve">4.1 </w:t>
      </w:r>
      <w:r>
        <w:rPr>
          <w:rFonts w:hint="eastAsia" w:ascii="宋体" w:hAnsi="宋体" w:eastAsia="宋体"/>
          <w:b/>
          <w:bCs/>
          <w:color w:val="auto"/>
          <w:sz w:val="21"/>
          <w:szCs w:val="21"/>
          <w:highlight w:val="none"/>
          <w:lang w:eastAsia="zh-CN"/>
        </w:rPr>
        <w:t>响应文件</w:t>
      </w:r>
      <w:r>
        <w:rPr>
          <w:rFonts w:hint="eastAsia" w:ascii="宋体" w:hAnsi="宋体" w:eastAsia="宋体"/>
          <w:b/>
          <w:bCs/>
          <w:color w:val="auto"/>
          <w:sz w:val="21"/>
          <w:szCs w:val="21"/>
          <w:highlight w:val="none"/>
        </w:rPr>
        <w:t>的加密</w:t>
      </w:r>
      <w:bookmarkEnd w:id="528"/>
      <w:bookmarkEnd w:id="529"/>
      <w:bookmarkEnd w:id="530"/>
    </w:p>
    <w:p w14:paraId="7416D25B">
      <w:pPr>
        <w:pStyle w:val="93"/>
        <w:keepNext w:val="0"/>
        <w:keepLines w:val="0"/>
        <w:spacing w:line="360" w:lineRule="auto"/>
        <w:ind w:firstLine="420" w:firstLineChars="200"/>
        <w:rPr>
          <w:rFonts w:ascii="宋体" w:hAnsi="宋体" w:eastAsia="宋体"/>
          <w:color w:val="auto"/>
          <w:sz w:val="21"/>
          <w:szCs w:val="21"/>
          <w:highlight w:val="none"/>
        </w:rPr>
      </w:pPr>
      <w:bookmarkStart w:id="533" w:name="_Toc20066"/>
      <w:bookmarkStart w:id="534" w:name="_Toc29754"/>
      <w:bookmarkStart w:id="535" w:name="_Toc15857"/>
      <w:r>
        <w:rPr>
          <w:rFonts w:hint="eastAsia" w:ascii="宋体" w:hAnsi="宋体" w:eastAsia="宋体"/>
          <w:color w:val="auto"/>
          <w:sz w:val="21"/>
          <w:szCs w:val="21"/>
          <w:highlight w:val="none"/>
        </w:rPr>
        <w:t>4.1.1 网上上传的电子</w:t>
      </w:r>
      <w:r>
        <w:rPr>
          <w:rFonts w:hint="eastAsia" w:ascii="宋体" w:hAnsi="宋体" w:eastAsia="宋体"/>
          <w:color w:val="auto"/>
          <w:sz w:val="21"/>
          <w:szCs w:val="21"/>
          <w:highlight w:val="none"/>
          <w:lang w:eastAsia="zh-CN"/>
        </w:rPr>
        <w:t>响应文件</w:t>
      </w:r>
      <w:r>
        <w:rPr>
          <w:rFonts w:hint="eastAsia" w:ascii="宋体" w:hAnsi="宋体" w:eastAsia="宋体"/>
          <w:color w:val="auto"/>
          <w:sz w:val="21"/>
          <w:szCs w:val="21"/>
          <w:highlight w:val="none"/>
        </w:rPr>
        <w:t>应使用数字证书认证并加密。</w:t>
      </w:r>
      <w:bookmarkEnd w:id="533"/>
      <w:bookmarkEnd w:id="534"/>
      <w:bookmarkEnd w:id="535"/>
    </w:p>
    <w:p w14:paraId="6C4439C7">
      <w:pPr>
        <w:pStyle w:val="93"/>
        <w:keepNext w:val="0"/>
        <w:keepLines w:val="0"/>
        <w:spacing w:line="360" w:lineRule="auto"/>
        <w:ind w:firstLine="422" w:firstLineChars="200"/>
        <w:rPr>
          <w:rFonts w:ascii="宋体" w:hAnsi="宋体" w:eastAsia="宋体"/>
          <w:b/>
          <w:bCs/>
          <w:color w:val="auto"/>
          <w:sz w:val="21"/>
          <w:szCs w:val="21"/>
          <w:highlight w:val="none"/>
        </w:rPr>
      </w:pPr>
      <w:bookmarkStart w:id="536" w:name="_Toc22870"/>
      <w:bookmarkStart w:id="537" w:name="_Toc11756"/>
      <w:bookmarkStart w:id="538" w:name="_Toc5361"/>
      <w:r>
        <w:rPr>
          <w:rFonts w:hint="eastAsia" w:ascii="宋体" w:hAnsi="宋体" w:eastAsia="宋体"/>
          <w:b/>
          <w:bCs/>
          <w:color w:val="auto"/>
          <w:sz w:val="21"/>
          <w:szCs w:val="21"/>
          <w:highlight w:val="none"/>
        </w:rPr>
        <w:t>4.2 响应文件的递交</w:t>
      </w:r>
      <w:bookmarkEnd w:id="531"/>
      <w:bookmarkEnd w:id="532"/>
      <w:bookmarkEnd w:id="536"/>
      <w:bookmarkEnd w:id="537"/>
      <w:bookmarkEnd w:id="538"/>
    </w:p>
    <w:p w14:paraId="1B31C78A">
      <w:pPr>
        <w:pStyle w:val="93"/>
        <w:keepNext w:val="0"/>
        <w:keepLines w:val="0"/>
        <w:spacing w:line="360" w:lineRule="auto"/>
        <w:ind w:firstLine="420" w:firstLineChars="200"/>
        <w:rPr>
          <w:rFonts w:ascii="宋体" w:hAnsi="宋体" w:eastAsia="宋体" w:cs="Times New Roman"/>
          <w:color w:val="auto"/>
          <w:kern w:val="2"/>
          <w:sz w:val="21"/>
          <w:szCs w:val="21"/>
          <w:highlight w:val="none"/>
        </w:rPr>
      </w:pPr>
      <w:bookmarkStart w:id="539" w:name="_Toc24500"/>
      <w:bookmarkStart w:id="540" w:name="_Toc23688"/>
      <w:bookmarkStart w:id="541" w:name="_Toc8237"/>
      <w:bookmarkStart w:id="542" w:name="_Toc10125"/>
      <w:bookmarkStart w:id="543" w:name="_Toc129073484"/>
      <w:r>
        <w:rPr>
          <w:rFonts w:hint="eastAsia" w:ascii="宋体" w:hAnsi="宋体" w:eastAsia="宋体" w:cs="Times New Roman"/>
          <w:color w:val="auto"/>
          <w:kern w:val="2"/>
          <w:sz w:val="21"/>
          <w:szCs w:val="21"/>
          <w:highlight w:val="none"/>
        </w:rPr>
        <w:t>4.2</w:t>
      </w:r>
      <w:r>
        <w:rPr>
          <w:rFonts w:hint="eastAsia" w:ascii="宋体" w:hAnsi="宋体" w:eastAsia="宋体" w:cs="Times New Roman"/>
          <w:color w:val="auto"/>
          <w:kern w:val="2"/>
          <w:sz w:val="21"/>
          <w:szCs w:val="21"/>
          <w:highlight w:val="none"/>
          <w:lang w:val="en-US" w:eastAsia="zh-CN"/>
        </w:rPr>
        <w:t>.</w:t>
      </w:r>
      <w:r>
        <w:rPr>
          <w:rFonts w:hint="eastAsia" w:ascii="宋体" w:hAnsi="宋体" w:eastAsia="宋体" w:cs="Times New Roman"/>
          <w:color w:val="auto"/>
          <w:kern w:val="2"/>
          <w:sz w:val="21"/>
          <w:szCs w:val="21"/>
          <w:highlight w:val="none"/>
        </w:rPr>
        <w:t>1 加密的电子响应文件（*.hntf 格式）</w:t>
      </w:r>
      <w:r>
        <w:rPr>
          <w:rFonts w:hint="eastAsia" w:ascii="宋体" w:hAnsi="宋体" w:eastAsia="宋体" w:cs="Times New Roman"/>
          <w:color w:val="auto"/>
          <w:kern w:val="2"/>
          <w:sz w:val="21"/>
          <w:szCs w:val="21"/>
          <w:highlight w:val="none"/>
          <w:lang w:eastAsia="zh-CN"/>
        </w:rPr>
        <w:t>，</w:t>
      </w:r>
      <w:r>
        <w:rPr>
          <w:rFonts w:hint="eastAsia" w:ascii="宋体" w:hAnsi="宋体" w:eastAsia="宋体" w:cs="Times New Roman"/>
          <w:color w:val="auto"/>
          <w:kern w:val="2"/>
          <w:sz w:val="21"/>
          <w:szCs w:val="21"/>
          <w:highlight w:val="none"/>
        </w:rPr>
        <w:t>应在响应文件递交截止时间前通过“河南省公共资源交易中心（</w:t>
      </w:r>
      <w:r>
        <w:rPr>
          <w:color w:val="auto"/>
          <w:sz w:val="21"/>
          <w:szCs w:val="21"/>
          <w:highlight w:val="none"/>
        </w:rPr>
        <w:fldChar w:fldCharType="begin"/>
      </w:r>
      <w:r>
        <w:rPr>
          <w:color w:val="auto"/>
          <w:sz w:val="21"/>
          <w:szCs w:val="21"/>
          <w:highlight w:val="none"/>
        </w:rPr>
        <w:instrText xml:space="preserve"> HYPERLINK "http://www.hnggzy.net/" </w:instrText>
      </w:r>
      <w:r>
        <w:rPr>
          <w:color w:val="auto"/>
          <w:sz w:val="21"/>
          <w:szCs w:val="21"/>
          <w:highlight w:val="none"/>
        </w:rPr>
        <w:fldChar w:fldCharType="separate"/>
      </w:r>
      <w:r>
        <w:rPr>
          <w:rFonts w:hint="eastAsia" w:ascii="宋体" w:hAnsi="宋体"/>
          <w:color w:val="auto"/>
          <w:sz w:val="21"/>
          <w:szCs w:val="21"/>
          <w:highlight w:val="none"/>
        </w:rPr>
        <w:t>http://hnsggzyjy.henan.gov.cn/</w:t>
      </w:r>
      <w:r>
        <w:rPr>
          <w:rFonts w:hint="eastAsia" w:ascii="宋体" w:hAnsi="宋体"/>
          <w:color w:val="auto"/>
          <w:sz w:val="21"/>
          <w:szCs w:val="21"/>
          <w:highlight w:val="none"/>
        </w:rPr>
        <w:fldChar w:fldCharType="end"/>
      </w:r>
      <w:r>
        <w:rPr>
          <w:rFonts w:hint="eastAsia" w:ascii="宋体" w:hAnsi="宋体" w:eastAsia="宋体" w:cs="Times New Roman"/>
          <w:color w:val="auto"/>
          <w:kern w:val="2"/>
          <w:sz w:val="21"/>
          <w:szCs w:val="21"/>
          <w:highlight w:val="none"/>
        </w:rPr>
        <w:t>）”电子</w:t>
      </w:r>
      <w:r>
        <w:rPr>
          <w:rFonts w:hint="eastAsia" w:ascii="宋体" w:hAnsi="宋体" w:eastAsia="宋体" w:cs="Times New Roman"/>
          <w:color w:val="auto"/>
          <w:kern w:val="2"/>
          <w:sz w:val="21"/>
          <w:szCs w:val="21"/>
          <w:highlight w:val="none"/>
          <w:lang w:eastAsia="zh-CN"/>
        </w:rPr>
        <w:t>交易平台</w:t>
      </w:r>
      <w:r>
        <w:rPr>
          <w:rFonts w:hint="eastAsia" w:ascii="宋体" w:hAnsi="宋体" w:eastAsia="宋体" w:cs="Times New Roman"/>
          <w:color w:val="auto"/>
          <w:kern w:val="2"/>
          <w:sz w:val="21"/>
          <w:szCs w:val="21"/>
          <w:highlight w:val="none"/>
        </w:rPr>
        <w:t>上传。</w:t>
      </w:r>
      <w:bookmarkEnd w:id="539"/>
      <w:bookmarkEnd w:id="540"/>
      <w:bookmarkEnd w:id="541"/>
      <w:bookmarkEnd w:id="542"/>
    </w:p>
    <w:p w14:paraId="39EF3A9C">
      <w:pPr>
        <w:pStyle w:val="93"/>
        <w:keepNext w:val="0"/>
        <w:keepLines w:val="0"/>
        <w:spacing w:line="360" w:lineRule="auto"/>
        <w:ind w:firstLine="420" w:firstLineChars="200"/>
        <w:rPr>
          <w:rFonts w:ascii="宋体" w:hAnsi="宋体" w:eastAsia="宋体" w:cs="Times New Roman"/>
          <w:color w:val="auto"/>
          <w:kern w:val="2"/>
          <w:sz w:val="21"/>
          <w:szCs w:val="21"/>
          <w:highlight w:val="none"/>
        </w:rPr>
      </w:pPr>
      <w:bookmarkStart w:id="544" w:name="_Toc19182"/>
      <w:bookmarkStart w:id="545" w:name="_Toc28401"/>
      <w:bookmarkStart w:id="546" w:name="_Toc12542"/>
      <w:bookmarkStart w:id="547" w:name="_Toc17177"/>
      <w:r>
        <w:rPr>
          <w:rFonts w:hint="eastAsia" w:ascii="宋体" w:hAnsi="宋体" w:eastAsia="宋体" w:cs="Times New Roman"/>
          <w:color w:val="auto"/>
          <w:kern w:val="2"/>
          <w:sz w:val="21"/>
          <w:szCs w:val="21"/>
          <w:highlight w:val="none"/>
        </w:rPr>
        <w:t>4.2.2 供应商必须使用企业 CA 密钥对本单位的加密电子响应文件进行解密。供应商用来解密的企业 CA 锁应与制作本项目电子响应文件时所用的 CA 锁为同一把锁，否则由此造成的无法解密或解密失败等问题由供应商自行承担。</w:t>
      </w:r>
      <w:bookmarkEnd w:id="544"/>
      <w:bookmarkEnd w:id="545"/>
      <w:bookmarkEnd w:id="546"/>
      <w:bookmarkEnd w:id="547"/>
    </w:p>
    <w:p w14:paraId="2FC9E27A">
      <w:pPr>
        <w:pStyle w:val="93"/>
        <w:keepNext w:val="0"/>
        <w:keepLines w:val="0"/>
        <w:spacing w:line="360" w:lineRule="auto"/>
        <w:ind w:firstLine="420" w:firstLineChars="200"/>
        <w:rPr>
          <w:rFonts w:ascii="宋体" w:hAnsi="宋体" w:eastAsia="宋体" w:cs="Times New Roman"/>
          <w:color w:val="auto"/>
          <w:kern w:val="2"/>
          <w:sz w:val="21"/>
          <w:szCs w:val="21"/>
          <w:highlight w:val="none"/>
        </w:rPr>
      </w:pPr>
      <w:bookmarkStart w:id="548" w:name="_Toc20462"/>
      <w:bookmarkStart w:id="549" w:name="_Toc27065"/>
      <w:bookmarkStart w:id="550" w:name="_Toc13627"/>
      <w:bookmarkStart w:id="551" w:name="_Toc16107"/>
      <w:r>
        <w:rPr>
          <w:rFonts w:hint="eastAsia" w:ascii="宋体" w:hAnsi="宋体" w:eastAsia="宋体" w:cs="Times New Roman"/>
          <w:color w:val="auto"/>
          <w:kern w:val="2"/>
          <w:sz w:val="21"/>
          <w:szCs w:val="21"/>
          <w:highlight w:val="none"/>
        </w:rPr>
        <w:t>4.2.3 逾期提交的响应文件，电子招标投标交易平台将予以拒收。</w:t>
      </w:r>
      <w:bookmarkEnd w:id="548"/>
      <w:bookmarkEnd w:id="549"/>
      <w:bookmarkEnd w:id="550"/>
      <w:bookmarkEnd w:id="551"/>
    </w:p>
    <w:p w14:paraId="5B514EE7">
      <w:pPr>
        <w:pStyle w:val="93"/>
        <w:keepNext w:val="0"/>
        <w:keepLines w:val="0"/>
        <w:spacing w:line="360" w:lineRule="auto"/>
        <w:ind w:firstLine="422" w:firstLineChars="200"/>
        <w:rPr>
          <w:rFonts w:ascii="宋体" w:hAnsi="宋体" w:eastAsia="宋体"/>
          <w:b/>
          <w:bCs/>
          <w:color w:val="auto"/>
          <w:sz w:val="21"/>
          <w:szCs w:val="21"/>
          <w:highlight w:val="none"/>
        </w:rPr>
      </w:pPr>
      <w:bookmarkStart w:id="552" w:name="_Toc19340"/>
      <w:bookmarkStart w:id="553" w:name="_Toc25313"/>
      <w:bookmarkStart w:id="554" w:name="_Toc18361"/>
      <w:bookmarkStart w:id="555" w:name="_Toc17124"/>
      <w:r>
        <w:rPr>
          <w:rFonts w:hint="eastAsia" w:ascii="宋体" w:hAnsi="宋体" w:eastAsia="宋体"/>
          <w:b/>
          <w:bCs/>
          <w:color w:val="auto"/>
          <w:sz w:val="21"/>
          <w:szCs w:val="21"/>
          <w:highlight w:val="none"/>
        </w:rPr>
        <w:t>4.3 响应文件的修改与撤回</w:t>
      </w:r>
      <w:bookmarkEnd w:id="543"/>
      <w:bookmarkEnd w:id="552"/>
      <w:bookmarkEnd w:id="553"/>
      <w:bookmarkEnd w:id="554"/>
      <w:bookmarkEnd w:id="555"/>
    </w:p>
    <w:p w14:paraId="34E7C4FA">
      <w:pPr>
        <w:spacing w:line="440" w:lineRule="exact"/>
        <w:ind w:firstLine="420" w:firstLineChars="200"/>
        <w:textAlignment w:val="baseline"/>
        <w:rPr>
          <w:rStyle w:val="100"/>
          <w:rFonts w:ascii="宋体" w:hAnsi="宋体" w:cs="宋体"/>
          <w:color w:val="auto"/>
          <w:highlight w:val="none"/>
        </w:rPr>
      </w:pPr>
      <w:bookmarkStart w:id="556" w:name="_Toc21628"/>
      <w:bookmarkStart w:id="557" w:name="_Toc28674"/>
      <w:bookmarkStart w:id="558" w:name="_Toc4093"/>
      <w:r>
        <w:rPr>
          <w:rStyle w:val="100"/>
          <w:rFonts w:hint="eastAsia" w:ascii="宋体" w:hAnsi="宋体" w:cs="宋体"/>
          <w:color w:val="auto"/>
          <w:highlight w:val="none"/>
        </w:rPr>
        <w:t xml:space="preserve">4.3.1 </w:t>
      </w:r>
      <w:bookmarkStart w:id="559" w:name="_Toc152042335"/>
      <w:bookmarkEnd w:id="559"/>
      <w:bookmarkStart w:id="560" w:name="_Toc509667286"/>
      <w:bookmarkEnd w:id="560"/>
      <w:bookmarkStart w:id="561" w:name="_Toc152045559"/>
      <w:bookmarkEnd w:id="561"/>
      <w:bookmarkStart w:id="562" w:name="_Toc455080135"/>
      <w:bookmarkEnd w:id="562"/>
      <w:bookmarkStart w:id="563" w:name="_Toc144974527"/>
      <w:bookmarkEnd w:id="563"/>
      <w:bookmarkStart w:id="564" w:name="_Toc129073485"/>
      <w:bookmarkStart w:id="565" w:name="_Toc30851"/>
      <w:r>
        <w:rPr>
          <w:rStyle w:val="100"/>
          <w:rFonts w:hint="eastAsia" w:ascii="宋体" w:hAnsi="宋体" w:cs="宋体"/>
          <w:color w:val="auto"/>
          <w:highlight w:val="none"/>
        </w:rPr>
        <w:t>在规定的响应文件递交截止时间前，供应商可以在河南省公共资源交易中心系统内撤回已上传的响应文件。</w:t>
      </w:r>
      <w:bookmarkEnd w:id="556"/>
      <w:bookmarkEnd w:id="557"/>
      <w:bookmarkEnd w:id="558"/>
    </w:p>
    <w:p w14:paraId="776B6F3B">
      <w:pPr>
        <w:spacing w:line="440" w:lineRule="exact"/>
        <w:ind w:firstLine="420" w:firstLineChars="200"/>
        <w:textAlignment w:val="baseline"/>
        <w:rPr>
          <w:rStyle w:val="100"/>
          <w:rFonts w:ascii="宋体" w:hAnsi="宋体" w:cs="宋体"/>
          <w:color w:val="auto"/>
          <w:highlight w:val="none"/>
        </w:rPr>
      </w:pPr>
      <w:bookmarkStart w:id="566" w:name="_Toc18569"/>
      <w:bookmarkStart w:id="567" w:name="_Toc22230"/>
      <w:bookmarkStart w:id="568" w:name="_Toc13601"/>
      <w:r>
        <w:rPr>
          <w:rStyle w:val="100"/>
          <w:rFonts w:hint="eastAsia" w:ascii="宋体" w:hAnsi="宋体" w:cs="宋体"/>
          <w:color w:val="auto"/>
          <w:highlight w:val="none"/>
        </w:rPr>
        <w:t>4.3.2 供应商补充、修改或撤回已递交响应文件的通知，应按照本章第 3.7.3 项的要求加盖电子印章。电子招标投标交易平台收到通知后，即时向供应商发出确认回执通知。</w:t>
      </w:r>
    </w:p>
    <w:p w14:paraId="238724E6">
      <w:pPr>
        <w:spacing w:line="440" w:lineRule="exact"/>
        <w:ind w:firstLine="420" w:firstLineChars="200"/>
        <w:textAlignment w:val="baseline"/>
        <w:rPr>
          <w:rStyle w:val="100"/>
          <w:rFonts w:ascii="宋体" w:hAnsi="宋体" w:cs="宋体"/>
          <w:color w:val="auto"/>
          <w:highlight w:val="none"/>
        </w:rPr>
      </w:pPr>
      <w:r>
        <w:rPr>
          <w:rStyle w:val="100"/>
          <w:rFonts w:hint="eastAsia" w:ascii="宋体" w:hAnsi="宋体" w:cs="宋体"/>
          <w:color w:val="auto"/>
          <w:highlight w:val="none"/>
        </w:rPr>
        <w:t>4.3.3 补充、修改的内容为磋商响应文件的组成部分。补充、修改的内容与响应文件不一致的，以补充、修改的内容为准。修改的磋商响应文件应按照本章规定进行编制、密封、标记和递交。</w:t>
      </w:r>
    </w:p>
    <w:p w14:paraId="504B7530">
      <w:pPr>
        <w:spacing w:line="440" w:lineRule="exact"/>
        <w:ind w:firstLine="420" w:firstLineChars="200"/>
        <w:textAlignment w:val="baseline"/>
        <w:rPr>
          <w:rStyle w:val="100"/>
          <w:rFonts w:ascii="宋体" w:hAnsi="宋体" w:cs="宋体"/>
          <w:color w:val="auto"/>
          <w:highlight w:val="none"/>
        </w:rPr>
      </w:pPr>
      <w:r>
        <w:rPr>
          <w:rStyle w:val="100"/>
          <w:rFonts w:hint="eastAsia" w:ascii="宋体" w:hAnsi="宋体" w:cs="宋体"/>
          <w:color w:val="auto"/>
          <w:highlight w:val="none"/>
        </w:rPr>
        <w:t>4.3.4 供应商有下列情形之一的，采购人将拒绝接受其</w:t>
      </w:r>
      <w:r>
        <w:rPr>
          <w:rStyle w:val="100"/>
          <w:rFonts w:hint="eastAsia" w:ascii="宋体" w:hAnsi="宋体" w:cs="宋体"/>
          <w:color w:val="auto"/>
          <w:highlight w:val="none"/>
          <w:lang w:eastAsia="zh-CN"/>
        </w:rPr>
        <w:t>响应</w:t>
      </w:r>
      <w:r>
        <w:rPr>
          <w:rStyle w:val="100"/>
          <w:rFonts w:hint="eastAsia" w:ascii="宋体" w:hAnsi="宋体" w:cs="宋体"/>
          <w:color w:val="auto"/>
          <w:highlight w:val="none"/>
        </w:rPr>
        <w:t>文件：</w:t>
      </w:r>
      <w:bookmarkEnd w:id="566"/>
      <w:bookmarkEnd w:id="567"/>
      <w:bookmarkEnd w:id="568"/>
    </w:p>
    <w:p w14:paraId="42260104">
      <w:pPr>
        <w:spacing w:line="440" w:lineRule="exact"/>
        <w:ind w:firstLine="420" w:firstLineChars="200"/>
        <w:textAlignment w:val="baseline"/>
        <w:rPr>
          <w:rStyle w:val="100"/>
          <w:rFonts w:ascii="宋体" w:hAnsi="宋体" w:cs="宋体"/>
          <w:color w:val="auto"/>
          <w:highlight w:val="none"/>
        </w:rPr>
      </w:pPr>
      <w:bookmarkStart w:id="569" w:name="_Toc16943"/>
      <w:bookmarkStart w:id="570" w:name="_Toc1030"/>
      <w:bookmarkStart w:id="571" w:name="_Toc14523"/>
      <w:r>
        <w:rPr>
          <w:rStyle w:val="100"/>
          <w:rFonts w:hint="eastAsia" w:ascii="宋体" w:hAnsi="宋体" w:cs="宋体"/>
          <w:color w:val="auto"/>
          <w:highlight w:val="none"/>
        </w:rPr>
        <w:t>（1）在竞争性磋商文件规定的递交竞争性磋商文件截止时间之后递交响应文件的。</w:t>
      </w:r>
      <w:bookmarkEnd w:id="569"/>
      <w:bookmarkEnd w:id="570"/>
      <w:bookmarkEnd w:id="571"/>
    </w:p>
    <w:p w14:paraId="3D867763">
      <w:pPr>
        <w:spacing w:line="440" w:lineRule="exact"/>
        <w:ind w:firstLine="420" w:firstLineChars="200"/>
        <w:textAlignment w:val="baseline"/>
        <w:rPr>
          <w:rStyle w:val="100"/>
          <w:rFonts w:ascii="宋体" w:hAnsi="宋体" w:cs="宋体"/>
          <w:color w:val="auto"/>
          <w:highlight w:val="none"/>
        </w:rPr>
      </w:pPr>
      <w:bookmarkStart w:id="572" w:name="_Toc28927"/>
      <w:bookmarkStart w:id="573" w:name="_Toc12398"/>
      <w:bookmarkStart w:id="574" w:name="_Toc2177"/>
      <w:r>
        <w:rPr>
          <w:rStyle w:val="100"/>
          <w:rFonts w:hint="eastAsia" w:ascii="宋体" w:hAnsi="宋体" w:cs="宋体"/>
          <w:color w:val="auto"/>
          <w:highlight w:val="none"/>
        </w:rPr>
        <w:t>（2）</w:t>
      </w:r>
      <w:r>
        <w:rPr>
          <w:rStyle w:val="100"/>
          <w:rFonts w:hint="eastAsia" w:ascii="宋体" w:hAnsi="宋体" w:cs="宋体"/>
          <w:color w:val="auto"/>
          <w:highlight w:val="none"/>
          <w:lang w:eastAsia="zh-CN"/>
        </w:rPr>
        <w:t>响应</w:t>
      </w:r>
      <w:r>
        <w:rPr>
          <w:rStyle w:val="100"/>
          <w:rFonts w:hint="eastAsia" w:ascii="宋体" w:hAnsi="宋体" w:cs="宋体"/>
          <w:color w:val="auto"/>
          <w:highlight w:val="none"/>
        </w:rPr>
        <w:t>文件未按竞争性磋商文件规定上传解密、密封的。</w:t>
      </w:r>
      <w:bookmarkEnd w:id="572"/>
      <w:bookmarkEnd w:id="573"/>
      <w:bookmarkEnd w:id="574"/>
    </w:p>
    <w:p w14:paraId="5DF937B3">
      <w:pPr>
        <w:spacing w:line="440" w:lineRule="exact"/>
        <w:ind w:firstLine="420" w:firstLineChars="200"/>
        <w:textAlignment w:val="baseline"/>
        <w:rPr>
          <w:rStyle w:val="100"/>
          <w:rFonts w:ascii="宋体" w:hAnsi="宋体" w:cs="宋体"/>
          <w:color w:val="auto"/>
          <w:highlight w:val="none"/>
        </w:rPr>
      </w:pPr>
      <w:bookmarkStart w:id="575" w:name="_Toc1096"/>
      <w:bookmarkStart w:id="576" w:name="_Toc2843"/>
      <w:bookmarkStart w:id="577" w:name="_Toc23862"/>
      <w:r>
        <w:rPr>
          <w:rStyle w:val="100"/>
          <w:rFonts w:hint="eastAsia" w:ascii="宋体" w:hAnsi="宋体" w:cs="宋体"/>
          <w:color w:val="auto"/>
          <w:highlight w:val="none"/>
        </w:rPr>
        <w:t>（3）未按规定方式取得竞争性磋商文件参加磋商的。</w:t>
      </w:r>
      <w:bookmarkEnd w:id="575"/>
      <w:bookmarkEnd w:id="576"/>
      <w:bookmarkEnd w:id="577"/>
    </w:p>
    <w:p w14:paraId="0EE1774D">
      <w:pPr>
        <w:pStyle w:val="92"/>
        <w:ind w:firstLine="420"/>
        <w:rPr>
          <w:color w:val="auto"/>
          <w:highlight w:val="none"/>
        </w:rPr>
      </w:pPr>
      <w:bookmarkStart w:id="578" w:name="_Toc32703"/>
      <w:bookmarkStart w:id="579" w:name="_Toc23657"/>
      <w:bookmarkStart w:id="580" w:name="_Toc5904"/>
      <w:bookmarkStart w:id="581" w:name="_Toc7982"/>
      <w:bookmarkStart w:id="582" w:name="_Toc7107"/>
      <w:bookmarkStart w:id="583" w:name="_Toc13704"/>
      <w:bookmarkStart w:id="584" w:name="_Toc7869"/>
      <w:bookmarkStart w:id="585" w:name="_Toc32428"/>
      <w:bookmarkStart w:id="586" w:name="_Toc8257"/>
      <w:r>
        <w:rPr>
          <w:rFonts w:hint="eastAsia"/>
          <w:color w:val="auto"/>
          <w:highlight w:val="none"/>
        </w:rPr>
        <w:t xml:space="preserve">5. </w:t>
      </w:r>
      <w:bookmarkEnd w:id="564"/>
      <w:bookmarkEnd w:id="565"/>
      <w:bookmarkEnd w:id="578"/>
      <w:bookmarkEnd w:id="579"/>
      <w:bookmarkEnd w:id="580"/>
      <w:bookmarkEnd w:id="581"/>
      <w:bookmarkEnd w:id="582"/>
      <w:r>
        <w:rPr>
          <w:rFonts w:hint="eastAsia"/>
          <w:color w:val="auto"/>
          <w:highlight w:val="none"/>
        </w:rPr>
        <w:t>响应文件开启</w:t>
      </w:r>
      <w:bookmarkEnd w:id="583"/>
      <w:bookmarkEnd w:id="584"/>
      <w:bookmarkEnd w:id="585"/>
      <w:bookmarkEnd w:id="586"/>
    </w:p>
    <w:p w14:paraId="27889999">
      <w:pPr>
        <w:pStyle w:val="93"/>
        <w:keepNext w:val="0"/>
        <w:keepLines w:val="0"/>
        <w:spacing w:line="360" w:lineRule="auto"/>
        <w:ind w:firstLine="422" w:firstLineChars="200"/>
        <w:rPr>
          <w:rFonts w:ascii="宋体" w:hAnsi="宋体" w:eastAsia="宋体"/>
          <w:b/>
          <w:bCs/>
          <w:color w:val="auto"/>
          <w:sz w:val="21"/>
          <w:szCs w:val="21"/>
          <w:highlight w:val="none"/>
        </w:rPr>
      </w:pPr>
      <w:bookmarkStart w:id="587" w:name="_Toc26426"/>
      <w:bookmarkEnd w:id="587"/>
      <w:bookmarkStart w:id="588" w:name="_Toc455867796"/>
      <w:bookmarkEnd w:id="588"/>
      <w:bookmarkStart w:id="589" w:name="_Toc455080136"/>
      <w:bookmarkEnd w:id="589"/>
      <w:bookmarkStart w:id="590" w:name="_Toc9969"/>
      <w:bookmarkEnd w:id="590"/>
      <w:bookmarkStart w:id="591" w:name="_Toc14"/>
      <w:bookmarkEnd w:id="591"/>
      <w:bookmarkStart w:id="592" w:name="_Toc152045560"/>
      <w:bookmarkEnd w:id="592"/>
      <w:bookmarkStart w:id="593" w:name="_Toc20333"/>
      <w:bookmarkEnd w:id="593"/>
      <w:bookmarkStart w:id="594" w:name="_Toc25809"/>
      <w:bookmarkEnd w:id="594"/>
      <w:bookmarkStart w:id="595" w:name="_Toc490667856"/>
      <w:bookmarkEnd w:id="595"/>
      <w:bookmarkStart w:id="596" w:name="_Toc509667287"/>
      <w:bookmarkEnd w:id="596"/>
      <w:bookmarkStart w:id="597" w:name="_Toc144974528"/>
      <w:bookmarkEnd w:id="597"/>
      <w:bookmarkStart w:id="598" w:name="_Toc152042336"/>
      <w:bookmarkEnd w:id="598"/>
      <w:bookmarkStart w:id="599" w:name="_Toc466298119"/>
      <w:bookmarkEnd w:id="599"/>
      <w:bookmarkStart w:id="600" w:name="_Toc25533"/>
      <w:bookmarkEnd w:id="600"/>
      <w:bookmarkStart w:id="601" w:name="_Toc318450703"/>
      <w:bookmarkStart w:id="602" w:name="_Toc15710"/>
      <w:bookmarkStart w:id="603" w:name="_Toc16749"/>
      <w:bookmarkStart w:id="604" w:name="_Toc5569"/>
      <w:bookmarkStart w:id="605" w:name="_Toc15514"/>
      <w:bookmarkStart w:id="606" w:name="_Toc129073486"/>
      <w:r>
        <w:rPr>
          <w:rFonts w:hint="eastAsia" w:ascii="宋体" w:hAnsi="宋体" w:eastAsia="宋体"/>
          <w:b/>
          <w:bCs/>
          <w:color w:val="auto"/>
          <w:sz w:val="21"/>
          <w:szCs w:val="21"/>
          <w:highlight w:val="none"/>
        </w:rPr>
        <w:t>5.1 磋商时间和地点</w:t>
      </w:r>
      <w:bookmarkEnd w:id="601"/>
      <w:bookmarkEnd w:id="602"/>
      <w:bookmarkEnd w:id="603"/>
      <w:bookmarkEnd w:id="604"/>
      <w:bookmarkEnd w:id="605"/>
      <w:bookmarkEnd w:id="606"/>
    </w:p>
    <w:p w14:paraId="081DF8E4">
      <w:pPr>
        <w:spacing w:line="360" w:lineRule="auto"/>
        <w:ind w:firstLine="420" w:firstLineChars="200"/>
        <w:rPr>
          <w:rFonts w:ascii="宋体" w:hAnsi="宋体"/>
          <w:color w:val="auto"/>
          <w:highlight w:val="none"/>
        </w:rPr>
      </w:pPr>
      <w:bookmarkStart w:id="607" w:name="_Toc152042337"/>
      <w:bookmarkEnd w:id="607"/>
      <w:bookmarkStart w:id="608" w:name="_Toc455080137"/>
      <w:bookmarkEnd w:id="608"/>
      <w:bookmarkStart w:id="609" w:name="_Toc152045561"/>
      <w:bookmarkEnd w:id="609"/>
      <w:bookmarkStart w:id="610" w:name="_Toc3865"/>
      <w:bookmarkEnd w:id="610"/>
      <w:bookmarkStart w:id="611" w:name="_Toc30074"/>
      <w:bookmarkEnd w:id="611"/>
      <w:bookmarkStart w:id="612" w:name="_Toc25911"/>
      <w:bookmarkEnd w:id="612"/>
      <w:bookmarkStart w:id="613" w:name="_Toc30965"/>
      <w:bookmarkEnd w:id="613"/>
      <w:bookmarkStart w:id="614" w:name="_Toc11148"/>
      <w:bookmarkEnd w:id="614"/>
      <w:bookmarkStart w:id="615" w:name="_Toc318450704"/>
      <w:bookmarkEnd w:id="615"/>
      <w:bookmarkStart w:id="616" w:name="_Toc144974529"/>
      <w:bookmarkEnd w:id="616"/>
      <w:bookmarkStart w:id="617" w:name="_Toc17491"/>
      <w:r>
        <w:rPr>
          <w:rFonts w:hint="eastAsia" w:ascii="宋体" w:hAnsi="宋体"/>
          <w:color w:val="auto"/>
          <w:highlight w:val="none"/>
        </w:rPr>
        <w:t>采购人在规定的响应文件递交截止时间和供应商须知前附表规定的地点进行磋商，本项目采用“远程不见面”开标方式，远程开标大厅网址为 http://hnsggzyjy.henan.gov.cn/BidOpening/bidopeninghallaction/hall/login，供应商无需到河南省公共资源交易中心现场参加开标会议。供应商应当在响应文件递交截止时间前，登录远程开标大厅，在线准时参加开标活动并进行文件解密等。在规定时间内响应文件未解密的供应商，视为放弃磋商投标。</w:t>
      </w:r>
      <w:bookmarkEnd w:id="617"/>
    </w:p>
    <w:p w14:paraId="12AE63D1">
      <w:pPr>
        <w:spacing w:line="360" w:lineRule="auto"/>
        <w:ind w:firstLine="422" w:firstLineChars="200"/>
        <w:rPr>
          <w:rFonts w:ascii="宋体" w:hAnsi="宋体"/>
          <w:b/>
          <w:bCs/>
          <w:color w:val="auto"/>
          <w:highlight w:val="none"/>
        </w:rPr>
      </w:pPr>
      <w:r>
        <w:rPr>
          <w:rFonts w:hint="eastAsia" w:ascii="宋体" w:hAnsi="宋体"/>
          <w:b/>
          <w:bCs/>
          <w:color w:val="auto"/>
          <w:highlight w:val="none"/>
        </w:rPr>
        <w:t>5.2 磋商会议程序（按河南省公共资源交易中心“远程不见面”开标程序进行）</w:t>
      </w:r>
    </w:p>
    <w:p w14:paraId="7952A112">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（1）公布投标单位；</w:t>
      </w:r>
    </w:p>
    <w:p w14:paraId="16251EFC">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（2）供应商远程解密</w:t>
      </w:r>
      <w:r>
        <w:rPr>
          <w:rStyle w:val="100"/>
          <w:rFonts w:hint="eastAsia" w:ascii="宋体" w:hAnsi="宋体" w:cs="宋体"/>
          <w:color w:val="auto"/>
          <w:highlight w:val="none"/>
          <w:lang w:eastAsia="zh-CN"/>
        </w:rPr>
        <w:t>响应文件</w:t>
      </w:r>
      <w:r>
        <w:rPr>
          <w:rStyle w:val="100"/>
          <w:rFonts w:hint="eastAsia" w:ascii="宋体" w:hAnsi="宋体" w:cs="宋体"/>
          <w:color w:val="auto"/>
          <w:highlight w:val="none"/>
        </w:rPr>
        <w:t>；</w:t>
      </w:r>
    </w:p>
    <w:p w14:paraId="2FD1C07D">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（3）</w:t>
      </w:r>
      <w:r>
        <w:rPr>
          <w:rStyle w:val="100"/>
          <w:rFonts w:hint="eastAsia" w:ascii="宋体" w:hAnsi="宋体" w:cs="宋体"/>
          <w:color w:val="auto"/>
          <w:highlight w:val="none"/>
          <w:lang w:eastAsia="zh-CN"/>
        </w:rPr>
        <w:t>响应文件</w:t>
      </w:r>
      <w:r>
        <w:rPr>
          <w:rStyle w:val="100"/>
          <w:rFonts w:hint="eastAsia" w:ascii="宋体" w:hAnsi="宋体" w:cs="宋体"/>
          <w:color w:val="auto"/>
          <w:highlight w:val="none"/>
        </w:rPr>
        <w:t>导入；</w:t>
      </w:r>
    </w:p>
    <w:p w14:paraId="3867626D">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（4）异议与回复；</w:t>
      </w:r>
    </w:p>
    <w:p w14:paraId="3BA3C7F8">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w:t>
      </w:r>
      <w:r>
        <w:rPr>
          <w:rStyle w:val="100"/>
          <w:rFonts w:hint="eastAsia" w:ascii="宋体" w:hAnsi="宋体" w:cs="宋体"/>
          <w:color w:val="auto"/>
          <w:highlight w:val="none"/>
          <w:lang w:val="en-US" w:eastAsia="zh-CN"/>
        </w:rPr>
        <w:t>5</w:t>
      </w:r>
      <w:r>
        <w:rPr>
          <w:rStyle w:val="100"/>
          <w:rFonts w:hint="eastAsia" w:ascii="宋体" w:hAnsi="宋体" w:cs="宋体"/>
          <w:color w:val="auto"/>
          <w:highlight w:val="none"/>
        </w:rPr>
        <w:t>）开标结束。</w:t>
      </w:r>
    </w:p>
    <w:p w14:paraId="117A09A3">
      <w:pPr>
        <w:spacing w:line="440" w:lineRule="exact"/>
        <w:ind w:firstLine="422" w:firstLineChars="200"/>
        <w:rPr>
          <w:rFonts w:ascii="宋体" w:hAnsi="宋体" w:cs="宋体"/>
          <w:b/>
          <w:bCs/>
          <w:snapToGrid w:val="0"/>
          <w:color w:val="auto"/>
          <w:highlight w:val="none"/>
        </w:rPr>
      </w:pPr>
      <w:r>
        <w:rPr>
          <w:rFonts w:hint="eastAsia" w:ascii="宋体" w:hAnsi="宋体" w:cs="宋体"/>
          <w:b/>
          <w:bCs/>
          <w:snapToGrid w:val="0"/>
          <w:color w:val="auto"/>
          <w:highlight w:val="none"/>
        </w:rPr>
        <w:t>5.3 开标异议</w:t>
      </w:r>
    </w:p>
    <w:p w14:paraId="320CAD16">
      <w:pPr>
        <w:spacing w:line="440" w:lineRule="exact"/>
        <w:ind w:firstLine="420" w:firstLineChars="200"/>
        <w:rPr>
          <w:rFonts w:ascii="宋体" w:hAnsi="宋体" w:cs="宋体"/>
          <w:snapToGrid w:val="0"/>
          <w:color w:val="auto"/>
          <w:highlight w:val="none"/>
        </w:rPr>
      </w:pPr>
      <w:r>
        <w:rPr>
          <w:rFonts w:ascii="宋体" w:hAnsi="宋体" w:cs="宋体"/>
          <w:snapToGrid w:val="0"/>
          <w:color w:val="auto"/>
          <w:highlight w:val="none"/>
        </w:rPr>
        <w:t>供应商对开标过程有异议的，应当在开标</w:t>
      </w:r>
      <w:r>
        <w:rPr>
          <w:rFonts w:hint="eastAsia" w:ascii="宋体" w:hAnsi="宋体" w:cs="宋体"/>
          <w:snapToGrid w:val="0"/>
          <w:color w:val="auto"/>
          <w:highlight w:val="none"/>
          <w:lang w:eastAsia="zh-CN"/>
        </w:rPr>
        <w:t>系统中提出</w:t>
      </w:r>
      <w:r>
        <w:rPr>
          <w:rFonts w:ascii="宋体" w:hAnsi="宋体" w:cs="宋体"/>
          <w:snapToGrid w:val="0"/>
          <w:color w:val="auto"/>
          <w:highlight w:val="none"/>
        </w:rPr>
        <w:t>，采购人当场作出答复。供应商未参加开标的，视同认可开标结果。</w:t>
      </w:r>
    </w:p>
    <w:p w14:paraId="40D1AF03">
      <w:pPr>
        <w:spacing w:line="440" w:lineRule="exact"/>
        <w:ind w:firstLine="422" w:firstLineChars="200"/>
        <w:rPr>
          <w:rFonts w:ascii="宋体" w:hAnsi="宋体" w:cs="宋体"/>
          <w:b/>
          <w:bCs/>
          <w:snapToGrid w:val="0"/>
          <w:color w:val="auto"/>
          <w:highlight w:val="none"/>
        </w:rPr>
      </w:pPr>
      <w:r>
        <w:rPr>
          <w:rFonts w:hint="eastAsia" w:ascii="宋体" w:hAnsi="宋体" w:cs="宋体"/>
          <w:b/>
          <w:bCs/>
          <w:snapToGrid w:val="0"/>
          <w:color w:val="auto"/>
          <w:highlight w:val="none"/>
        </w:rPr>
        <w:t>5.4</w:t>
      </w:r>
      <w:r>
        <w:rPr>
          <w:rFonts w:hint="eastAsia" w:ascii="宋体" w:hAnsi="宋体" w:cs="宋体"/>
          <w:b/>
          <w:bCs/>
          <w:snapToGrid w:val="0"/>
          <w:color w:val="auto"/>
          <w:highlight w:val="none"/>
          <w:lang w:eastAsia="zh-CN"/>
        </w:rPr>
        <w:t xml:space="preserve"> 异常情况</w:t>
      </w:r>
      <w:r>
        <w:rPr>
          <w:rFonts w:hint="eastAsia" w:ascii="宋体" w:hAnsi="宋体" w:cs="宋体"/>
          <w:b/>
          <w:bCs/>
          <w:snapToGrid w:val="0"/>
          <w:color w:val="auto"/>
          <w:highlight w:val="none"/>
        </w:rPr>
        <w:t>处理</w:t>
      </w:r>
    </w:p>
    <w:p w14:paraId="351F1CBD">
      <w:pPr>
        <w:spacing w:line="440" w:lineRule="exact"/>
        <w:ind w:firstLine="420" w:firstLineChars="200"/>
        <w:rPr>
          <w:rFonts w:ascii="宋体" w:hAnsi="宋体" w:cs="宋体"/>
          <w:snapToGrid w:val="0"/>
          <w:color w:val="auto"/>
          <w:highlight w:val="none"/>
        </w:rPr>
      </w:pPr>
      <w:r>
        <w:rPr>
          <w:rFonts w:hint="eastAsia" w:ascii="宋体" w:hAnsi="宋体" w:cs="宋体"/>
          <w:snapToGrid w:val="0"/>
          <w:color w:val="auto"/>
          <w:highlight w:val="none"/>
        </w:rPr>
        <w:t>在开标、评标过程中，若出现异常情况导致无法正常采用电子</w:t>
      </w:r>
      <w:r>
        <w:rPr>
          <w:rFonts w:hint="eastAsia" w:ascii="宋体" w:hAnsi="宋体" w:cs="宋体"/>
          <w:snapToGrid w:val="0"/>
          <w:color w:val="auto"/>
          <w:highlight w:val="none"/>
          <w:lang w:eastAsia="zh-CN"/>
        </w:rPr>
        <w:t>开标</w:t>
      </w:r>
      <w:r>
        <w:rPr>
          <w:rFonts w:hint="eastAsia" w:ascii="宋体" w:hAnsi="宋体" w:cs="宋体"/>
          <w:snapToGrid w:val="0"/>
          <w:color w:val="auto"/>
          <w:highlight w:val="none"/>
        </w:rPr>
        <w:t>，如出现网络中断、服务器发生故障或停电等</w:t>
      </w:r>
      <w:r>
        <w:rPr>
          <w:rFonts w:hint="eastAsia" w:ascii="宋体" w:hAnsi="宋体" w:cs="宋体"/>
          <w:snapToGrid w:val="0"/>
          <w:color w:val="auto"/>
          <w:highlight w:val="none"/>
          <w:lang w:eastAsia="zh-CN"/>
        </w:rPr>
        <w:t>其他</w:t>
      </w:r>
      <w:r>
        <w:rPr>
          <w:rFonts w:hint="eastAsia" w:ascii="宋体" w:hAnsi="宋体" w:cs="宋体"/>
          <w:snapToGrid w:val="0"/>
          <w:color w:val="auto"/>
          <w:highlight w:val="none"/>
        </w:rPr>
        <w:t>不可抗力情形，导致电子交易系统无法正常</w:t>
      </w:r>
      <w:r>
        <w:rPr>
          <w:rFonts w:hint="eastAsia" w:ascii="宋体" w:hAnsi="宋体" w:cs="宋体"/>
          <w:snapToGrid w:val="0"/>
          <w:color w:val="auto"/>
          <w:highlight w:val="none"/>
          <w:lang w:eastAsia="zh-CN"/>
        </w:rPr>
        <w:t>运行，</w:t>
      </w:r>
      <w:r>
        <w:rPr>
          <w:rFonts w:hint="eastAsia" w:ascii="宋体" w:hAnsi="宋体" w:cs="宋体"/>
          <w:snapToGrid w:val="0"/>
          <w:color w:val="auto"/>
          <w:highlight w:val="none"/>
        </w:rPr>
        <w:t>采购人、采购代理机构</w:t>
      </w:r>
      <w:r>
        <w:rPr>
          <w:rFonts w:hint="eastAsia" w:ascii="宋体" w:hAnsi="宋体" w:cs="宋体"/>
          <w:snapToGrid w:val="0"/>
          <w:color w:val="auto"/>
          <w:highlight w:val="none"/>
          <w:lang w:eastAsia="zh-CN"/>
        </w:rPr>
        <w:t>应视</w:t>
      </w:r>
      <w:r>
        <w:rPr>
          <w:rFonts w:hint="eastAsia" w:ascii="宋体" w:hAnsi="宋体" w:cs="宋体"/>
          <w:snapToGrid w:val="0"/>
          <w:color w:val="auto"/>
          <w:highlight w:val="none"/>
        </w:rPr>
        <w:t>情况提出解决方案，及时通报监管部门和交易中心研究处理。</w:t>
      </w:r>
    </w:p>
    <w:p w14:paraId="6FD3BD42">
      <w:pPr>
        <w:pStyle w:val="92"/>
        <w:ind w:firstLine="420"/>
        <w:rPr>
          <w:color w:val="auto"/>
          <w:highlight w:val="none"/>
        </w:rPr>
      </w:pPr>
      <w:bookmarkStart w:id="618" w:name="_Toc466298120"/>
      <w:bookmarkEnd w:id="618"/>
      <w:bookmarkStart w:id="619" w:name="_Toc144974530"/>
      <w:bookmarkEnd w:id="619"/>
      <w:bookmarkStart w:id="620" w:name="_Toc509667289"/>
      <w:bookmarkEnd w:id="620"/>
      <w:bookmarkStart w:id="621" w:name="_Toc152045562"/>
      <w:bookmarkEnd w:id="621"/>
      <w:bookmarkStart w:id="622" w:name="_Toc490667857"/>
      <w:bookmarkEnd w:id="622"/>
      <w:bookmarkStart w:id="623" w:name="_Toc152042338"/>
      <w:bookmarkEnd w:id="623"/>
      <w:bookmarkStart w:id="624" w:name="_Toc509667288"/>
      <w:bookmarkEnd w:id="624"/>
      <w:bookmarkStart w:id="625" w:name="_Toc13397"/>
      <w:bookmarkEnd w:id="625"/>
      <w:bookmarkStart w:id="626" w:name="_Toc455080138"/>
      <w:bookmarkEnd w:id="626"/>
      <w:bookmarkStart w:id="627" w:name="_Toc30088"/>
      <w:bookmarkStart w:id="628" w:name="_Toc129073488"/>
      <w:bookmarkStart w:id="629" w:name="_Toc29816"/>
      <w:bookmarkStart w:id="630" w:name="_Toc2321"/>
      <w:bookmarkStart w:id="631" w:name="_Toc32269"/>
      <w:bookmarkStart w:id="632" w:name="_Toc21073"/>
      <w:bookmarkStart w:id="633" w:name="_Toc26210"/>
      <w:bookmarkStart w:id="634" w:name="_Toc28488"/>
      <w:bookmarkStart w:id="635" w:name="_Toc17080"/>
      <w:bookmarkStart w:id="636" w:name="_Toc24687"/>
      <w:r>
        <w:rPr>
          <w:rFonts w:hint="eastAsia"/>
          <w:color w:val="auto"/>
          <w:highlight w:val="none"/>
        </w:rPr>
        <w:t>6. 磋商</w:t>
      </w:r>
      <w:bookmarkEnd w:id="627"/>
      <w:bookmarkEnd w:id="628"/>
      <w:bookmarkEnd w:id="629"/>
      <w:bookmarkEnd w:id="630"/>
      <w:bookmarkEnd w:id="631"/>
      <w:bookmarkEnd w:id="632"/>
      <w:bookmarkEnd w:id="633"/>
      <w:bookmarkEnd w:id="634"/>
      <w:bookmarkEnd w:id="635"/>
      <w:bookmarkEnd w:id="636"/>
    </w:p>
    <w:p w14:paraId="192BEDA4">
      <w:pPr>
        <w:pStyle w:val="93"/>
        <w:keepNext w:val="0"/>
        <w:keepLines w:val="0"/>
        <w:spacing w:line="360" w:lineRule="auto"/>
        <w:ind w:firstLine="422" w:firstLineChars="200"/>
        <w:rPr>
          <w:rFonts w:ascii="宋体" w:hAnsi="宋体" w:eastAsia="宋体"/>
          <w:b/>
          <w:bCs/>
          <w:color w:val="auto"/>
          <w:sz w:val="21"/>
          <w:szCs w:val="21"/>
          <w:highlight w:val="none"/>
        </w:rPr>
      </w:pPr>
      <w:bookmarkStart w:id="637" w:name="_Toc318450706"/>
      <w:bookmarkEnd w:id="637"/>
      <w:bookmarkStart w:id="638" w:name="_Toc1574"/>
      <w:bookmarkEnd w:id="638"/>
      <w:bookmarkStart w:id="639" w:name="_Toc152045563"/>
      <w:bookmarkEnd w:id="639"/>
      <w:bookmarkStart w:id="640" w:name="_Toc466298122"/>
      <w:bookmarkEnd w:id="640"/>
      <w:bookmarkStart w:id="641" w:name="_Toc144974531"/>
      <w:bookmarkEnd w:id="641"/>
      <w:bookmarkStart w:id="642" w:name="_Toc18985"/>
      <w:bookmarkEnd w:id="642"/>
      <w:bookmarkStart w:id="643" w:name="_Toc455867799"/>
      <w:bookmarkEnd w:id="643"/>
      <w:bookmarkStart w:id="644" w:name="_Toc9808"/>
      <w:bookmarkEnd w:id="644"/>
      <w:bookmarkStart w:id="645" w:name="_Toc26098"/>
      <w:bookmarkEnd w:id="645"/>
      <w:bookmarkStart w:id="646" w:name="_Toc490667859"/>
      <w:bookmarkEnd w:id="646"/>
      <w:bookmarkStart w:id="647" w:name="_Toc152042339"/>
      <w:bookmarkEnd w:id="647"/>
      <w:bookmarkStart w:id="648" w:name="_Toc455080139"/>
      <w:bookmarkEnd w:id="648"/>
      <w:bookmarkStart w:id="649" w:name="_Toc509667290"/>
      <w:bookmarkEnd w:id="649"/>
      <w:bookmarkStart w:id="650" w:name="_Toc22250"/>
      <w:bookmarkEnd w:id="650"/>
      <w:bookmarkStart w:id="651" w:name="_Toc1546"/>
      <w:bookmarkStart w:id="652" w:name="_Toc26340"/>
      <w:bookmarkStart w:id="653" w:name="_Toc14863"/>
      <w:bookmarkStart w:id="654" w:name="_Toc19107"/>
      <w:bookmarkStart w:id="655" w:name="_Toc129073489"/>
      <w:bookmarkStart w:id="656" w:name="_Toc7092"/>
      <w:r>
        <w:rPr>
          <w:rFonts w:hint="eastAsia" w:ascii="宋体" w:hAnsi="宋体" w:eastAsia="宋体"/>
          <w:b/>
          <w:bCs/>
          <w:color w:val="auto"/>
          <w:sz w:val="21"/>
          <w:szCs w:val="21"/>
          <w:highlight w:val="none"/>
        </w:rPr>
        <w:t>6.1</w:t>
      </w:r>
      <w:bookmarkEnd w:id="651"/>
      <w:r>
        <w:rPr>
          <w:rFonts w:hint="eastAsia" w:ascii="宋体" w:hAnsi="宋体" w:eastAsia="宋体"/>
          <w:b/>
          <w:bCs/>
          <w:color w:val="auto"/>
          <w:sz w:val="21"/>
          <w:szCs w:val="21"/>
          <w:highlight w:val="none"/>
          <w:lang w:eastAsia="zh-CN"/>
        </w:rPr>
        <w:t xml:space="preserve"> 磋商</w:t>
      </w:r>
      <w:r>
        <w:rPr>
          <w:rFonts w:hint="eastAsia" w:ascii="宋体" w:hAnsi="宋体" w:eastAsia="宋体"/>
          <w:b/>
          <w:bCs/>
          <w:color w:val="auto"/>
          <w:sz w:val="21"/>
          <w:szCs w:val="21"/>
          <w:highlight w:val="none"/>
        </w:rPr>
        <w:t>小组</w:t>
      </w:r>
      <w:bookmarkEnd w:id="652"/>
      <w:bookmarkEnd w:id="653"/>
      <w:bookmarkEnd w:id="654"/>
      <w:bookmarkEnd w:id="655"/>
      <w:bookmarkEnd w:id="656"/>
    </w:p>
    <w:p w14:paraId="45862A78">
      <w:pPr>
        <w:spacing w:line="360" w:lineRule="auto"/>
        <w:ind w:firstLine="420" w:firstLineChars="200"/>
        <w:rPr>
          <w:rFonts w:ascii="宋体" w:hAnsi="宋体"/>
          <w:color w:val="auto"/>
          <w:highlight w:val="none"/>
        </w:rPr>
      </w:pPr>
      <w:r>
        <w:rPr>
          <w:rFonts w:hint="eastAsia" w:ascii="宋体" w:hAnsi="宋体"/>
          <w:color w:val="auto"/>
          <w:highlight w:val="none"/>
        </w:rPr>
        <w:t>6.1.1 磋商由采购人依法组建的磋商小组</w:t>
      </w:r>
      <w:r>
        <w:rPr>
          <w:rFonts w:hint="eastAsia" w:ascii="宋体" w:hAnsi="宋体"/>
          <w:color w:val="auto"/>
          <w:highlight w:val="none"/>
          <w:lang w:eastAsia="zh-CN"/>
        </w:rPr>
        <w:t>进行</w:t>
      </w:r>
      <w:r>
        <w:rPr>
          <w:rFonts w:hint="eastAsia" w:ascii="宋体" w:hAnsi="宋体"/>
          <w:color w:val="auto"/>
          <w:highlight w:val="none"/>
        </w:rPr>
        <w:t>。磋商小组由采购人代表以及有关专家组成。磋商小组成员人数以及</w:t>
      </w:r>
      <w:r>
        <w:rPr>
          <w:rFonts w:hint="eastAsia" w:ascii="宋体" w:hAnsi="宋体"/>
          <w:color w:val="auto"/>
          <w:highlight w:val="none"/>
          <w:lang w:eastAsia="zh-CN"/>
        </w:rPr>
        <w:t>相关</w:t>
      </w:r>
      <w:r>
        <w:rPr>
          <w:rFonts w:hint="eastAsia" w:ascii="宋体" w:hAnsi="宋体"/>
          <w:color w:val="auto"/>
          <w:highlight w:val="none"/>
        </w:rPr>
        <w:t>专家的确定方式见供应商须知前附表。</w:t>
      </w:r>
    </w:p>
    <w:p w14:paraId="06D6E2DA">
      <w:pPr>
        <w:spacing w:line="360" w:lineRule="auto"/>
        <w:ind w:firstLine="420" w:firstLineChars="200"/>
        <w:rPr>
          <w:rFonts w:ascii="宋体" w:hAnsi="宋体"/>
          <w:color w:val="auto"/>
          <w:highlight w:val="none"/>
        </w:rPr>
      </w:pPr>
      <w:r>
        <w:rPr>
          <w:rFonts w:hint="eastAsia" w:ascii="宋体" w:hAnsi="宋体"/>
          <w:color w:val="auto"/>
          <w:highlight w:val="none"/>
        </w:rPr>
        <w:t>6.1.2评审专家与参加采购活动的供应商存在下列利害关系之一的，应当回避：</w:t>
      </w:r>
    </w:p>
    <w:p w14:paraId="051131E5">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（一）</w:t>
      </w:r>
      <w:r>
        <w:rPr>
          <w:rFonts w:hint="eastAsia" w:ascii="宋体" w:hAnsi="宋体"/>
          <w:color w:val="auto"/>
          <w:highlight w:val="none"/>
        </w:rPr>
        <w:t>参加采购活动前三年内</w:t>
      </w:r>
      <w:r>
        <w:rPr>
          <w:rFonts w:hint="eastAsia" w:ascii="宋体" w:hAnsi="宋体"/>
          <w:color w:val="auto"/>
          <w:highlight w:val="none"/>
          <w:lang w:eastAsia="zh-CN"/>
        </w:rPr>
        <w:t>，</w:t>
      </w:r>
      <w:r>
        <w:rPr>
          <w:rFonts w:hint="eastAsia" w:ascii="宋体" w:hAnsi="宋体"/>
          <w:color w:val="auto"/>
          <w:highlight w:val="none"/>
        </w:rPr>
        <w:t>与供应商存在劳动关系，或者担任过供应商的董事、监事，或者是供应商的控股股东或实际控制人；</w:t>
      </w:r>
    </w:p>
    <w:p w14:paraId="426C0DA1">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（二）</w:t>
      </w:r>
      <w:r>
        <w:rPr>
          <w:rFonts w:hint="eastAsia" w:ascii="宋体" w:hAnsi="宋体"/>
          <w:color w:val="auto"/>
          <w:highlight w:val="none"/>
        </w:rPr>
        <w:t>与供应商的法定代表人或者负责人有夫妻、直系血亲、三代以内旁系血亲或者近姻亲关系；</w:t>
      </w:r>
    </w:p>
    <w:p w14:paraId="6B28DC29">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（三）</w:t>
      </w:r>
      <w:r>
        <w:rPr>
          <w:rFonts w:hint="eastAsia" w:ascii="宋体" w:hAnsi="宋体"/>
          <w:color w:val="auto"/>
          <w:highlight w:val="none"/>
        </w:rPr>
        <w:t>与供应商有其他可能影响政府采购活动公平、公正进行的关系。</w:t>
      </w:r>
    </w:p>
    <w:p w14:paraId="28700828">
      <w:pPr>
        <w:spacing w:line="360" w:lineRule="auto"/>
        <w:ind w:firstLine="420" w:firstLineChars="200"/>
        <w:rPr>
          <w:rFonts w:ascii="宋体" w:hAnsi="宋体"/>
          <w:color w:val="auto"/>
          <w:highlight w:val="none"/>
        </w:rPr>
      </w:pPr>
      <w:r>
        <w:rPr>
          <w:rFonts w:hint="eastAsia" w:ascii="宋体" w:hAnsi="宋体"/>
          <w:color w:val="auto"/>
          <w:highlight w:val="none"/>
        </w:rPr>
        <w:t>评审专家发现本人与参加采购活动的供应商有利害关系的，应当主动提出回避。采购人或者采购代理机构发现评审专家与参加采购活动的供应商有利害关系的，应当要求其回避。</w:t>
      </w:r>
    </w:p>
    <w:p w14:paraId="483AF229">
      <w:pPr>
        <w:spacing w:line="360" w:lineRule="auto"/>
        <w:ind w:firstLine="420" w:firstLineChars="200"/>
        <w:rPr>
          <w:rFonts w:ascii="宋体" w:hAnsi="宋体"/>
          <w:color w:val="auto"/>
          <w:highlight w:val="none"/>
        </w:rPr>
      </w:pPr>
      <w:r>
        <w:rPr>
          <w:rFonts w:hint="eastAsia" w:ascii="宋体" w:hAnsi="宋体"/>
          <w:color w:val="auto"/>
          <w:highlight w:val="none"/>
        </w:rPr>
        <w:t>6.1.3</w:t>
      </w:r>
      <w:r>
        <w:rPr>
          <w:rFonts w:hint="eastAsia" w:ascii="宋体" w:hAnsi="宋体"/>
          <w:color w:val="auto"/>
          <w:highlight w:val="none"/>
          <w:lang w:eastAsia="zh-CN"/>
        </w:rPr>
        <w:t xml:space="preserve"> 磋商</w:t>
      </w:r>
      <w:r>
        <w:rPr>
          <w:rFonts w:hint="eastAsia" w:ascii="宋体" w:hAnsi="宋体"/>
          <w:color w:val="auto"/>
          <w:highlight w:val="none"/>
        </w:rPr>
        <w:t>小组履行下列义务：</w:t>
      </w:r>
    </w:p>
    <w:p w14:paraId="7211CF95">
      <w:pPr>
        <w:spacing w:line="360" w:lineRule="auto"/>
        <w:ind w:firstLine="420" w:firstLineChars="200"/>
        <w:rPr>
          <w:rFonts w:ascii="宋体" w:hAnsi="宋体"/>
          <w:color w:val="auto"/>
          <w:highlight w:val="none"/>
        </w:rPr>
      </w:pPr>
      <w:r>
        <w:rPr>
          <w:rFonts w:hint="eastAsia" w:ascii="宋体" w:hAnsi="宋体"/>
          <w:color w:val="auto"/>
          <w:highlight w:val="none"/>
        </w:rPr>
        <w:t>（1）遵纪守法，客观、公正、廉洁地履行职责；</w:t>
      </w:r>
    </w:p>
    <w:p w14:paraId="410D8317">
      <w:pPr>
        <w:spacing w:line="360" w:lineRule="auto"/>
        <w:ind w:firstLine="420" w:firstLineChars="200"/>
        <w:rPr>
          <w:rFonts w:ascii="宋体" w:hAnsi="宋体"/>
          <w:color w:val="auto"/>
          <w:highlight w:val="none"/>
        </w:rPr>
      </w:pPr>
      <w:r>
        <w:rPr>
          <w:rFonts w:hint="eastAsia" w:ascii="宋体" w:hAnsi="宋体"/>
          <w:color w:val="auto"/>
          <w:highlight w:val="none"/>
        </w:rPr>
        <w:t>（2）根据竞争性磋商文件的规定独立进行评审，对个人的评审意见承担法律责任；</w:t>
      </w:r>
    </w:p>
    <w:p w14:paraId="2CA0F11E">
      <w:pPr>
        <w:spacing w:line="360" w:lineRule="auto"/>
        <w:ind w:firstLine="420" w:firstLineChars="200"/>
        <w:rPr>
          <w:rFonts w:ascii="宋体" w:hAnsi="宋体"/>
          <w:color w:val="auto"/>
          <w:highlight w:val="none"/>
        </w:rPr>
      </w:pPr>
      <w:r>
        <w:rPr>
          <w:rFonts w:hint="eastAsia" w:ascii="宋体" w:hAnsi="宋体"/>
          <w:color w:val="auto"/>
          <w:highlight w:val="none"/>
        </w:rPr>
        <w:t>（3）参与评审报告的起草；</w:t>
      </w:r>
    </w:p>
    <w:p w14:paraId="7220E3AC">
      <w:pPr>
        <w:spacing w:line="360" w:lineRule="auto"/>
        <w:ind w:firstLine="420" w:firstLineChars="200"/>
        <w:rPr>
          <w:rFonts w:ascii="宋体" w:hAnsi="宋体"/>
          <w:color w:val="auto"/>
          <w:highlight w:val="none"/>
        </w:rPr>
      </w:pPr>
      <w:r>
        <w:rPr>
          <w:rFonts w:hint="eastAsia" w:ascii="宋体" w:hAnsi="宋体"/>
          <w:color w:val="auto"/>
          <w:highlight w:val="none"/>
        </w:rPr>
        <w:t>（4）配合采购人、采购代理机构答复供应商提出的质疑；</w:t>
      </w:r>
    </w:p>
    <w:p w14:paraId="4AE6A00A">
      <w:pPr>
        <w:spacing w:line="360" w:lineRule="auto"/>
        <w:ind w:firstLine="420" w:firstLineChars="200"/>
        <w:rPr>
          <w:rFonts w:ascii="宋体" w:hAnsi="宋体"/>
          <w:color w:val="auto"/>
          <w:highlight w:val="none"/>
        </w:rPr>
      </w:pPr>
      <w:r>
        <w:rPr>
          <w:rFonts w:hint="eastAsia" w:ascii="宋体" w:hAnsi="宋体"/>
          <w:color w:val="auto"/>
          <w:highlight w:val="none"/>
        </w:rPr>
        <w:t>（5）配合监督部门的投诉处理和监督检查工作。</w:t>
      </w:r>
    </w:p>
    <w:p w14:paraId="5A164799">
      <w:pPr>
        <w:spacing w:line="360" w:lineRule="auto"/>
        <w:ind w:firstLine="420" w:firstLineChars="200"/>
        <w:rPr>
          <w:rFonts w:ascii="宋体" w:hAnsi="宋体"/>
          <w:color w:val="auto"/>
          <w:highlight w:val="none"/>
        </w:rPr>
      </w:pPr>
      <w:r>
        <w:rPr>
          <w:rFonts w:hint="eastAsia" w:ascii="宋体" w:hAnsi="宋体"/>
          <w:color w:val="auto"/>
          <w:highlight w:val="none"/>
        </w:rPr>
        <w:t>6.1.4</w:t>
      </w:r>
      <w:r>
        <w:rPr>
          <w:rFonts w:hint="eastAsia" w:ascii="宋体" w:hAnsi="宋体"/>
          <w:color w:val="auto"/>
          <w:highlight w:val="none"/>
          <w:lang w:eastAsia="zh-CN"/>
        </w:rPr>
        <w:t xml:space="preserve"> 磋商</w:t>
      </w:r>
      <w:r>
        <w:rPr>
          <w:rFonts w:hint="eastAsia" w:ascii="宋体" w:hAnsi="宋体"/>
          <w:color w:val="auto"/>
          <w:highlight w:val="none"/>
        </w:rPr>
        <w:t>过程中，磋商小组成员有回避事由、擅离职守或者因健康等原因不能继续评审的，采购人有权更换。被更换的磋商小组成员作出的评审结论无效，由更换后的磋商小组成员重新进行评审。</w:t>
      </w:r>
    </w:p>
    <w:p w14:paraId="155766BF">
      <w:pPr>
        <w:pStyle w:val="93"/>
        <w:keepNext w:val="0"/>
        <w:keepLines w:val="0"/>
        <w:spacing w:line="360" w:lineRule="auto"/>
        <w:ind w:firstLine="422" w:firstLineChars="200"/>
        <w:rPr>
          <w:rFonts w:ascii="宋体" w:hAnsi="宋体" w:eastAsia="宋体"/>
          <w:b/>
          <w:bCs/>
          <w:color w:val="auto"/>
          <w:sz w:val="21"/>
          <w:szCs w:val="21"/>
          <w:highlight w:val="none"/>
        </w:rPr>
      </w:pPr>
      <w:bookmarkStart w:id="657" w:name="_Toc466298123"/>
      <w:bookmarkEnd w:id="657"/>
      <w:bookmarkStart w:id="658" w:name="_Toc490667860"/>
      <w:bookmarkEnd w:id="658"/>
      <w:bookmarkStart w:id="659" w:name="_Toc318450707"/>
      <w:bookmarkEnd w:id="659"/>
      <w:bookmarkStart w:id="660" w:name="_Toc509667291"/>
      <w:bookmarkEnd w:id="660"/>
      <w:bookmarkStart w:id="661" w:name="_Toc8248"/>
      <w:bookmarkEnd w:id="661"/>
      <w:bookmarkStart w:id="662" w:name="_Toc4435"/>
      <w:bookmarkEnd w:id="662"/>
      <w:bookmarkStart w:id="663" w:name="_Toc455080140"/>
      <w:bookmarkEnd w:id="663"/>
      <w:bookmarkStart w:id="664" w:name="_Toc152045564"/>
      <w:bookmarkEnd w:id="664"/>
      <w:bookmarkStart w:id="665" w:name="_Toc144974532"/>
      <w:bookmarkEnd w:id="665"/>
      <w:bookmarkStart w:id="666" w:name="_Toc25721"/>
      <w:bookmarkEnd w:id="666"/>
      <w:bookmarkStart w:id="667" w:name="_Toc21102"/>
      <w:bookmarkEnd w:id="667"/>
      <w:bookmarkStart w:id="668" w:name="_Toc22143"/>
      <w:bookmarkEnd w:id="668"/>
      <w:bookmarkStart w:id="669" w:name="_Toc152042340"/>
      <w:bookmarkEnd w:id="669"/>
      <w:bookmarkStart w:id="670" w:name="_Toc455867800"/>
      <w:bookmarkEnd w:id="670"/>
      <w:bookmarkStart w:id="671" w:name="_Toc30886"/>
      <w:bookmarkStart w:id="672" w:name="_Toc8240"/>
      <w:bookmarkStart w:id="673" w:name="_Toc11456"/>
      <w:bookmarkStart w:id="674" w:name="_Toc13472"/>
      <w:bookmarkStart w:id="675" w:name="_Toc129073490"/>
      <w:bookmarkStart w:id="676" w:name="_Toc24346"/>
      <w:r>
        <w:rPr>
          <w:rFonts w:hint="eastAsia" w:ascii="宋体" w:hAnsi="宋体" w:eastAsia="宋体"/>
          <w:b/>
          <w:bCs/>
          <w:color w:val="auto"/>
          <w:sz w:val="21"/>
          <w:szCs w:val="21"/>
          <w:highlight w:val="none"/>
        </w:rPr>
        <w:t>6.2 磋商原则</w:t>
      </w:r>
      <w:bookmarkEnd w:id="671"/>
      <w:bookmarkEnd w:id="672"/>
      <w:bookmarkEnd w:id="673"/>
      <w:bookmarkEnd w:id="674"/>
      <w:bookmarkEnd w:id="675"/>
      <w:bookmarkEnd w:id="676"/>
    </w:p>
    <w:p w14:paraId="096E1D79">
      <w:pPr>
        <w:spacing w:line="360" w:lineRule="auto"/>
        <w:ind w:firstLine="420" w:firstLineChars="200"/>
        <w:rPr>
          <w:rFonts w:ascii="宋体" w:hAnsi="宋体"/>
          <w:color w:val="auto"/>
          <w:highlight w:val="none"/>
        </w:rPr>
      </w:pPr>
      <w:r>
        <w:rPr>
          <w:rFonts w:hint="eastAsia" w:ascii="宋体" w:hAnsi="宋体"/>
          <w:color w:val="auto"/>
          <w:highlight w:val="none"/>
        </w:rPr>
        <w:t>磋商活动遵循客观、公正、审慎的原则。</w:t>
      </w:r>
    </w:p>
    <w:p w14:paraId="1AAEBFA2">
      <w:pPr>
        <w:pStyle w:val="93"/>
        <w:keepNext w:val="0"/>
        <w:keepLines w:val="0"/>
        <w:spacing w:line="360" w:lineRule="auto"/>
        <w:ind w:firstLine="422" w:firstLineChars="200"/>
        <w:rPr>
          <w:rFonts w:ascii="宋体" w:hAnsi="宋体" w:eastAsia="宋体"/>
          <w:b/>
          <w:bCs/>
          <w:color w:val="auto"/>
          <w:sz w:val="21"/>
          <w:szCs w:val="21"/>
          <w:highlight w:val="none"/>
        </w:rPr>
      </w:pPr>
      <w:bookmarkStart w:id="677" w:name="_Toc152045565"/>
      <w:bookmarkEnd w:id="677"/>
      <w:bookmarkStart w:id="678" w:name="_Toc15595"/>
      <w:bookmarkEnd w:id="678"/>
      <w:bookmarkStart w:id="679" w:name="_Toc455080141"/>
      <w:bookmarkEnd w:id="679"/>
      <w:bookmarkStart w:id="680" w:name="_Toc27036"/>
      <w:bookmarkEnd w:id="680"/>
      <w:bookmarkStart w:id="681" w:name="_Toc16725"/>
      <w:bookmarkEnd w:id="681"/>
      <w:bookmarkStart w:id="682" w:name="_Toc18756"/>
      <w:bookmarkEnd w:id="682"/>
      <w:bookmarkStart w:id="683" w:name="_Toc152042341"/>
      <w:bookmarkEnd w:id="683"/>
      <w:bookmarkStart w:id="684" w:name="_Toc8705"/>
      <w:bookmarkEnd w:id="684"/>
      <w:bookmarkStart w:id="685" w:name="_Toc24358"/>
      <w:bookmarkEnd w:id="685"/>
      <w:bookmarkStart w:id="686" w:name="_Toc466298124"/>
      <w:bookmarkEnd w:id="686"/>
      <w:bookmarkStart w:id="687" w:name="_Toc144974533"/>
      <w:bookmarkEnd w:id="687"/>
      <w:bookmarkStart w:id="688" w:name="_Toc509667292"/>
      <w:bookmarkEnd w:id="688"/>
      <w:bookmarkStart w:id="689" w:name="_Toc318450708"/>
      <w:bookmarkEnd w:id="689"/>
      <w:bookmarkStart w:id="690" w:name="_Toc455867801"/>
      <w:bookmarkEnd w:id="690"/>
      <w:bookmarkStart w:id="691" w:name="_Toc129073491"/>
      <w:bookmarkStart w:id="692" w:name="_Toc490667861"/>
      <w:bookmarkStart w:id="693" w:name="_Toc17205"/>
      <w:bookmarkStart w:id="694" w:name="_Toc12976"/>
      <w:bookmarkStart w:id="695" w:name="_Toc159"/>
      <w:bookmarkStart w:id="696" w:name="_Toc19529"/>
      <w:r>
        <w:rPr>
          <w:rFonts w:hint="eastAsia" w:ascii="宋体" w:hAnsi="宋体" w:eastAsia="宋体"/>
          <w:b/>
          <w:bCs/>
          <w:color w:val="auto"/>
          <w:sz w:val="21"/>
          <w:szCs w:val="21"/>
          <w:highlight w:val="none"/>
        </w:rPr>
        <w:t>6.3</w:t>
      </w:r>
      <w:bookmarkEnd w:id="691"/>
      <w:bookmarkEnd w:id="692"/>
      <w:r>
        <w:rPr>
          <w:rFonts w:hint="eastAsia" w:ascii="宋体" w:hAnsi="宋体" w:eastAsia="宋体"/>
          <w:b/>
          <w:bCs/>
          <w:color w:val="auto"/>
          <w:sz w:val="21"/>
          <w:szCs w:val="21"/>
          <w:highlight w:val="none"/>
          <w:lang w:eastAsia="zh-CN"/>
        </w:rPr>
        <w:t xml:space="preserve"> 磋商</w:t>
      </w:r>
      <w:bookmarkEnd w:id="693"/>
      <w:bookmarkEnd w:id="694"/>
      <w:bookmarkEnd w:id="695"/>
      <w:bookmarkEnd w:id="696"/>
    </w:p>
    <w:p w14:paraId="27134D22">
      <w:pPr>
        <w:pStyle w:val="93"/>
        <w:keepNext w:val="0"/>
        <w:keepLines w:val="0"/>
        <w:spacing w:line="360" w:lineRule="auto"/>
        <w:ind w:firstLine="420" w:firstLineChars="200"/>
        <w:outlineLvl w:val="9"/>
        <w:rPr>
          <w:rFonts w:ascii="宋体" w:hAnsi="宋体" w:eastAsia="宋体"/>
          <w:color w:val="auto"/>
          <w:sz w:val="21"/>
          <w:szCs w:val="21"/>
          <w:highlight w:val="none"/>
        </w:rPr>
      </w:pPr>
      <w:bookmarkStart w:id="697" w:name="_Toc31190"/>
      <w:r>
        <w:rPr>
          <w:rFonts w:hint="eastAsia" w:ascii="宋体" w:hAnsi="宋体" w:eastAsia="宋体"/>
          <w:color w:val="auto"/>
          <w:sz w:val="21"/>
          <w:szCs w:val="21"/>
          <w:highlight w:val="none"/>
        </w:rPr>
        <w:t>6.3.1磋商小组按照第三章“评标办法”规定的方法、评审因素、标准和程序对响应文件进行评审。第三章“评标办法”没有规定的方法、评审因素和标准，不作为评标依据。</w:t>
      </w:r>
      <w:bookmarkEnd w:id="697"/>
    </w:p>
    <w:p w14:paraId="40A1B3C8">
      <w:pPr>
        <w:pStyle w:val="93"/>
        <w:keepNext w:val="0"/>
        <w:keepLines w:val="0"/>
        <w:spacing w:line="360" w:lineRule="auto"/>
        <w:ind w:firstLine="420" w:firstLineChars="200"/>
        <w:outlineLvl w:val="9"/>
        <w:rPr>
          <w:rFonts w:ascii="宋体" w:hAnsi="宋体" w:eastAsia="宋体"/>
          <w:color w:val="auto"/>
          <w:sz w:val="21"/>
          <w:szCs w:val="21"/>
          <w:highlight w:val="none"/>
        </w:rPr>
      </w:pPr>
      <w:bookmarkStart w:id="698" w:name="_Toc19699"/>
      <w:r>
        <w:rPr>
          <w:rFonts w:hint="eastAsia" w:ascii="宋体" w:hAnsi="宋体" w:eastAsia="宋体"/>
          <w:color w:val="auto"/>
          <w:sz w:val="21"/>
          <w:szCs w:val="21"/>
          <w:highlight w:val="none"/>
        </w:rPr>
        <w:t>6.3.2磋商过程中，磋商小组可以根据竞争性磋商文件和磋商情况实质性变动采购需求中的技术、服务要求以及合同草案条款，但不得变动竞争性磋商文件中的其他内容。实质性变动的内容，须经采购人代表确认。该变动是竞争性磋商文件的有效组成部分。对竞争性磋商文件作出的实质性变动是竞争性磋商文件的有效组成部分，磋商小组以书面形式同时通知所有参加磋商的供应商，并要求所有实质性响应的供应商在规定时间内提交最后报价，未提交</w:t>
      </w:r>
      <w:r>
        <w:rPr>
          <w:rFonts w:hint="eastAsia" w:ascii="宋体" w:hAnsi="宋体" w:eastAsia="宋体"/>
          <w:color w:val="auto"/>
          <w:sz w:val="21"/>
          <w:szCs w:val="21"/>
          <w:highlight w:val="none"/>
          <w:lang w:eastAsia="zh-CN"/>
        </w:rPr>
        <w:t>最后</w:t>
      </w:r>
      <w:r>
        <w:rPr>
          <w:rFonts w:hint="eastAsia" w:ascii="宋体" w:hAnsi="宋体" w:eastAsia="宋体"/>
          <w:color w:val="auto"/>
          <w:sz w:val="21"/>
          <w:szCs w:val="21"/>
          <w:highlight w:val="none"/>
        </w:rPr>
        <w:t>报价的作为无效响应处理。提交最终报价的供应商不得少于3家。</w:t>
      </w:r>
      <w:bookmarkEnd w:id="698"/>
    </w:p>
    <w:p w14:paraId="6D028B9F">
      <w:pPr>
        <w:pStyle w:val="93"/>
        <w:keepNext w:val="0"/>
        <w:keepLines w:val="0"/>
        <w:spacing w:line="360" w:lineRule="auto"/>
        <w:ind w:firstLine="420" w:firstLineChars="200"/>
        <w:outlineLvl w:val="9"/>
        <w:rPr>
          <w:rFonts w:ascii="宋体" w:hAnsi="宋体" w:eastAsia="宋体"/>
          <w:color w:val="auto"/>
          <w:sz w:val="21"/>
          <w:szCs w:val="21"/>
          <w:highlight w:val="none"/>
        </w:rPr>
      </w:pPr>
      <w:bookmarkStart w:id="699" w:name="_Toc32675"/>
      <w:r>
        <w:rPr>
          <w:rFonts w:hint="eastAsia" w:ascii="宋体" w:hAnsi="宋体" w:eastAsia="宋体"/>
          <w:color w:val="auto"/>
          <w:sz w:val="21"/>
          <w:szCs w:val="21"/>
          <w:highlight w:val="none"/>
        </w:rPr>
        <w:t>6.3.3已提交响应文件的供应商，在提交最后报价之前，可以根据磋商情况退出磋商。</w:t>
      </w:r>
      <w:bookmarkEnd w:id="699"/>
    </w:p>
    <w:p w14:paraId="09C0E280">
      <w:pPr>
        <w:pStyle w:val="93"/>
        <w:keepNext w:val="0"/>
        <w:keepLines w:val="0"/>
        <w:spacing w:line="360" w:lineRule="auto"/>
        <w:ind w:firstLine="420" w:firstLineChars="200"/>
        <w:outlineLvl w:val="9"/>
        <w:rPr>
          <w:rFonts w:ascii="宋体" w:hAnsi="宋体" w:eastAsia="宋体"/>
          <w:color w:val="auto"/>
          <w:sz w:val="21"/>
          <w:szCs w:val="21"/>
          <w:highlight w:val="none"/>
        </w:rPr>
      </w:pPr>
      <w:bookmarkStart w:id="700" w:name="_Toc12910"/>
      <w:r>
        <w:rPr>
          <w:rFonts w:hint="eastAsia" w:ascii="宋体" w:hAnsi="宋体" w:eastAsia="宋体"/>
          <w:color w:val="auto"/>
          <w:sz w:val="21"/>
          <w:szCs w:val="21"/>
          <w:highlight w:val="none"/>
        </w:rPr>
        <w:t>6.3.4经磋商确定最终采购需求和提交最后报价的供应商后，由磋商小组采用综合评分法对提交最后报价的供应商的响应文件和最后报价进行综合评分。</w:t>
      </w:r>
      <w:bookmarkEnd w:id="700"/>
    </w:p>
    <w:p w14:paraId="716B072B">
      <w:pPr>
        <w:pStyle w:val="93"/>
        <w:keepNext w:val="0"/>
        <w:keepLines w:val="0"/>
        <w:spacing w:line="360" w:lineRule="auto"/>
        <w:ind w:firstLine="420" w:firstLineChars="200"/>
        <w:outlineLvl w:val="9"/>
        <w:rPr>
          <w:rFonts w:ascii="宋体" w:hAnsi="宋体" w:eastAsia="宋体"/>
          <w:color w:val="auto"/>
          <w:sz w:val="21"/>
          <w:szCs w:val="21"/>
          <w:highlight w:val="none"/>
        </w:rPr>
      </w:pPr>
      <w:bookmarkStart w:id="701" w:name="_Toc3244"/>
      <w:r>
        <w:rPr>
          <w:rFonts w:hint="eastAsia" w:ascii="宋体" w:hAnsi="宋体" w:eastAsia="宋体"/>
          <w:color w:val="auto"/>
          <w:sz w:val="21"/>
          <w:szCs w:val="21"/>
          <w:highlight w:val="none"/>
        </w:rPr>
        <w:t>6.3.5评审完成后，磋商小组应当向采购人提交书面</w:t>
      </w:r>
      <w:r>
        <w:rPr>
          <w:rFonts w:hint="eastAsia" w:ascii="宋体" w:hAnsi="宋体" w:eastAsia="宋体"/>
          <w:color w:val="auto"/>
          <w:sz w:val="21"/>
          <w:szCs w:val="21"/>
          <w:highlight w:val="none"/>
          <w:lang w:val="en-US" w:eastAsia="zh-CN"/>
        </w:rPr>
        <w:t>评审</w:t>
      </w:r>
      <w:r>
        <w:rPr>
          <w:rFonts w:hint="eastAsia" w:ascii="宋体" w:hAnsi="宋体" w:eastAsia="宋体"/>
          <w:color w:val="auto"/>
          <w:sz w:val="21"/>
          <w:szCs w:val="21"/>
          <w:highlight w:val="none"/>
        </w:rPr>
        <w:t>报告和成交候选供应商名单。磋商小组推荐成交候选供应商数量见供应商须知前附表。</w:t>
      </w:r>
      <w:bookmarkEnd w:id="701"/>
    </w:p>
    <w:p w14:paraId="0B2214B5">
      <w:pPr>
        <w:pStyle w:val="92"/>
        <w:ind w:firstLine="420"/>
        <w:rPr>
          <w:color w:val="auto"/>
          <w:highlight w:val="none"/>
        </w:rPr>
      </w:pPr>
      <w:bookmarkStart w:id="702" w:name="_Toc455080142"/>
      <w:bookmarkEnd w:id="702"/>
      <w:bookmarkStart w:id="703" w:name="_Toc152045566"/>
      <w:bookmarkEnd w:id="703"/>
      <w:bookmarkStart w:id="704" w:name="_Toc144974534"/>
      <w:bookmarkEnd w:id="704"/>
      <w:bookmarkStart w:id="705" w:name="_Toc152042342"/>
      <w:bookmarkEnd w:id="705"/>
      <w:bookmarkStart w:id="706" w:name="_Toc509667293"/>
      <w:bookmarkEnd w:id="706"/>
      <w:bookmarkStart w:id="707" w:name="_Toc19595"/>
      <w:bookmarkStart w:id="708" w:name="_Toc129073493"/>
      <w:bookmarkStart w:id="709" w:name="_Toc2433"/>
      <w:bookmarkStart w:id="710" w:name="_Toc1743"/>
      <w:bookmarkStart w:id="711" w:name="_Toc7833"/>
      <w:bookmarkStart w:id="712" w:name="_Toc20633"/>
      <w:bookmarkStart w:id="713" w:name="_Toc10725"/>
      <w:bookmarkStart w:id="714" w:name="_Toc27782"/>
      <w:bookmarkStart w:id="715" w:name="_Toc25268"/>
      <w:bookmarkStart w:id="716" w:name="_Toc2213"/>
      <w:bookmarkStart w:id="717" w:name="_Toc14781"/>
      <w:r>
        <w:rPr>
          <w:rFonts w:hint="eastAsia"/>
          <w:color w:val="auto"/>
          <w:highlight w:val="none"/>
        </w:rPr>
        <w:t>7. 合同授予</w:t>
      </w:r>
      <w:bookmarkEnd w:id="707"/>
      <w:bookmarkEnd w:id="708"/>
      <w:bookmarkEnd w:id="709"/>
      <w:bookmarkEnd w:id="710"/>
      <w:bookmarkEnd w:id="711"/>
      <w:bookmarkEnd w:id="712"/>
      <w:bookmarkEnd w:id="713"/>
      <w:bookmarkEnd w:id="714"/>
      <w:bookmarkEnd w:id="715"/>
      <w:bookmarkEnd w:id="716"/>
      <w:bookmarkEnd w:id="717"/>
    </w:p>
    <w:p w14:paraId="3101C84C">
      <w:pPr>
        <w:pStyle w:val="93"/>
        <w:keepNext w:val="0"/>
        <w:keepLines w:val="0"/>
        <w:spacing w:line="360" w:lineRule="auto"/>
        <w:ind w:firstLine="422" w:firstLineChars="200"/>
        <w:rPr>
          <w:rFonts w:ascii="宋体" w:hAnsi="宋体" w:eastAsia="宋体"/>
          <w:b/>
          <w:bCs/>
          <w:color w:val="auto"/>
          <w:sz w:val="21"/>
          <w:szCs w:val="21"/>
          <w:highlight w:val="none"/>
        </w:rPr>
      </w:pPr>
      <w:bookmarkStart w:id="718" w:name="_Toc7358"/>
      <w:bookmarkEnd w:id="718"/>
      <w:bookmarkStart w:id="719" w:name="_Toc29664"/>
      <w:bookmarkEnd w:id="719"/>
      <w:bookmarkStart w:id="720" w:name="_Toc455867803"/>
      <w:bookmarkEnd w:id="720"/>
      <w:bookmarkStart w:id="721" w:name="_Toc509667294"/>
      <w:bookmarkEnd w:id="721"/>
      <w:bookmarkStart w:id="722" w:name="_Toc11409"/>
      <w:bookmarkEnd w:id="722"/>
      <w:bookmarkStart w:id="723" w:name="_Toc466298126"/>
      <w:bookmarkEnd w:id="723"/>
      <w:bookmarkStart w:id="724" w:name="_Toc490667863"/>
      <w:bookmarkEnd w:id="724"/>
      <w:bookmarkStart w:id="725" w:name="_Toc318450710"/>
      <w:bookmarkEnd w:id="725"/>
      <w:bookmarkStart w:id="726" w:name="_Toc14528"/>
      <w:bookmarkEnd w:id="726"/>
      <w:bookmarkStart w:id="727" w:name="_Toc152042343"/>
      <w:bookmarkEnd w:id="727"/>
      <w:bookmarkStart w:id="728" w:name="_Toc28919"/>
      <w:bookmarkEnd w:id="728"/>
      <w:bookmarkStart w:id="729" w:name="_Toc152045567"/>
      <w:bookmarkEnd w:id="729"/>
      <w:bookmarkStart w:id="730" w:name="_Toc455080143"/>
      <w:bookmarkEnd w:id="730"/>
      <w:bookmarkStart w:id="731" w:name="_Toc144974535"/>
      <w:bookmarkEnd w:id="731"/>
      <w:bookmarkStart w:id="732" w:name="_Toc25316"/>
      <w:bookmarkStart w:id="733" w:name="_Toc28142"/>
      <w:bookmarkStart w:id="734" w:name="_Toc3507"/>
      <w:bookmarkStart w:id="735" w:name="_Toc19462"/>
      <w:bookmarkStart w:id="736" w:name="_Toc17934"/>
      <w:bookmarkStart w:id="737" w:name="_Toc129073494"/>
      <w:r>
        <w:rPr>
          <w:rFonts w:hint="eastAsia" w:ascii="宋体" w:hAnsi="宋体" w:eastAsia="宋体"/>
          <w:b/>
          <w:bCs/>
          <w:color w:val="auto"/>
          <w:sz w:val="21"/>
          <w:szCs w:val="21"/>
          <w:highlight w:val="none"/>
        </w:rPr>
        <w:t>7.1 定标方式</w:t>
      </w:r>
      <w:bookmarkEnd w:id="732"/>
      <w:bookmarkEnd w:id="733"/>
      <w:bookmarkEnd w:id="734"/>
      <w:bookmarkEnd w:id="735"/>
      <w:bookmarkEnd w:id="736"/>
      <w:bookmarkEnd w:id="737"/>
    </w:p>
    <w:p w14:paraId="2957BBBF">
      <w:pPr>
        <w:spacing w:line="360" w:lineRule="auto"/>
        <w:ind w:firstLine="420" w:firstLineChars="200"/>
        <w:rPr>
          <w:rFonts w:ascii="宋体" w:hAnsi="宋体"/>
          <w:color w:val="auto"/>
          <w:highlight w:val="none"/>
        </w:rPr>
      </w:pPr>
      <w:bookmarkStart w:id="738" w:name="_Toc28254"/>
      <w:bookmarkEnd w:id="738"/>
      <w:bookmarkStart w:id="739" w:name="_Toc152045568"/>
      <w:bookmarkEnd w:id="739"/>
      <w:bookmarkStart w:id="740" w:name="_Toc7066"/>
      <w:bookmarkEnd w:id="740"/>
      <w:bookmarkStart w:id="741" w:name="_Toc318450711"/>
      <w:bookmarkEnd w:id="741"/>
      <w:bookmarkStart w:id="742" w:name="_Toc152042344"/>
      <w:bookmarkEnd w:id="742"/>
      <w:bookmarkStart w:id="743" w:name="_Toc144974536"/>
      <w:bookmarkEnd w:id="743"/>
      <w:bookmarkStart w:id="744" w:name="_Toc10868"/>
      <w:r>
        <w:rPr>
          <w:rFonts w:hint="eastAsia" w:ascii="宋体" w:hAnsi="宋体"/>
          <w:color w:val="auto"/>
          <w:highlight w:val="none"/>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磋商文件要求提交</w:t>
      </w:r>
      <w:r>
        <w:rPr>
          <w:rFonts w:hint="eastAsia" w:ascii="宋体" w:hAnsi="宋体"/>
          <w:color w:val="auto"/>
          <w:highlight w:val="none"/>
          <w:lang w:eastAsia="zh-CN"/>
        </w:rPr>
        <w:t>履约担保</w:t>
      </w:r>
      <w:r>
        <w:rPr>
          <w:rFonts w:hint="eastAsia" w:ascii="宋体" w:hAnsi="宋体"/>
          <w:color w:val="auto"/>
          <w:highlight w:val="none"/>
        </w:rPr>
        <w:t>，或者被查实存在影响成交结果的违法行为等情形，不符合成交条件的，采购人可以按照磋商小组提出的成交候选人名单排序依次确定其他成交候选人为成交人，也可以重新</w:t>
      </w:r>
      <w:r>
        <w:rPr>
          <w:rFonts w:hint="eastAsia" w:ascii="宋体" w:hAnsi="宋体"/>
          <w:color w:val="auto"/>
          <w:highlight w:val="none"/>
          <w:lang w:eastAsia="zh-CN"/>
        </w:rPr>
        <w:t>采购</w:t>
      </w:r>
      <w:r>
        <w:rPr>
          <w:rFonts w:hint="eastAsia" w:ascii="宋体" w:hAnsi="宋体"/>
          <w:color w:val="auto"/>
          <w:highlight w:val="none"/>
        </w:rPr>
        <w:t>。</w:t>
      </w:r>
      <w:bookmarkEnd w:id="744"/>
    </w:p>
    <w:p w14:paraId="7512893A">
      <w:pPr>
        <w:spacing w:line="440" w:lineRule="exact"/>
        <w:ind w:firstLine="422" w:firstLineChars="200"/>
        <w:textAlignment w:val="baseline"/>
        <w:rPr>
          <w:rStyle w:val="100"/>
          <w:rFonts w:ascii="宋体" w:hAnsi="宋体" w:cs="宋体"/>
          <w:b/>
          <w:bCs/>
          <w:color w:val="auto"/>
          <w:highlight w:val="none"/>
        </w:rPr>
      </w:pPr>
      <w:bookmarkStart w:id="745" w:name="_Toc455080146"/>
      <w:bookmarkEnd w:id="745"/>
      <w:bookmarkStart w:id="746" w:name="_Toc152045574"/>
      <w:bookmarkEnd w:id="746"/>
      <w:bookmarkStart w:id="747" w:name="_Toc5428"/>
      <w:bookmarkEnd w:id="747"/>
      <w:bookmarkStart w:id="748" w:name="_Toc490667864"/>
      <w:bookmarkEnd w:id="748"/>
      <w:bookmarkStart w:id="749" w:name="_Toc455080144"/>
      <w:bookmarkEnd w:id="749"/>
      <w:bookmarkStart w:id="750" w:name="_Toc466298127"/>
      <w:bookmarkEnd w:id="750"/>
      <w:bookmarkStart w:id="751" w:name="_Toc152042350"/>
      <w:bookmarkEnd w:id="751"/>
      <w:bookmarkStart w:id="752" w:name="_Toc144974542"/>
      <w:bookmarkEnd w:id="752"/>
      <w:bookmarkStart w:id="753" w:name="_Toc509667297"/>
      <w:bookmarkEnd w:id="753"/>
      <w:bookmarkStart w:id="754" w:name="_Toc15825"/>
      <w:bookmarkEnd w:id="754"/>
      <w:bookmarkStart w:id="755" w:name="_Toc455867804"/>
      <w:bookmarkEnd w:id="755"/>
      <w:bookmarkStart w:id="756" w:name="_Toc31386"/>
      <w:bookmarkEnd w:id="756"/>
      <w:bookmarkStart w:id="757" w:name="_Toc9897"/>
      <w:bookmarkEnd w:id="757"/>
      <w:bookmarkStart w:id="758" w:name="_Toc129073498"/>
      <w:r>
        <w:rPr>
          <w:rStyle w:val="100"/>
          <w:rFonts w:hint="eastAsia" w:ascii="宋体" w:hAnsi="宋体" w:cs="宋体"/>
          <w:b/>
          <w:bCs/>
          <w:color w:val="auto"/>
          <w:highlight w:val="none"/>
        </w:rPr>
        <w:t>7.2成交公告及成交通知</w:t>
      </w:r>
    </w:p>
    <w:p w14:paraId="1B642A58">
      <w:pPr>
        <w:spacing w:line="440" w:lineRule="exact"/>
        <w:ind w:firstLine="420" w:firstLineChars="200"/>
        <w:textAlignment w:val="baseline"/>
        <w:rPr>
          <w:rStyle w:val="100"/>
          <w:rFonts w:ascii="宋体" w:hAnsi="宋体" w:cs="宋体"/>
          <w:color w:val="auto"/>
          <w:highlight w:val="none"/>
        </w:rPr>
      </w:pPr>
      <w:r>
        <w:rPr>
          <w:rFonts w:hint="eastAsia" w:ascii="宋体" w:hAnsi="宋体" w:cs="宋体"/>
          <w:color w:val="auto"/>
          <w:highlight w:val="none"/>
        </w:rPr>
        <w:t>采购代理机构应当自评审结束之日起 2 个工作日内将评审报告送交采购人。采购人应当自收到评审报告之日起 5 个工作日内按评审报告中推荐的成交候选人顺序确定成交人。采购人或者采购代理机构应当自成交人确定之日起 2 个工作日内在</w:t>
      </w:r>
      <w:r>
        <w:rPr>
          <w:rFonts w:hint="eastAsia" w:ascii="宋体" w:hAnsi="宋体" w:cs="宋体"/>
          <w:color w:val="auto"/>
          <w:highlight w:val="none"/>
          <w:lang w:eastAsia="zh-CN"/>
        </w:rPr>
        <w:t>竞争性磋商公告发布的相同</w:t>
      </w:r>
      <w:r>
        <w:rPr>
          <w:rFonts w:hint="eastAsia" w:ascii="宋体" w:hAnsi="宋体" w:cs="宋体"/>
          <w:color w:val="auto"/>
          <w:highlight w:val="none"/>
        </w:rPr>
        <w:t>媒体上公告成交结果。</w:t>
      </w:r>
    </w:p>
    <w:p w14:paraId="4C006E55">
      <w:pPr>
        <w:spacing w:line="440" w:lineRule="exact"/>
        <w:ind w:firstLine="420" w:firstLineChars="200"/>
        <w:textAlignment w:val="baseline"/>
        <w:rPr>
          <w:rStyle w:val="100"/>
          <w:rFonts w:ascii="宋体" w:hAnsi="宋体" w:cs="宋体"/>
          <w:color w:val="auto"/>
          <w:kern w:val="0"/>
          <w:highlight w:val="none"/>
        </w:rPr>
      </w:pPr>
      <w:r>
        <w:rPr>
          <w:rStyle w:val="100"/>
          <w:rFonts w:hint="eastAsia" w:ascii="宋体" w:hAnsi="宋体" w:cs="宋体"/>
          <w:color w:val="auto"/>
          <w:kern w:val="0"/>
          <w:highlight w:val="none"/>
        </w:rPr>
        <w:t>在公告成交结果的同时，采购人或者采购代理机构应当向成交供应商发出成交通知书，对未通过资格审查的供应商，告知其未通过的原因并公告成交人得分及排序。</w:t>
      </w:r>
    </w:p>
    <w:p w14:paraId="512CE52F">
      <w:pPr>
        <w:pStyle w:val="102"/>
        <w:keepNext w:val="0"/>
        <w:keepLines w:val="0"/>
        <w:spacing w:line="440" w:lineRule="exact"/>
        <w:ind w:firstLine="422" w:firstLineChars="200"/>
        <w:rPr>
          <w:rStyle w:val="100"/>
          <w:rFonts w:hint="eastAsia" w:ascii="宋体" w:hAnsi="宋体" w:eastAsia="宋体" w:cs="宋体"/>
          <w:color w:val="auto"/>
          <w:highlight w:val="none"/>
          <w:lang w:eastAsia="zh-CN"/>
        </w:rPr>
      </w:pPr>
      <w:r>
        <w:rPr>
          <w:rStyle w:val="100"/>
          <w:rFonts w:hint="eastAsia" w:ascii="宋体" w:hAnsi="宋体" w:cs="宋体"/>
          <w:color w:val="auto"/>
          <w:highlight w:val="none"/>
        </w:rPr>
        <w:t xml:space="preserve">7.3 </w:t>
      </w:r>
      <w:r>
        <w:rPr>
          <w:rStyle w:val="100"/>
          <w:rFonts w:hint="eastAsia" w:ascii="宋体" w:hAnsi="宋体" w:cs="宋体"/>
          <w:color w:val="auto"/>
          <w:highlight w:val="none"/>
          <w:lang w:eastAsia="zh-CN"/>
        </w:rPr>
        <w:t>履约担保</w:t>
      </w:r>
    </w:p>
    <w:p w14:paraId="14EF0F15">
      <w:pPr>
        <w:spacing w:line="440" w:lineRule="exact"/>
        <w:ind w:firstLine="420" w:firstLineChars="200"/>
        <w:rPr>
          <w:rStyle w:val="100"/>
          <w:rFonts w:ascii="宋体" w:hAnsi="宋体" w:cs="宋体"/>
          <w:color w:val="auto"/>
          <w:kern w:val="0"/>
          <w:highlight w:val="none"/>
        </w:rPr>
      </w:pPr>
      <w:r>
        <w:rPr>
          <w:rStyle w:val="100"/>
          <w:rFonts w:hint="eastAsia" w:ascii="宋体" w:hAnsi="宋体" w:cs="宋体"/>
          <w:color w:val="auto"/>
          <w:kern w:val="0"/>
          <w:highlight w:val="none"/>
        </w:rPr>
        <w:t>7.3.1 在签订合同前，成交供应商应按供应商须知前附表规定的金额、担保形式和竞争性磋商文件第四章“合同条款及格式”规定的履约担保格式向采购人提交履约担保。</w:t>
      </w:r>
    </w:p>
    <w:p w14:paraId="4767F142">
      <w:pPr>
        <w:spacing w:line="440" w:lineRule="exact"/>
        <w:ind w:firstLine="420" w:firstLineChars="200"/>
        <w:rPr>
          <w:rStyle w:val="100"/>
          <w:rFonts w:ascii="宋体" w:hAnsi="宋体" w:cs="宋体"/>
          <w:color w:val="auto"/>
          <w:kern w:val="0"/>
          <w:highlight w:val="none"/>
        </w:rPr>
      </w:pPr>
      <w:r>
        <w:rPr>
          <w:rStyle w:val="100"/>
          <w:rFonts w:hint="eastAsia" w:ascii="宋体" w:hAnsi="宋体" w:cs="宋体"/>
          <w:color w:val="auto"/>
          <w:kern w:val="0"/>
          <w:highlight w:val="none"/>
        </w:rPr>
        <w:t>7.3.2 成交供应商不能按本章第7.3.1 项要求提交履约担保的，视为放弃中标，给采购人造成的损失较大的，成交供应商还应当对超过部分予以赔偿。</w:t>
      </w:r>
    </w:p>
    <w:p w14:paraId="69E820FA">
      <w:pPr>
        <w:pStyle w:val="102"/>
        <w:keepNext w:val="0"/>
        <w:keepLines w:val="0"/>
        <w:spacing w:line="440" w:lineRule="exact"/>
        <w:ind w:firstLine="422" w:firstLineChars="200"/>
        <w:rPr>
          <w:rStyle w:val="100"/>
          <w:rFonts w:ascii="宋体" w:hAnsi="宋体" w:cs="宋体"/>
          <w:color w:val="auto"/>
          <w:highlight w:val="none"/>
        </w:rPr>
      </w:pPr>
      <w:r>
        <w:rPr>
          <w:rStyle w:val="100"/>
          <w:rFonts w:hint="eastAsia" w:ascii="宋体" w:hAnsi="宋体" w:cs="宋体"/>
          <w:color w:val="auto"/>
          <w:highlight w:val="none"/>
        </w:rPr>
        <w:t>7.4 签订合同</w:t>
      </w:r>
    </w:p>
    <w:p w14:paraId="20A5B98A">
      <w:pPr>
        <w:spacing w:line="440" w:lineRule="exact"/>
        <w:ind w:firstLine="420" w:firstLineChars="200"/>
        <w:jc w:val="left"/>
        <w:rPr>
          <w:rStyle w:val="100"/>
          <w:rFonts w:ascii="宋体" w:hAnsi="宋体" w:cs="宋体"/>
          <w:color w:val="auto"/>
          <w:kern w:val="0"/>
          <w:highlight w:val="none"/>
        </w:rPr>
      </w:pPr>
      <w:r>
        <w:rPr>
          <w:rStyle w:val="100"/>
          <w:rFonts w:hint="eastAsia" w:ascii="宋体" w:hAnsi="宋体" w:cs="宋体"/>
          <w:color w:val="auto"/>
          <w:kern w:val="0"/>
          <w:highlight w:val="none"/>
        </w:rPr>
        <w:t>7.4.1 采购人应当自成交通知书发出之日起15日内，按照竞争性磋商文件和成交供应商响应文件的规定，与成交供应商签订书面合同。所签订的合同不得对竞争性磋商文件确定的事项和成交供应商响应文件作实质性修改。采购人不得向成交供应商提出任何不合理的要求作为签订合同的条件。</w:t>
      </w:r>
    </w:p>
    <w:p w14:paraId="3072B03E">
      <w:pPr>
        <w:spacing w:line="440" w:lineRule="exact"/>
        <w:ind w:firstLine="420" w:firstLineChars="200"/>
        <w:jc w:val="left"/>
        <w:rPr>
          <w:rStyle w:val="100"/>
          <w:rFonts w:hint="eastAsia" w:ascii="宋体" w:hAnsi="宋体" w:eastAsia="宋体" w:cs="宋体"/>
          <w:color w:val="auto"/>
          <w:kern w:val="0"/>
          <w:highlight w:val="none"/>
        </w:rPr>
      </w:pPr>
      <w:bookmarkStart w:id="759" w:name="_Toc2060"/>
      <w:bookmarkStart w:id="760" w:name="_Toc2288"/>
      <w:bookmarkStart w:id="761" w:name="_Toc5586"/>
      <w:bookmarkStart w:id="762" w:name="_Toc32361"/>
      <w:bookmarkStart w:id="763" w:name="_Toc20362"/>
      <w:bookmarkStart w:id="764" w:name="_Toc32531"/>
      <w:bookmarkStart w:id="765" w:name="_Toc25913"/>
      <w:bookmarkStart w:id="766" w:name="_Toc196"/>
      <w:r>
        <w:rPr>
          <w:rStyle w:val="100"/>
          <w:rFonts w:hint="eastAsia" w:ascii="宋体" w:hAnsi="宋体" w:eastAsia="宋体" w:cs="宋体"/>
          <w:color w:val="auto"/>
          <w:kern w:val="0"/>
          <w:highlight w:val="none"/>
        </w:rPr>
        <w:t>7.4.2 发出成交通知书后，成交供应商无正当理由拒签合同的，采购人取消其中标资格；给采购人造成的损失较大的，成交供应商还应当予以赔偿；采购人无正当理由拒签合同，给成交供应商造成损失的，还应当赔偿损失。</w:t>
      </w:r>
      <w:bookmarkEnd w:id="759"/>
      <w:bookmarkEnd w:id="760"/>
      <w:bookmarkEnd w:id="761"/>
      <w:bookmarkEnd w:id="762"/>
      <w:bookmarkEnd w:id="763"/>
      <w:bookmarkEnd w:id="764"/>
      <w:bookmarkEnd w:id="765"/>
      <w:bookmarkEnd w:id="766"/>
    </w:p>
    <w:p w14:paraId="499B608D">
      <w:pPr>
        <w:spacing w:line="440" w:lineRule="exact"/>
        <w:ind w:firstLine="420" w:firstLineChars="200"/>
        <w:jc w:val="left"/>
        <w:rPr>
          <w:rStyle w:val="100"/>
          <w:rFonts w:hint="eastAsia" w:ascii="宋体" w:hAnsi="宋体" w:eastAsia="宋体" w:cs="宋体"/>
          <w:color w:val="auto"/>
          <w:kern w:val="0"/>
          <w:highlight w:val="none"/>
        </w:rPr>
      </w:pPr>
      <w:bookmarkStart w:id="767" w:name="_Toc1419"/>
      <w:bookmarkStart w:id="768" w:name="_Toc18081"/>
      <w:bookmarkStart w:id="769" w:name="_Toc9074"/>
      <w:bookmarkStart w:id="770" w:name="_Toc19495"/>
      <w:bookmarkStart w:id="771" w:name="_Toc11095"/>
      <w:bookmarkStart w:id="772" w:name="_Toc21762"/>
      <w:bookmarkStart w:id="773" w:name="_Toc8969"/>
      <w:bookmarkStart w:id="774" w:name="_Toc21827"/>
      <w:r>
        <w:rPr>
          <w:rStyle w:val="100"/>
          <w:rFonts w:hint="eastAsia" w:ascii="宋体" w:hAnsi="宋体" w:eastAsia="宋体" w:cs="宋体"/>
          <w:color w:val="auto"/>
          <w:kern w:val="0"/>
          <w:highlight w:val="none"/>
        </w:rPr>
        <w:t>7.4.3采购人需追加与合同标的相同的服务的，在不改变合同</w:t>
      </w:r>
      <w:r>
        <w:rPr>
          <w:rStyle w:val="100"/>
          <w:rFonts w:hint="eastAsia" w:ascii="宋体" w:hAnsi="宋体" w:cs="宋体"/>
          <w:color w:val="auto"/>
          <w:kern w:val="0"/>
          <w:highlight w:val="none"/>
          <w:lang w:eastAsia="zh-CN"/>
        </w:rPr>
        <w:t>其他</w:t>
      </w:r>
      <w:r>
        <w:rPr>
          <w:rStyle w:val="100"/>
          <w:rFonts w:hint="eastAsia" w:ascii="宋体" w:hAnsi="宋体" w:eastAsia="宋体" w:cs="宋体"/>
          <w:color w:val="auto"/>
          <w:kern w:val="0"/>
          <w:highlight w:val="none"/>
        </w:rPr>
        <w:t>条款的前提下，可以与供应商签订补充合同，但所有补充合同的采购金额不得超过原合同金额的百分之十，且不得对服务内容、单价或</w:t>
      </w:r>
      <w:r>
        <w:rPr>
          <w:rStyle w:val="100"/>
          <w:rFonts w:hint="eastAsia" w:ascii="宋体" w:hAnsi="宋体" w:cs="宋体"/>
          <w:color w:val="auto"/>
          <w:kern w:val="0"/>
          <w:highlight w:val="none"/>
          <w:lang w:eastAsia="zh-CN"/>
        </w:rPr>
        <w:t>其他</w:t>
      </w:r>
      <w:r>
        <w:rPr>
          <w:rStyle w:val="100"/>
          <w:rFonts w:hint="eastAsia" w:ascii="宋体" w:hAnsi="宋体" w:eastAsia="宋体" w:cs="宋体"/>
          <w:color w:val="auto"/>
          <w:kern w:val="0"/>
          <w:highlight w:val="none"/>
        </w:rPr>
        <w:t>实质性条款和条件做任何改变。</w:t>
      </w:r>
      <w:bookmarkEnd w:id="767"/>
      <w:bookmarkEnd w:id="768"/>
      <w:bookmarkEnd w:id="769"/>
      <w:bookmarkEnd w:id="770"/>
      <w:bookmarkEnd w:id="771"/>
      <w:bookmarkEnd w:id="772"/>
      <w:bookmarkEnd w:id="773"/>
      <w:bookmarkEnd w:id="774"/>
    </w:p>
    <w:p w14:paraId="1510D683">
      <w:pPr>
        <w:pStyle w:val="92"/>
        <w:ind w:firstLine="420"/>
        <w:rPr>
          <w:color w:val="auto"/>
          <w:highlight w:val="none"/>
        </w:rPr>
      </w:pPr>
      <w:bookmarkStart w:id="775" w:name="_Toc23422"/>
      <w:bookmarkStart w:id="776" w:name="_Toc4164"/>
      <w:bookmarkStart w:id="777" w:name="_Toc31275"/>
      <w:bookmarkStart w:id="778" w:name="_Toc347"/>
      <w:bookmarkStart w:id="779" w:name="_Toc10895"/>
      <w:bookmarkStart w:id="780" w:name="_Toc30412"/>
      <w:bookmarkStart w:id="781" w:name="_Toc11357"/>
      <w:bookmarkStart w:id="782" w:name="_Toc7222"/>
      <w:bookmarkStart w:id="783" w:name="_Toc30194"/>
      <w:r>
        <w:rPr>
          <w:rFonts w:hint="eastAsia"/>
          <w:color w:val="auto"/>
          <w:highlight w:val="none"/>
        </w:rPr>
        <w:t>8. 重新招标</w:t>
      </w:r>
      <w:bookmarkEnd w:id="758"/>
      <w:bookmarkEnd w:id="775"/>
      <w:bookmarkEnd w:id="776"/>
      <w:bookmarkEnd w:id="777"/>
      <w:bookmarkEnd w:id="778"/>
      <w:bookmarkEnd w:id="779"/>
      <w:bookmarkEnd w:id="780"/>
      <w:bookmarkEnd w:id="781"/>
      <w:bookmarkEnd w:id="782"/>
      <w:bookmarkEnd w:id="783"/>
    </w:p>
    <w:p w14:paraId="05DB8183">
      <w:pPr>
        <w:spacing w:line="360" w:lineRule="auto"/>
        <w:ind w:firstLine="420" w:firstLineChars="200"/>
        <w:rPr>
          <w:rFonts w:ascii="宋体" w:hAnsi="宋体"/>
          <w:color w:val="auto"/>
          <w:highlight w:val="none"/>
        </w:rPr>
      </w:pPr>
      <w:bookmarkStart w:id="784" w:name="_Toc16556"/>
      <w:bookmarkEnd w:id="784"/>
      <w:r>
        <w:rPr>
          <w:rFonts w:hint="eastAsia" w:ascii="宋体" w:hAnsi="宋体"/>
          <w:color w:val="auto"/>
          <w:highlight w:val="none"/>
        </w:rPr>
        <w:t>出现下列情形之一的，采购人或者采购代理机构应当终止竞争性磋商采购活动，发布项目终止公告并说明原因，重新开展采购活动：</w:t>
      </w:r>
    </w:p>
    <w:p w14:paraId="6167B0BC">
      <w:pPr>
        <w:spacing w:line="360" w:lineRule="auto"/>
        <w:ind w:firstLine="420" w:firstLineChars="200"/>
        <w:rPr>
          <w:rFonts w:ascii="宋体" w:hAnsi="宋体"/>
          <w:color w:val="auto"/>
          <w:highlight w:val="none"/>
        </w:rPr>
      </w:pPr>
      <w:r>
        <w:rPr>
          <w:rFonts w:hint="eastAsia" w:ascii="宋体" w:hAnsi="宋体"/>
          <w:color w:val="auto"/>
          <w:highlight w:val="none"/>
        </w:rPr>
        <w:t>（一）因情况变化，不再符合规定的竞争性磋商采购方式适用情形的；</w:t>
      </w:r>
    </w:p>
    <w:p w14:paraId="567C19E3">
      <w:pPr>
        <w:spacing w:line="360" w:lineRule="auto"/>
        <w:ind w:firstLine="420" w:firstLineChars="200"/>
        <w:rPr>
          <w:rFonts w:ascii="宋体" w:hAnsi="宋体"/>
          <w:color w:val="auto"/>
          <w:highlight w:val="none"/>
        </w:rPr>
      </w:pPr>
      <w:r>
        <w:rPr>
          <w:rFonts w:hint="eastAsia" w:ascii="宋体" w:hAnsi="宋体"/>
          <w:color w:val="auto"/>
          <w:highlight w:val="none"/>
        </w:rPr>
        <w:t>（二）出现影响采购公正的违法、违规行为的；</w:t>
      </w:r>
    </w:p>
    <w:p w14:paraId="76D4F462">
      <w:pPr>
        <w:spacing w:line="360" w:lineRule="auto"/>
        <w:ind w:firstLine="420" w:firstLineChars="200"/>
        <w:rPr>
          <w:rFonts w:ascii="宋体" w:hAnsi="宋体"/>
          <w:color w:val="auto"/>
          <w:highlight w:val="none"/>
        </w:rPr>
      </w:pPr>
      <w:r>
        <w:rPr>
          <w:rFonts w:hint="eastAsia" w:ascii="宋体" w:hAnsi="宋体"/>
          <w:color w:val="auto"/>
          <w:highlight w:val="none"/>
        </w:rPr>
        <w:t>（三）除《政府采购竞争性磋商采购方式管理暂行办法》第二十一条第三款规定的情形外，在采购过程中符合要求的供应商或者报价未超过采购预算的供应商不足 3 家的。</w:t>
      </w:r>
    </w:p>
    <w:p w14:paraId="0CEFF615">
      <w:pPr>
        <w:pStyle w:val="92"/>
        <w:ind w:firstLine="420"/>
        <w:rPr>
          <w:color w:val="auto"/>
          <w:highlight w:val="none"/>
        </w:rPr>
      </w:pPr>
      <w:bookmarkStart w:id="785" w:name="_Toc509667298"/>
      <w:bookmarkEnd w:id="785"/>
      <w:bookmarkStart w:id="786" w:name="_Toc16204"/>
      <w:bookmarkEnd w:id="786"/>
      <w:bookmarkStart w:id="787" w:name="_Toc455080147"/>
      <w:bookmarkStart w:id="788" w:name="_Toc12463"/>
      <w:bookmarkStart w:id="789" w:name="_Toc129073499"/>
      <w:bookmarkStart w:id="790" w:name="_Toc28192"/>
      <w:bookmarkStart w:id="791" w:name="_Toc27461"/>
      <w:bookmarkStart w:id="792" w:name="_Toc2036"/>
      <w:bookmarkStart w:id="793" w:name="_Toc27285"/>
      <w:bookmarkStart w:id="794" w:name="_Toc4504"/>
      <w:bookmarkStart w:id="795" w:name="_Toc30204"/>
      <w:bookmarkStart w:id="796" w:name="_Toc20734"/>
      <w:bookmarkStart w:id="797" w:name="_Toc6886"/>
      <w:r>
        <w:rPr>
          <w:rFonts w:hint="eastAsia"/>
          <w:color w:val="auto"/>
          <w:highlight w:val="none"/>
        </w:rPr>
        <w:t>9. 纪律和监督</w:t>
      </w:r>
      <w:bookmarkEnd w:id="787"/>
      <w:bookmarkEnd w:id="788"/>
      <w:bookmarkEnd w:id="789"/>
      <w:bookmarkEnd w:id="790"/>
      <w:bookmarkEnd w:id="791"/>
      <w:bookmarkEnd w:id="792"/>
      <w:bookmarkEnd w:id="793"/>
      <w:bookmarkEnd w:id="794"/>
      <w:bookmarkEnd w:id="795"/>
      <w:bookmarkEnd w:id="796"/>
      <w:bookmarkEnd w:id="797"/>
    </w:p>
    <w:p w14:paraId="7D53B1D7">
      <w:pPr>
        <w:pStyle w:val="102"/>
        <w:keepNext w:val="0"/>
        <w:keepLines w:val="0"/>
        <w:spacing w:line="440" w:lineRule="exact"/>
        <w:ind w:firstLine="422" w:firstLineChars="200"/>
        <w:rPr>
          <w:rStyle w:val="100"/>
          <w:rFonts w:ascii="宋体" w:hAnsi="宋体" w:cs="宋体"/>
          <w:color w:val="auto"/>
          <w:highlight w:val="none"/>
        </w:rPr>
      </w:pPr>
      <w:bookmarkStart w:id="798" w:name="_Toc455080152"/>
      <w:bookmarkEnd w:id="798"/>
      <w:bookmarkStart w:id="799" w:name="_Toc8074"/>
      <w:bookmarkEnd w:id="799"/>
      <w:bookmarkStart w:id="800" w:name="_Toc509667299"/>
      <w:bookmarkEnd w:id="800"/>
      <w:bookmarkStart w:id="801" w:name="_Toc455080148"/>
      <w:bookmarkEnd w:id="801"/>
      <w:bookmarkStart w:id="802" w:name="_Toc12992"/>
      <w:bookmarkEnd w:id="802"/>
      <w:bookmarkStart w:id="803" w:name="_Toc152042356"/>
      <w:bookmarkEnd w:id="803"/>
      <w:bookmarkStart w:id="804" w:name="_Toc15592"/>
      <w:bookmarkEnd w:id="804"/>
      <w:bookmarkStart w:id="805" w:name="_Toc455867812"/>
      <w:bookmarkEnd w:id="805"/>
      <w:bookmarkStart w:id="806" w:name="_Toc318450718"/>
      <w:bookmarkEnd w:id="806"/>
      <w:bookmarkStart w:id="807" w:name="_Toc490667872"/>
      <w:bookmarkEnd w:id="807"/>
      <w:bookmarkStart w:id="808" w:name="_Toc152045575"/>
      <w:bookmarkEnd w:id="808"/>
      <w:bookmarkStart w:id="809" w:name="_Toc20009"/>
      <w:bookmarkEnd w:id="809"/>
      <w:bookmarkStart w:id="810" w:name="_Toc455867808"/>
      <w:bookmarkEnd w:id="810"/>
      <w:bookmarkStart w:id="811" w:name="_Toc144974543"/>
      <w:bookmarkEnd w:id="811"/>
      <w:bookmarkStart w:id="812" w:name="_Toc152045579"/>
      <w:bookmarkEnd w:id="812"/>
      <w:bookmarkStart w:id="813" w:name="_Toc17735"/>
      <w:bookmarkEnd w:id="813"/>
      <w:bookmarkStart w:id="814" w:name="_Toc1820"/>
      <w:bookmarkEnd w:id="814"/>
      <w:bookmarkStart w:id="815" w:name="_Toc152042351"/>
      <w:bookmarkEnd w:id="815"/>
      <w:bookmarkStart w:id="816" w:name="_Toc13970"/>
      <w:bookmarkEnd w:id="816"/>
      <w:bookmarkStart w:id="817" w:name="_Toc509667303"/>
      <w:bookmarkEnd w:id="817"/>
      <w:bookmarkStart w:id="818" w:name="_Toc3303"/>
      <w:bookmarkEnd w:id="818"/>
      <w:bookmarkStart w:id="819" w:name="_Toc466298135"/>
      <w:bookmarkEnd w:id="819"/>
      <w:bookmarkStart w:id="820" w:name="_Toc490667868"/>
      <w:bookmarkEnd w:id="820"/>
      <w:bookmarkStart w:id="821" w:name="_Toc19159"/>
      <w:bookmarkEnd w:id="821"/>
      <w:bookmarkStart w:id="822" w:name="_Toc1282"/>
      <w:bookmarkEnd w:id="822"/>
      <w:bookmarkStart w:id="823" w:name="_Toc25751"/>
      <w:bookmarkEnd w:id="823"/>
      <w:bookmarkStart w:id="824" w:name="_Toc318450714"/>
      <w:bookmarkEnd w:id="824"/>
      <w:bookmarkStart w:id="825" w:name="_Toc3617"/>
      <w:bookmarkStart w:id="826" w:name="_Toc129073504"/>
      <w:r>
        <w:rPr>
          <w:rStyle w:val="100"/>
          <w:rFonts w:hint="eastAsia" w:ascii="宋体" w:hAnsi="宋体" w:cs="宋体"/>
          <w:color w:val="auto"/>
          <w:highlight w:val="none"/>
        </w:rPr>
        <w:t>9.1 对采购人的纪律要求</w:t>
      </w:r>
    </w:p>
    <w:p w14:paraId="79E1B74B">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采购人</w:t>
      </w:r>
      <w:r>
        <w:rPr>
          <w:rStyle w:val="100"/>
          <w:rFonts w:hint="eastAsia" w:ascii="宋体" w:hAnsi="宋体" w:cs="宋体"/>
          <w:color w:val="auto"/>
          <w:highlight w:val="none"/>
          <w:lang w:eastAsia="zh-CN"/>
        </w:rPr>
        <w:t>不得泄露</w:t>
      </w:r>
      <w:r>
        <w:rPr>
          <w:rStyle w:val="100"/>
          <w:rFonts w:hint="eastAsia" w:ascii="宋体" w:hAnsi="宋体" w:cs="宋体"/>
          <w:color w:val="auto"/>
          <w:highlight w:val="none"/>
        </w:rPr>
        <w:t>招标投标活动中应当保密的情况和资料，不得与供应商串通损害国家利益、社会公共利益或者他人合法权益。</w:t>
      </w:r>
    </w:p>
    <w:p w14:paraId="3F108DA8">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有下列情形之一的，属于采购人与供应商串通投标：</w:t>
      </w:r>
    </w:p>
    <w:p w14:paraId="56CE1903">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（一）采购人在开标前开启响应文件并将有关信息泄露给其他供应商；</w:t>
      </w:r>
    </w:p>
    <w:p w14:paraId="60DE929F">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（二）采购人直接或者间接向供应商泄露标底、磋商小组成员等信息；</w:t>
      </w:r>
    </w:p>
    <w:p w14:paraId="53262D9C">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（三）采购人明示或者暗示供应商压低或者抬高磋商报价；</w:t>
      </w:r>
    </w:p>
    <w:p w14:paraId="2AA57788">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（四）采购人授意供应商撤换、修改响应文件；</w:t>
      </w:r>
    </w:p>
    <w:p w14:paraId="45E71B16">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（五）采购人明示或者暗示供应商为特定供应商中标提供方便；</w:t>
      </w:r>
    </w:p>
    <w:p w14:paraId="75BFF06E">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（六）采购人与供应商为谋求特定供应商中标而采取的其他串通行为。</w:t>
      </w:r>
    </w:p>
    <w:p w14:paraId="210B17B7">
      <w:pPr>
        <w:pStyle w:val="102"/>
        <w:keepNext w:val="0"/>
        <w:keepLines w:val="0"/>
        <w:spacing w:line="440" w:lineRule="exact"/>
        <w:ind w:firstLine="422" w:firstLineChars="200"/>
        <w:rPr>
          <w:rStyle w:val="100"/>
          <w:rFonts w:ascii="宋体" w:hAnsi="宋体" w:cs="宋体"/>
          <w:color w:val="auto"/>
          <w:highlight w:val="none"/>
        </w:rPr>
      </w:pPr>
      <w:r>
        <w:rPr>
          <w:rStyle w:val="100"/>
          <w:rFonts w:hint="eastAsia" w:ascii="宋体" w:hAnsi="宋体" w:cs="宋体"/>
          <w:color w:val="auto"/>
          <w:highlight w:val="none"/>
        </w:rPr>
        <w:t>9.2 对供应商的纪律要求</w:t>
      </w:r>
    </w:p>
    <w:p w14:paraId="1E19A22D">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供应商不得相互串通投标或者与采购人串通投标，不得向采购人或者磋商小组成员行贿谋取中标，不得以他人名义投标或者以其他方式弄虚作假骗取中标；供应商不得以任何方式干扰、影响评审工作。</w:t>
      </w:r>
    </w:p>
    <w:p w14:paraId="394ADAFB">
      <w:pPr>
        <w:spacing w:line="440" w:lineRule="exact"/>
        <w:ind w:firstLine="422" w:firstLineChars="200"/>
        <w:rPr>
          <w:rStyle w:val="100"/>
          <w:rFonts w:ascii="宋体" w:hAnsi="宋体" w:cs="宋体"/>
          <w:b/>
          <w:bCs/>
          <w:color w:val="auto"/>
          <w:highlight w:val="none"/>
        </w:rPr>
      </w:pPr>
      <w:r>
        <w:rPr>
          <w:rStyle w:val="100"/>
          <w:rFonts w:hint="eastAsia" w:ascii="宋体" w:hAnsi="宋体" w:cs="宋体"/>
          <w:b/>
          <w:bCs/>
          <w:color w:val="auto"/>
          <w:highlight w:val="none"/>
        </w:rPr>
        <w:t>9.2.1 有下列情形之一的，视为供应商相互串通投标，其投标无效：</w:t>
      </w:r>
    </w:p>
    <w:p w14:paraId="12CE5258">
      <w:pPr>
        <w:spacing w:line="440" w:lineRule="exact"/>
        <w:ind w:firstLine="422" w:firstLineChars="200"/>
        <w:rPr>
          <w:rStyle w:val="100"/>
          <w:rFonts w:ascii="宋体" w:hAnsi="宋体" w:cs="宋体"/>
          <w:b/>
          <w:bCs/>
          <w:color w:val="auto"/>
          <w:highlight w:val="none"/>
        </w:rPr>
      </w:pPr>
      <w:r>
        <w:rPr>
          <w:rStyle w:val="100"/>
          <w:rFonts w:hint="eastAsia" w:ascii="宋体" w:hAnsi="宋体" w:cs="宋体"/>
          <w:b/>
          <w:bCs/>
          <w:color w:val="auto"/>
          <w:highlight w:val="none"/>
        </w:rPr>
        <w:t>（一）不同供应商的电子投标（响应）文件上传计算机的网卡MAC地址、CPU序列号和硬盘序列号等硬件信息相同的；</w:t>
      </w:r>
    </w:p>
    <w:p w14:paraId="3842D44B">
      <w:pPr>
        <w:spacing w:line="440" w:lineRule="exact"/>
        <w:ind w:firstLine="422" w:firstLineChars="200"/>
        <w:rPr>
          <w:rStyle w:val="100"/>
          <w:rFonts w:ascii="宋体" w:hAnsi="宋体" w:cs="宋体"/>
          <w:b/>
          <w:bCs/>
          <w:color w:val="auto"/>
          <w:highlight w:val="none"/>
        </w:rPr>
      </w:pPr>
      <w:r>
        <w:rPr>
          <w:rStyle w:val="100"/>
          <w:rFonts w:hint="eastAsia" w:ascii="宋体" w:hAnsi="宋体" w:cs="宋体"/>
          <w:b/>
          <w:bCs/>
          <w:color w:val="auto"/>
          <w:highlight w:val="none"/>
        </w:rPr>
        <w:t>（二）不同供应商的投标（响应）文件由同一电子设备编制、打印加密或者上传；</w:t>
      </w:r>
    </w:p>
    <w:p w14:paraId="5A4FA020">
      <w:pPr>
        <w:spacing w:line="440" w:lineRule="exact"/>
        <w:ind w:firstLine="422" w:firstLineChars="200"/>
        <w:rPr>
          <w:rStyle w:val="100"/>
          <w:rFonts w:ascii="宋体" w:hAnsi="宋体" w:cs="宋体"/>
          <w:b/>
          <w:bCs/>
          <w:color w:val="auto"/>
          <w:highlight w:val="none"/>
        </w:rPr>
      </w:pPr>
      <w:r>
        <w:rPr>
          <w:rStyle w:val="100"/>
          <w:rFonts w:hint="eastAsia" w:ascii="宋体" w:hAnsi="宋体" w:cs="宋体"/>
          <w:b/>
          <w:bCs/>
          <w:color w:val="auto"/>
          <w:highlight w:val="none"/>
        </w:rPr>
        <w:t>（三）不同供应商的投标（响应）文件由同一电子设备打印、复印；</w:t>
      </w:r>
    </w:p>
    <w:p w14:paraId="4DC7E601">
      <w:pPr>
        <w:spacing w:line="440" w:lineRule="exact"/>
        <w:ind w:firstLine="422" w:firstLineChars="200"/>
        <w:rPr>
          <w:rStyle w:val="100"/>
          <w:rFonts w:ascii="宋体" w:hAnsi="宋体" w:cs="宋体"/>
          <w:b/>
          <w:bCs/>
          <w:color w:val="auto"/>
          <w:highlight w:val="none"/>
        </w:rPr>
      </w:pPr>
      <w:r>
        <w:rPr>
          <w:rStyle w:val="100"/>
          <w:rFonts w:hint="eastAsia" w:ascii="宋体" w:hAnsi="宋体" w:cs="宋体"/>
          <w:b/>
          <w:bCs/>
          <w:color w:val="auto"/>
          <w:highlight w:val="none"/>
        </w:rPr>
        <w:t>（四）不同供应商的投标（响应）文件由同一人送达或者分发，或者不同供应商联系人为同一人或不同联系人的联系电话一致的；</w:t>
      </w:r>
    </w:p>
    <w:p w14:paraId="1E5F489D">
      <w:pPr>
        <w:spacing w:line="440" w:lineRule="exact"/>
        <w:ind w:firstLine="422" w:firstLineChars="200"/>
        <w:rPr>
          <w:rStyle w:val="100"/>
          <w:rFonts w:ascii="宋体" w:hAnsi="宋体" w:cs="宋体"/>
          <w:b/>
          <w:bCs/>
          <w:color w:val="auto"/>
          <w:highlight w:val="none"/>
        </w:rPr>
      </w:pPr>
      <w:r>
        <w:rPr>
          <w:rStyle w:val="100"/>
          <w:rFonts w:hint="eastAsia" w:ascii="宋体" w:hAnsi="宋体" w:cs="宋体"/>
          <w:b/>
          <w:bCs/>
          <w:color w:val="auto"/>
          <w:highlight w:val="none"/>
        </w:rPr>
        <w:t>（五）不同供应商的投标（响应）文件的内容存在两处以上细节错误一致；</w:t>
      </w:r>
    </w:p>
    <w:p w14:paraId="114A0D10">
      <w:pPr>
        <w:spacing w:line="440" w:lineRule="exact"/>
        <w:ind w:firstLine="422" w:firstLineChars="200"/>
        <w:rPr>
          <w:rStyle w:val="100"/>
          <w:rFonts w:ascii="宋体" w:hAnsi="宋体" w:cs="宋体"/>
          <w:b/>
          <w:bCs/>
          <w:color w:val="auto"/>
          <w:highlight w:val="none"/>
        </w:rPr>
      </w:pPr>
      <w:r>
        <w:rPr>
          <w:rStyle w:val="100"/>
          <w:rFonts w:hint="eastAsia" w:ascii="宋体" w:hAnsi="宋体" w:cs="宋体"/>
          <w:b/>
          <w:bCs/>
          <w:color w:val="auto"/>
          <w:highlight w:val="none"/>
        </w:rPr>
        <w:t>（六）不同供应商的法定代表人、委托代理人、项目经理、项目经理等由同一个单位缴纳社会保险或者领取报酬的；</w:t>
      </w:r>
    </w:p>
    <w:p w14:paraId="3B68ABA9">
      <w:pPr>
        <w:spacing w:line="440" w:lineRule="exact"/>
        <w:ind w:firstLine="422" w:firstLineChars="200"/>
        <w:rPr>
          <w:rStyle w:val="100"/>
          <w:rFonts w:ascii="宋体" w:hAnsi="宋体" w:cs="宋体"/>
          <w:b/>
          <w:bCs/>
          <w:color w:val="auto"/>
          <w:highlight w:val="none"/>
        </w:rPr>
      </w:pPr>
      <w:r>
        <w:rPr>
          <w:rStyle w:val="100"/>
          <w:rFonts w:hint="eastAsia" w:ascii="宋体" w:hAnsi="宋体" w:cs="宋体"/>
          <w:b/>
          <w:bCs/>
          <w:color w:val="auto"/>
          <w:highlight w:val="none"/>
        </w:rPr>
        <w:t>（七）不同供应商投标（响应）文件中法定代表人或者负责人签字出自同一人之手；</w:t>
      </w:r>
    </w:p>
    <w:p w14:paraId="4C848366">
      <w:pPr>
        <w:spacing w:line="440" w:lineRule="exact"/>
        <w:ind w:firstLine="422" w:firstLineChars="200"/>
        <w:rPr>
          <w:rStyle w:val="100"/>
          <w:rFonts w:ascii="宋体" w:hAnsi="宋体" w:cs="宋体"/>
          <w:b/>
          <w:bCs/>
          <w:color w:val="auto"/>
          <w:highlight w:val="none"/>
        </w:rPr>
      </w:pPr>
      <w:r>
        <w:rPr>
          <w:rStyle w:val="100"/>
          <w:rFonts w:hint="eastAsia" w:ascii="宋体" w:hAnsi="宋体" w:cs="宋体"/>
          <w:b/>
          <w:bCs/>
          <w:color w:val="auto"/>
          <w:highlight w:val="none"/>
        </w:rPr>
        <w:t>（八）</w:t>
      </w:r>
      <w:r>
        <w:rPr>
          <w:rStyle w:val="100"/>
          <w:rFonts w:hint="eastAsia" w:ascii="宋体" w:hAnsi="宋体" w:cs="宋体"/>
          <w:b/>
          <w:bCs/>
          <w:color w:val="auto"/>
          <w:highlight w:val="none"/>
          <w:lang w:eastAsia="zh-CN"/>
        </w:rPr>
        <w:t>其他</w:t>
      </w:r>
      <w:r>
        <w:rPr>
          <w:rStyle w:val="100"/>
          <w:rFonts w:hint="eastAsia" w:ascii="宋体" w:hAnsi="宋体" w:cs="宋体"/>
          <w:b/>
          <w:bCs/>
          <w:color w:val="auto"/>
          <w:highlight w:val="none"/>
        </w:rPr>
        <w:t>涉嫌串通的情形。</w:t>
      </w:r>
    </w:p>
    <w:p w14:paraId="0650CA72">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9.2.2 有下列情形之一的，属于以他人名义投标：</w:t>
      </w:r>
    </w:p>
    <w:p w14:paraId="58C4D057">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（一）使用通过受让或者租借等方式获取的资格、资质证书投标的。</w:t>
      </w:r>
    </w:p>
    <w:p w14:paraId="568EC05B">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9.2.3有下列情形之一的，属于以其他方式弄虚作假的行为：</w:t>
      </w:r>
    </w:p>
    <w:p w14:paraId="4EE07C07">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（一）使用伪造、变造的许可证件；</w:t>
      </w:r>
    </w:p>
    <w:p w14:paraId="5CD8177D">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（二）提供虚假的财务状况或者业绩；</w:t>
      </w:r>
    </w:p>
    <w:p w14:paraId="2BEBADF3">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（三）提供虚假的项目经理或者主要技术人员简历、劳动关系证明；</w:t>
      </w:r>
    </w:p>
    <w:p w14:paraId="335E930A">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（四）提供虚假的信用状况；</w:t>
      </w:r>
    </w:p>
    <w:p w14:paraId="463F4FDF">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（五）其他弄虚作假的行为。</w:t>
      </w:r>
    </w:p>
    <w:p w14:paraId="40951161">
      <w:pPr>
        <w:pStyle w:val="102"/>
        <w:keepNext w:val="0"/>
        <w:keepLines w:val="0"/>
        <w:spacing w:line="440" w:lineRule="exact"/>
        <w:ind w:firstLine="422" w:firstLineChars="200"/>
        <w:rPr>
          <w:rStyle w:val="100"/>
          <w:rFonts w:ascii="宋体" w:hAnsi="宋体" w:cs="宋体"/>
          <w:color w:val="auto"/>
          <w:highlight w:val="none"/>
        </w:rPr>
      </w:pPr>
      <w:r>
        <w:rPr>
          <w:rStyle w:val="100"/>
          <w:rFonts w:hint="eastAsia" w:ascii="宋体" w:hAnsi="宋体" w:cs="宋体"/>
          <w:color w:val="auto"/>
          <w:highlight w:val="none"/>
        </w:rPr>
        <w:t>9.3 对磋商小组成员的纪律要求</w:t>
      </w:r>
    </w:p>
    <w:p w14:paraId="0FB85EED">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（一）确定参与评审至评审结束前私自接触供应商；</w:t>
      </w:r>
    </w:p>
    <w:p w14:paraId="469331E1">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（二）接受供应商提出的与响应文件不一致的澄清或者说明；</w:t>
      </w:r>
    </w:p>
    <w:p w14:paraId="7518FA8B">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（三）违反评审纪律发表倾向性意见或者征询采购人的倾向性意见；</w:t>
      </w:r>
    </w:p>
    <w:p w14:paraId="25EC7EF5">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（四）对需要专业判断的主观评审因素协商评分；</w:t>
      </w:r>
    </w:p>
    <w:p w14:paraId="17E8E992">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（五）在评审过程中擅离职守，影响评审程序正常进行的；</w:t>
      </w:r>
    </w:p>
    <w:p w14:paraId="263F6015">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（六）记录、复制或者带走任何评审资料；</w:t>
      </w:r>
    </w:p>
    <w:p w14:paraId="5E056E83">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（七）其他不遵守评审纪律的行为。</w:t>
      </w:r>
    </w:p>
    <w:p w14:paraId="464C3AE1">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磋商小组成员有前款第一至五项行为之一的，其评审意见无效，并不得获取评审劳务报酬和报销异地评审差旅费。</w:t>
      </w:r>
    </w:p>
    <w:p w14:paraId="4A061693">
      <w:pPr>
        <w:pStyle w:val="102"/>
        <w:keepNext w:val="0"/>
        <w:keepLines w:val="0"/>
        <w:spacing w:line="440" w:lineRule="exact"/>
        <w:ind w:firstLine="422" w:firstLineChars="200"/>
        <w:rPr>
          <w:rStyle w:val="100"/>
          <w:rFonts w:ascii="宋体" w:hAnsi="宋体" w:cs="宋体"/>
          <w:color w:val="auto"/>
          <w:highlight w:val="none"/>
        </w:rPr>
      </w:pPr>
      <w:r>
        <w:rPr>
          <w:rStyle w:val="100"/>
          <w:rFonts w:hint="eastAsia" w:ascii="宋体" w:hAnsi="宋体" w:cs="宋体"/>
          <w:color w:val="auto"/>
          <w:highlight w:val="none"/>
        </w:rPr>
        <w:t>9.4 对与评审活动有关的工作人员的纪律要求</w:t>
      </w:r>
    </w:p>
    <w:p w14:paraId="636D7CCA">
      <w:pPr>
        <w:spacing w:line="440" w:lineRule="exact"/>
        <w:ind w:firstLine="420" w:firstLineChars="200"/>
        <w:rPr>
          <w:rStyle w:val="100"/>
          <w:rFonts w:ascii="宋体" w:hAnsi="宋体" w:cs="宋体"/>
          <w:color w:val="auto"/>
          <w:highlight w:val="none"/>
        </w:rPr>
      </w:pPr>
      <w:r>
        <w:rPr>
          <w:rStyle w:val="100"/>
          <w:rFonts w:hint="eastAsia" w:ascii="宋体" w:hAnsi="宋体" w:cs="宋体"/>
          <w:color w:val="auto"/>
          <w:highlight w:val="none"/>
        </w:rPr>
        <w:t>与评审活动有关的工作人员不得收受他人的财物或者其他好处，不得向他人</w:t>
      </w:r>
      <w:r>
        <w:rPr>
          <w:rStyle w:val="100"/>
          <w:rFonts w:hint="eastAsia" w:ascii="宋体" w:hAnsi="宋体" w:cs="宋体"/>
          <w:color w:val="auto"/>
          <w:highlight w:val="none"/>
          <w:lang w:eastAsia="zh-CN"/>
        </w:rPr>
        <w:t>透露</w:t>
      </w:r>
      <w:r>
        <w:rPr>
          <w:rStyle w:val="100"/>
          <w:rFonts w:hint="eastAsia" w:ascii="宋体" w:hAnsi="宋体" w:cs="宋体"/>
          <w:color w:val="auto"/>
          <w:highlight w:val="none"/>
        </w:rPr>
        <w:t>对响应文件的评审和比较、成交候选人的推荐情况以及评审有关的其他情况。在评审活动中，与评审活动有关的工作人员不得擅离职守，影响评审程序正常进行。</w:t>
      </w:r>
    </w:p>
    <w:p w14:paraId="6BA7FC35">
      <w:pPr>
        <w:spacing w:line="360" w:lineRule="auto"/>
        <w:ind w:firstLine="422" w:firstLineChars="200"/>
        <w:rPr>
          <w:rFonts w:ascii="宋体" w:hAnsi="宋体"/>
          <w:b/>
          <w:bCs/>
          <w:color w:val="auto"/>
          <w:highlight w:val="none"/>
        </w:rPr>
      </w:pPr>
      <w:r>
        <w:rPr>
          <w:rFonts w:hint="eastAsia" w:ascii="宋体" w:hAnsi="宋体"/>
          <w:b/>
          <w:bCs/>
          <w:color w:val="auto"/>
          <w:highlight w:val="none"/>
        </w:rPr>
        <w:t xml:space="preserve">9.5 </w:t>
      </w:r>
      <w:bookmarkEnd w:id="825"/>
      <w:bookmarkEnd w:id="826"/>
      <w:r>
        <w:rPr>
          <w:rFonts w:hint="eastAsia" w:ascii="宋体" w:hAnsi="宋体"/>
          <w:b/>
          <w:bCs/>
          <w:color w:val="auto"/>
          <w:highlight w:val="none"/>
        </w:rPr>
        <w:t>质疑和投诉</w:t>
      </w:r>
    </w:p>
    <w:p w14:paraId="431D8134">
      <w:pPr>
        <w:spacing w:line="360" w:lineRule="auto"/>
        <w:ind w:firstLine="420" w:firstLineChars="200"/>
        <w:rPr>
          <w:rFonts w:ascii="宋体" w:hAnsi="宋体"/>
          <w:color w:val="auto"/>
          <w:highlight w:val="none"/>
        </w:rPr>
      </w:pPr>
      <w:r>
        <w:rPr>
          <w:rFonts w:hint="eastAsia" w:ascii="宋体" w:hAnsi="宋体"/>
          <w:color w:val="auto"/>
          <w:highlight w:val="none"/>
        </w:rPr>
        <w:t>9.5.1供应商认为竞争性磋商文件、采购过程和成交结果使自己的权益受到损害的，可以在知道或者应知其权益受到损害之日起七个工作日内，以书面形式向采购代理机构提出质疑。（格式见本章附件1）</w:t>
      </w:r>
    </w:p>
    <w:p w14:paraId="7B585B8A">
      <w:pPr>
        <w:spacing w:line="360" w:lineRule="auto"/>
        <w:ind w:firstLine="420" w:firstLineChars="200"/>
        <w:rPr>
          <w:rFonts w:ascii="宋体" w:hAnsi="宋体"/>
          <w:color w:val="auto"/>
          <w:highlight w:val="none"/>
        </w:rPr>
      </w:pPr>
      <w:r>
        <w:rPr>
          <w:rFonts w:hint="eastAsia" w:ascii="宋体" w:hAnsi="宋体"/>
          <w:color w:val="auto"/>
          <w:highlight w:val="none"/>
        </w:rPr>
        <w:t>9.5.2供应商应知其权益受到损害之日，是指：</w:t>
      </w:r>
    </w:p>
    <w:p w14:paraId="4057A273">
      <w:pPr>
        <w:spacing w:line="360" w:lineRule="auto"/>
        <w:ind w:firstLine="420" w:firstLineChars="200"/>
        <w:rPr>
          <w:rFonts w:ascii="宋体" w:hAnsi="宋体"/>
          <w:color w:val="auto"/>
          <w:highlight w:val="none"/>
        </w:rPr>
      </w:pPr>
      <w:r>
        <w:rPr>
          <w:rFonts w:hint="eastAsia" w:ascii="宋体" w:hAnsi="宋体"/>
          <w:color w:val="auto"/>
          <w:highlight w:val="none"/>
        </w:rPr>
        <w:t>（1）对可以质疑的竞争性磋商文件提出质疑的，为收到竞争性磋商文件之日或者竞争性磋商文件公告期限届满之日；</w:t>
      </w:r>
    </w:p>
    <w:p w14:paraId="0AB6ECE7">
      <w:pPr>
        <w:spacing w:line="360" w:lineRule="auto"/>
        <w:ind w:firstLine="420" w:firstLineChars="200"/>
        <w:rPr>
          <w:rFonts w:ascii="宋体" w:hAnsi="宋体"/>
          <w:color w:val="auto"/>
          <w:highlight w:val="none"/>
        </w:rPr>
      </w:pPr>
      <w:r>
        <w:rPr>
          <w:rFonts w:hint="eastAsia" w:ascii="宋体" w:hAnsi="宋体"/>
          <w:color w:val="auto"/>
          <w:highlight w:val="none"/>
        </w:rPr>
        <w:t>（2）对采购过程提出质疑的，为各采购程序环节结束之日；</w:t>
      </w:r>
    </w:p>
    <w:p w14:paraId="3DB5D8A3">
      <w:pPr>
        <w:spacing w:line="360" w:lineRule="auto"/>
        <w:ind w:firstLine="420" w:firstLineChars="200"/>
        <w:rPr>
          <w:rFonts w:ascii="宋体" w:hAnsi="宋体"/>
          <w:color w:val="auto"/>
          <w:highlight w:val="none"/>
        </w:rPr>
      </w:pPr>
      <w:r>
        <w:rPr>
          <w:rFonts w:hint="eastAsia" w:ascii="宋体" w:hAnsi="宋体"/>
          <w:color w:val="auto"/>
          <w:highlight w:val="none"/>
        </w:rPr>
        <w:t>（3）对成交结果提出质疑的，为成交结果公告期限届满之日。</w:t>
      </w:r>
    </w:p>
    <w:p w14:paraId="5C61DD34">
      <w:pPr>
        <w:spacing w:line="360" w:lineRule="auto"/>
        <w:ind w:firstLine="420" w:firstLineChars="200"/>
        <w:rPr>
          <w:rFonts w:ascii="宋体" w:hAnsi="宋体"/>
          <w:color w:val="auto"/>
          <w:highlight w:val="none"/>
        </w:rPr>
      </w:pPr>
      <w:r>
        <w:rPr>
          <w:rFonts w:hint="eastAsia" w:ascii="宋体" w:hAnsi="宋体"/>
          <w:color w:val="auto"/>
          <w:highlight w:val="none"/>
        </w:rPr>
        <w:t>9.5.3质疑供应商应按照财政部制定的《政府采购质疑函范本》格式（可从财政部官方网站下载）或《政府采购质疑和投诉办法》的要求，以书面形式</w:t>
      </w:r>
      <w:r>
        <w:rPr>
          <w:rFonts w:hint="eastAsia" w:ascii="宋体" w:hAnsi="宋体"/>
          <w:color w:val="auto"/>
          <w:highlight w:val="none"/>
          <w:lang w:eastAsia="zh-CN"/>
        </w:rPr>
        <w:t>质疑</w:t>
      </w:r>
      <w:r>
        <w:rPr>
          <w:rFonts w:hint="eastAsia" w:ascii="宋体" w:hAnsi="宋体"/>
          <w:color w:val="auto"/>
          <w:highlight w:val="none"/>
        </w:rPr>
        <w:t>，针对同一采购程序环节的质疑次数应符合供应商须知前附表的规定。</w:t>
      </w:r>
    </w:p>
    <w:p w14:paraId="0B808EDD">
      <w:pPr>
        <w:spacing w:line="360" w:lineRule="auto"/>
        <w:ind w:firstLine="420" w:firstLineChars="200"/>
        <w:rPr>
          <w:rFonts w:ascii="宋体" w:hAnsi="宋体"/>
          <w:color w:val="auto"/>
          <w:highlight w:val="none"/>
        </w:rPr>
      </w:pPr>
      <w:r>
        <w:rPr>
          <w:rFonts w:hint="eastAsia" w:ascii="宋体" w:hAnsi="宋体"/>
          <w:color w:val="auto"/>
          <w:highlight w:val="none"/>
        </w:rPr>
        <w:t>9.5.4超出法定质疑期提交的质疑将被拒绝。重复或分次提出的、内容或形式不符合《政府采购质疑和投诉办法》的，质疑供应商将依法承担不利后果。</w:t>
      </w:r>
    </w:p>
    <w:p w14:paraId="7F79F187">
      <w:pPr>
        <w:spacing w:line="360" w:lineRule="auto"/>
        <w:ind w:firstLine="420" w:firstLineChars="200"/>
        <w:rPr>
          <w:rFonts w:ascii="宋体" w:hAnsi="宋体"/>
          <w:color w:val="auto"/>
          <w:highlight w:val="none"/>
        </w:rPr>
      </w:pPr>
      <w:r>
        <w:rPr>
          <w:rFonts w:hint="eastAsia" w:ascii="宋体" w:hAnsi="宋体"/>
          <w:color w:val="auto"/>
          <w:highlight w:val="none"/>
        </w:rPr>
        <w:t>9.5.5质疑函接收部门、联系电话和通讯地址，见供应商须知前附表。</w:t>
      </w:r>
    </w:p>
    <w:p w14:paraId="3B2E2511">
      <w:pPr>
        <w:spacing w:line="360" w:lineRule="auto"/>
        <w:ind w:firstLine="420" w:firstLineChars="200"/>
        <w:rPr>
          <w:rFonts w:ascii="宋体" w:hAnsi="宋体"/>
          <w:color w:val="auto"/>
          <w:highlight w:val="none"/>
        </w:rPr>
      </w:pPr>
      <w:r>
        <w:rPr>
          <w:rFonts w:hint="eastAsia" w:ascii="宋体" w:hAnsi="宋体"/>
          <w:color w:val="auto"/>
          <w:highlight w:val="none"/>
        </w:rPr>
        <w:t>9.5.6采购人或采购代理机构在收到供应商的书面质疑后七个工作日内作出答复，并以书面形式通知质疑供应商和其他有关供应商，答复内容不涉及商业秘密。</w:t>
      </w:r>
    </w:p>
    <w:p w14:paraId="2F52B4F7">
      <w:pPr>
        <w:pStyle w:val="92"/>
        <w:ind w:firstLine="420"/>
        <w:rPr>
          <w:color w:val="auto"/>
          <w:highlight w:val="none"/>
        </w:rPr>
      </w:pPr>
      <w:bookmarkStart w:id="827" w:name="_Toc152045580"/>
      <w:bookmarkEnd w:id="827"/>
      <w:bookmarkStart w:id="828" w:name="_Toc509667304"/>
      <w:bookmarkEnd w:id="828"/>
      <w:bookmarkStart w:id="829" w:name="_Toc455080153"/>
      <w:bookmarkEnd w:id="829"/>
      <w:bookmarkStart w:id="830" w:name="_Toc152042357"/>
      <w:bookmarkEnd w:id="830"/>
      <w:bookmarkStart w:id="831" w:name="_Toc144974547"/>
      <w:bookmarkEnd w:id="831"/>
      <w:bookmarkStart w:id="832" w:name="_Toc90653427"/>
      <w:bookmarkStart w:id="833" w:name="_Toc11205"/>
      <w:bookmarkStart w:id="834" w:name="_Toc292"/>
      <w:bookmarkStart w:id="835" w:name="_Toc18843"/>
      <w:bookmarkStart w:id="836" w:name="_Toc32264"/>
      <w:bookmarkStart w:id="837" w:name="_Toc4944"/>
      <w:bookmarkStart w:id="838" w:name="_Toc10975"/>
      <w:bookmarkStart w:id="839" w:name="_Toc129073505"/>
      <w:bookmarkStart w:id="840" w:name="_Toc1802"/>
      <w:bookmarkStart w:id="841" w:name="_Toc25505"/>
      <w:bookmarkStart w:id="842" w:name="_Toc25377"/>
      <w:bookmarkStart w:id="843" w:name="_Toc32109"/>
      <w:r>
        <w:rPr>
          <w:rFonts w:hint="eastAsia"/>
          <w:color w:val="auto"/>
          <w:highlight w:val="none"/>
        </w:rPr>
        <w:t>10.</w:t>
      </w:r>
      <w:bookmarkEnd w:id="832"/>
      <w:r>
        <w:rPr>
          <w:rFonts w:hint="eastAsia"/>
          <w:color w:val="auto"/>
          <w:highlight w:val="none"/>
        </w:rPr>
        <w:t>需要补充的其他内容</w:t>
      </w:r>
      <w:bookmarkEnd w:id="833"/>
      <w:bookmarkEnd w:id="834"/>
      <w:bookmarkEnd w:id="835"/>
      <w:bookmarkEnd w:id="836"/>
      <w:bookmarkEnd w:id="837"/>
      <w:bookmarkEnd w:id="838"/>
      <w:bookmarkEnd w:id="839"/>
      <w:bookmarkEnd w:id="840"/>
      <w:bookmarkEnd w:id="841"/>
      <w:bookmarkEnd w:id="842"/>
      <w:bookmarkEnd w:id="843"/>
    </w:p>
    <w:p w14:paraId="2AC53B25">
      <w:pPr>
        <w:spacing w:line="360" w:lineRule="auto"/>
        <w:ind w:firstLine="420" w:firstLineChars="200"/>
        <w:rPr>
          <w:rFonts w:ascii="宋体" w:hAnsi="宋体"/>
          <w:color w:val="auto"/>
          <w:highlight w:val="none"/>
        </w:rPr>
      </w:pPr>
      <w:bookmarkStart w:id="844" w:name="_Toc509667305"/>
      <w:bookmarkEnd w:id="844"/>
      <w:bookmarkStart w:id="845" w:name="_Toc466298137"/>
      <w:bookmarkEnd w:id="845"/>
      <w:bookmarkStart w:id="846" w:name="_Toc490667874"/>
      <w:bookmarkEnd w:id="846"/>
      <w:bookmarkStart w:id="847" w:name="_Toc455867814"/>
      <w:bookmarkEnd w:id="847"/>
      <w:bookmarkStart w:id="848" w:name="_Toc455080154"/>
      <w:r>
        <w:rPr>
          <w:rFonts w:hint="eastAsia" w:ascii="宋体" w:hAnsi="宋体"/>
          <w:color w:val="auto"/>
          <w:highlight w:val="none"/>
        </w:rPr>
        <w:t>需要补充的其他内容：见供应商须知前附表。</w:t>
      </w:r>
      <w:bookmarkEnd w:id="848"/>
      <w:bookmarkStart w:id="849" w:name="_Toc152042375"/>
      <w:bookmarkEnd w:id="849"/>
      <w:bookmarkStart w:id="850" w:name="_Toc152045598"/>
      <w:bookmarkEnd w:id="850"/>
      <w:bookmarkStart w:id="851" w:name="_Toc144974565"/>
      <w:bookmarkEnd w:id="851"/>
    </w:p>
    <w:p w14:paraId="4BED3247">
      <w:pPr>
        <w:rPr>
          <w:rFonts w:ascii="宋体" w:hAnsi="宋体"/>
          <w:color w:val="auto"/>
          <w:highlight w:val="none"/>
        </w:rPr>
      </w:pPr>
      <w:r>
        <w:rPr>
          <w:rFonts w:hint="eastAsia" w:ascii="宋体" w:hAnsi="宋体"/>
          <w:color w:val="auto"/>
          <w:highlight w:val="none"/>
        </w:rPr>
        <w:br w:type="page"/>
      </w:r>
    </w:p>
    <w:p w14:paraId="60113CB9">
      <w:pPr>
        <w:keepNext w:val="0"/>
        <w:keepLines w:val="0"/>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color w:val="auto"/>
          <w:spacing w:val="-1"/>
          <w:sz w:val="22"/>
          <w:szCs w:val="22"/>
          <w:highlight w:val="none"/>
          <w:lang w:val="en-US" w:eastAsia="zh-CN"/>
        </w:rPr>
      </w:pPr>
      <w:bookmarkStart w:id="852" w:name="_Toc134452819"/>
      <w:r>
        <w:rPr>
          <w:rFonts w:hint="eastAsia" w:ascii="宋体" w:hAnsi="宋体" w:eastAsia="宋体" w:cs="宋体"/>
          <w:color w:val="auto"/>
          <w:spacing w:val="-1"/>
          <w:sz w:val="22"/>
          <w:szCs w:val="22"/>
          <w:highlight w:val="none"/>
          <w:lang w:val="en-US" w:eastAsia="zh-CN"/>
        </w:rPr>
        <w:t>附件1：质疑函格式（统一格式，需提供原件）</w:t>
      </w:r>
      <w:bookmarkEnd w:id="852"/>
    </w:p>
    <w:p w14:paraId="2BE6427A">
      <w:pPr>
        <w:autoSpaceDE w:val="0"/>
        <w:autoSpaceDN w:val="0"/>
        <w:adjustRightInd w:val="0"/>
        <w:snapToGrid w:val="0"/>
        <w:spacing w:line="360" w:lineRule="auto"/>
        <w:jc w:val="center"/>
        <w:rPr>
          <w:rFonts w:cs="宋体"/>
          <w:b/>
          <w:color w:val="auto"/>
          <w:kern w:val="0"/>
          <w:sz w:val="28"/>
          <w:szCs w:val="28"/>
          <w:highlight w:val="none"/>
        </w:rPr>
      </w:pPr>
      <w:r>
        <w:rPr>
          <w:rFonts w:hint="eastAsia" w:cs="宋体"/>
          <w:b/>
          <w:color w:val="auto"/>
          <w:kern w:val="0"/>
          <w:sz w:val="28"/>
          <w:szCs w:val="28"/>
          <w:highlight w:val="none"/>
        </w:rPr>
        <w:t>质 疑 函</w:t>
      </w:r>
    </w:p>
    <w:p w14:paraId="00C2D91C">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一、质疑供应商基本信息</w:t>
      </w:r>
    </w:p>
    <w:p w14:paraId="28A4251E">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质疑供应商：</w:t>
      </w:r>
    </w:p>
    <w:p w14:paraId="4BA8C19F">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地址：               邮编：</w:t>
      </w:r>
    </w:p>
    <w:p w14:paraId="3E876154">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联系人：           联系电话：</w:t>
      </w:r>
    </w:p>
    <w:p w14:paraId="7094CA97">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授权代表：</w:t>
      </w:r>
    </w:p>
    <w:p w14:paraId="18507562">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联系电话：</w:t>
      </w:r>
    </w:p>
    <w:p w14:paraId="6601E497">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地址：             邮编：</w:t>
      </w:r>
    </w:p>
    <w:p w14:paraId="1C66FFC5">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二、质疑项目基本信息</w:t>
      </w:r>
    </w:p>
    <w:p w14:paraId="0A68964F">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质疑项目的名称：</w:t>
      </w:r>
    </w:p>
    <w:p w14:paraId="6DC82A38">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质疑项目的编号：</w:t>
      </w:r>
    </w:p>
    <w:p w14:paraId="0FDAEB69">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包号：</w:t>
      </w:r>
    </w:p>
    <w:p w14:paraId="30884ABD">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采购人名称：</w:t>
      </w:r>
    </w:p>
    <w:p w14:paraId="11C09DF9">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竞争性磋商文件获取日期：</w:t>
      </w:r>
    </w:p>
    <w:p w14:paraId="51CA687D">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三、质疑事项具体内容</w:t>
      </w:r>
    </w:p>
    <w:p w14:paraId="6535B1AA">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质疑事项</w:t>
      </w:r>
      <w:r>
        <w:rPr>
          <w:rFonts w:cs="宋体"/>
          <w:color w:val="auto"/>
          <w:kern w:val="0"/>
          <w:highlight w:val="none"/>
        </w:rPr>
        <w:t>1</w:t>
      </w:r>
      <w:r>
        <w:rPr>
          <w:rFonts w:hint="eastAsia" w:cs="宋体"/>
          <w:color w:val="auto"/>
          <w:kern w:val="0"/>
          <w:highlight w:val="none"/>
        </w:rPr>
        <w:t>：</w:t>
      </w:r>
    </w:p>
    <w:p w14:paraId="3635A058">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事实依据：</w:t>
      </w:r>
    </w:p>
    <w:p w14:paraId="19E7B5A3">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法律依据：</w:t>
      </w:r>
    </w:p>
    <w:p w14:paraId="1A996F87">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质疑事项</w:t>
      </w:r>
      <w:r>
        <w:rPr>
          <w:rFonts w:cs="宋体"/>
          <w:color w:val="auto"/>
          <w:kern w:val="0"/>
          <w:highlight w:val="none"/>
        </w:rPr>
        <w:t>2</w:t>
      </w:r>
      <w:r>
        <w:rPr>
          <w:rFonts w:hint="eastAsia" w:cs="宋体"/>
          <w:color w:val="auto"/>
          <w:kern w:val="0"/>
          <w:highlight w:val="none"/>
        </w:rPr>
        <w:t>：</w:t>
      </w:r>
    </w:p>
    <w:p w14:paraId="0F7A89F1">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w:t>
      </w:r>
    </w:p>
    <w:p w14:paraId="7D415BDA">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四、与质疑事项相关的质疑请求：</w:t>
      </w:r>
    </w:p>
    <w:p w14:paraId="42FBBF93">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签字（签章）：</w:t>
      </w:r>
    </w:p>
    <w:p w14:paraId="77120EBA">
      <w:pPr>
        <w:autoSpaceDE w:val="0"/>
        <w:autoSpaceDN w:val="0"/>
        <w:adjustRightInd w:val="0"/>
        <w:snapToGrid w:val="0"/>
        <w:spacing w:line="360" w:lineRule="auto"/>
        <w:ind w:firstLine="420" w:firstLineChars="200"/>
        <w:jc w:val="left"/>
        <w:rPr>
          <w:rFonts w:cs="宋体"/>
          <w:color w:val="auto"/>
          <w:kern w:val="0"/>
          <w:highlight w:val="none"/>
        </w:rPr>
      </w:pPr>
      <w:r>
        <w:rPr>
          <w:rFonts w:hint="eastAsia" w:cs="宋体"/>
          <w:color w:val="auto"/>
          <w:kern w:val="0"/>
          <w:highlight w:val="none"/>
        </w:rPr>
        <w:t>公章：</w:t>
      </w:r>
    </w:p>
    <w:p w14:paraId="749A7F4D">
      <w:pPr>
        <w:adjustRightInd w:val="0"/>
        <w:snapToGrid w:val="0"/>
        <w:spacing w:line="360" w:lineRule="auto"/>
        <w:ind w:firstLine="420" w:firstLineChars="200"/>
        <w:jc w:val="left"/>
        <w:rPr>
          <w:color w:val="auto"/>
          <w:highlight w:val="none"/>
        </w:rPr>
      </w:pPr>
      <w:r>
        <w:rPr>
          <w:rFonts w:hint="eastAsia"/>
          <w:color w:val="auto"/>
          <w:highlight w:val="none"/>
        </w:rPr>
        <w:t>日期：</w:t>
      </w:r>
    </w:p>
    <w:p w14:paraId="6D668B59">
      <w:pPr>
        <w:adjustRightInd w:val="0"/>
        <w:snapToGrid w:val="0"/>
        <w:spacing w:line="360" w:lineRule="auto"/>
        <w:ind w:firstLine="420" w:firstLineChars="200"/>
        <w:jc w:val="left"/>
        <w:rPr>
          <w:color w:val="auto"/>
          <w:highlight w:val="none"/>
        </w:rPr>
      </w:pPr>
    </w:p>
    <w:p w14:paraId="4E24C0B2">
      <w:pPr>
        <w:adjustRightInd w:val="0"/>
        <w:snapToGrid w:val="0"/>
        <w:spacing w:line="360" w:lineRule="auto"/>
        <w:ind w:firstLine="420" w:firstLineChars="200"/>
        <w:jc w:val="left"/>
        <w:rPr>
          <w:color w:val="auto"/>
          <w:highlight w:val="none"/>
        </w:rPr>
      </w:pPr>
    </w:p>
    <w:p w14:paraId="10A0F4EA">
      <w:pPr>
        <w:adjustRightInd w:val="0"/>
        <w:snapToGrid w:val="0"/>
        <w:spacing w:line="360" w:lineRule="auto"/>
        <w:ind w:firstLine="420" w:firstLineChars="200"/>
        <w:jc w:val="left"/>
        <w:rPr>
          <w:color w:val="auto"/>
          <w:highlight w:val="none"/>
        </w:rPr>
      </w:pPr>
    </w:p>
    <w:p w14:paraId="578EC44F">
      <w:pPr>
        <w:adjustRightInd w:val="0"/>
        <w:snapToGrid w:val="0"/>
        <w:spacing w:line="360" w:lineRule="auto"/>
        <w:ind w:firstLine="420" w:firstLineChars="200"/>
        <w:jc w:val="left"/>
        <w:rPr>
          <w:bCs/>
          <w:color w:val="auto"/>
          <w:highlight w:val="none"/>
        </w:rPr>
      </w:pPr>
      <w:r>
        <w:rPr>
          <w:rFonts w:hint="eastAsia"/>
          <w:bCs/>
          <w:color w:val="auto"/>
          <w:highlight w:val="none"/>
        </w:rPr>
        <w:t>质疑函制作说明：</w:t>
      </w:r>
    </w:p>
    <w:p w14:paraId="6625E14E">
      <w:pPr>
        <w:adjustRightInd w:val="0"/>
        <w:snapToGrid w:val="0"/>
        <w:spacing w:line="360" w:lineRule="auto"/>
        <w:ind w:firstLine="420" w:firstLineChars="200"/>
        <w:jc w:val="left"/>
        <w:rPr>
          <w:bCs/>
          <w:color w:val="auto"/>
          <w:highlight w:val="none"/>
        </w:rPr>
      </w:pPr>
      <w:r>
        <w:rPr>
          <w:rFonts w:hint="eastAsia"/>
          <w:bCs/>
          <w:color w:val="auto"/>
          <w:highlight w:val="none"/>
        </w:rPr>
        <w:t>1.供应商提出质疑时，应提交质疑函和必要的证明材料。</w:t>
      </w:r>
    </w:p>
    <w:p w14:paraId="01A05759">
      <w:pPr>
        <w:adjustRightInd w:val="0"/>
        <w:snapToGrid w:val="0"/>
        <w:spacing w:line="360" w:lineRule="auto"/>
        <w:ind w:firstLine="420" w:firstLineChars="200"/>
        <w:jc w:val="left"/>
        <w:rPr>
          <w:bCs/>
          <w:color w:val="auto"/>
          <w:highlight w:val="none"/>
        </w:rPr>
      </w:pPr>
      <w:r>
        <w:rPr>
          <w:rFonts w:hint="eastAsia"/>
          <w:bCs/>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77FAB0">
      <w:pPr>
        <w:adjustRightInd w:val="0"/>
        <w:snapToGrid w:val="0"/>
        <w:spacing w:line="360" w:lineRule="auto"/>
        <w:ind w:firstLine="420" w:firstLineChars="200"/>
        <w:jc w:val="left"/>
        <w:rPr>
          <w:bCs/>
          <w:color w:val="auto"/>
          <w:highlight w:val="none"/>
        </w:rPr>
      </w:pPr>
      <w:r>
        <w:rPr>
          <w:bCs/>
          <w:color w:val="auto"/>
          <w:highlight w:val="none"/>
        </w:rPr>
        <w:t>3</w:t>
      </w:r>
      <w:r>
        <w:rPr>
          <w:rFonts w:hint="eastAsia"/>
          <w:bCs/>
          <w:color w:val="auto"/>
          <w:highlight w:val="none"/>
        </w:rPr>
        <w:t>.质疑函的质疑事项应具体、明确，并有必要的事实依据和法律依据。</w:t>
      </w:r>
    </w:p>
    <w:p w14:paraId="12F7ABCB">
      <w:pPr>
        <w:adjustRightInd w:val="0"/>
        <w:snapToGrid w:val="0"/>
        <w:spacing w:line="360" w:lineRule="auto"/>
        <w:ind w:firstLine="420" w:firstLineChars="200"/>
        <w:jc w:val="left"/>
        <w:rPr>
          <w:bCs/>
          <w:color w:val="auto"/>
          <w:highlight w:val="none"/>
        </w:rPr>
      </w:pPr>
      <w:r>
        <w:rPr>
          <w:bCs/>
          <w:color w:val="auto"/>
          <w:highlight w:val="none"/>
        </w:rPr>
        <w:t>4</w:t>
      </w:r>
      <w:r>
        <w:rPr>
          <w:rFonts w:hint="eastAsia"/>
          <w:bCs/>
          <w:color w:val="auto"/>
          <w:highlight w:val="none"/>
        </w:rPr>
        <w:t>.质疑函的质疑请求应与质疑事项相关。</w:t>
      </w:r>
    </w:p>
    <w:p w14:paraId="4DB80CB1">
      <w:pPr>
        <w:adjustRightInd w:val="0"/>
        <w:snapToGrid w:val="0"/>
        <w:spacing w:line="360" w:lineRule="auto"/>
        <w:ind w:firstLine="420" w:firstLineChars="200"/>
        <w:jc w:val="left"/>
        <w:rPr>
          <w:bCs/>
          <w:color w:val="auto"/>
          <w:highlight w:val="none"/>
        </w:rPr>
      </w:pPr>
      <w:r>
        <w:rPr>
          <w:bCs/>
          <w:color w:val="auto"/>
          <w:highlight w:val="none"/>
        </w:rPr>
        <w:t>5</w:t>
      </w:r>
      <w:r>
        <w:rPr>
          <w:rFonts w:hint="eastAsia"/>
          <w:bCs/>
          <w:color w:val="auto"/>
          <w:highlight w:val="none"/>
        </w:rPr>
        <w:t>.质疑供应商为自然人的，质疑函应由本人签字；质疑供应商为法人或者其他组织的，质疑函应由法定代表人、主要负责人或者他授权代表签字或者盖章，并加盖公章。</w:t>
      </w:r>
    </w:p>
    <w:p w14:paraId="7CF309C0">
      <w:pPr>
        <w:spacing w:line="360" w:lineRule="auto"/>
        <w:jc w:val="left"/>
        <w:rPr>
          <w:b/>
          <w:color w:val="auto"/>
          <w:sz w:val="24"/>
          <w:highlight w:val="none"/>
        </w:rPr>
      </w:pPr>
      <w:r>
        <w:rPr>
          <w:b/>
          <w:color w:val="auto"/>
          <w:sz w:val="24"/>
          <w:highlight w:val="none"/>
        </w:rPr>
        <w:br w:type="page"/>
      </w:r>
    </w:p>
    <w:p w14:paraId="17195B00">
      <w:pPr>
        <w:keepNext w:val="0"/>
        <w:keepLines w:val="0"/>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lang w:val="en-US" w:eastAsia="zh-CN"/>
        </w:rPr>
        <w:t>附件2</w:t>
      </w:r>
      <w:r>
        <w:rPr>
          <w:rFonts w:hint="eastAsia" w:ascii="宋体" w:hAnsi="宋体" w:cs="宋体"/>
          <w:color w:val="auto"/>
          <w:spacing w:val="-1"/>
          <w:sz w:val="22"/>
          <w:szCs w:val="22"/>
          <w:highlight w:val="none"/>
          <w:lang w:val="en-US" w:eastAsia="zh-CN"/>
        </w:rPr>
        <w:t>：</w:t>
      </w:r>
      <w:r>
        <w:rPr>
          <w:rFonts w:hint="eastAsia" w:ascii="宋体" w:hAnsi="宋体" w:eastAsia="宋体" w:cs="宋体"/>
          <w:color w:val="auto"/>
          <w:spacing w:val="-1"/>
          <w:sz w:val="22"/>
          <w:szCs w:val="22"/>
          <w:highlight w:val="none"/>
          <w:lang w:val="en-US" w:eastAsia="zh-CN"/>
        </w:rPr>
        <w:t>中小企业划型标准规定</w:t>
      </w:r>
    </w:p>
    <w:p w14:paraId="7171AAFA">
      <w:pPr>
        <w:tabs>
          <w:tab w:val="left" w:pos="840"/>
        </w:tabs>
        <w:spacing w:line="416"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中小企业划分标准</w:t>
      </w:r>
    </w:p>
    <w:tbl>
      <w:tblPr>
        <w:tblStyle w:val="46"/>
        <w:tblW w:w="9896" w:type="dxa"/>
        <w:jc w:val="center"/>
        <w:shd w:val="clear" w:color="auto" w:fill="FFFFFF"/>
        <w:tblLayout w:type="autofit"/>
        <w:tblCellMar>
          <w:top w:w="0" w:type="dxa"/>
          <w:left w:w="0" w:type="dxa"/>
          <w:bottom w:w="0" w:type="dxa"/>
          <w:right w:w="0" w:type="dxa"/>
        </w:tblCellMar>
      </w:tblPr>
      <w:tblGrid>
        <w:gridCol w:w="1687"/>
        <w:gridCol w:w="1492"/>
        <w:gridCol w:w="728"/>
        <w:gridCol w:w="1245"/>
        <w:gridCol w:w="1965"/>
        <w:gridCol w:w="1756"/>
        <w:gridCol w:w="1023"/>
      </w:tblGrid>
      <w:tr w14:paraId="231D81F6">
        <w:tblPrEx>
          <w:tblCellMar>
            <w:top w:w="0" w:type="dxa"/>
            <w:left w:w="0" w:type="dxa"/>
            <w:bottom w:w="0" w:type="dxa"/>
            <w:right w:w="0" w:type="dxa"/>
          </w:tblCellMar>
        </w:tblPrEx>
        <w:trPr>
          <w:trHeight w:val="653" w:hRule="atLeast"/>
          <w:jc w:val="center"/>
        </w:trPr>
        <w:tc>
          <w:tcPr>
            <w:tcW w:w="1687" w:type="dxa"/>
            <w:tcBorders>
              <w:top w:val="single" w:color="4F81BD" w:sz="6" w:space="0"/>
              <w:left w:val="single" w:color="4F81BD" w:sz="6" w:space="0"/>
              <w:bottom w:val="single" w:color="FFFFFF" w:sz="18" w:space="0"/>
              <w:right w:val="single" w:color="4F81BD" w:sz="6" w:space="0"/>
            </w:tcBorders>
            <w:shd w:val="clear" w:color="auto" w:fill="4F81BD"/>
            <w:tcMar>
              <w:left w:w="105" w:type="dxa"/>
              <w:right w:w="105" w:type="dxa"/>
            </w:tcMar>
            <w:vAlign w:val="center"/>
          </w:tcPr>
          <w:p w14:paraId="5DD6AC8F">
            <w:pPr>
              <w:widowControl/>
              <w:wordWrap w:val="0"/>
              <w:spacing w:before="100" w:beforeAutospacing="1" w:after="100" w:afterAutospacing="1"/>
              <w:jc w:val="center"/>
              <w:rPr>
                <w:rFonts w:ascii="宋体" w:hAnsi="宋体" w:cs="宋体"/>
                <w:color w:val="auto"/>
                <w:kern w:val="0"/>
                <w:sz w:val="21"/>
                <w:szCs w:val="21"/>
                <w:highlight w:val="none"/>
              </w:rPr>
            </w:pPr>
            <w:r>
              <w:rPr>
                <w:rFonts w:hint="eastAsia" w:ascii="宋体" w:hAnsi="宋体" w:cs="宋体"/>
                <w:b/>
                <w:bCs/>
                <w:color w:val="auto"/>
                <w:kern w:val="0"/>
                <w:sz w:val="21"/>
                <w:szCs w:val="21"/>
                <w:highlight w:val="none"/>
              </w:rPr>
              <w:t>行业名称</w:t>
            </w:r>
          </w:p>
        </w:tc>
        <w:tc>
          <w:tcPr>
            <w:tcW w:w="1492"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35C36101">
            <w:pPr>
              <w:widowControl/>
              <w:wordWrap w:val="0"/>
              <w:spacing w:before="100" w:beforeAutospacing="1" w:after="100" w:afterAutospacing="1"/>
              <w:jc w:val="center"/>
              <w:rPr>
                <w:rFonts w:ascii="宋体" w:hAnsi="宋体" w:cs="宋体"/>
                <w:color w:val="auto"/>
                <w:kern w:val="0"/>
                <w:sz w:val="21"/>
                <w:szCs w:val="21"/>
                <w:highlight w:val="none"/>
              </w:rPr>
            </w:pPr>
            <w:r>
              <w:rPr>
                <w:rFonts w:hint="eastAsia" w:ascii="宋体" w:hAnsi="宋体" w:cs="宋体"/>
                <w:b/>
                <w:bCs/>
                <w:color w:val="auto"/>
                <w:spacing w:val="8"/>
                <w:kern w:val="0"/>
                <w:sz w:val="21"/>
                <w:szCs w:val="21"/>
                <w:highlight w:val="none"/>
              </w:rPr>
              <w:t>指标名称</w:t>
            </w:r>
          </w:p>
        </w:tc>
        <w:tc>
          <w:tcPr>
            <w:tcW w:w="728"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6F51C9D3">
            <w:pPr>
              <w:widowControl/>
              <w:wordWrap w:val="0"/>
              <w:spacing w:before="100" w:beforeAutospacing="1" w:after="100" w:afterAutospacing="1"/>
              <w:jc w:val="center"/>
              <w:rPr>
                <w:rFonts w:ascii="宋体" w:hAnsi="宋体" w:cs="宋体"/>
                <w:color w:val="auto"/>
                <w:kern w:val="0"/>
                <w:sz w:val="21"/>
                <w:szCs w:val="21"/>
                <w:highlight w:val="none"/>
              </w:rPr>
            </w:pPr>
            <w:r>
              <w:rPr>
                <w:rFonts w:hint="eastAsia" w:ascii="宋体" w:hAnsi="宋体" w:cs="宋体"/>
                <w:b/>
                <w:bCs/>
                <w:color w:val="auto"/>
                <w:spacing w:val="8"/>
                <w:kern w:val="0"/>
                <w:sz w:val="21"/>
                <w:szCs w:val="21"/>
                <w:highlight w:val="none"/>
              </w:rPr>
              <w:t>计量单位</w:t>
            </w:r>
          </w:p>
        </w:tc>
        <w:tc>
          <w:tcPr>
            <w:tcW w:w="1245"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62EB84F9">
            <w:pPr>
              <w:widowControl/>
              <w:wordWrap w:val="0"/>
              <w:spacing w:before="100" w:beforeAutospacing="1" w:after="100" w:afterAutospacing="1"/>
              <w:jc w:val="center"/>
              <w:rPr>
                <w:rFonts w:ascii="宋体" w:hAnsi="宋体" w:cs="宋体"/>
                <w:color w:val="auto"/>
                <w:kern w:val="0"/>
                <w:sz w:val="21"/>
                <w:szCs w:val="21"/>
                <w:highlight w:val="none"/>
              </w:rPr>
            </w:pPr>
            <w:r>
              <w:rPr>
                <w:rFonts w:hint="eastAsia" w:ascii="宋体" w:hAnsi="宋体" w:cs="宋体"/>
                <w:b/>
                <w:bCs/>
                <w:color w:val="auto"/>
                <w:spacing w:val="8"/>
                <w:kern w:val="0"/>
                <w:sz w:val="21"/>
                <w:szCs w:val="21"/>
                <w:highlight w:val="none"/>
              </w:rPr>
              <w:t>大型</w:t>
            </w:r>
          </w:p>
        </w:tc>
        <w:tc>
          <w:tcPr>
            <w:tcW w:w="1965"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12A24980">
            <w:pPr>
              <w:widowControl/>
              <w:wordWrap w:val="0"/>
              <w:spacing w:before="100" w:beforeAutospacing="1" w:after="100" w:afterAutospacing="1"/>
              <w:jc w:val="center"/>
              <w:rPr>
                <w:rFonts w:ascii="宋体" w:hAnsi="宋体" w:cs="宋体"/>
                <w:color w:val="auto"/>
                <w:kern w:val="0"/>
                <w:sz w:val="21"/>
                <w:szCs w:val="21"/>
                <w:highlight w:val="none"/>
              </w:rPr>
            </w:pPr>
            <w:r>
              <w:rPr>
                <w:rFonts w:hint="eastAsia" w:ascii="宋体" w:hAnsi="宋体" w:cs="宋体"/>
                <w:b/>
                <w:bCs/>
                <w:color w:val="auto"/>
                <w:spacing w:val="8"/>
                <w:kern w:val="0"/>
                <w:sz w:val="21"/>
                <w:szCs w:val="21"/>
                <w:highlight w:val="none"/>
              </w:rPr>
              <w:t>中型</w:t>
            </w:r>
          </w:p>
        </w:tc>
        <w:tc>
          <w:tcPr>
            <w:tcW w:w="1756"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254C3A69">
            <w:pPr>
              <w:widowControl/>
              <w:wordWrap w:val="0"/>
              <w:spacing w:before="100" w:beforeAutospacing="1" w:after="100" w:afterAutospacing="1"/>
              <w:jc w:val="center"/>
              <w:rPr>
                <w:rFonts w:ascii="宋体" w:hAnsi="宋体" w:cs="宋体"/>
                <w:color w:val="auto"/>
                <w:kern w:val="0"/>
                <w:sz w:val="21"/>
                <w:szCs w:val="21"/>
                <w:highlight w:val="none"/>
              </w:rPr>
            </w:pPr>
            <w:r>
              <w:rPr>
                <w:rFonts w:hint="eastAsia" w:ascii="宋体" w:hAnsi="宋体" w:cs="宋体"/>
                <w:b/>
                <w:bCs/>
                <w:color w:val="auto"/>
                <w:spacing w:val="8"/>
                <w:kern w:val="0"/>
                <w:sz w:val="21"/>
                <w:szCs w:val="21"/>
                <w:highlight w:val="none"/>
              </w:rPr>
              <w:t>小型</w:t>
            </w:r>
          </w:p>
        </w:tc>
        <w:tc>
          <w:tcPr>
            <w:tcW w:w="1023"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0DD32637">
            <w:pPr>
              <w:widowControl/>
              <w:wordWrap w:val="0"/>
              <w:spacing w:before="100" w:beforeAutospacing="1" w:after="100" w:afterAutospacing="1"/>
              <w:jc w:val="center"/>
              <w:rPr>
                <w:rFonts w:ascii="宋体" w:hAnsi="宋体" w:cs="宋体"/>
                <w:color w:val="auto"/>
                <w:kern w:val="0"/>
                <w:sz w:val="21"/>
                <w:szCs w:val="21"/>
                <w:highlight w:val="none"/>
              </w:rPr>
            </w:pPr>
            <w:r>
              <w:rPr>
                <w:rFonts w:hint="eastAsia" w:ascii="宋体" w:hAnsi="宋体" w:cs="宋体"/>
                <w:b/>
                <w:bCs/>
                <w:color w:val="auto"/>
                <w:spacing w:val="8"/>
                <w:kern w:val="0"/>
                <w:sz w:val="21"/>
                <w:szCs w:val="21"/>
                <w:highlight w:val="none"/>
              </w:rPr>
              <w:t>微型</w:t>
            </w:r>
          </w:p>
        </w:tc>
      </w:tr>
      <w:tr w14:paraId="3CDB35F1">
        <w:tblPrEx>
          <w:shd w:val="clear" w:color="auto" w:fill="FFFFFF"/>
          <w:tblCellMar>
            <w:top w:w="0" w:type="dxa"/>
            <w:left w:w="0" w:type="dxa"/>
            <w:bottom w:w="0" w:type="dxa"/>
            <w:right w:w="0" w:type="dxa"/>
          </w:tblCellMar>
        </w:tblPrEx>
        <w:trPr>
          <w:trHeight w:val="682" w:hRule="atLeast"/>
          <w:jc w:val="center"/>
        </w:trPr>
        <w:tc>
          <w:tcPr>
            <w:tcW w:w="1687" w:type="dxa"/>
            <w:tcBorders>
              <w:top w:val="nil"/>
              <w:left w:val="single" w:color="4F81BD" w:sz="6" w:space="0"/>
              <w:bottom w:val="single" w:color="4F81BD" w:sz="6" w:space="0"/>
              <w:right w:val="single" w:color="4F81BD" w:sz="6" w:space="0"/>
            </w:tcBorders>
            <w:shd w:val="clear" w:color="auto" w:fill="B8CCE4"/>
            <w:tcMar>
              <w:left w:w="105" w:type="dxa"/>
              <w:right w:w="105" w:type="dxa"/>
            </w:tcMar>
            <w:vAlign w:val="center"/>
          </w:tcPr>
          <w:p w14:paraId="5EB6C46F">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农、林、牧、渔业</w:t>
            </w: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E496413">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2753B5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6BEB95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Y≥20000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A2B70D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FA2948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50≤Y＜500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FF6068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Y＜50</w:t>
            </w:r>
          </w:p>
        </w:tc>
      </w:tr>
      <w:tr w14:paraId="2D438298">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5F225D70">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1D45ABD">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AE67E7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0DDB09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D9C583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225277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20≤X＜300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08608A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X＜20</w:t>
            </w:r>
          </w:p>
        </w:tc>
      </w:tr>
      <w:tr w14:paraId="4D2823A8">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CF36A75">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129E862">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AED553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FBCFC7F">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Y≥40000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3377BD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D7F80F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73CF93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Y＜300</w:t>
            </w:r>
          </w:p>
        </w:tc>
      </w:tr>
      <w:tr w14:paraId="26B62111">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58216BD">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C1D0CBF">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C9B30E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0E65EC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Y≥80000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B42CD6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5E892C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8C7B58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Y＜300</w:t>
            </w:r>
          </w:p>
        </w:tc>
      </w:tr>
      <w:tr w14:paraId="7083607A">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7AEBF5E">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4E7B014">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资产总额</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Z</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DE657A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BCA591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Z≥80000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5F7BE2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BFB624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578C37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Z＜300</w:t>
            </w:r>
          </w:p>
        </w:tc>
      </w:tr>
      <w:tr w14:paraId="44A3AF6B">
        <w:tblPrEx>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4F55FE34">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D92DEE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E0366E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1B6E2C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X≥200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7DE513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20≤X＜200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7F8ECE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5≤X＜20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D09BB3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X＜5</w:t>
            </w:r>
          </w:p>
        </w:tc>
      </w:tr>
      <w:tr w14:paraId="2A509C4E">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D612982">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7F595C9">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7CB823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7C0423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Y≥40000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90A366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6EEE0E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47288D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Y＜1000</w:t>
            </w:r>
          </w:p>
        </w:tc>
      </w:tr>
      <w:tr w14:paraId="77A46958">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5B1ACC70">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4E34A7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C1E4F5D">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F4D174F">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X≥300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5BD980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50≤X＜300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A2FD42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10≤X＜50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359FD8D">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w:t>
            </w:r>
          </w:p>
        </w:tc>
      </w:tr>
      <w:tr w14:paraId="0ABC4DA5">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155985F">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A1D7168">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57C8BE3">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AD82743">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Y≥20000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8494FA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595445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C9DDC7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w:t>
            </w:r>
          </w:p>
        </w:tc>
      </w:tr>
      <w:tr w14:paraId="433809E0">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59433CAD">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13B5B8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8D4148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5D5342E">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218785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BB4778F">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20≤X＜300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6C16F0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X＜20</w:t>
            </w:r>
          </w:p>
        </w:tc>
      </w:tr>
      <w:tr w14:paraId="331D1C98">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7E854F6">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80F9C62">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0E6B5E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ED95DFD">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Y≥30000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719140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810D8F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65D0CF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Y＜200</w:t>
            </w:r>
          </w:p>
        </w:tc>
      </w:tr>
      <w:tr w14:paraId="147A6BF9">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4F1BDC47">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792C25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455E10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8762E44">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X≥200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B18325E">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2981E6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20≤X＜100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83B105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X＜20</w:t>
            </w:r>
          </w:p>
        </w:tc>
      </w:tr>
      <w:tr w14:paraId="08E38C8B">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35880B2">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0F369E6">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1193BC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93AA01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Y≥30000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20394CD">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A37785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0BEB74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w:t>
            </w:r>
          </w:p>
        </w:tc>
      </w:tr>
      <w:tr w14:paraId="774F5C25">
        <w:tblPrEx>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2DE0B1F">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1C9678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6B506D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D870F2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28D22A4">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A2B7433">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20≤X＜300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A9E2F3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X＜20</w:t>
            </w:r>
          </w:p>
        </w:tc>
      </w:tr>
      <w:tr w14:paraId="6A8ED57D">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607D4D70">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DA70CAB">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A31CF2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51869D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Y≥30000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EA13B4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3FEBA3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C1223D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w:t>
            </w:r>
          </w:p>
        </w:tc>
      </w:tr>
      <w:tr w14:paraId="68B29657">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96AA4B2">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684D0E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D253E3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95B48D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X≥300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AE6E63E">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0F20C9E">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10≤X＜100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94E0BE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w:t>
            </w:r>
          </w:p>
        </w:tc>
      </w:tr>
      <w:tr w14:paraId="751439A2">
        <w:tblPrEx>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75539F5">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90969B9">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29E0E3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6586103">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EEC656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9A1BAE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B89772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w:t>
            </w:r>
          </w:p>
        </w:tc>
      </w:tr>
      <w:tr w14:paraId="7BB8C2BD">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7368F43">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F06F71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BA2D864">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5FD11D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X≥300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59A854D">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E01A9F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10≤X＜100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E63B40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w:t>
            </w:r>
          </w:p>
        </w:tc>
      </w:tr>
      <w:tr w14:paraId="517AB2B1">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1792063">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680C92A">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CDC26E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DE6A7DD">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A40147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635F64D">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B5A8A04">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w:t>
            </w:r>
          </w:p>
        </w:tc>
      </w:tr>
      <w:tr w14:paraId="19759CC5">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9D216D3">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信息传输业 *</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406145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F52692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6F5FC2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X≥2000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E4C50E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100≤X＜2000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463E3C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10≤X＜100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330E28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w:t>
            </w:r>
          </w:p>
        </w:tc>
      </w:tr>
      <w:tr w14:paraId="79AC0252">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57485D9">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55C7645">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BF84FCF">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292F9E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40BE58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1000≤Y＜100000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FA865D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14F913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w:t>
            </w:r>
          </w:p>
        </w:tc>
      </w:tr>
      <w:tr w14:paraId="6C2578F3">
        <w:tblPrEx>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65448455">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软件和信息技术服务业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CC5566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0092FEE">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8CE7CD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X≥300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E69A223">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BA7149E">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10≤X＜100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93DF30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w:t>
            </w:r>
          </w:p>
        </w:tc>
      </w:tr>
      <w:tr w14:paraId="54D51B6C">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BCE00D3">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E297F1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A26F0D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2CCB3E4">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A09AEA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1000≤Y＜10000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45CB3D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50≤Y＜1000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9863FA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Y＜50</w:t>
            </w:r>
          </w:p>
        </w:tc>
      </w:tr>
      <w:tr w14:paraId="29734A7E">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530FADDC">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0918000">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2F1267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95EF0F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40444E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776A05F">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F9B37F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Y＜100</w:t>
            </w:r>
          </w:p>
        </w:tc>
      </w:tr>
      <w:tr w14:paraId="6DD8450B">
        <w:tblPrEx>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507EFFC2">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9D587AE">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资产总额</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Z</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2355AA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679B37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Z≥10000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F3ED6DD">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F49669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722D4CF">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Z＜2000</w:t>
            </w:r>
          </w:p>
        </w:tc>
      </w:tr>
      <w:tr w14:paraId="363495BE">
        <w:tblPrEx>
          <w:shd w:val="clear" w:color="auto" w:fill="FFFFFF"/>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667E1906">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E6ED2C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648434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3762374">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BA04033">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28404E2">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7FEB28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X＜100</w:t>
            </w:r>
          </w:p>
        </w:tc>
      </w:tr>
      <w:tr w14:paraId="250E49B3">
        <w:tblPrEx>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952C3C8">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28BF467">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营业收入</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Y</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1AFE615">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FA7372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Y≥5000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81572D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AB0704C">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ADEA1C3">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Y＜500</w:t>
            </w:r>
          </w:p>
        </w:tc>
      </w:tr>
      <w:tr w14:paraId="7E337E33">
        <w:tblPrEx>
          <w:tblCellMar>
            <w:top w:w="0" w:type="dxa"/>
            <w:left w:w="0" w:type="dxa"/>
            <w:bottom w:w="0" w:type="dxa"/>
            <w:right w:w="0" w:type="dxa"/>
          </w:tblCellMar>
        </w:tblPrEx>
        <w:trPr>
          <w:trHeight w:val="589" w:hRule="atLeast"/>
          <w:jc w:val="center"/>
        </w:trPr>
        <w:tc>
          <w:tcPr>
            <w:tcW w:w="1687"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CD9DACD">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628F5BF">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8BF4EA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125601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X≥300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B928239">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F2215D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10≤X＜100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F72AED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w:t>
            </w:r>
          </w:p>
        </w:tc>
      </w:tr>
      <w:tr w14:paraId="1657BDAF">
        <w:tblPrEx>
          <w:shd w:val="clear" w:color="auto" w:fill="FFFFFF"/>
          <w:tblCellMar>
            <w:top w:w="0" w:type="dxa"/>
            <w:left w:w="0" w:type="dxa"/>
            <w:bottom w:w="0" w:type="dxa"/>
            <w:right w:w="0" w:type="dxa"/>
          </w:tblCellMar>
        </w:tblPrEx>
        <w:trPr>
          <w:trHeight w:val="589" w:hRule="atLeast"/>
          <w:jc w:val="center"/>
        </w:trPr>
        <w:tc>
          <w:tcPr>
            <w:tcW w:w="1687"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50096E6D">
            <w:pPr>
              <w:spacing w:line="360" w:lineRule="auto"/>
              <w:jc w:val="center"/>
              <w:rPr>
                <w:rFonts w:ascii="宋体" w:hAnsi="宋体" w:cs="宋体"/>
                <w:color w:val="auto"/>
                <w:kern w:val="0"/>
                <w:sz w:val="21"/>
                <w:szCs w:val="21"/>
                <w:highlight w:val="none"/>
              </w:rPr>
            </w:pPr>
          </w:p>
        </w:tc>
        <w:tc>
          <w:tcPr>
            <w:tcW w:w="1492"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21B5526">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资产总额</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Z</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A92A296">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万元</w:t>
            </w:r>
          </w:p>
        </w:tc>
        <w:tc>
          <w:tcPr>
            <w:tcW w:w="124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D73057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73A4C6A">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4FEADB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0A1A6B1">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Z＜100</w:t>
            </w:r>
          </w:p>
        </w:tc>
      </w:tr>
      <w:tr w14:paraId="5B40831B">
        <w:tblPrEx>
          <w:tblCellMar>
            <w:top w:w="0" w:type="dxa"/>
            <w:left w:w="0" w:type="dxa"/>
            <w:bottom w:w="0" w:type="dxa"/>
            <w:right w:w="0" w:type="dxa"/>
          </w:tblCellMar>
        </w:tblPrEx>
        <w:trPr>
          <w:trHeight w:val="668" w:hRule="atLeast"/>
          <w:jc w:val="center"/>
        </w:trPr>
        <w:tc>
          <w:tcPr>
            <w:tcW w:w="1687" w:type="dxa"/>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5D15D59F">
            <w:pPr>
              <w:widowControl/>
              <w:wordWrap w:val="0"/>
              <w:spacing w:before="100" w:beforeAutospacing="1" w:after="100" w:afterAutospacing="1" w:line="240" w:lineRule="atLeas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CA679CB">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从业人员</w:t>
            </w:r>
            <w:r>
              <w:rPr>
                <w:rFonts w:hint="eastAsia" w:ascii="宋体" w:hAnsi="宋体" w:cs="宋体"/>
                <w:color w:val="auto"/>
                <w:spacing w:val="8"/>
                <w:kern w:val="0"/>
                <w:sz w:val="21"/>
                <w:szCs w:val="21"/>
                <w:highlight w:val="none"/>
                <w:lang w:eastAsia="zh-CN"/>
              </w:rPr>
              <w:t>（</w:t>
            </w:r>
            <w:r>
              <w:rPr>
                <w:rFonts w:hint="eastAsia" w:ascii="宋体" w:hAnsi="宋体" w:cs="宋体"/>
                <w:color w:val="auto"/>
                <w:spacing w:val="8"/>
                <w:kern w:val="0"/>
                <w:sz w:val="21"/>
                <w:szCs w:val="21"/>
                <w:highlight w:val="none"/>
              </w:rPr>
              <w:t>X</w:t>
            </w:r>
            <w:r>
              <w:rPr>
                <w:rFonts w:hint="eastAsia" w:ascii="宋体" w:hAnsi="宋体" w:cs="宋体"/>
                <w:color w:val="auto"/>
                <w:spacing w:val="8"/>
                <w:kern w:val="0"/>
                <w:sz w:val="21"/>
                <w:szCs w:val="21"/>
                <w:highlight w:val="none"/>
                <w:lang w:eastAsia="zh-CN"/>
              </w:rPr>
              <w:t>）</w:t>
            </w:r>
          </w:p>
        </w:tc>
        <w:tc>
          <w:tcPr>
            <w:tcW w:w="7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BB21C43">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人</w:t>
            </w:r>
          </w:p>
        </w:tc>
        <w:tc>
          <w:tcPr>
            <w:tcW w:w="124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4400BC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X≥300</w:t>
            </w:r>
          </w:p>
        </w:tc>
        <w:tc>
          <w:tcPr>
            <w:tcW w:w="1965"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25A4638">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588AF9E">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10≤X＜100</w:t>
            </w:r>
          </w:p>
        </w:tc>
        <w:tc>
          <w:tcPr>
            <w:tcW w:w="1023"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021C1F7">
            <w:pPr>
              <w:widowControl/>
              <w:wordWrap w:val="0"/>
              <w:spacing w:before="100" w:beforeAutospacing="1" w:after="100" w:afterAutospacing="1" w:line="360" w:lineRule="auto"/>
              <w:jc w:val="center"/>
              <w:rPr>
                <w:rFonts w:ascii="宋体" w:hAnsi="宋体" w:cs="宋体"/>
                <w:color w:val="auto"/>
                <w:kern w:val="0"/>
                <w:sz w:val="21"/>
                <w:szCs w:val="21"/>
                <w:highlight w:val="none"/>
              </w:rPr>
            </w:pPr>
            <w:r>
              <w:rPr>
                <w:rFonts w:hint="eastAsia" w:ascii="宋体" w:hAnsi="宋体" w:cs="宋体"/>
                <w:color w:val="auto"/>
                <w:spacing w:val="8"/>
                <w:kern w:val="0"/>
                <w:sz w:val="21"/>
                <w:szCs w:val="21"/>
                <w:highlight w:val="none"/>
              </w:rPr>
              <w:t>X＜10</w:t>
            </w:r>
          </w:p>
        </w:tc>
      </w:tr>
    </w:tbl>
    <w:p w14:paraId="7E61D5B9">
      <w:pPr>
        <w:spacing w:line="420" w:lineRule="exact"/>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说明：1.大型、中型和小型企业须</w:t>
      </w:r>
      <w:r>
        <w:rPr>
          <w:rFonts w:hint="eastAsia" w:ascii="宋体" w:hAnsi="宋体" w:cs="宋体"/>
          <w:b/>
          <w:bCs/>
          <w:color w:val="auto"/>
          <w:kern w:val="0"/>
          <w:highlight w:val="none"/>
        </w:rPr>
        <w:t>同时满足所列指标的下限</w:t>
      </w:r>
      <w:r>
        <w:rPr>
          <w:rFonts w:hint="eastAsia" w:ascii="宋体" w:hAnsi="宋体" w:cs="宋体"/>
          <w:color w:val="auto"/>
          <w:kern w:val="0"/>
          <w:highlight w:val="none"/>
        </w:rPr>
        <w:t>，否则下划一档；微型企业只</w:t>
      </w:r>
      <w:r>
        <w:rPr>
          <w:rFonts w:hint="eastAsia" w:ascii="宋体" w:hAnsi="宋体" w:cs="宋体"/>
          <w:color w:val="auto"/>
          <w:kern w:val="0"/>
          <w:highlight w:val="none"/>
          <w:lang w:eastAsia="zh-CN"/>
        </w:rPr>
        <w:t>需</w:t>
      </w:r>
      <w:r>
        <w:rPr>
          <w:rFonts w:hint="eastAsia" w:ascii="宋体" w:hAnsi="宋体" w:cs="宋体"/>
          <w:color w:val="auto"/>
          <w:kern w:val="0"/>
          <w:highlight w:val="none"/>
        </w:rPr>
        <w:t>满足所列指标中的一项即可。</w:t>
      </w:r>
    </w:p>
    <w:p w14:paraId="6D920556">
      <w:pPr>
        <w:numPr>
          <w:ilvl w:val="0"/>
          <w:numId w:val="0"/>
        </w:numPr>
        <w:spacing w:line="420" w:lineRule="exact"/>
        <w:ind w:firstLine="420" w:firstLineChars="200"/>
        <w:jc w:val="left"/>
        <w:rPr>
          <w:rFonts w:ascii="宋体" w:hAnsi="宋体" w:cs="宋体"/>
          <w:color w:val="auto"/>
          <w:kern w:val="0"/>
          <w:highlight w:val="none"/>
        </w:rPr>
      </w:pPr>
      <w:r>
        <w:rPr>
          <w:rFonts w:ascii="宋体" w:hAnsi="宋体" w:eastAsia="宋体" w:cs="宋体"/>
          <w:color w:val="auto"/>
          <w:kern w:val="0"/>
          <w:sz w:val="21"/>
          <w:szCs w:val="21"/>
          <w:highlight w:val="none"/>
          <w:lang w:val="en-US" w:eastAsia="zh-CN" w:bidi="ar-SA"/>
        </w:rPr>
        <w:t>2.</w:t>
      </w:r>
      <w:r>
        <w:rPr>
          <w:rFonts w:hint="eastAsia" w:ascii="宋体" w:hAnsi="宋体" w:cs="宋体"/>
          <w:color w:val="auto"/>
          <w:kern w:val="0"/>
          <w:highlight w:val="none"/>
        </w:rPr>
        <w:t>附表中各行业的范围以《国民经济行业分类》（GB/T4754-2017）为准。</w:t>
      </w:r>
      <w:r>
        <w:rPr>
          <w:rFonts w:hint="eastAsia" w:ascii="宋体" w:hAnsi="宋体" w:cs="宋体"/>
          <w:b/>
          <w:bCs/>
          <w:color w:val="auto"/>
          <w:kern w:val="0"/>
          <w:highlight w:val="none"/>
        </w:rPr>
        <w:t>带*的项为行业组合类别</w:t>
      </w:r>
      <w:r>
        <w:rPr>
          <w:rFonts w:hint="eastAsia" w:ascii="宋体" w:hAnsi="宋体" w:cs="宋体"/>
          <w:color w:val="auto"/>
          <w:kern w:val="0"/>
          <w:highlight w:val="none"/>
        </w:rPr>
        <w:t>，其中，</w:t>
      </w:r>
      <w:r>
        <w:rPr>
          <w:rFonts w:hint="eastAsia" w:ascii="宋体" w:hAnsi="宋体" w:cs="宋体"/>
          <w:b/>
          <w:bCs/>
          <w:color w:val="auto"/>
          <w:kern w:val="0"/>
          <w:highlight w:val="none"/>
        </w:rPr>
        <w:t>工业</w:t>
      </w:r>
      <w:r>
        <w:rPr>
          <w:rFonts w:hint="eastAsia" w:ascii="宋体" w:hAnsi="宋体" w:cs="宋体"/>
          <w:color w:val="auto"/>
          <w:kern w:val="0"/>
          <w:highlight w:val="none"/>
        </w:rPr>
        <w:t>包括采矿业，制造业，电力、热力、燃气及水生产和供应业；</w:t>
      </w:r>
      <w:r>
        <w:rPr>
          <w:rFonts w:hint="eastAsia" w:ascii="宋体" w:hAnsi="宋体" w:cs="宋体"/>
          <w:b/>
          <w:bCs/>
          <w:color w:val="auto"/>
          <w:kern w:val="0"/>
          <w:highlight w:val="none"/>
        </w:rPr>
        <w:t>交通运输业</w:t>
      </w:r>
      <w:r>
        <w:rPr>
          <w:rFonts w:hint="eastAsia" w:ascii="宋体" w:hAnsi="宋体" w:cs="宋体"/>
          <w:color w:val="auto"/>
          <w:kern w:val="0"/>
          <w:highlight w:val="none"/>
        </w:rPr>
        <w:t>包括道路运输业，水上运输业，航空运输业，管道运输业，多式联运和运输代理业、装卸搬运，不包括铁路运输业；</w:t>
      </w:r>
      <w:r>
        <w:rPr>
          <w:rFonts w:hint="eastAsia" w:ascii="宋体" w:hAnsi="宋体" w:cs="宋体"/>
          <w:b/>
          <w:bCs/>
          <w:color w:val="auto"/>
          <w:kern w:val="0"/>
          <w:highlight w:val="none"/>
        </w:rPr>
        <w:t>仓储业</w:t>
      </w:r>
      <w:r>
        <w:rPr>
          <w:rFonts w:hint="eastAsia" w:ascii="宋体" w:hAnsi="宋体" w:cs="宋体"/>
          <w:color w:val="auto"/>
          <w:kern w:val="0"/>
          <w:highlight w:val="none"/>
        </w:rPr>
        <w:t>包括通用仓储，低温仓储，危险品仓储，谷物、棉花等农产品仓储，中药材仓储和其他仓储业；</w:t>
      </w:r>
      <w:r>
        <w:rPr>
          <w:rFonts w:hint="eastAsia" w:ascii="宋体" w:hAnsi="宋体" w:cs="宋体"/>
          <w:b/>
          <w:bCs/>
          <w:color w:val="auto"/>
          <w:kern w:val="0"/>
          <w:highlight w:val="none"/>
        </w:rPr>
        <w:t>信息传输业</w:t>
      </w:r>
      <w:r>
        <w:rPr>
          <w:rFonts w:hint="eastAsia" w:ascii="宋体" w:hAnsi="宋体" w:cs="宋体"/>
          <w:color w:val="auto"/>
          <w:kern w:val="0"/>
          <w:highlight w:val="none"/>
        </w:rPr>
        <w:t>包括电信、广播电视和卫星传输服务，互联网和相关服务；</w:t>
      </w:r>
      <w:r>
        <w:rPr>
          <w:rFonts w:hint="eastAsia" w:ascii="宋体" w:hAnsi="宋体" w:cs="宋体"/>
          <w:b/>
          <w:bCs/>
          <w:color w:val="auto"/>
          <w:kern w:val="0"/>
          <w:highlight w:val="none"/>
        </w:rPr>
        <w:t>其他未列明行业</w:t>
      </w:r>
      <w:r>
        <w:rPr>
          <w:rFonts w:hint="eastAsia" w:ascii="宋体" w:hAnsi="宋体" w:cs="宋体"/>
          <w:color w:val="auto"/>
          <w:kern w:val="0"/>
          <w:highlight w:val="none"/>
        </w:rPr>
        <w:t>包括科学研究和技术服务业，水利、环境和公共设施管理业，居民服务、修理和其他服务业，社会工作，文化、体育和娱乐业，以及房地产中介服务，其他房地产业等，不包括自有房地产经营活动。</w:t>
      </w:r>
    </w:p>
    <w:p w14:paraId="20DDA77B">
      <w:pPr>
        <w:numPr>
          <w:ilvl w:val="0"/>
          <w:numId w:val="0"/>
        </w:numPr>
        <w:spacing w:line="420" w:lineRule="exact"/>
        <w:ind w:firstLine="420" w:firstLineChars="200"/>
        <w:jc w:val="left"/>
        <w:rPr>
          <w:rFonts w:ascii="宋体" w:hAnsi="宋体" w:cs="宋体"/>
          <w:color w:val="auto"/>
          <w:kern w:val="0"/>
          <w:highlight w:val="none"/>
        </w:rPr>
      </w:pPr>
      <w:r>
        <w:rPr>
          <w:rFonts w:ascii="宋体" w:hAnsi="宋体" w:eastAsia="宋体" w:cs="宋体"/>
          <w:color w:val="auto"/>
          <w:kern w:val="0"/>
          <w:sz w:val="21"/>
          <w:szCs w:val="21"/>
          <w:highlight w:val="none"/>
          <w:lang w:val="en-US" w:eastAsia="zh-CN" w:bidi="ar-SA"/>
        </w:rPr>
        <w:t>3.</w:t>
      </w:r>
      <w:r>
        <w:rPr>
          <w:rFonts w:hint="eastAsia" w:ascii="宋体" w:hAnsi="宋体" w:cs="宋体"/>
          <w:color w:val="auto"/>
          <w:kern w:val="0"/>
          <w:highlight w:val="none"/>
        </w:rPr>
        <w:t>企业划分指标以现行统计制度为准。</w:t>
      </w:r>
    </w:p>
    <w:p w14:paraId="34C0DE35">
      <w:pPr>
        <w:spacing w:line="420" w:lineRule="exact"/>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（1）从业人员，是指期末从业人员数，没有期末从业人员数的，采用全年平均人员数代替。</w:t>
      </w:r>
    </w:p>
    <w:p w14:paraId="53510D11">
      <w:pPr>
        <w:spacing w:line="420" w:lineRule="exact"/>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2E0EA2C">
      <w:pPr>
        <w:spacing w:line="420" w:lineRule="exact"/>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（3）资产总额，采用资产总计代替。</w:t>
      </w:r>
    </w:p>
    <w:p w14:paraId="19D414EC">
      <w:pPr>
        <w:rPr>
          <w:rFonts w:hint="eastAsia" w:ascii="宋体" w:hAnsi="宋体" w:cs="宋体"/>
          <w:color w:val="auto"/>
          <w:kern w:val="0"/>
          <w:highlight w:val="none"/>
        </w:rPr>
      </w:pPr>
      <w:r>
        <w:rPr>
          <w:rFonts w:hint="eastAsia" w:ascii="宋体" w:hAnsi="宋体" w:cs="宋体"/>
          <w:color w:val="auto"/>
          <w:kern w:val="0"/>
          <w:highlight w:val="none"/>
        </w:rPr>
        <w:br w:type="page"/>
      </w:r>
    </w:p>
    <w:p w14:paraId="412B9DB3">
      <w:pPr>
        <w:pStyle w:val="5"/>
        <w:ind w:firstLineChars="200"/>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附件3：环境标志产品政府采购品目清单</w:t>
      </w:r>
    </w:p>
    <w:p w14:paraId="4FB8580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pacing w:val="-1"/>
          <w:sz w:val="22"/>
          <w:szCs w:val="22"/>
          <w:highlight w:val="none"/>
          <w:lang w:val="en-US" w:eastAsia="zh-CN"/>
        </w:rPr>
      </w:pPr>
      <w:r>
        <w:rPr>
          <w:rFonts w:hint="default" w:ascii="宋体" w:hAnsi="宋体" w:eastAsia="宋体" w:cs="宋体"/>
          <w:color w:val="auto"/>
          <w:spacing w:val="-1"/>
          <w:sz w:val="22"/>
          <w:szCs w:val="22"/>
          <w:highlight w:val="none"/>
          <w:lang w:val="en-US" w:eastAsia="zh-CN"/>
        </w:rPr>
        <w:drawing>
          <wp:inline distT="0" distB="0" distL="114300" distR="114300">
            <wp:extent cx="5587365" cy="7901940"/>
            <wp:effectExtent l="0" t="0" r="13335" b="3810"/>
            <wp:docPr id="32" name="图片 32" descr="环境标志产品政府采购品目清单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环境标志产品政府采购品目清单_00"/>
                    <pic:cNvPicPr>
                      <a:picLocks noChangeAspect="1"/>
                    </pic:cNvPicPr>
                  </pic:nvPicPr>
                  <pic:blipFill>
                    <a:blip r:embed="rId10"/>
                    <a:stretch>
                      <a:fillRect/>
                    </a:stretch>
                  </pic:blipFill>
                  <pic:spPr>
                    <a:xfrm>
                      <a:off x="0" y="0"/>
                      <a:ext cx="5587365" cy="7901940"/>
                    </a:xfrm>
                    <a:prstGeom prst="rect">
                      <a:avLst/>
                    </a:prstGeom>
                  </pic:spPr>
                </pic:pic>
              </a:graphicData>
            </a:graphic>
          </wp:inline>
        </w:drawing>
      </w:r>
      <w:r>
        <w:rPr>
          <w:rFonts w:hint="default" w:ascii="宋体" w:hAnsi="宋体" w:eastAsia="宋体" w:cs="宋体"/>
          <w:color w:val="auto"/>
          <w:spacing w:val="-1"/>
          <w:sz w:val="22"/>
          <w:szCs w:val="22"/>
          <w:highlight w:val="none"/>
          <w:lang w:val="en-US" w:eastAsia="zh-CN"/>
        </w:rPr>
        <w:drawing>
          <wp:inline distT="0" distB="0" distL="114300" distR="114300">
            <wp:extent cx="5587365" cy="7901940"/>
            <wp:effectExtent l="0" t="0" r="13335" b="3810"/>
            <wp:docPr id="31" name="图片 31" descr="环境标志产品政府采购品目清单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环境标志产品政府采购品目清单_01"/>
                    <pic:cNvPicPr>
                      <a:picLocks noChangeAspect="1"/>
                    </pic:cNvPicPr>
                  </pic:nvPicPr>
                  <pic:blipFill>
                    <a:blip r:embed="rId11"/>
                    <a:stretch>
                      <a:fillRect/>
                    </a:stretch>
                  </pic:blipFill>
                  <pic:spPr>
                    <a:xfrm>
                      <a:off x="0" y="0"/>
                      <a:ext cx="5587365" cy="7901940"/>
                    </a:xfrm>
                    <a:prstGeom prst="rect">
                      <a:avLst/>
                    </a:prstGeom>
                  </pic:spPr>
                </pic:pic>
              </a:graphicData>
            </a:graphic>
          </wp:inline>
        </w:drawing>
      </w:r>
      <w:r>
        <w:rPr>
          <w:rFonts w:hint="default" w:ascii="宋体" w:hAnsi="宋体" w:eastAsia="宋体" w:cs="宋体"/>
          <w:color w:val="auto"/>
          <w:spacing w:val="-1"/>
          <w:sz w:val="22"/>
          <w:szCs w:val="22"/>
          <w:highlight w:val="none"/>
          <w:lang w:val="en-US" w:eastAsia="zh-CN"/>
        </w:rPr>
        <w:drawing>
          <wp:inline distT="0" distB="0" distL="114300" distR="114300">
            <wp:extent cx="5587365" cy="7901940"/>
            <wp:effectExtent l="0" t="0" r="13335" b="3810"/>
            <wp:docPr id="30" name="图片 30" descr="环境标志产品政府采购品目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环境标志产品政府采购品目清单_02"/>
                    <pic:cNvPicPr>
                      <a:picLocks noChangeAspect="1"/>
                    </pic:cNvPicPr>
                  </pic:nvPicPr>
                  <pic:blipFill>
                    <a:blip r:embed="rId12"/>
                    <a:stretch>
                      <a:fillRect/>
                    </a:stretch>
                  </pic:blipFill>
                  <pic:spPr>
                    <a:xfrm>
                      <a:off x="0" y="0"/>
                      <a:ext cx="5587365" cy="7901940"/>
                    </a:xfrm>
                    <a:prstGeom prst="rect">
                      <a:avLst/>
                    </a:prstGeom>
                  </pic:spPr>
                </pic:pic>
              </a:graphicData>
            </a:graphic>
          </wp:inline>
        </w:drawing>
      </w:r>
      <w:r>
        <w:rPr>
          <w:rFonts w:hint="default" w:ascii="宋体" w:hAnsi="宋体" w:eastAsia="宋体" w:cs="宋体"/>
          <w:color w:val="auto"/>
          <w:spacing w:val="-1"/>
          <w:sz w:val="22"/>
          <w:szCs w:val="22"/>
          <w:highlight w:val="none"/>
          <w:lang w:val="en-US" w:eastAsia="zh-CN"/>
        </w:rPr>
        <w:drawing>
          <wp:inline distT="0" distB="0" distL="114300" distR="114300">
            <wp:extent cx="5587365" cy="7901940"/>
            <wp:effectExtent l="0" t="0" r="13335" b="3810"/>
            <wp:docPr id="29" name="图片 29" descr="环境标志产品政府采购品目清单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环境标志产品政府采购品目清单_03"/>
                    <pic:cNvPicPr>
                      <a:picLocks noChangeAspect="1"/>
                    </pic:cNvPicPr>
                  </pic:nvPicPr>
                  <pic:blipFill>
                    <a:blip r:embed="rId13"/>
                    <a:stretch>
                      <a:fillRect/>
                    </a:stretch>
                  </pic:blipFill>
                  <pic:spPr>
                    <a:xfrm>
                      <a:off x="0" y="0"/>
                      <a:ext cx="5587365" cy="7901940"/>
                    </a:xfrm>
                    <a:prstGeom prst="rect">
                      <a:avLst/>
                    </a:prstGeom>
                  </pic:spPr>
                </pic:pic>
              </a:graphicData>
            </a:graphic>
          </wp:inline>
        </w:drawing>
      </w:r>
    </w:p>
    <w:p w14:paraId="69023AF1">
      <w:pPr>
        <w:rPr>
          <w:rFonts w:hint="default" w:ascii="宋体" w:hAnsi="宋体" w:eastAsia="宋体" w:cs="宋体"/>
          <w:color w:val="auto"/>
          <w:spacing w:val="-1"/>
          <w:sz w:val="22"/>
          <w:szCs w:val="22"/>
          <w:highlight w:val="none"/>
          <w:lang w:val="en-US" w:eastAsia="zh-CN"/>
        </w:rPr>
      </w:pPr>
      <w:r>
        <w:rPr>
          <w:rFonts w:hint="default" w:ascii="宋体" w:hAnsi="宋体" w:eastAsia="宋体" w:cs="宋体"/>
          <w:color w:val="auto"/>
          <w:spacing w:val="-1"/>
          <w:sz w:val="22"/>
          <w:szCs w:val="22"/>
          <w:highlight w:val="none"/>
          <w:lang w:val="en-US" w:eastAsia="zh-CN"/>
        </w:rPr>
        <w:br w:type="page"/>
      </w:r>
    </w:p>
    <w:p w14:paraId="61D5C60C">
      <w:pPr>
        <w:jc w:val="center"/>
        <w:outlineLvl w:val="0"/>
        <w:rPr>
          <w:rFonts w:ascii="宋体" w:hAnsi="宋体"/>
          <w:bCs/>
          <w:color w:val="auto"/>
          <w:sz w:val="32"/>
          <w:szCs w:val="32"/>
          <w:highlight w:val="none"/>
        </w:rPr>
      </w:pPr>
      <w:bookmarkStart w:id="853" w:name="_Toc509667306"/>
      <w:bookmarkEnd w:id="853"/>
      <w:bookmarkStart w:id="854" w:name="_Toc32380"/>
      <w:bookmarkStart w:id="855" w:name="_Toc23578"/>
      <w:bookmarkStart w:id="856" w:name="_Toc21867"/>
      <w:bookmarkStart w:id="857" w:name="_Toc283"/>
      <w:bookmarkStart w:id="858" w:name="_Toc8946"/>
      <w:bookmarkStart w:id="859" w:name="_Toc129073506"/>
      <w:r>
        <w:rPr>
          <w:rFonts w:hint="eastAsia" w:ascii="宋体" w:hAnsi="宋体"/>
          <w:b/>
          <w:color w:val="auto"/>
          <w:kern w:val="44"/>
          <w:sz w:val="36"/>
          <w:szCs w:val="36"/>
          <w:highlight w:val="none"/>
        </w:rPr>
        <w:t>第三章  评审办法（综合评分法）</w:t>
      </w:r>
      <w:bookmarkEnd w:id="854"/>
      <w:bookmarkEnd w:id="855"/>
      <w:bookmarkEnd w:id="856"/>
      <w:bookmarkEnd w:id="857"/>
      <w:bookmarkEnd w:id="858"/>
      <w:bookmarkEnd w:id="859"/>
    </w:p>
    <w:p w14:paraId="1E3A5AE9">
      <w:pPr>
        <w:ind w:firstLine="422"/>
        <w:jc w:val="center"/>
        <w:outlineLvl w:val="1"/>
        <w:rPr>
          <w:rFonts w:ascii="宋体" w:hAnsi="宋体"/>
          <w:b/>
          <w:bCs/>
          <w:color w:val="auto"/>
          <w:sz w:val="28"/>
          <w:szCs w:val="28"/>
          <w:highlight w:val="none"/>
        </w:rPr>
      </w:pPr>
      <w:bookmarkStart w:id="860" w:name="_Toc455080156"/>
      <w:bookmarkEnd w:id="860"/>
      <w:bookmarkStart w:id="861" w:name="_Toc455867816"/>
      <w:bookmarkEnd w:id="861"/>
      <w:bookmarkStart w:id="862" w:name="_Toc281405527"/>
      <w:bookmarkEnd w:id="862"/>
      <w:bookmarkStart w:id="863" w:name="_Toc152045599"/>
      <w:bookmarkEnd w:id="863"/>
      <w:bookmarkStart w:id="864" w:name="_Toc4489"/>
      <w:bookmarkEnd w:id="864"/>
      <w:bookmarkStart w:id="865" w:name="_Toc466298139"/>
      <w:bookmarkEnd w:id="865"/>
      <w:bookmarkStart w:id="866" w:name="_Toc318450721"/>
      <w:bookmarkEnd w:id="866"/>
      <w:bookmarkStart w:id="867" w:name="_Toc152042376"/>
      <w:bookmarkEnd w:id="867"/>
      <w:bookmarkStart w:id="868" w:name="_Toc144974566"/>
      <w:bookmarkEnd w:id="868"/>
      <w:bookmarkStart w:id="869" w:name="_Toc1879"/>
      <w:bookmarkStart w:id="870" w:name="_Toc129073507"/>
      <w:bookmarkStart w:id="871" w:name="_Toc27806"/>
      <w:bookmarkStart w:id="872" w:name="_Toc29812"/>
      <w:bookmarkStart w:id="873" w:name="_Toc32260"/>
      <w:bookmarkStart w:id="874" w:name="_Toc7012"/>
      <w:bookmarkStart w:id="875" w:name="_Toc5644"/>
      <w:bookmarkStart w:id="876" w:name="_Toc12487"/>
      <w:r>
        <w:rPr>
          <w:rFonts w:hint="eastAsia" w:ascii="宋体" w:hAnsi="宋体"/>
          <w:b/>
          <w:bCs/>
          <w:color w:val="auto"/>
          <w:sz w:val="28"/>
          <w:szCs w:val="28"/>
          <w:highlight w:val="none"/>
        </w:rPr>
        <w:t>评审办法前附表</w:t>
      </w:r>
      <w:bookmarkEnd w:id="869"/>
      <w:bookmarkEnd w:id="870"/>
      <w:bookmarkEnd w:id="871"/>
      <w:bookmarkEnd w:id="872"/>
      <w:bookmarkEnd w:id="873"/>
      <w:bookmarkEnd w:id="874"/>
      <w:bookmarkEnd w:id="875"/>
      <w:bookmarkEnd w:id="876"/>
    </w:p>
    <w:tbl>
      <w:tblPr>
        <w:tblStyle w:val="46"/>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3"/>
        <w:gridCol w:w="640"/>
        <w:gridCol w:w="1400"/>
        <w:gridCol w:w="6502"/>
      </w:tblGrid>
      <w:tr w14:paraId="1ECD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534" w:type="dxa"/>
            <w:gridSpan w:val="3"/>
            <w:vAlign w:val="center"/>
          </w:tcPr>
          <w:p w14:paraId="5C9738BF">
            <w:pPr>
              <w:adjustRightInd w:val="0"/>
              <w:snapToGrid w:val="0"/>
              <w:spacing w:line="360" w:lineRule="auto"/>
              <w:jc w:val="center"/>
              <w:textAlignment w:val="baseline"/>
              <w:rPr>
                <w:rFonts w:ascii="宋体" w:hAnsi="宋体"/>
                <w:b/>
                <w:bCs/>
                <w:color w:val="auto"/>
                <w:highlight w:val="none"/>
              </w:rPr>
            </w:pPr>
            <w:bookmarkStart w:id="877" w:name="_Toc152042377"/>
            <w:bookmarkEnd w:id="877"/>
            <w:bookmarkStart w:id="878" w:name="_Toc152045600"/>
            <w:bookmarkEnd w:id="878"/>
            <w:bookmarkStart w:id="879" w:name="_Toc318450722"/>
            <w:bookmarkEnd w:id="879"/>
            <w:bookmarkStart w:id="880" w:name="_Toc144974567"/>
            <w:bookmarkEnd w:id="880"/>
            <w:bookmarkStart w:id="881" w:name="_Toc281405528"/>
            <w:r>
              <w:rPr>
                <w:rFonts w:hint="eastAsia" w:ascii="宋体" w:hAnsi="宋体"/>
                <w:b/>
                <w:bCs/>
                <w:color w:val="auto"/>
                <w:highlight w:val="none"/>
              </w:rPr>
              <w:t>条款号</w:t>
            </w:r>
          </w:p>
        </w:tc>
        <w:tc>
          <w:tcPr>
            <w:tcW w:w="1400" w:type="dxa"/>
            <w:vAlign w:val="center"/>
          </w:tcPr>
          <w:p w14:paraId="10F7298B">
            <w:pPr>
              <w:adjustRightInd w:val="0"/>
              <w:snapToGrid w:val="0"/>
              <w:spacing w:line="360" w:lineRule="auto"/>
              <w:jc w:val="center"/>
              <w:textAlignment w:val="baseline"/>
              <w:rPr>
                <w:rFonts w:ascii="宋体" w:hAnsi="宋体"/>
                <w:b/>
                <w:bCs/>
                <w:color w:val="auto"/>
                <w:highlight w:val="none"/>
              </w:rPr>
            </w:pPr>
            <w:r>
              <w:rPr>
                <w:rFonts w:hint="eastAsia" w:ascii="宋体" w:hAnsi="宋体"/>
                <w:b/>
                <w:bCs/>
                <w:color w:val="auto"/>
                <w:highlight w:val="none"/>
              </w:rPr>
              <w:t>评审因素</w:t>
            </w:r>
          </w:p>
        </w:tc>
        <w:tc>
          <w:tcPr>
            <w:tcW w:w="6502" w:type="dxa"/>
            <w:vAlign w:val="center"/>
          </w:tcPr>
          <w:p w14:paraId="3F2DC29D">
            <w:pPr>
              <w:adjustRightInd w:val="0"/>
              <w:snapToGrid w:val="0"/>
              <w:spacing w:line="360" w:lineRule="auto"/>
              <w:jc w:val="center"/>
              <w:textAlignment w:val="baseline"/>
              <w:rPr>
                <w:rFonts w:ascii="宋体" w:hAnsi="宋体"/>
                <w:b/>
                <w:bCs/>
                <w:color w:val="auto"/>
                <w:highlight w:val="none"/>
              </w:rPr>
            </w:pPr>
            <w:r>
              <w:rPr>
                <w:rFonts w:hint="eastAsia" w:ascii="宋体" w:hAnsi="宋体"/>
                <w:b/>
                <w:bCs/>
                <w:color w:val="auto"/>
                <w:highlight w:val="none"/>
              </w:rPr>
              <w:t>评审标准</w:t>
            </w:r>
          </w:p>
        </w:tc>
      </w:tr>
      <w:tr w14:paraId="36B8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894" w:type="dxa"/>
            <w:gridSpan w:val="2"/>
            <w:vMerge w:val="restart"/>
            <w:vAlign w:val="center"/>
          </w:tcPr>
          <w:p w14:paraId="1D54B3E7">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2.1.1</w:t>
            </w:r>
          </w:p>
        </w:tc>
        <w:tc>
          <w:tcPr>
            <w:tcW w:w="640" w:type="dxa"/>
            <w:vMerge w:val="restart"/>
            <w:vAlign w:val="center"/>
          </w:tcPr>
          <w:p w14:paraId="762642FB">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资</w:t>
            </w:r>
          </w:p>
          <w:p w14:paraId="22300DCA">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格</w:t>
            </w:r>
          </w:p>
          <w:p w14:paraId="79759EEF">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评</w:t>
            </w:r>
          </w:p>
          <w:p w14:paraId="62C1DE86">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审</w:t>
            </w:r>
          </w:p>
          <w:p w14:paraId="38AA8DAE">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标</w:t>
            </w:r>
          </w:p>
          <w:p w14:paraId="7924AFA5">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准</w:t>
            </w:r>
          </w:p>
        </w:tc>
        <w:tc>
          <w:tcPr>
            <w:tcW w:w="1400" w:type="dxa"/>
            <w:vAlign w:val="center"/>
          </w:tcPr>
          <w:p w14:paraId="098E2654">
            <w:pPr>
              <w:pStyle w:val="94"/>
              <w:widowControl/>
              <w:adjustRightInd w:val="0"/>
              <w:snapToGrid w:val="0"/>
              <w:spacing w:line="360" w:lineRule="auto"/>
              <w:jc w:val="center"/>
              <w:rPr>
                <w:rFonts w:ascii="宋体" w:hAnsi="宋体"/>
                <w:color w:val="auto"/>
                <w:highlight w:val="none"/>
              </w:rPr>
            </w:pPr>
            <w:r>
              <w:rPr>
                <w:rFonts w:hint="eastAsia" w:ascii="宋体" w:hAnsi="宋体"/>
                <w:color w:val="auto"/>
                <w:highlight w:val="none"/>
              </w:rPr>
              <w:t>具有独立承担民事责任的能力</w:t>
            </w:r>
          </w:p>
        </w:tc>
        <w:tc>
          <w:tcPr>
            <w:tcW w:w="6502" w:type="dxa"/>
            <w:vAlign w:val="center"/>
          </w:tcPr>
          <w:p w14:paraId="173BA9C2">
            <w:pPr>
              <w:pStyle w:val="84"/>
              <w:snapToGrid w:val="0"/>
              <w:spacing w:line="360" w:lineRule="auto"/>
              <w:rPr>
                <w:rFonts w:cs="Times New Roman"/>
                <w:color w:val="auto"/>
                <w:sz w:val="21"/>
                <w:szCs w:val="21"/>
                <w:highlight w:val="none"/>
              </w:rPr>
            </w:pPr>
            <w:r>
              <w:rPr>
                <w:rFonts w:hint="eastAsia" w:ascii="宋体" w:hAnsi="宋体"/>
                <w:color w:val="auto"/>
                <w:sz w:val="21"/>
                <w:szCs w:val="21"/>
                <w:highlight w:val="none"/>
                <w:lang w:eastAsia="zh-CN"/>
              </w:rPr>
              <w:t>提供有效的营业执照/事业单位法人证书/社会团体法人登记证书/民办非企业单位登记证书等相关证明文件</w:t>
            </w:r>
          </w:p>
        </w:tc>
      </w:tr>
      <w:tr w14:paraId="13DF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894" w:type="dxa"/>
            <w:gridSpan w:val="2"/>
            <w:vMerge w:val="continue"/>
            <w:vAlign w:val="center"/>
          </w:tcPr>
          <w:p w14:paraId="07BA6E07">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71D664E3">
            <w:pPr>
              <w:widowControl/>
              <w:adjustRightInd w:val="0"/>
              <w:snapToGrid w:val="0"/>
              <w:spacing w:line="360" w:lineRule="auto"/>
              <w:jc w:val="left"/>
              <w:rPr>
                <w:rFonts w:ascii="宋体" w:hAnsi="宋体"/>
                <w:color w:val="auto"/>
                <w:kern w:val="0"/>
                <w:highlight w:val="none"/>
              </w:rPr>
            </w:pPr>
          </w:p>
        </w:tc>
        <w:tc>
          <w:tcPr>
            <w:tcW w:w="1400" w:type="dxa"/>
            <w:vAlign w:val="center"/>
          </w:tcPr>
          <w:p w14:paraId="3C606339">
            <w:pPr>
              <w:pStyle w:val="94"/>
              <w:widowControl/>
              <w:adjustRightInd w:val="0"/>
              <w:snapToGrid w:val="0"/>
              <w:spacing w:line="360" w:lineRule="auto"/>
              <w:jc w:val="center"/>
              <w:rPr>
                <w:rFonts w:ascii="宋体" w:hAnsi="宋体"/>
                <w:color w:val="auto"/>
                <w:kern w:val="0"/>
                <w:highlight w:val="none"/>
              </w:rPr>
            </w:pPr>
            <w:r>
              <w:rPr>
                <w:rFonts w:hint="eastAsia" w:ascii="宋体" w:hAnsi="宋体"/>
                <w:color w:val="auto"/>
                <w:kern w:val="0"/>
                <w:highlight w:val="none"/>
              </w:rPr>
              <w:t>具有良好的商业信誉和健全的财务会计制度</w:t>
            </w:r>
          </w:p>
        </w:tc>
        <w:tc>
          <w:tcPr>
            <w:tcW w:w="6502" w:type="dxa"/>
            <w:vAlign w:val="center"/>
          </w:tcPr>
          <w:p w14:paraId="7BF6B3D3">
            <w:pPr>
              <w:adjustRightInd w:val="0"/>
              <w:snapToGrid w:val="0"/>
              <w:spacing w:line="360" w:lineRule="auto"/>
              <w:rPr>
                <w:rFonts w:ascii="宋体" w:hAnsi="宋体"/>
                <w:color w:val="auto"/>
                <w:kern w:val="0"/>
                <w:highlight w:val="none"/>
              </w:rPr>
            </w:pPr>
            <w:r>
              <w:rPr>
                <w:rFonts w:hint="eastAsia" w:ascii="宋体" w:hAnsi="宋体"/>
                <w:color w:val="auto"/>
                <w:sz w:val="21"/>
                <w:szCs w:val="21"/>
                <w:highlight w:val="none"/>
                <w:lang w:eastAsia="zh-CN"/>
              </w:rPr>
              <w:t>提供</w:t>
            </w:r>
            <w:r>
              <w:rPr>
                <w:rFonts w:hint="eastAsia" w:ascii="宋体" w:hAnsi="宋体"/>
                <w:color w:val="auto"/>
                <w:sz w:val="21"/>
                <w:szCs w:val="21"/>
                <w:highlight w:val="none"/>
                <w:lang w:val="en-US" w:eastAsia="zh-CN"/>
              </w:rPr>
              <w:t>2025年度</w:t>
            </w:r>
            <w:r>
              <w:rPr>
                <w:rFonts w:hint="eastAsia" w:ascii="宋体" w:hAnsi="宋体"/>
                <w:color w:val="auto"/>
                <w:sz w:val="21"/>
                <w:szCs w:val="21"/>
                <w:highlight w:val="none"/>
                <w:lang w:eastAsia="zh-CN"/>
              </w:rPr>
              <w:t>经审计的财务报告，成立时间不足1年的，提供近三个月内其基本开户银行出具的资信证明</w:t>
            </w:r>
          </w:p>
        </w:tc>
      </w:tr>
      <w:tr w14:paraId="30A3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894" w:type="dxa"/>
            <w:gridSpan w:val="2"/>
            <w:vMerge w:val="continue"/>
            <w:vAlign w:val="center"/>
          </w:tcPr>
          <w:p w14:paraId="01828865">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1FBCDFE6">
            <w:pPr>
              <w:widowControl/>
              <w:adjustRightInd w:val="0"/>
              <w:snapToGrid w:val="0"/>
              <w:spacing w:line="360" w:lineRule="auto"/>
              <w:jc w:val="left"/>
              <w:rPr>
                <w:rFonts w:ascii="宋体" w:hAnsi="宋体"/>
                <w:color w:val="auto"/>
                <w:kern w:val="0"/>
                <w:highlight w:val="none"/>
              </w:rPr>
            </w:pPr>
          </w:p>
        </w:tc>
        <w:tc>
          <w:tcPr>
            <w:tcW w:w="1400" w:type="dxa"/>
            <w:vAlign w:val="center"/>
          </w:tcPr>
          <w:p w14:paraId="2177D6A2">
            <w:pPr>
              <w:pStyle w:val="94"/>
              <w:widowControl/>
              <w:adjustRightInd w:val="0"/>
              <w:snapToGrid w:val="0"/>
              <w:spacing w:line="360" w:lineRule="auto"/>
              <w:jc w:val="center"/>
              <w:rPr>
                <w:rFonts w:ascii="宋体" w:hAnsi="宋体"/>
                <w:color w:val="auto"/>
                <w:kern w:val="0"/>
                <w:highlight w:val="none"/>
              </w:rPr>
            </w:pPr>
            <w:r>
              <w:rPr>
                <w:rFonts w:hint="eastAsia" w:ascii="宋体" w:hAnsi="宋体"/>
                <w:color w:val="auto"/>
                <w:kern w:val="0"/>
                <w:highlight w:val="none"/>
              </w:rPr>
              <w:t>具有履行合同所必需的设备和专业技术能力</w:t>
            </w:r>
          </w:p>
        </w:tc>
        <w:tc>
          <w:tcPr>
            <w:tcW w:w="6502" w:type="dxa"/>
            <w:vAlign w:val="center"/>
          </w:tcPr>
          <w:p w14:paraId="0F0D483F">
            <w:pPr>
              <w:adjustRightInd w:val="0"/>
              <w:snapToGrid w:val="0"/>
              <w:spacing w:line="360" w:lineRule="auto"/>
              <w:rPr>
                <w:rFonts w:ascii="宋体" w:hAnsi="宋体"/>
                <w:color w:val="auto"/>
                <w:kern w:val="0"/>
                <w:highlight w:val="none"/>
              </w:rPr>
            </w:pPr>
            <w:r>
              <w:rPr>
                <w:rFonts w:hint="eastAsia" w:ascii="宋体" w:hAnsi="宋体"/>
                <w:color w:val="auto"/>
                <w:kern w:val="0"/>
                <w:highlight w:val="none"/>
              </w:rPr>
              <w:t>提供承诺函</w:t>
            </w:r>
          </w:p>
        </w:tc>
      </w:tr>
      <w:tr w14:paraId="1500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4" w:type="dxa"/>
            <w:gridSpan w:val="2"/>
            <w:vMerge w:val="continue"/>
            <w:vAlign w:val="center"/>
          </w:tcPr>
          <w:p w14:paraId="50EEE124">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20DF05C0">
            <w:pPr>
              <w:widowControl/>
              <w:adjustRightInd w:val="0"/>
              <w:snapToGrid w:val="0"/>
              <w:spacing w:line="360" w:lineRule="auto"/>
              <w:jc w:val="left"/>
              <w:rPr>
                <w:rFonts w:ascii="宋体" w:hAnsi="宋体"/>
                <w:color w:val="auto"/>
                <w:kern w:val="0"/>
                <w:highlight w:val="none"/>
              </w:rPr>
            </w:pPr>
          </w:p>
        </w:tc>
        <w:tc>
          <w:tcPr>
            <w:tcW w:w="1400" w:type="dxa"/>
            <w:vAlign w:val="center"/>
          </w:tcPr>
          <w:p w14:paraId="032BDA3B">
            <w:pPr>
              <w:pStyle w:val="94"/>
              <w:widowControl/>
              <w:adjustRightInd w:val="0"/>
              <w:snapToGrid w:val="0"/>
              <w:spacing w:line="360" w:lineRule="auto"/>
              <w:jc w:val="center"/>
              <w:rPr>
                <w:rFonts w:ascii="宋体" w:hAnsi="宋体"/>
                <w:color w:val="auto"/>
                <w:kern w:val="0"/>
                <w:highlight w:val="none"/>
              </w:rPr>
            </w:pPr>
            <w:r>
              <w:rPr>
                <w:rFonts w:hint="eastAsia" w:ascii="宋体" w:hAnsi="宋体"/>
                <w:color w:val="auto"/>
                <w:highlight w:val="none"/>
              </w:rPr>
              <w:t>具有依法缴纳税收和社会保障资金的良好记录</w:t>
            </w:r>
          </w:p>
        </w:tc>
        <w:tc>
          <w:tcPr>
            <w:tcW w:w="6502" w:type="dxa"/>
            <w:vAlign w:val="center"/>
          </w:tcPr>
          <w:p w14:paraId="6FA44E48">
            <w:pPr>
              <w:adjustRightInd w:val="0"/>
              <w:snapToGrid w:val="0"/>
              <w:spacing w:line="360" w:lineRule="auto"/>
              <w:rPr>
                <w:rFonts w:ascii="宋体" w:hAnsi="宋体"/>
                <w:color w:val="auto"/>
                <w:kern w:val="0"/>
                <w:highlight w:val="none"/>
              </w:rPr>
            </w:pPr>
            <w:r>
              <w:rPr>
                <w:rFonts w:hint="eastAsia" w:ascii="宋体" w:hAnsi="宋体"/>
                <w:color w:val="auto"/>
                <w:sz w:val="21"/>
                <w:szCs w:val="21"/>
                <w:highlight w:val="none"/>
                <w:lang w:eastAsia="zh-CN"/>
              </w:rPr>
              <w:t>提供202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年1月1日以来任意</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个月的依法缴纳税收和社会保障资金的证明材料，依法免税或不需要缴纳税收、缴纳社会保障资金的供应商，须出具有效证明文件</w:t>
            </w:r>
          </w:p>
        </w:tc>
      </w:tr>
      <w:tr w14:paraId="5315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4" w:type="dxa"/>
            <w:gridSpan w:val="2"/>
            <w:vMerge w:val="continue"/>
            <w:vAlign w:val="center"/>
          </w:tcPr>
          <w:p w14:paraId="21F98152">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205A8033">
            <w:pPr>
              <w:widowControl/>
              <w:adjustRightInd w:val="0"/>
              <w:snapToGrid w:val="0"/>
              <w:spacing w:line="360" w:lineRule="auto"/>
              <w:jc w:val="left"/>
              <w:rPr>
                <w:rFonts w:ascii="宋体" w:hAnsi="宋体"/>
                <w:color w:val="auto"/>
                <w:kern w:val="0"/>
                <w:highlight w:val="none"/>
              </w:rPr>
            </w:pPr>
          </w:p>
        </w:tc>
        <w:tc>
          <w:tcPr>
            <w:tcW w:w="1400" w:type="dxa"/>
            <w:vAlign w:val="center"/>
          </w:tcPr>
          <w:p w14:paraId="075DC9C3">
            <w:pPr>
              <w:pStyle w:val="94"/>
              <w:widowControl/>
              <w:adjustRightInd w:val="0"/>
              <w:snapToGrid w:val="0"/>
              <w:spacing w:line="360" w:lineRule="auto"/>
              <w:jc w:val="center"/>
              <w:rPr>
                <w:rFonts w:ascii="宋体" w:hAnsi="宋体"/>
                <w:color w:val="auto"/>
                <w:highlight w:val="none"/>
              </w:rPr>
            </w:pPr>
            <w:r>
              <w:rPr>
                <w:rFonts w:hint="eastAsia" w:ascii="宋体" w:hAnsi="宋体"/>
                <w:color w:val="auto"/>
                <w:highlight w:val="none"/>
              </w:rPr>
              <w:t>参加政府采购活动前三年内，在经营活动中没有违法记录</w:t>
            </w:r>
          </w:p>
        </w:tc>
        <w:tc>
          <w:tcPr>
            <w:tcW w:w="6502" w:type="dxa"/>
            <w:vAlign w:val="center"/>
          </w:tcPr>
          <w:p w14:paraId="54AB3094">
            <w:pPr>
              <w:adjustRightInd w:val="0"/>
              <w:snapToGrid w:val="0"/>
              <w:spacing w:line="360" w:lineRule="auto"/>
              <w:rPr>
                <w:rFonts w:ascii="宋体" w:hAnsi="宋体"/>
                <w:color w:val="auto"/>
                <w:kern w:val="0"/>
                <w:highlight w:val="none"/>
              </w:rPr>
            </w:pPr>
            <w:r>
              <w:rPr>
                <w:rFonts w:hint="eastAsia" w:ascii="宋体" w:hAnsi="宋体"/>
                <w:color w:val="auto"/>
                <w:sz w:val="21"/>
                <w:szCs w:val="21"/>
                <w:highlight w:val="none"/>
                <w:lang w:eastAsia="zh-CN"/>
              </w:rPr>
              <w:t>提供承诺函。</w:t>
            </w:r>
          </w:p>
        </w:tc>
      </w:tr>
      <w:tr w14:paraId="7DD6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4" w:type="dxa"/>
            <w:gridSpan w:val="2"/>
            <w:vMerge w:val="continue"/>
            <w:vAlign w:val="center"/>
          </w:tcPr>
          <w:p w14:paraId="4BCEB304">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3CB884E1">
            <w:pPr>
              <w:widowControl/>
              <w:adjustRightInd w:val="0"/>
              <w:snapToGrid w:val="0"/>
              <w:spacing w:line="360" w:lineRule="auto"/>
              <w:jc w:val="left"/>
              <w:rPr>
                <w:rFonts w:ascii="宋体" w:hAnsi="宋体"/>
                <w:color w:val="auto"/>
                <w:kern w:val="0"/>
                <w:highlight w:val="none"/>
              </w:rPr>
            </w:pPr>
          </w:p>
        </w:tc>
        <w:tc>
          <w:tcPr>
            <w:tcW w:w="1400" w:type="dxa"/>
            <w:vAlign w:val="center"/>
          </w:tcPr>
          <w:p w14:paraId="3AB4FB90">
            <w:pPr>
              <w:pStyle w:val="94"/>
              <w:widowControl/>
              <w:adjustRightInd w:val="0"/>
              <w:snapToGrid w:val="0"/>
              <w:spacing w:line="360" w:lineRule="auto"/>
              <w:jc w:val="center"/>
              <w:rPr>
                <w:rFonts w:ascii="宋体" w:hAnsi="宋体"/>
                <w:color w:val="auto"/>
                <w:highlight w:val="none"/>
              </w:rPr>
            </w:pPr>
            <w:r>
              <w:rPr>
                <w:rFonts w:hint="eastAsia" w:ascii="宋体" w:hAnsi="宋体"/>
                <w:color w:val="auto"/>
                <w:highlight w:val="none"/>
              </w:rPr>
              <w:t>企业资质</w:t>
            </w:r>
          </w:p>
        </w:tc>
        <w:tc>
          <w:tcPr>
            <w:tcW w:w="6502" w:type="dxa"/>
            <w:vAlign w:val="center"/>
          </w:tcPr>
          <w:p w14:paraId="6FE04F97">
            <w:pPr>
              <w:widowControl/>
              <w:spacing w:line="360" w:lineRule="auto"/>
              <w:jc w:val="left"/>
              <w:rPr>
                <w:rFonts w:hint="eastAsia" w:ascii="宋体" w:hAnsi="宋体" w:eastAsia="宋体"/>
                <w:color w:val="auto"/>
                <w:highlight w:val="none"/>
                <w:lang w:eastAsia="zh-CN"/>
              </w:rPr>
            </w:pPr>
            <w:r>
              <w:rPr>
                <w:rFonts w:hint="eastAsia" w:ascii="宋体" w:hAnsi="宋体"/>
                <w:color w:val="auto"/>
                <w:highlight w:val="none"/>
              </w:rPr>
              <w:t>供应商须具有建设行政主管部门核发的</w:t>
            </w:r>
            <w:r>
              <w:rPr>
                <w:rFonts w:hint="eastAsia" w:ascii="宋体" w:hAnsi="宋体"/>
                <w:color w:val="auto"/>
                <w:sz w:val="21"/>
                <w:szCs w:val="21"/>
                <w:highlight w:val="none"/>
                <w:lang w:eastAsia="zh-CN"/>
              </w:rPr>
              <w:t>防水防腐保温工程专业承包二级及以上资质，具备有效的安全生产许可证</w:t>
            </w:r>
            <w:r>
              <w:rPr>
                <w:rFonts w:hint="eastAsia" w:ascii="宋体" w:hAnsi="宋体"/>
                <w:color w:val="auto"/>
                <w:highlight w:val="none"/>
              </w:rPr>
              <w:t>，并在人员、设备、资金等方面具备相应的施工能力</w:t>
            </w:r>
            <w:r>
              <w:rPr>
                <w:rFonts w:hint="eastAsia" w:ascii="宋体" w:hAnsi="宋体"/>
                <w:color w:val="auto"/>
                <w:highlight w:val="none"/>
                <w:lang w:eastAsia="zh-CN"/>
              </w:rPr>
              <w:t>。</w:t>
            </w:r>
          </w:p>
        </w:tc>
      </w:tr>
      <w:tr w14:paraId="6422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94" w:type="dxa"/>
            <w:gridSpan w:val="2"/>
            <w:vMerge w:val="continue"/>
            <w:vAlign w:val="center"/>
          </w:tcPr>
          <w:p w14:paraId="0F5A59BD">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06CE4E7D">
            <w:pPr>
              <w:widowControl/>
              <w:adjustRightInd w:val="0"/>
              <w:snapToGrid w:val="0"/>
              <w:spacing w:line="360" w:lineRule="auto"/>
              <w:jc w:val="left"/>
              <w:rPr>
                <w:rFonts w:ascii="宋体" w:hAnsi="宋体"/>
                <w:color w:val="auto"/>
                <w:kern w:val="0"/>
                <w:highlight w:val="none"/>
              </w:rPr>
            </w:pPr>
          </w:p>
        </w:tc>
        <w:tc>
          <w:tcPr>
            <w:tcW w:w="1400" w:type="dxa"/>
            <w:vAlign w:val="center"/>
          </w:tcPr>
          <w:p w14:paraId="57B0ED56">
            <w:pPr>
              <w:pStyle w:val="94"/>
              <w:widowControl/>
              <w:adjustRightInd w:val="0"/>
              <w:snapToGrid w:val="0"/>
              <w:spacing w:line="360" w:lineRule="auto"/>
              <w:jc w:val="center"/>
              <w:rPr>
                <w:rFonts w:ascii="宋体" w:hAnsi="宋体"/>
                <w:color w:val="auto"/>
                <w:highlight w:val="none"/>
              </w:rPr>
            </w:pPr>
            <w:r>
              <w:rPr>
                <w:rFonts w:hint="eastAsia" w:ascii="宋体" w:hAnsi="宋体"/>
                <w:color w:val="auto"/>
                <w:highlight w:val="none"/>
              </w:rPr>
              <w:t>项目经理资格</w:t>
            </w:r>
          </w:p>
        </w:tc>
        <w:tc>
          <w:tcPr>
            <w:tcW w:w="6502" w:type="dxa"/>
            <w:vAlign w:val="center"/>
          </w:tcPr>
          <w:p w14:paraId="1C502458">
            <w:pPr>
              <w:adjustRightInd w:val="0"/>
              <w:snapToGrid w:val="0"/>
              <w:spacing w:line="360" w:lineRule="auto"/>
              <w:rPr>
                <w:rFonts w:ascii="宋体" w:hAnsi="宋体"/>
                <w:color w:val="auto"/>
                <w:highlight w:val="none"/>
              </w:rPr>
            </w:pPr>
            <w:r>
              <w:rPr>
                <w:rFonts w:hint="eastAsia" w:ascii="宋体" w:hAnsi="宋体"/>
                <w:color w:val="auto"/>
                <w:sz w:val="21"/>
                <w:szCs w:val="21"/>
                <w:highlight w:val="none"/>
              </w:rPr>
              <w:t>须具有建筑工程专业二级及以上注册建造师资格和有效的安全生产考核合格证，须提供202</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年1月以来供应商为其缴纳的任意</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个月养老保险证明，且未在其他在建施工项目担任项目经理（自行承诺）；</w:t>
            </w:r>
          </w:p>
        </w:tc>
      </w:tr>
      <w:tr w14:paraId="57FD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4" w:type="dxa"/>
            <w:gridSpan w:val="2"/>
            <w:vMerge w:val="continue"/>
            <w:vAlign w:val="center"/>
          </w:tcPr>
          <w:p w14:paraId="35A4D34F">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200B8422">
            <w:pPr>
              <w:widowControl/>
              <w:adjustRightInd w:val="0"/>
              <w:snapToGrid w:val="0"/>
              <w:spacing w:line="360" w:lineRule="auto"/>
              <w:jc w:val="left"/>
              <w:rPr>
                <w:rFonts w:ascii="宋体" w:hAnsi="宋体"/>
                <w:color w:val="auto"/>
                <w:kern w:val="0"/>
                <w:highlight w:val="none"/>
              </w:rPr>
            </w:pPr>
          </w:p>
        </w:tc>
        <w:tc>
          <w:tcPr>
            <w:tcW w:w="1400" w:type="dxa"/>
            <w:vAlign w:val="center"/>
          </w:tcPr>
          <w:p w14:paraId="794F653C">
            <w:pPr>
              <w:pStyle w:val="94"/>
              <w:widowControl/>
              <w:adjustRightInd w:val="0"/>
              <w:snapToGrid w:val="0"/>
              <w:spacing w:line="360" w:lineRule="auto"/>
              <w:jc w:val="center"/>
              <w:rPr>
                <w:rFonts w:ascii="宋体" w:hAnsi="宋体"/>
                <w:color w:val="auto"/>
                <w:highlight w:val="none"/>
              </w:rPr>
            </w:pPr>
            <w:r>
              <w:rPr>
                <w:rFonts w:hint="eastAsia" w:ascii="宋体" w:hAnsi="宋体"/>
                <w:color w:val="auto"/>
                <w:highlight w:val="none"/>
              </w:rPr>
              <w:t>信用查询</w:t>
            </w:r>
          </w:p>
        </w:tc>
        <w:tc>
          <w:tcPr>
            <w:tcW w:w="6502" w:type="dxa"/>
            <w:vAlign w:val="center"/>
          </w:tcPr>
          <w:p w14:paraId="4746DF76">
            <w:pPr>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根据《关于在政府采购活动中查询及使用信用记录有关问题的通知》（财库〔2016〕125号）的规定，对列入失信被执行人、重大税收违法失信主体、政府采购严重违法失信行为记录名单及列入严重违法失信名单（黑名单）的供应商，拒绝参与本项目政府采购活动；采购人或采购代理机构将在资格审查环节通过以下渠道对各供应商信用记录进行查询，信用信息查询记录及相关证据与其他采购文件一并保存：</w:t>
            </w:r>
          </w:p>
          <w:p w14:paraId="2B9D8352">
            <w:pPr>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失信被执行人查询渠道：“信用中国”网站跳转至“中国执行信息公开网”网站；</w:t>
            </w:r>
          </w:p>
          <w:p w14:paraId="23E5E2D3">
            <w:pPr>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重大税收违法失信主体查询渠道：“信用中国”网站；</w:t>
            </w:r>
          </w:p>
          <w:p w14:paraId="1AF9EA24">
            <w:pPr>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政府采购严重违法失信行为查询渠道：“中国政府采购网”网站；</w:t>
            </w:r>
          </w:p>
          <w:p w14:paraId="42B1893B">
            <w:pPr>
              <w:adjustRightInd w:val="0"/>
              <w:snapToGrid w:val="0"/>
              <w:spacing w:line="360" w:lineRule="auto"/>
              <w:rPr>
                <w:color w:val="auto"/>
                <w:highlight w:val="none"/>
              </w:rPr>
            </w:pPr>
            <w:r>
              <w:rPr>
                <w:rFonts w:hint="eastAsia" w:ascii="宋体" w:hAnsi="宋体"/>
                <w:color w:val="auto"/>
                <w:sz w:val="21"/>
                <w:szCs w:val="21"/>
                <w:highlight w:val="none"/>
              </w:rPr>
              <w:t>严重违法失信名单（黑名单）查询渠道“国家企业信用信息公示系统”网站；</w:t>
            </w:r>
          </w:p>
        </w:tc>
      </w:tr>
      <w:tr w14:paraId="060D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4" w:type="dxa"/>
            <w:gridSpan w:val="2"/>
            <w:vMerge w:val="continue"/>
            <w:vAlign w:val="center"/>
          </w:tcPr>
          <w:p w14:paraId="3FE5482E">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56F0DD5F">
            <w:pPr>
              <w:widowControl/>
              <w:adjustRightInd w:val="0"/>
              <w:snapToGrid w:val="0"/>
              <w:spacing w:line="360" w:lineRule="auto"/>
              <w:jc w:val="left"/>
              <w:rPr>
                <w:rFonts w:ascii="宋体" w:hAnsi="宋体"/>
                <w:color w:val="auto"/>
                <w:kern w:val="0"/>
                <w:highlight w:val="none"/>
              </w:rPr>
            </w:pPr>
          </w:p>
        </w:tc>
        <w:tc>
          <w:tcPr>
            <w:tcW w:w="1400" w:type="dxa"/>
            <w:vAlign w:val="center"/>
          </w:tcPr>
          <w:p w14:paraId="4B85E8B7">
            <w:pPr>
              <w:pStyle w:val="94"/>
              <w:widowControl/>
              <w:adjustRightInd w:val="0"/>
              <w:snapToGrid w:val="0"/>
              <w:spacing w:line="360" w:lineRule="auto"/>
              <w:jc w:val="center"/>
              <w:rPr>
                <w:rFonts w:ascii="宋体" w:hAnsi="宋体"/>
                <w:color w:val="auto"/>
                <w:highlight w:val="none"/>
              </w:rPr>
            </w:pPr>
            <w:r>
              <w:rPr>
                <w:rFonts w:hint="eastAsia" w:ascii="宋体" w:hAnsi="宋体"/>
                <w:color w:val="auto"/>
                <w:highlight w:val="none"/>
              </w:rPr>
              <w:t>其他要求</w:t>
            </w:r>
          </w:p>
        </w:tc>
        <w:tc>
          <w:tcPr>
            <w:tcW w:w="6502" w:type="dxa"/>
            <w:vAlign w:val="center"/>
          </w:tcPr>
          <w:p w14:paraId="4C125227">
            <w:pPr>
              <w:pStyle w:val="84"/>
              <w:numPr>
                <w:ilvl w:val="0"/>
                <w:numId w:val="0"/>
              </w:numPr>
              <w:snapToGrid w:val="0"/>
              <w:spacing w:line="360" w:lineRule="auto"/>
              <w:rPr>
                <w:rFonts w:hint="eastAsia" w:eastAsia="宋体"/>
                <w:color w:val="auto"/>
                <w:sz w:val="21"/>
                <w:szCs w:val="21"/>
                <w:highlight w:val="none"/>
                <w:lang w:eastAsia="zh-CN"/>
              </w:rPr>
            </w:pPr>
            <w:r>
              <w:rPr>
                <w:rFonts w:hint="eastAsia"/>
                <w:color w:val="auto"/>
                <w:sz w:val="21"/>
                <w:szCs w:val="21"/>
                <w:highlight w:val="none"/>
                <w:lang w:val="en-US" w:eastAsia="zh-CN"/>
              </w:rPr>
              <w:t>1.</w:t>
            </w:r>
            <w:r>
              <w:rPr>
                <w:rFonts w:hint="eastAsia"/>
                <w:color w:val="auto"/>
                <w:sz w:val="21"/>
                <w:szCs w:val="21"/>
                <w:highlight w:val="none"/>
              </w:rPr>
              <w:t>供应商未处于被责令停产、停业、投标资格被取消或者财产被接管、冻结和破产状态；202</w:t>
            </w:r>
            <w:r>
              <w:rPr>
                <w:rFonts w:hint="eastAsia"/>
                <w:color w:val="auto"/>
                <w:sz w:val="21"/>
                <w:szCs w:val="21"/>
                <w:highlight w:val="none"/>
                <w:lang w:val="en-US" w:eastAsia="zh-CN"/>
              </w:rPr>
              <w:t>3</w:t>
            </w:r>
            <w:r>
              <w:rPr>
                <w:rFonts w:hint="eastAsia"/>
                <w:color w:val="auto"/>
                <w:sz w:val="21"/>
                <w:szCs w:val="21"/>
                <w:highlight w:val="none"/>
              </w:rPr>
              <w:t>年1月1日以来供应商未发生骗取中标或者严重违约以及发生重大工程质量、安全生产事故等问题（自行承诺）</w:t>
            </w:r>
            <w:r>
              <w:rPr>
                <w:rFonts w:hint="eastAsia"/>
                <w:color w:val="auto"/>
                <w:sz w:val="21"/>
                <w:szCs w:val="21"/>
                <w:highlight w:val="none"/>
                <w:lang w:eastAsia="zh-CN"/>
              </w:rPr>
              <w:t>；</w:t>
            </w:r>
          </w:p>
          <w:p w14:paraId="08268F08">
            <w:pPr>
              <w:pStyle w:val="84"/>
              <w:numPr>
                <w:ilvl w:val="0"/>
                <w:numId w:val="0"/>
              </w:numPr>
              <w:snapToGrid w:val="0"/>
              <w:spacing w:line="360" w:lineRule="auto"/>
              <w:rPr>
                <w:rFonts w:hint="eastAsia" w:eastAsia="宋体"/>
                <w:color w:val="auto"/>
                <w:sz w:val="21"/>
                <w:szCs w:val="21"/>
                <w:highlight w:val="none"/>
                <w:lang w:val="en-US" w:eastAsia="zh-CN"/>
              </w:rPr>
            </w:pPr>
            <w:r>
              <w:rPr>
                <w:rFonts w:hint="eastAsia"/>
                <w:color w:val="auto"/>
                <w:sz w:val="21"/>
                <w:szCs w:val="21"/>
                <w:highlight w:val="none"/>
                <w:lang w:val="en-US" w:eastAsia="zh-CN"/>
              </w:rPr>
              <w:t>2.</w:t>
            </w:r>
            <w:r>
              <w:rPr>
                <w:rFonts w:hint="eastAsia"/>
                <w:color w:val="auto"/>
                <w:sz w:val="21"/>
                <w:szCs w:val="21"/>
                <w:highlight w:val="none"/>
              </w:rPr>
              <w:t>单位负责人为同一人或者存在直接控股关系、管理关系的不同供应商，不得参加同一合同项下的政府采购活动</w:t>
            </w:r>
            <w:r>
              <w:rPr>
                <w:rFonts w:hint="eastAsia"/>
                <w:color w:val="auto"/>
                <w:sz w:val="21"/>
                <w:szCs w:val="21"/>
                <w:highlight w:val="none"/>
                <w:lang w:eastAsia="zh-CN"/>
              </w:rPr>
              <w:t>（自行承诺）；</w:t>
            </w:r>
          </w:p>
          <w:p w14:paraId="46C1A6DC">
            <w:pPr>
              <w:pStyle w:val="84"/>
              <w:numPr>
                <w:ilvl w:val="0"/>
                <w:numId w:val="0"/>
              </w:numPr>
              <w:snapToGrid w:val="0"/>
              <w:spacing w:line="360" w:lineRule="auto"/>
              <w:rPr>
                <w:rFonts w:hint="eastAsia"/>
                <w:color w:val="auto"/>
                <w:sz w:val="21"/>
                <w:szCs w:val="21"/>
                <w:highlight w:val="none"/>
                <w:lang w:val="en-US" w:eastAsia="zh-CN"/>
              </w:rPr>
            </w:pPr>
            <w:r>
              <w:rPr>
                <w:rFonts w:hint="eastAsia"/>
                <w:color w:val="auto"/>
                <w:sz w:val="21"/>
                <w:szCs w:val="21"/>
                <w:highlight w:val="none"/>
                <w:lang w:val="en-US" w:eastAsia="zh-CN"/>
              </w:rPr>
              <w:t>3.</w:t>
            </w:r>
            <w:r>
              <w:rPr>
                <w:rFonts w:hint="eastAsia" w:ascii="宋体" w:hAnsi="宋体"/>
                <w:color w:val="auto"/>
                <w:sz w:val="21"/>
                <w:szCs w:val="21"/>
                <w:highlight w:val="none"/>
                <w:lang w:val="en-US" w:eastAsia="zh-CN"/>
              </w:rPr>
              <w:t>为采购项目提供整体设计、规范编制或者项目管理、监理、检测等服务的供应商，不得再参加该次采购项目的其他采购活动</w:t>
            </w:r>
            <w:r>
              <w:rPr>
                <w:rFonts w:hint="eastAsia"/>
                <w:color w:val="auto"/>
                <w:sz w:val="21"/>
                <w:szCs w:val="21"/>
                <w:highlight w:val="none"/>
                <w:lang w:val="en-US" w:eastAsia="zh-CN"/>
              </w:rPr>
              <w:t>；</w:t>
            </w:r>
          </w:p>
          <w:p w14:paraId="5240323C">
            <w:pPr>
              <w:pStyle w:val="84"/>
              <w:numPr>
                <w:ilvl w:val="0"/>
                <w:numId w:val="0"/>
              </w:numPr>
              <w:snapToGrid w:val="0"/>
              <w:spacing w:line="360" w:lineRule="auto"/>
              <w:rPr>
                <w:rFonts w:hint="eastAsia"/>
                <w:color w:val="auto"/>
                <w:sz w:val="21"/>
                <w:szCs w:val="21"/>
                <w:highlight w:val="none"/>
                <w:lang w:val="en-US" w:eastAsia="zh-CN"/>
              </w:rPr>
            </w:pPr>
            <w:r>
              <w:rPr>
                <w:rFonts w:hint="eastAsia"/>
                <w:color w:val="auto"/>
                <w:sz w:val="21"/>
                <w:szCs w:val="21"/>
                <w:highlight w:val="none"/>
                <w:lang w:val="en-US" w:eastAsia="zh-CN"/>
              </w:rPr>
              <w:t>4.</w:t>
            </w:r>
            <w:r>
              <w:rPr>
                <w:rFonts w:hint="eastAsia" w:ascii="宋体" w:hAnsi="宋体"/>
                <w:color w:val="auto"/>
                <w:sz w:val="21"/>
                <w:szCs w:val="21"/>
                <w:highlight w:val="none"/>
                <w:lang w:val="en-US" w:eastAsia="zh-CN"/>
              </w:rPr>
              <w:t>根据《河南省住房和城乡建设厅关于进一步规范建设工程企业资质管理的通知》（豫建行规〔2024〕号）规定，被全国和河南省建筑市场监管公共服务平台标注为资质异常的，不能使用标注异常资质承揽本工程（响应文件中须提供全国和河南省建筑市场监管公共服务平台查询截图）</w:t>
            </w:r>
            <w:r>
              <w:rPr>
                <w:rFonts w:hint="eastAsia"/>
                <w:color w:val="auto"/>
                <w:sz w:val="21"/>
                <w:szCs w:val="21"/>
                <w:highlight w:val="none"/>
                <w:lang w:val="en-US" w:eastAsia="zh-CN"/>
              </w:rPr>
              <w:t>。</w:t>
            </w:r>
          </w:p>
          <w:p w14:paraId="1BDE629A">
            <w:pPr>
              <w:pStyle w:val="84"/>
              <w:numPr>
                <w:ilvl w:val="0"/>
                <w:numId w:val="0"/>
              </w:numPr>
              <w:snapToGrid w:val="0"/>
              <w:spacing w:line="360" w:lineRule="auto"/>
              <w:rPr>
                <w:color w:val="auto"/>
                <w:highlight w:val="none"/>
              </w:rPr>
            </w:pPr>
            <w:r>
              <w:rPr>
                <w:rFonts w:hint="eastAsia"/>
                <w:color w:val="auto"/>
                <w:sz w:val="21"/>
                <w:szCs w:val="21"/>
                <w:highlight w:val="none"/>
                <w:lang w:val="en-US" w:eastAsia="zh-CN"/>
              </w:rPr>
              <w:t>5.被列入全国和河南省建筑市场监管公共服务平台黑名单且在管理期限内的供应商不得承揽本工程（响应文件中须提供全国和河南省建筑市场监管公共服务平台查询截图）</w:t>
            </w:r>
          </w:p>
        </w:tc>
      </w:tr>
      <w:tr w14:paraId="013B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restart"/>
            <w:vAlign w:val="center"/>
          </w:tcPr>
          <w:p w14:paraId="72B95495">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2.1.2</w:t>
            </w:r>
          </w:p>
        </w:tc>
        <w:tc>
          <w:tcPr>
            <w:tcW w:w="640" w:type="dxa"/>
            <w:vMerge w:val="restart"/>
            <w:vAlign w:val="center"/>
          </w:tcPr>
          <w:p w14:paraId="7FE538D3">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符合性评审标准</w:t>
            </w:r>
          </w:p>
        </w:tc>
        <w:tc>
          <w:tcPr>
            <w:tcW w:w="1400" w:type="dxa"/>
            <w:vAlign w:val="center"/>
          </w:tcPr>
          <w:p w14:paraId="2D88FEA8">
            <w:pPr>
              <w:adjustRightInd w:val="0"/>
              <w:snapToGrid w:val="0"/>
              <w:spacing w:line="360" w:lineRule="auto"/>
              <w:jc w:val="center"/>
              <w:rPr>
                <w:rFonts w:ascii="宋体" w:hAnsi="宋体"/>
                <w:color w:val="auto"/>
                <w:highlight w:val="none"/>
              </w:rPr>
            </w:pPr>
            <w:r>
              <w:rPr>
                <w:rFonts w:hint="eastAsia" w:ascii="宋体" w:hAnsi="宋体"/>
                <w:color w:val="auto"/>
                <w:highlight w:val="none"/>
              </w:rPr>
              <w:t>标书雷同性分析</w:t>
            </w:r>
          </w:p>
        </w:tc>
        <w:tc>
          <w:tcPr>
            <w:tcW w:w="6502" w:type="dxa"/>
            <w:vAlign w:val="center"/>
          </w:tcPr>
          <w:p w14:paraId="2B0AEC18">
            <w:pPr>
              <w:adjustRightInd w:val="0"/>
              <w:snapToGrid w:val="0"/>
              <w:spacing w:line="360" w:lineRule="auto"/>
              <w:jc w:val="left"/>
              <w:textAlignment w:val="baseline"/>
              <w:rPr>
                <w:rFonts w:ascii="宋体" w:hAnsi="宋体"/>
                <w:color w:val="auto"/>
                <w:highlight w:val="none"/>
              </w:rPr>
            </w:pPr>
            <w:r>
              <w:rPr>
                <w:rFonts w:hint="eastAsia" w:ascii="宋体" w:hAnsi="宋体"/>
                <w:color w:val="auto"/>
                <w:highlight w:val="none"/>
              </w:rPr>
              <w:t>投标（响应）文件制作机器码不能一致，电子投标</w:t>
            </w:r>
            <w:r>
              <w:rPr>
                <w:rFonts w:hint="eastAsia" w:ascii="宋体" w:hAnsi="宋体"/>
                <w:color w:val="auto"/>
                <w:highlight w:val="none"/>
                <w:lang w:eastAsia="zh-CN"/>
              </w:rPr>
              <w:t>（</w:t>
            </w:r>
            <w:r>
              <w:rPr>
                <w:rFonts w:hint="eastAsia" w:ascii="宋体" w:hAnsi="宋体"/>
                <w:color w:val="auto"/>
                <w:highlight w:val="none"/>
              </w:rPr>
              <w:t>响应</w:t>
            </w:r>
            <w:r>
              <w:rPr>
                <w:rFonts w:hint="eastAsia" w:ascii="宋体" w:hAnsi="宋体"/>
                <w:color w:val="auto"/>
                <w:highlight w:val="none"/>
                <w:lang w:eastAsia="zh-CN"/>
              </w:rPr>
              <w:t>）</w:t>
            </w:r>
            <w:r>
              <w:rPr>
                <w:rFonts w:hint="eastAsia" w:ascii="宋体" w:hAnsi="宋体"/>
                <w:color w:val="auto"/>
                <w:highlight w:val="none"/>
              </w:rPr>
              <w:t>文件上传计算机的网卡MAC地址、CPU序列号和硬盘序列号等硬件信息不能相同</w:t>
            </w:r>
          </w:p>
        </w:tc>
      </w:tr>
      <w:tr w14:paraId="0A28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0970BE8F">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7E2136AC">
            <w:pPr>
              <w:widowControl/>
              <w:adjustRightInd w:val="0"/>
              <w:snapToGrid w:val="0"/>
              <w:spacing w:line="360" w:lineRule="auto"/>
              <w:jc w:val="left"/>
              <w:rPr>
                <w:rFonts w:ascii="宋体" w:hAnsi="宋体"/>
                <w:color w:val="auto"/>
                <w:kern w:val="0"/>
                <w:highlight w:val="none"/>
              </w:rPr>
            </w:pPr>
          </w:p>
        </w:tc>
        <w:tc>
          <w:tcPr>
            <w:tcW w:w="1400" w:type="dxa"/>
            <w:vAlign w:val="center"/>
          </w:tcPr>
          <w:p w14:paraId="1CB6192B">
            <w:pPr>
              <w:adjustRightInd w:val="0"/>
              <w:snapToGrid w:val="0"/>
              <w:spacing w:line="360" w:lineRule="auto"/>
              <w:jc w:val="center"/>
              <w:rPr>
                <w:rFonts w:ascii="宋体" w:hAnsi="宋体"/>
                <w:color w:val="auto"/>
                <w:highlight w:val="none"/>
              </w:rPr>
            </w:pPr>
            <w:r>
              <w:rPr>
                <w:rFonts w:hint="eastAsia" w:ascii="宋体" w:hAnsi="宋体"/>
                <w:color w:val="auto"/>
                <w:highlight w:val="none"/>
                <w:lang w:val="en-US" w:eastAsia="zh-CN"/>
              </w:rPr>
              <w:t>采购</w:t>
            </w:r>
            <w:r>
              <w:rPr>
                <w:rFonts w:hint="eastAsia" w:ascii="宋体" w:hAnsi="宋体"/>
                <w:color w:val="auto"/>
                <w:highlight w:val="none"/>
              </w:rPr>
              <w:t>内容及范围</w:t>
            </w:r>
          </w:p>
        </w:tc>
        <w:tc>
          <w:tcPr>
            <w:tcW w:w="6502" w:type="dxa"/>
            <w:vAlign w:val="center"/>
          </w:tcPr>
          <w:p w14:paraId="65F657CB">
            <w:pPr>
              <w:adjustRightInd w:val="0"/>
              <w:snapToGrid w:val="0"/>
              <w:spacing w:line="360" w:lineRule="auto"/>
              <w:jc w:val="left"/>
              <w:textAlignment w:val="baseline"/>
              <w:rPr>
                <w:rFonts w:ascii="宋体" w:hAnsi="宋体"/>
                <w:color w:val="auto"/>
                <w:highlight w:val="none"/>
              </w:rPr>
            </w:pPr>
            <w:r>
              <w:rPr>
                <w:rFonts w:hint="eastAsia" w:ascii="宋体" w:hAnsi="宋体"/>
                <w:color w:val="auto"/>
                <w:highlight w:val="none"/>
              </w:rPr>
              <w:t>符合第二章“供应商须知前附表”第1.3.1项规定</w:t>
            </w:r>
          </w:p>
        </w:tc>
      </w:tr>
      <w:tr w14:paraId="7EA1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2B2AF202">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2A7AFEE0">
            <w:pPr>
              <w:widowControl/>
              <w:adjustRightInd w:val="0"/>
              <w:snapToGrid w:val="0"/>
              <w:spacing w:line="360" w:lineRule="auto"/>
              <w:jc w:val="left"/>
              <w:rPr>
                <w:rFonts w:ascii="宋体" w:hAnsi="宋体"/>
                <w:color w:val="auto"/>
                <w:kern w:val="0"/>
                <w:highlight w:val="none"/>
              </w:rPr>
            </w:pPr>
          </w:p>
        </w:tc>
        <w:tc>
          <w:tcPr>
            <w:tcW w:w="1400" w:type="dxa"/>
            <w:vAlign w:val="center"/>
          </w:tcPr>
          <w:p w14:paraId="28DED79A">
            <w:pPr>
              <w:adjustRightInd w:val="0"/>
              <w:snapToGrid w:val="0"/>
              <w:spacing w:line="360" w:lineRule="auto"/>
              <w:jc w:val="center"/>
              <w:rPr>
                <w:rFonts w:ascii="宋体" w:hAnsi="宋体"/>
                <w:color w:val="auto"/>
                <w:highlight w:val="none"/>
              </w:rPr>
            </w:pPr>
            <w:r>
              <w:rPr>
                <w:rFonts w:hint="eastAsia" w:ascii="宋体" w:hAnsi="宋体"/>
                <w:color w:val="auto"/>
                <w:highlight w:val="none"/>
              </w:rPr>
              <w:t>建设地点</w:t>
            </w:r>
          </w:p>
        </w:tc>
        <w:tc>
          <w:tcPr>
            <w:tcW w:w="6502" w:type="dxa"/>
            <w:vAlign w:val="center"/>
          </w:tcPr>
          <w:p w14:paraId="2615A072">
            <w:pPr>
              <w:adjustRightInd w:val="0"/>
              <w:snapToGrid w:val="0"/>
              <w:spacing w:line="360" w:lineRule="auto"/>
              <w:jc w:val="left"/>
              <w:textAlignment w:val="baseline"/>
              <w:rPr>
                <w:rFonts w:ascii="宋体" w:hAnsi="宋体"/>
                <w:color w:val="auto"/>
                <w:highlight w:val="none"/>
              </w:rPr>
            </w:pPr>
            <w:r>
              <w:rPr>
                <w:rFonts w:hint="eastAsia" w:ascii="宋体" w:hAnsi="宋体"/>
                <w:color w:val="auto"/>
                <w:highlight w:val="none"/>
              </w:rPr>
              <w:t>符合第二章“供应商须知前附表”第1.3.2项规定</w:t>
            </w:r>
          </w:p>
        </w:tc>
      </w:tr>
      <w:tr w14:paraId="0B4C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1A286D4D">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17A87D33">
            <w:pPr>
              <w:widowControl/>
              <w:adjustRightInd w:val="0"/>
              <w:snapToGrid w:val="0"/>
              <w:spacing w:line="360" w:lineRule="auto"/>
              <w:jc w:val="left"/>
              <w:rPr>
                <w:rFonts w:ascii="宋体" w:hAnsi="宋体"/>
                <w:color w:val="auto"/>
                <w:kern w:val="0"/>
                <w:highlight w:val="none"/>
              </w:rPr>
            </w:pPr>
          </w:p>
        </w:tc>
        <w:tc>
          <w:tcPr>
            <w:tcW w:w="1400" w:type="dxa"/>
            <w:vAlign w:val="center"/>
          </w:tcPr>
          <w:p w14:paraId="2FC6AA78">
            <w:pPr>
              <w:adjustRightInd w:val="0"/>
              <w:snapToGrid w:val="0"/>
              <w:spacing w:line="360" w:lineRule="auto"/>
              <w:jc w:val="center"/>
              <w:rPr>
                <w:rFonts w:ascii="宋体" w:hAnsi="宋体"/>
                <w:color w:val="auto"/>
                <w:highlight w:val="none"/>
              </w:rPr>
            </w:pPr>
            <w:r>
              <w:rPr>
                <w:rFonts w:hint="eastAsia" w:ascii="宋体" w:hAnsi="宋体"/>
                <w:color w:val="auto"/>
                <w:highlight w:val="none"/>
              </w:rPr>
              <w:t>工期要求</w:t>
            </w:r>
          </w:p>
        </w:tc>
        <w:tc>
          <w:tcPr>
            <w:tcW w:w="6502" w:type="dxa"/>
            <w:vAlign w:val="center"/>
          </w:tcPr>
          <w:p w14:paraId="66EBBBB8">
            <w:pPr>
              <w:adjustRightInd w:val="0"/>
              <w:snapToGrid w:val="0"/>
              <w:spacing w:line="360" w:lineRule="auto"/>
              <w:jc w:val="left"/>
              <w:textAlignment w:val="baseline"/>
              <w:rPr>
                <w:rFonts w:ascii="宋体" w:hAnsi="宋体"/>
                <w:color w:val="auto"/>
                <w:highlight w:val="none"/>
              </w:rPr>
            </w:pPr>
            <w:r>
              <w:rPr>
                <w:rFonts w:hint="eastAsia" w:ascii="宋体" w:hAnsi="宋体"/>
                <w:color w:val="auto"/>
                <w:highlight w:val="none"/>
              </w:rPr>
              <w:t>符合第二章“供应商须知前附表”第1.3.3项规定</w:t>
            </w:r>
          </w:p>
        </w:tc>
      </w:tr>
      <w:tr w14:paraId="2CF3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5EDA7BBD">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40932F8E">
            <w:pPr>
              <w:widowControl/>
              <w:adjustRightInd w:val="0"/>
              <w:snapToGrid w:val="0"/>
              <w:spacing w:line="360" w:lineRule="auto"/>
              <w:jc w:val="left"/>
              <w:rPr>
                <w:rFonts w:ascii="宋体" w:hAnsi="宋体"/>
                <w:color w:val="auto"/>
                <w:kern w:val="0"/>
                <w:highlight w:val="none"/>
              </w:rPr>
            </w:pPr>
          </w:p>
        </w:tc>
        <w:tc>
          <w:tcPr>
            <w:tcW w:w="1400" w:type="dxa"/>
            <w:vAlign w:val="center"/>
          </w:tcPr>
          <w:p w14:paraId="253703FE">
            <w:pPr>
              <w:adjustRightInd w:val="0"/>
              <w:snapToGrid w:val="0"/>
              <w:spacing w:line="360" w:lineRule="auto"/>
              <w:jc w:val="center"/>
              <w:rPr>
                <w:rFonts w:ascii="宋体" w:hAnsi="宋体"/>
                <w:color w:val="auto"/>
                <w:highlight w:val="none"/>
              </w:rPr>
            </w:pPr>
            <w:r>
              <w:rPr>
                <w:rFonts w:hint="eastAsia" w:ascii="宋体" w:hAnsi="宋体"/>
                <w:color w:val="auto"/>
                <w:highlight w:val="none"/>
              </w:rPr>
              <w:t>质量要求</w:t>
            </w:r>
          </w:p>
        </w:tc>
        <w:tc>
          <w:tcPr>
            <w:tcW w:w="6502" w:type="dxa"/>
            <w:vAlign w:val="center"/>
          </w:tcPr>
          <w:p w14:paraId="7DDA67FA">
            <w:pPr>
              <w:adjustRightInd w:val="0"/>
              <w:snapToGrid w:val="0"/>
              <w:spacing w:line="360" w:lineRule="auto"/>
              <w:jc w:val="left"/>
              <w:textAlignment w:val="baseline"/>
              <w:rPr>
                <w:rFonts w:ascii="宋体" w:hAnsi="宋体"/>
                <w:color w:val="auto"/>
                <w:highlight w:val="none"/>
              </w:rPr>
            </w:pPr>
            <w:r>
              <w:rPr>
                <w:rFonts w:hint="eastAsia" w:ascii="宋体" w:hAnsi="宋体"/>
                <w:color w:val="auto"/>
                <w:highlight w:val="none"/>
              </w:rPr>
              <w:t>符合第二章“供应商须知前附表”第1.3.4项规定</w:t>
            </w:r>
          </w:p>
        </w:tc>
      </w:tr>
      <w:tr w14:paraId="55F3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1A5F07F4">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3DCE1047">
            <w:pPr>
              <w:widowControl/>
              <w:adjustRightInd w:val="0"/>
              <w:snapToGrid w:val="0"/>
              <w:spacing w:line="360" w:lineRule="auto"/>
              <w:jc w:val="left"/>
              <w:rPr>
                <w:rFonts w:ascii="宋体" w:hAnsi="宋体"/>
                <w:color w:val="auto"/>
                <w:kern w:val="0"/>
                <w:highlight w:val="none"/>
              </w:rPr>
            </w:pPr>
          </w:p>
        </w:tc>
        <w:tc>
          <w:tcPr>
            <w:tcW w:w="1400" w:type="dxa"/>
            <w:vAlign w:val="center"/>
          </w:tcPr>
          <w:p w14:paraId="180075E8">
            <w:pPr>
              <w:adjustRightInd w:val="0"/>
              <w:snapToGrid w:val="0"/>
              <w:spacing w:line="360" w:lineRule="auto"/>
              <w:jc w:val="center"/>
              <w:rPr>
                <w:rFonts w:hint="eastAsia" w:ascii="宋体" w:hAnsi="宋体" w:eastAsia="宋体"/>
                <w:color w:val="auto"/>
                <w:highlight w:val="none"/>
                <w:lang w:eastAsia="zh-CN"/>
              </w:rPr>
            </w:pPr>
            <w:r>
              <w:rPr>
                <w:rFonts w:hint="eastAsia" w:ascii="宋体" w:hAnsi="宋体"/>
                <w:color w:val="auto"/>
                <w:highlight w:val="none"/>
                <w:lang w:eastAsia="zh-CN"/>
              </w:rPr>
              <w:t>缺陷责任期</w:t>
            </w:r>
          </w:p>
        </w:tc>
        <w:tc>
          <w:tcPr>
            <w:tcW w:w="6502" w:type="dxa"/>
            <w:vAlign w:val="center"/>
          </w:tcPr>
          <w:p w14:paraId="526B5037">
            <w:pPr>
              <w:adjustRightInd w:val="0"/>
              <w:snapToGrid w:val="0"/>
              <w:spacing w:line="360" w:lineRule="auto"/>
              <w:jc w:val="left"/>
              <w:textAlignment w:val="baseline"/>
              <w:rPr>
                <w:rFonts w:ascii="宋体" w:hAnsi="宋体"/>
                <w:color w:val="auto"/>
                <w:highlight w:val="none"/>
              </w:rPr>
            </w:pPr>
            <w:r>
              <w:rPr>
                <w:rFonts w:hint="eastAsia" w:ascii="宋体" w:hAnsi="宋体"/>
                <w:color w:val="auto"/>
                <w:highlight w:val="none"/>
              </w:rPr>
              <w:t>符合第二章“供应商须知前附表”第1.3.</w:t>
            </w:r>
            <w:r>
              <w:rPr>
                <w:rFonts w:hint="eastAsia" w:ascii="宋体" w:hAnsi="宋体"/>
                <w:color w:val="auto"/>
                <w:highlight w:val="none"/>
                <w:lang w:val="en-US" w:eastAsia="zh-CN"/>
              </w:rPr>
              <w:t>5</w:t>
            </w:r>
            <w:r>
              <w:rPr>
                <w:rFonts w:hint="eastAsia" w:ascii="宋体" w:hAnsi="宋体"/>
                <w:color w:val="auto"/>
                <w:highlight w:val="none"/>
              </w:rPr>
              <w:t>项规定</w:t>
            </w:r>
          </w:p>
        </w:tc>
      </w:tr>
      <w:tr w14:paraId="0F69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7922E3A8">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4A45C692">
            <w:pPr>
              <w:widowControl/>
              <w:adjustRightInd w:val="0"/>
              <w:snapToGrid w:val="0"/>
              <w:spacing w:line="360" w:lineRule="auto"/>
              <w:jc w:val="left"/>
              <w:rPr>
                <w:rFonts w:ascii="宋体" w:hAnsi="宋体"/>
                <w:color w:val="auto"/>
                <w:kern w:val="0"/>
                <w:highlight w:val="none"/>
              </w:rPr>
            </w:pPr>
          </w:p>
        </w:tc>
        <w:tc>
          <w:tcPr>
            <w:tcW w:w="1400" w:type="dxa"/>
            <w:vAlign w:val="center"/>
          </w:tcPr>
          <w:p w14:paraId="6E674E43">
            <w:pPr>
              <w:adjustRightInd w:val="0"/>
              <w:snapToGrid w:val="0"/>
              <w:spacing w:line="360" w:lineRule="auto"/>
              <w:jc w:val="center"/>
              <w:rPr>
                <w:rFonts w:hint="eastAsia" w:ascii="宋体" w:hAnsi="宋体"/>
                <w:color w:val="auto"/>
                <w:highlight w:val="none"/>
                <w:lang w:eastAsia="zh-CN"/>
              </w:rPr>
            </w:pPr>
            <w:r>
              <w:rPr>
                <w:rFonts w:hint="eastAsia" w:ascii="宋体" w:hAnsi="宋体"/>
                <w:color w:val="auto"/>
                <w:highlight w:val="none"/>
                <w:lang w:val="en-US" w:eastAsia="zh-CN"/>
              </w:rPr>
              <w:t>保修期</w:t>
            </w:r>
          </w:p>
        </w:tc>
        <w:tc>
          <w:tcPr>
            <w:tcW w:w="6502" w:type="dxa"/>
            <w:vAlign w:val="center"/>
          </w:tcPr>
          <w:p w14:paraId="273AD705">
            <w:pPr>
              <w:adjustRightInd w:val="0"/>
              <w:snapToGrid w:val="0"/>
              <w:spacing w:line="360" w:lineRule="auto"/>
              <w:jc w:val="left"/>
              <w:textAlignment w:val="baseline"/>
              <w:rPr>
                <w:rFonts w:hint="eastAsia" w:ascii="宋体" w:hAnsi="宋体"/>
                <w:color w:val="auto"/>
                <w:highlight w:val="none"/>
              </w:rPr>
            </w:pPr>
            <w:r>
              <w:rPr>
                <w:rFonts w:hint="eastAsia" w:ascii="宋体" w:hAnsi="宋体"/>
                <w:color w:val="auto"/>
                <w:highlight w:val="none"/>
              </w:rPr>
              <w:t>符合第二章“供应商须知前附表”第1.3.</w:t>
            </w:r>
            <w:r>
              <w:rPr>
                <w:rFonts w:hint="eastAsia" w:ascii="宋体" w:hAnsi="宋体"/>
                <w:color w:val="auto"/>
                <w:highlight w:val="none"/>
                <w:lang w:val="en-US" w:eastAsia="zh-CN"/>
              </w:rPr>
              <w:t>6</w:t>
            </w:r>
            <w:r>
              <w:rPr>
                <w:rFonts w:hint="eastAsia" w:ascii="宋体" w:hAnsi="宋体"/>
                <w:color w:val="auto"/>
                <w:highlight w:val="none"/>
              </w:rPr>
              <w:t>项规定</w:t>
            </w:r>
          </w:p>
        </w:tc>
      </w:tr>
      <w:tr w14:paraId="0DA7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5DE22527">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18769CC7">
            <w:pPr>
              <w:widowControl/>
              <w:adjustRightInd w:val="0"/>
              <w:snapToGrid w:val="0"/>
              <w:spacing w:line="360" w:lineRule="auto"/>
              <w:jc w:val="left"/>
              <w:rPr>
                <w:rFonts w:ascii="宋体" w:hAnsi="宋体"/>
                <w:color w:val="auto"/>
                <w:kern w:val="0"/>
                <w:highlight w:val="none"/>
              </w:rPr>
            </w:pPr>
          </w:p>
        </w:tc>
        <w:tc>
          <w:tcPr>
            <w:tcW w:w="1400" w:type="dxa"/>
            <w:vAlign w:val="center"/>
          </w:tcPr>
          <w:p w14:paraId="005F8149">
            <w:pPr>
              <w:adjustRightInd w:val="0"/>
              <w:snapToGrid w:val="0"/>
              <w:spacing w:line="360" w:lineRule="auto"/>
              <w:jc w:val="center"/>
              <w:rPr>
                <w:rFonts w:ascii="宋体" w:hAnsi="宋体"/>
                <w:color w:val="auto"/>
                <w:highlight w:val="none"/>
              </w:rPr>
            </w:pPr>
            <w:r>
              <w:rPr>
                <w:rFonts w:hint="eastAsia" w:ascii="宋体" w:hAnsi="宋体"/>
                <w:color w:val="auto"/>
                <w:highlight w:val="none"/>
              </w:rPr>
              <w:t>磋商有效期</w:t>
            </w:r>
          </w:p>
        </w:tc>
        <w:tc>
          <w:tcPr>
            <w:tcW w:w="6502" w:type="dxa"/>
            <w:vAlign w:val="center"/>
          </w:tcPr>
          <w:p w14:paraId="6890129F">
            <w:pPr>
              <w:adjustRightInd w:val="0"/>
              <w:snapToGrid w:val="0"/>
              <w:spacing w:line="360" w:lineRule="auto"/>
              <w:jc w:val="left"/>
              <w:textAlignment w:val="baseline"/>
              <w:rPr>
                <w:rFonts w:ascii="宋体" w:hAnsi="宋体"/>
                <w:color w:val="auto"/>
                <w:highlight w:val="none"/>
              </w:rPr>
            </w:pPr>
            <w:r>
              <w:rPr>
                <w:rFonts w:hint="eastAsia" w:ascii="宋体" w:hAnsi="宋体"/>
                <w:color w:val="auto"/>
                <w:highlight w:val="none"/>
              </w:rPr>
              <w:t>符合第二章“供应商须知前附表”第3.3.1项规定</w:t>
            </w:r>
          </w:p>
        </w:tc>
      </w:tr>
      <w:tr w14:paraId="50AB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0EB3606B">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1642D3BA">
            <w:pPr>
              <w:widowControl/>
              <w:adjustRightInd w:val="0"/>
              <w:snapToGrid w:val="0"/>
              <w:spacing w:line="360" w:lineRule="auto"/>
              <w:jc w:val="left"/>
              <w:rPr>
                <w:rFonts w:ascii="宋体" w:hAnsi="宋体"/>
                <w:color w:val="auto"/>
                <w:kern w:val="0"/>
                <w:highlight w:val="none"/>
              </w:rPr>
            </w:pPr>
          </w:p>
        </w:tc>
        <w:tc>
          <w:tcPr>
            <w:tcW w:w="1400" w:type="dxa"/>
            <w:vAlign w:val="center"/>
          </w:tcPr>
          <w:p w14:paraId="4F0DBF78">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签字盖章</w:t>
            </w:r>
          </w:p>
        </w:tc>
        <w:tc>
          <w:tcPr>
            <w:tcW w:w="6502" w:type="dxa"/>
            <w:vAlign w:val="center"/>
          </w:tcPr>
          <w:p w14:paraId="7115E882">
            <w:pPr>
              <w:pStyle w:val="84"/>
              <w:snapToGrid w:val="0"/>
              <w:spacing w:line="360" w:lineRule="auto"/>
              <w:rPr>
                <w:rFonts w:cs="Times New Roman"/>
                <w:color w:val="auto"/>
                <w:sz w:val="21"/>
                <w:szCs w:val="21"/>
                <w:highlight w:val="none"/>
              </w:rPr>
            </w:pPr>
            <w:r>
              <w:rPr>
                <w:rFonts w:hint="eastAsia" w:cs="Times New Roman"/>
                <w:color w:val="auto"/>
                <w:sz w:val="21"/>
                <w:szCs w:val="21"/>
                <w:highlight w:val="none"/>
              </w:rPr>
              <w:t>符合第二章“供应商须知</w:t>
            </w:r>
            <w:r>
              <w:rPr>
                <w:rFonts w:hint="eastAsia"/>
                <w:color w:val="auto"/>
                <w:sz w:val="21"/>
                <w:szCs w:val="21"/>
                <w:highlight w:val="none"/>
              </w:rPr>
              <w:t>前附表</w:t>
            </w:r>
            <w:r>
              <w:rPr>
                <w:rFonts w:hint="eastAsia" w:cs="Times New Roman"/>
                <w:color w:val="auto"/>
                <w:sz w:val="21"/>
                <w:szCs w:val="21"/>
                <w:highlight w:val="none"/>
              </w:rPr>
              <w:t>”第3.7.3项规定</w:t>
            </w:r>
          </w:p>
        </w:tc>
      </w:tr>
      <w:tr w14:paraId="084D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62838D88">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7C5F11F5">
            <w:pPr>
              <w:widowControl/>
              <w:adjustRightInd w:val="0"/>
              <w:snapToGrid w:val="0"/>
              <w:spacing w:line="360" w:lineRule="auto"/>
              <w:jc w:val="left"/>
              <w:rPr>
                <w:rFonts w:ascii="宋体" w:hAnsi="宋体"/>
                <w:color w:val="auto"/>
                <w:kern w:val="0"/>
                <w:highlight w:val="none"/>
              </w:rPr>
            </w:pPr>
          </w:p>
        </w:tc>
        <w:tc>
          <w:tcPr>
            <w:tcW w:w="1400" w:type="dxa"/>
            <w:vAlign w:val="center"/>
          </w:tcPr>
          <w:p w14:paraId="2CBC1D11">
            <w:pPr>
              <w:pStyle w:val="84"/>
              <w:snapToGrid w:val="0"/>
              <w:spacing w:line="360" w:lineRule="auto"/>
              <w:jc w:val="center"/>
              <w:rPr>
                <w:rFonts w:cs="Times New Roman"/>
                <w:color w:val="auto"/>
                <w:sz w:val="21"/>
                <w:szCs w:val="21"/>
                <w:highlight w:val="none"/>
              </w:rPr>
            </w:pPr>
            <w:r>
              <w:rPr>
                <w:rFonts w:hint="eastAsia" w:cs="Times New Roman"/>
                <w:color w:val="auto"/>
                <w:sz w:val="21"/>
                <w:szCs w:val="21"/>
                <w:highlight w:val="none"/>
              </w:rPr>
              <w:t>付款方式</w:t>
            </w:r>
          </w:p>
        </w:tc>
        <w:tc>
          <w:tcPr>
            <w:tcW w:w="6502" w:type="dxa"/>
            <w:vAlign w:val="center"/>
          </w:tcPr>
          <w:p w14:paraId="73DBFF8B">
            <w:pPr>
              <w:pStyle w:val="84"/>
              <w:snapToGrid w:val="0"/>
              <w:spacing w:line="360" w:lineRule="auto"/>
              <w:rPr>
                <w:rFonts w:cs="Times New Roman"/>
                <w:color w:val="auto"/>
                <w:sz w:val="21"/>
                <w:szCs w:val="21"/>
                <w:highlight w:val="none"/>
              </w:rPr>
            </w:pPr>
            <w:r>
              <w:rPr>
                <w:rFonts w:hint="eastAsia" w:cs="Times New Roman"/>
                <w:color w:val="auto"/>
                <w:sz w:val="21"/>
                <w:szCs w:val="21"/>
                <w:highlight w:val="none"/>
              </w:rPr>
              <w:t>符合第二章“供应商须知</w:t>
            </w:r>
            <w:r>
              <w:rPr>
                <w:rFonts w:hint="eastAsia"/>
                <w:color w:val="auto"/>
                <w:sz w:val="21"/>
                <w:szCs w:val="21"/>
                <w:highlight w:val="none"/>
              </w:rPr>
              <w:t>前附表</w:t>
            </w:r>
            <w:r>
              <w:rPr>
                <w:rFonts w:hint="eastAsia" w:cs="Times New Roman"/>
                <w:color w:val="auto"/>
                <w:sz w:val="21"/>
                <w:szCs w:val="21"/>
                <w:highlight w:val="none"/>
              </w:rPr>
              <w:t>”第10.3项规定</w:t>
            </w:r>
          </w:p>
        </w:tc>
      </w:tr>
      <w:tr w14:paraId="76DF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26D0F290">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2561E54B">
            <w:pPr>
              <w:widowControl/>
              <w:adjustRightInd w:val="0"/>
              <w:snapToGrid w:val="0"/>
              <w:spacing w:line="360" w:lineRule="auto"/>
              <w:jc w:val="left"/>
              <w:rPr>
                <w:rFonts w:ascii="宋体" w:hAnsi="宋体"/>
                <w:color w:val="auto"/>
                <w:kern w:val="0"/>
                <w:highlight w:val="none"/>
              </w:rPr>
            </w:pPr>
          </w:p>
        </w:tc>
        <w:tc>
          <w:tcPr>
            <w:tcW w:w="1400" w:type="dxa"/>
            <w:vAlign w:val="center"/>
          </w:tcPr>
          <w:p w14:paraId="54D39C2F">
            <w:pPr>
              <w:adjustRightInd w:val="0"/>
              <w:snapToGrid w:val="0"/>
              <w:spacing w:line="360" w:lineRule="auto"/>
              <w:jc w:val="center"/>
              <w:rPr>
                <w:rFonts w:ascii="宋体" w:hAnsi="宋体"/>
                <w:color w:val="auto"/>
                <w:highlight w:val="none"/>
              </w:rPr>
            </w:pPr>
            <w:r>
              <w:rPr>
                <w:rFonts w:hint="eastAsia" w:ascii="宋体" w:hAnsi="宋体"/>
                <w:color w:val="auto"/>
                <w:highlight w:val="none"/>
              </w:rPr>
              <w:t>已标价工程量清单</w:t>
            </w:r>
          </w:p>
        </w:tc>
        <w:tc>
          <w:tcPr>
            <w:tcW w:w="6502" w:type="dxa"/>
            <w:vAlign w:val="center"/>
          </w:tcPr>
          <w:p w14:paraId="6B947288">
            <w:pPr>
              <w:adjustRightInd w:val="0"/>
              <w:snapToGrid w:val="0"/>
              <w:spacing w:line="360" w:lineRule="auto"/>
              <w:rPr>
                <w:rFonts w:ascii="宋体" w:hAnsi="宋体"/>
                <w:color w:val="auto"/>
                <w:highlight w:val="none"/>
              </w:rPr>
            </w:pPr>
            <w:r>
              <w:rPr>
                <w:rFonts w:hint="eastAsia" w:ascii="宋体" w:hAnsi="宋体"/>
                <w:color w:val="auto"/>
                <w:highlight w:val="none"/>
              </w:rPr>
              <w:t>符合第五章“工程量清单”给出的子目编码、子目名称、子目特征、计量单位和工程量。</w:t>
            </w:r>
          </w:p>
        </w:tc>
      </w:tr>
      <w:tr w14:paraId="2C26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34B929F8">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52194BF9">
            <w:pPr>
              <w:widowControl/>
              <w:adjustRightInd w:val="0"/>
              <w:snapToGrid w:val="0"/>
              <w:spacing w:line="360" w:lineRule="auto"/>
              <w:jc w:val="left"/>
              <w:rPr>
                <w:rFonts w:ascii="宋体" w:hAnsi="宋体"/>
                <w:color w:val="auto"/>
                <w:kern w:val="0"/>
                <w:highlight w:val="none"/>
              </w:rPr>
            </w:pPr>
          </w:p>
        </w:tc>
        <w:tc>
          <w:tcPr>
            <w:tcW w:w="1400" w:type="dxa"/>
            <w:vAlign w:val="center"/>
          </w:tcPr>
          <w:p w14:paraId="1756A5FA">
            <w:pPr>
              <w:adjustRightInd w:val="0"/>
              <w:snapToGrid w:val="0"/>
              <w:spacing w:line="360" w:lineRule="auto"/>
              <w:jc w:val="center"/>
              <w:rPr>
                <w:rFonts w:ascii="宋体" w:hAnsi="宋体"/>
                <w:color w:val="auto"/>
                <w:highlight w:val="none"/>
              </w:rPr>
            </w:pPr>
            <w:r>
              <w:rPr>
                <w:rFonts w:hint="eastAsia" w:ascii="宋体" w:hAnsi="宋体"/>
                <w:color w:val="auto"/>
                <w:highlight w:val="none"/>
              </w:rPr>
              <w:t>磋商报价</w:t>
            </w:r>
          </w:p>
        </w:tc>
        <w:tc>
          <w:tcPr>
            <w:tcW w:w="6502" w:type="dxa"/>
            <w:vAlign w:val="center"/>
          </w:tcPr>
          <w:p w14:paraId="0C02DA46">
            <w:pPr>
              <w:adjustRightInd w:val="0"/>
              <w:snapToGrid w:val="0"/>
              <w:spacing w:line="360" w:lineRule="auto"/>
              <w:textAlignment w:val="baseline"/>
              <w:rPr>
                <w:rFonts w:ascii="宋体" w:hAnsi="宋体"/>
                <w:color w:val="auto"/>
                <w:highlight w:val="none"/>
              </w:rPr>
            </w:pPr>
            <w:r>
              <w:rPr>
                <w:rFonts w:hint="eastAsia" w:ascii="宋体" w:hAnsi="宋体"/>
                <w:color w:val="auto"/>
                <w:highlight w:val="none"/>
              </w:rPr>
              <w:t>磋商报价不得高于本项目最高限价</w:t>
            </w:r>
          </w:p>
        </w:tc>
      </w:tr>
      <w:tr w14:paraId="5055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244C6604">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2911E1AF">
            <w:pPr>
              <w:widowControl/>
              <w:adjustRightInd w:val="0"/>
              <w:snapToGrid w:val="0"/>
              <w:spacing w:line="360" w:lineRule="auto"/>
              <w:jc w:val="left"/>
              <w:rPr>
                <w:rFonts w:ascii="宋体" w:hAnsi="宋体"/>
                <w:color w:val="auto"/>
                <w:kern w:val="0"/>
                <w:highlight w:val="none"/>
              </w:rPr>
            </w:pPr>
          </w:p>
        </w:tc>
        <w:tc>
          <w:tcPr>
            <w:tcW w:w="1400" w:type="dxa"/>
            <w:vAlign w:val="center"/>
          </w:tcPr>
          <w:p w14:paraId="3EE322C8">
            <w:pPr>
              <w:adjustRightInd w:val="0"/>
              <w:snapToGrid w:val="0"/>
              <w:spacing w:line="360" w:lineRule="auto"/>
              <w:jc w:val="center"/>
              <w:rPr>
                <w:rFonts w:hint="eastAsia" w:ascii="宋体" w:hAnsi="宋体" w:eastAsia="宋体"/>
                <w:color w:val="auto"/>
                <w:highlight w:val="none"/>
                <w:lang w:val="en-US" w:eastAsia="zh-CN"/>
              </w:rPr>
            </w:pPr>
            <w:r>
              <w:rPr>
                <w:rFonts w:hint="eastAsia" w:ascii="宋体" w:hAnsi="宋体"/>
                <w:color w:val="auto"/>
                <w:highlight w:val="none"/>
                <w:lang w:val="en-US" w:eastAsia="zh-CN"/>
              </w:rPr>
              <w:t>无拖欠农民工工资情况承诺</w:t>
            </w:r>
          </w:p>
        </w:tc>
        <w:tc>
          <w:tcPr>
            <w:tcW w:w="6502" w:type="dxa"/>
            <w:vAlign w:val="center"/>
          </w:tcPr>
          <w:p w14:paraId="29C663C8">
            <w:pPr>
              <w:adjustRightInd w:val="0"/>
              <w:snapToGrid w:val="0"/>
              <w:spacing w:line="360" w:lineRule="auto"/>
              <w:textAlignment w:val="baseline"/>
              <w:rPr>
                <w:rFonts w:hint="eastAsia" w:ascii="宋体" w:hAnsi="宋体"/>
                <w:color w:val="auto"/>
                <w:highlight w:val="none"/>
              </w:rPr>
            </w:pPr>
            <w:r>
              <w:rPr>
                <w:rFonts w:hint="eastAsia" w:ascii="宋体" w:hAnsi="宋体"/>
                <w:color w:val="auto"/>
                <w:highlight w:val="none"/>
                <w:lang w:eastAsia="zh-CN"/>
              </w:rPr>
              <w:t>无拖欠农民工工资情况，未被行政主管部门向社会公布且在公布期限内的。</w:t>
            </w:r>
          </w:p>
        </w:tc>
      </w:tr>
      <w:tr w14:paraId="693D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gridSpan w:val="2"/>
            <w:vMerge w:val="continue"/>
            <w:vAlign w:val="center"/>
          </w:tcPr>
          <w:p w14:paraId="34E22EDC">
            <w:pPr>
              <w:widowControl/>
              <w:adjustRightInd w:val="0"/>
              <w:snapToGrid w:val="0"/>
              <w:spacing w:line="360" w:lineRule="auto"/>
              <w:jc w:val="left"/>
              <w:rPr>
                <w:rFonts w:ascii="宋体" w:hAnsi="宋体"/>
                <w:color w:val="auto"/>
                <w:kern w:val="0"/>
                <w:highlight w:val="none"/>
              </w:rPr>
            </w:pPr>
          </w:p>
        </w:tc>
        <w:tc>
          <w:tcPr>
            <w:tcW w:w="640" w:type="dxa"/>
            <w:vMerge w:val="continue"/>
            <w:vAlign w:val="center"/>
          </w:tcPr>
          <w:p w14:paraId="10BA5D17">
            <w:pPr>
              <w:widowControl/>
              <w:adjustRightInd w:val="0"/>
              <w:snapToGrid w:val="0"/>
              <w:spacing w:line="360" w:lineRule="auto"/>
              <w:jc w:val="left"/>
              <w:rPr>
                <w:rFonts w:ascii="宋体" w:hAnsi="宋体"/>
                <w:color w:val="auto"/>
                <w:kern w:val="0"/>
                <w:highlight w:val="none"/>
              </w:rPr>
            </w:pPr>
          </w:p>
        </w:tc>
        <w:tc>
          <w:tcPr>
            <w:tcW w:w="1400" w:type="dxa"/>
            <w:vAlign w:val="center"/>
          </w:tcPr>
          <w:p w14:paraId="2FE3231C">
            <w:pPr>
              <w:adjustRightInd w:val="0"/>
              <w:snapToGrid w:val="0"/>
              <w:spacing w:line="360" w:lineRule="auto"/>
              <w:jc w:val="center"/>
              <w:rPr>
                <w:rFonts w:hint="eastAsia" w:ascii="宋体" w:hAnsi="宋体" w:eastAsia="宋体"/>
                <w:color w:val="auto"/>
                <w:highlight w:val="none"/>
                <w:lang w:eastAsia="zh-CN"/>
              </w:rPr>
            </w:pPr>
            <w:r>
              <w:rPr>
                <w:rFonts w:hint="eastAsia" w:ascii="宋体" w:hAnsi="宋体"/>
                <w:color w:val="auto"/>
                <w:highlight w:val="none"/>
                <w:lang w:eastAsia="zh-CN"/>
              </w:rPr>
              <w:t>其他实质性要求</w:t>
            </w:r>
          </w:p>
        </w:tc>
        <w:tc>
          <w:tcPr>
            <w:tcW w:w="6502" w:type="dxa"/>
            <w:vAlign w:val="center"/>
          </w:tcPr>
          <w:p w14:paraId="3B86D519">
            <w:pPr>
              <w:pStyle w:val="84"/>
              <w:numPr>
                <w:ilvl w:val="0"/>
                <w:numId w:val="0"/>
              </w:numPr>
              <w:snapToGrid w:val="0"/>
              <w:spacing w:line="360" w:lineRule="auto"/>
              <w:rPr>
                <w:rFonts w:hint="eastAsia" w:eastAsia="宋体"/>
                <w:color w:val="auto"/>
                <w:sz w:val="21"/>
                <w:szCs w:val="21"/>
                <w:highlight w:val="none"/>
                <w:lang w:eastAsia="zh-CN"/>
              </w:rPr>
            </w:pPr>
            <w:r>
              <w:rPr>
                <w:rFonts w:hint="eastAsia" w:cs="宋体"/>
                <w:color w:val="auto"/>
                <w:kern w:val="0"/>
                <w:sz w:val="21"/>
                <w:szCs w:val="21"/>
                <w:highlight w:val="none"/>
                <w:lang w:val="en-US" w:eastAsia="zh-CN" w:bidi="ar-SA"/>
              </w:rPr>
              <w:t>1.</w:t>
            </w:r>
            <w:r>
              <w:rPr>
                <w:rFonts w:hint="eastAsia"/>
                <w:color w:val="auto"/>
                <w:sz w:val="21"/>
                <w:szCs w:val="21"/>
                <w:highlight w:val="none"/>
              </w:rPr>
              <w:t>不存在供应商须知“1.4.3”及“9.2.1”规定的情形</w:t>
            </w:r>
            <w:r>
              <w:rPr>
                <w:rFonts w:hint="eastAsia"/>
                <w:color w:val="auto"/>
                <w:sz w:val="21"/>
                <w:szCs w:val="21"/>
                <w:highlight w:val="none"/>
                <w:lang w:eastAsia="zh-CN"/>
              </w:rPr>
              <w:t>；</w:t>
            </w:r>
          </w:p>
          <w:p w14:paraId="6F4CB207">
            <w:pPr>
              <w:adjustRightInd w:val="0"/>
              <w:snapToGrid w:val="0"/>
              <w:spacing w:line="360" w:lineRule="auto"/>
              <w:textAlignment w:val="baseline"/>
              <w:rPr>
                <w:rFonts w:hint="eastAsia" w:ascii="宋体" w:hAnsi="宋体" w:eastAsia="宋体"/>
                <w:color w:val="auto"/>
                <w:highlight w:val="none"/>
                <w:lang w:eastAsia="zh-CN"/>
              </w:rPr>
            </w:pPr>
            <w:r>
              <w:rPr>
                <w:rFonts w:hint="eastAsia" w:ascii="宋体" w:hAnsi="宋体" w:cs="宋体"/>
                <w:b w:val="0"/>
                <w:bCs w:val="0"/>
                <w:color w:val="auto"/>
                <w:kern w:val="0"/>
                <w:sz w:val="21"/>
                <w:szCs w:val="21"/>
                <w:highlight w:val="none"/>
                <w:lang w:val="en-US" w:eastAsia="zh-CN" w:bidi="ar-SA"/>
              </w:rPr>
              <w:t>2.符合</w:t>
            </w:r>
            <w:r>
              <w:rPr>
                <w:rFonts w:hint="eastAsia"/>
                <w:color w:val="auto"/>
                <w:sz w:val="21"/>
                <w:szCs w:val="21"/>
                <w:highlight w:val="none"/>
              </w:rPr>
              <w:t>磋商文件及国家法律法规规定的其他情形</w:t>
            </w:r>
            <w:r>
              <w:rPr>
                <w:rFonts w:hint="eastAsia"/>
                <w:color w:val="auto"/>
                <w:sz w:val="21"/>
                <w:szCs w:val="21"/>
                <w:highlight w:val="none"/>
                <w:lang w:eastAsia="zh-CN"/>
              </w:rPr>
              <w:t>。</w:t>
            </w:r>
          </w:p>
        </w:tc>
      </w:tr>
      <w:tr w14:paraId="213D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4" w:type="dxa"/>
            <w:gridSpan w:val="3"/>
            <w:vAlign w:val="center"/>
          </w:tcPr>
          <w:p w14:paraId="6E476EA4">
            <w:pPr>
              <w:widowControl/>
              <w:adjustRightInd w:val="0"/>
              <w:snapToGrid w:val="0"/>
              <w:spacing w:line="360" w:lineRule="auto"/>
              <w:jc w:val="center"/>
              <w:rPr>
                <w:rFonts w:ascii="宋体" w:hAnsi="宋体"/>
                <w:color w:val="auto"/>
                <w:kern w:val="0"/>
                <w:highlight w:val="none"/>
              </w:rPr>
            </w:pPr>
            <w:r>
              <w:rPr>
                <w:rFonts w:hint="eastAsia" w:ascii="宋体" w:hAnsi="宋体"/>
                <w:color w:val="auto"/>
                <w:highlight w:val="none"/>
              </w:rPr>
              <w:t>2.2磋商</w:t>
            </w:r>
          </w:p>
        </w:tc>
        <w:tc>
          <w:tcPr>
            <w:tcW w:w="7902" w:type="dxa"/>
            <w:gridSpan w:val="2"/>
            <w:vAlign w:val="center"/>
          </w:tcPr>
          <w:p w14:paraId="26CF93B6">
            <w:pPr>
              <w:adjustRightInd w:val="0"/>
              <w:snapToGrid w:val="0"/>
              <w:spacing w:line="360" w:lineRule="auto"/>
              <w:textAlignment w:val="baseline"/>
              <w:rPr>
                <w:rFonts w:ascii="宋体" w:hAnsi="宋体"/>
                <w:color w:val="auto"/>
                <w:highlight w:val="none"/>
              </w:rPr>
            </w:pPr>
            <w:r>
              <w:rPr>
                <w:rFonts w:hint="eastAsia" w:ascii="宋体" w:hAnsi="宋体"/>
                <w:color w:val="auto"/>
                <w:highlight w:val="none"/>
              </w:rPr>
              <w:t>1.磋商小组应根据磋商文件内容集中与通过以上评审的供应商分别进行磋商，磋商结束后，要求其在规定时间内提交最后报价。“规定时间”为30分钟，若交易系统故障导致供应商无法上传报价的情况除外。</w:t>
            </w:r>
          </w:p>
          <w:p w14:paraId="0F7B7B55">
            <w:pPr>
              <w:adjustRightInd w:val="0"/>
              <w:snapToGrid w:val="0"/>
              <w:spacing w:line="360" w:lineRule="auto"/>
              <w:textAlignment w:val="baseline"/>
              <w:rPr>
                <w:rFonts w:ascii="宋体" w:hAnsi="宋体"/>
                <w:color w:val="auto"/>
                <w:highlight w:val="none"/>
              </w:rPr>
            </w:pPr>
            <w:r>
              <w:rPr>
                <w:rFonts w:hint="eastAsia" w:ascii="宋体" w:hAnsi="宋体"/>
                <w:color w:val="auto"/>
                <w:highlight w:val="none"/>
              </w:rPr>
              <w:t>2.供应商对所参加磋商项目根据市场行情自主报价，共进行二次报价</w:t>
            </w:r>
            <w:r>
              <w:rPr>
                <w:rFonts w:hint="eastAsia" w:ascii="宋体" w:hAnsi="宋体"/>
                <w:color w:val="auto"/>
                <w:highlight w:val="none"/>
                <w:lang w:eastAsia="zh-CN"/>
              </w:rPr>
              <w:t>，第</w:t>
            </w:r>
            <w:r>
              <w:rPr>
                <w:rFonts w:hint="eastAsia" w:ascii="宋体" w:hAnsi="宋体"/>
                <w:color w:val="auto"/>
                <w:highlight w:val="none"/>
              </w:rPr>
              <w:t>一次报价须按照磋商文件要求在响应文件中填报，第二次报价在磋商</w:t>
            </w:r>
            <w:r>
              <w:rPr>
                <w:rFonts w:hint="eastAsia" w:ascii="宋体" w:hAnsi="宋体"/>
                <w:color w:val="auto"/>
                <w:highlight w:val="none"/>
                <w:lang w:eastAsia="zh-CN"/>
              </w:rPr>
              <w:t>后</w:t>
            </w:r>
            <w:r>
              <w:rPr>
                <w:rFonts w:hint="eastAsia" w:ascii="宋体" w:hAnsi="宋体"/>
                <w:color w:val="auto"/>
                <w:highlight w:val="none"/>
              </w:rPr>
              <w:t>填报。磋商小组应给予所有参加磋商的供应商平等的磋商机会。响应性文件中报价为第一轮次报价，以后轮次报价不得高于上一轮次报价（除竞争性磋商文件有实质性变动外），否则将被视为未实质性响应竞争性磋商文件。供应商未在规定时</w:t>
            </w:r>
            <w:r>
              <w:rPr>
                <w:rFonts w:hint="eastAsia" w:ascii="宋体" w:hAnsi="宋体"/>
                <w:color w:val="auto"/>
                <w:highlight w:val="none"/>
                <w:lang w:eastAsia="zh-CN"/>
              </w:rPr>
              <w:t>间内</w:t>
            </w:r>
            <w:r>
              <w:rPr>
                <w:rFonts w:hint="eastAsia" w:ascii="宋体" w:hAnsi="宋体"/>
                <w:color w:val="auto"/>
                <w:highlight w:val="none"/>
              </w:rPr>
              <w:t>提交最后报价的，视为退出磋商。</w:t>
            </w:r>
          </w:p>
          <w:p w14:paraId="2DCA1FF2">
            <w:pPr>
              <w:adjustRightInd w:val="0"/>
              <w:snapToGrid w:val="0"/>
              <w:spacing w:line="360" w:lineRule="auto"/>
              <w:textAlignment w:val="baseline"/>
              <w:rPr>
                <w:rFonts w:ascii="宋体" w:hAnsi="宋体"/>
                <w:color w:val="auto"/>
                <w:highlight w:val="none"/>
              </w:rPr>
            </w:pPr>
            <w:r>
              <w:rPr>
                <w:rFonts w:hint="eastAsia" w:ascii="宋体" w:hAnsi="宋体"/>
                <w:color w:val="auto"/>
                <w:highlight w:val="none"/>
              </w:rPr>
              <w:t>3.经磋商确定最终采购需求（若有变动）和提交最后报价的供应商后，由磋商小组采用综合评分法对提交最后报价的供应商的响应文件和最后报价按照本章第2.3款内容进行详细性评审。</w:t>
            </w:r>
          </w:p>
        </w:tc>
      </w:tr>
      <w:bookmarkEnd w:id="881"/>
      <w:tr w14:paraId="004C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tcBorders>
              <w:top w:val="single" w:color="auto" w:sz="4" w:space="0"/>
              <w:left w:val="single" w:color="auto" w:sz="4" w:space="0"/>
              <w:bottom w:val="single" w:color="auto" w:sz="4" w:space="0"/>
              <w:right w:val="single" w:color="auto" w:sz="4" w:space="0"/>
            </w:tcBorders>
            <w:vAlign w:val="center"/>
          </w:tcPr>
          <w:p w14:paraId="3BCFC793">
            <w:pPr>
              <w:adjustRightInd w:val="0"/>
              <w:spacing w:line="360" w:lineRule="auto"/>
              <w:jc w:val="center"/>
              <w:rPr>
                <w:rFonts w:ascii="宋体" w:hAnsi="宋体"/>
                <w:b/>
                <w:color w:val="auto"/>
                <w:highlight w:val="none"/>
              </w:rPr>
            </w:pPr>
            <w:bookmarkStart w:id="882" w:name="_Hlk129683989"/>
            <w:r>
              <w:rPr>
                <w:rFonts w:hint="eastAsia" w:ascii="宋体" w:hAnsi="宋体"/>
                <w:b/>
                <w:color w:val="auto"/>
                <w:highlight w:val="none"/>
              </w:rPr>
              <w:t>条款号</w:t>
            </w:r>
          </w:p>
        </w:tc>
        <w:tc>
          <w:tcPr>
            <w:tcW w:w="2063" w:type="dxa"/>
            <w:gridSpan w:val="3"/>
            <w:tcBorders>
              <w:top w:val="single" w:color="auto" w:sz="4" w:space="0"/>
              <w:left w:val="single" w:color="auto" w:sz="4" w:space="0"/>
              <w:bottom w:val="single" w:color="auto" w:sz="4" w:space="0"/>
              <w:right w:val="single" w:color="auto" w:sz="4" w:space="0"/>
            </w:tcBorders>
            <w:vAlign w:val="center"/>
          </w:tcPr>
          <w:p w14:paraId="6686E3E5">
            <w:pPr>
              <w:adjustRightInd w:val="0"/>
              <w:spacing w:line="360" w:lineRule="auto"/>
              <w:jc w:val="center"/>
              <w:rPr>
                <w:rFonts w:ascii="宋体" w:hAnsi="宋体"/>
                <w:b/>
                <w:color w:val="auto"/>
                <w:highlight w:val="none"/>
              </w:rPr>
            </w:pPr>
            <w:r>
              <w:rPr>
                <w:rFonts w:hint="eastAsia" w:ascii="宋体" w:hAnsi="宋体"/>
                <w:b/>
                <w:color w:val="auto"/>
                <w:highlight w:val="none"/>
              </w:rPr>
              <w:t>条款内容</w:t>
            </w:r>
          </w:p>
        </w:tc>
        <w:tc>
          <w:tcPr>
            <w:tcW w:w="6502" w:type="dxa"/>
            <w:tcBorders>
              <w:top w:val="single" w:color="auto" w:sz="4" w:space="0"/>
              <w:left w:val="single" w:color="auto" w:sz="4" w:space="0"/>
              <w:bottom w:val="single" w:color="auto" w:sz="4" w:space="0"/>
              <w:right w:val="single" w:color="auto" w:sz="4" w:space="0"/>
            </w:tcBorders>
            <w:vAlign w:val="center"/>
          </w:tcPr>
          <w:p w14:paraId="3187EF54">
            <w:pPr>
              <w:adjustRightInd w:val="0"/>
              <w:spacing w:line="360" w:lineRule="auto"/>
              <w:jc w:val="center"/>
              <w:rPr>
                <w:rFonts w:ascii="宋体" w:hAnsi="宋体"/>
                <w:b/>
                <w:color w:val="auto"/>
                <w:highlight w:val="none"/>
              </w:rPr>
            </w:pPr>
            <w:r>
              <w:rPr>
                <w:rFonts w:hint="eastAsia" w:ascii="宋体" w:hAnsi="宋体"/>
                <w:b/>
                <w:color w:val="auto"/>
                <w:highlight w:val="none"/>
              </w:rPr>
              <w:t>编列内容</w:t>
            </w:r>
          </w:p>
        </w:tc>
      </w:tr>
      <w:tr w14:paraId="60DB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tcBorders>
              <w:top w:val="single" w:color="auto" w:sz="4" w:space="0"/>
              <w:left w:val="single" w:color="auto" w:sz="4" w:space="0"/>
              <w:bottom w:val="single" w:color="auto" w:sz="4" w:space="0"/>
              <w:right w:val="single" w:color="auto" w:sz="4" w:space="0"/>
            </w:tcBorders>
            <w:vAlign w:val="center"/>
          </w:tcPr>
          <w:p w14:paraId="3D9BD3A4">
            <w:pPr>
              <w:adjustRightInd w:val="0"/>
              <w:spacing w:line="360" w:lineRule="auto"/>
              <w:jc w:val="center"/>
              <w:rPr>
                <w:rFonts w:ascii="宋体" w:hAnsi="宋体"/>
                <w:b/>
                <w:color w:val="auto"/>
                <w:highlight w:val="none"/>
              </w:rPr>
            </w:pPr>
            <w:r>
              <w:rPr>
                <w:rFonts w:hint="eastAsia" w:ascii="宋体" w:hAnsi="宋体"/>
                <w:b/>
                <w:color w:val="auto"/>
                <w:highlight w:val="none"/>
              </w:rPr>
              <w:t>2.3</w:t>
            </w:r>
          </w:p>
        </w:tc>
        <w:tc>
          <w:tcPr>
            <w:tcW w:w="2063" w:type="dxa"/>
            <w:gridSpan w:val="3"/>
            <w:tcBorders>
              <w:top w:val="single" w:color="auto" w:sz="4" w:space="0"/>
              <w:left w:val="single" w:color="auto" w:sz="4" w:space="0"/>
              <w:bottom w:val="single" w:color="auto" w:sz="4" w:space="0"/>
              <w:right w:val="single" w:color="auto" w:sz="4" w:space="0"/>
            </w:tcBorders>
            <w:vAlign w:val="center"/>
          </w:tcPr>
          <w:p w14:paraId="6BCA8098">
            <w:pPr>
              <w:widowControl/>
              <w:spacing w:line="360" w:lineRule="auto"/>
              <w:jc w:val="center"/>
              <w:rPr>
                <w:rFonts w:ascii="宋体" w:hAnsi="宋体"/>
                <w:color w:val="auto"/>
                <w:highlight w:val="none"/>
              </w:rPr>
            </w:pPr>
            <w:r>
              <w:rPr>
                <w:rFonts w:hint="eastAsia" w:ascii="宋体" w:hAnsi="宋体"/>
                <w:color w:val="auto"/>
                <w:kern w:val="0"/>
                <w:highlight w:val="none"/>
              </w:rPr>
              <w:t>分值构成</w:t>
            </w:r>
          </w:p>
          <w:p w14:paraId="35FE4357">
            <w:pPr>
              <w:widowControl/>
              <w:spacing w:line="360" w:lineRule="auto"/>
              <w:jc w:val="center"/>
              <w:rPr>
                <w:rFonts w:ascii="宋体" w:hAnsi="宋体"/>
                <w:b/>
                <w:color w:val="auto"/>
                <w:highlight w:val="none"/>
              </w:rPr>
            </w:pPr>
            <w:r>
              <w:rPr>
                <w:rFonts w:hint="eastAsia" w:ascii="宋体" w:hAnsi="宋体"/>
                <w:color w:val="auto"/>
                <w:kern w:val="0"/>
                <w:highlight w:val="none"/>
                <w:lang w:eastAsia="zh-CN"/>
              </w:rPr>
              <w:t>（</w:t>
            </w:r>
            <w:r>
              <w:rPr>
                <w:rFonts w:hint="eastAsia" w:ascii="宋体" w:hAnsi="宋体"/>
                <w:color w:val="auto"/>
                <w:kern w:val="0"/>
                <w:highlight w:val="none"/>
              </w:rPr>
              <w:t>总分100分</w:t>
            </w:r>
            <w:r>
              <w:rPr>
                <w:rFonts w:hint="eastAsia" w:ascii="宋体" w:hAnsi="宋体"/>
                <w:color w:val="auto"/>
                <w:kern w:val="0"/>
                <w:highlight w:val="none"/>
                <w:lang w:eastAsia="zh-CN"/>
              </w:rPr>
              <w:t>）</w:t>
            </w:r>
          </w:p>
        </w:tc>
        <w:tc>
          <w:tcPr>
            <w:tcW w:w="6502" w:type="dxa"/>
            <w:tcBorders>
              <w:top w:val="single" w:color="auto" w:sz="4" w:space="0"/>
              <w:left w:val="single" w:color="auto" w:sz="4" w:space="0"/>
              <w:bottom w:val="single" w:color="auto" w:sz="4" w:space="0"/>
              <w:right w:val="single" w:color="auto" w:sz="4" w:space="0"/>
            </w:tcBorders>
            <w:vAlign w:val="center"/>
          </w:tcPr>
          <w:p w14:paraId="08217002">
            <w:pPr>
              <w:adjustRightInd w:val="0"/>
              <w:spacing w:line="360" w:lineRule="auto"/>
              <w:jc w:val="left"/>
              <w:rPr>
                <w:rFonts w:ascii="宋体" w:hAnsi="宋体"/>
                <w:bCs/>
                <w:color w:val="auto"/>
                <w:kern w:val="0"/>
                <w:highlight w:val="none"/>
              </w:rPr>
            </w:pPr>
            <w:r>
              <w:rPr>
                <w:rFonts w:hint="eastAsia" w:ascii="宋体" w:hAnsi="宋体"/>
                <w:bCs/>
                <w:color w:val="auto"/>
                <w:kern w:val="0"/>
                <w:highlight w:val="none"/>
              </w:rPr>
              <w:t>磋商报价：</w:t>
            </w:r>
            <w:r>
              <w:rPr>
                <w:rFonts w:hint="eastAsia" w:ascii="宋体" w:hAnsi="宋体"/>
                <w:bCs/>
                <w:color w:val="auto"/>
                <w:kern w:val="0"/>
                <w:highlight w:val="none"/>
                <w:lang w:val="en-US" w:eastAsia="zh-CN"/>
              </w:rPr>
              <w:t>45</w:t>
            </w:r>
            <w:r>
              <w:rPr>
                <w:rFonts w:hint="eastAsia" w:ascii="宋体" w:hAnsi="宋体"/>
                <w:bCs/>
                <w:color w:val="auto"/>
                <w:kern w:val="0"/>
                <w:highlight w:val="none"/>
              </w:rPr>
              <w:t>分</w:t>
            </w:r>
          </w:p>
          <w:p w14:paraId="3FBF2635">
            <w:pPr>
              <w:adjustRightInd w:val="0"/>
              <w:spacing w:line="360" w:lineRule="auto"/>
              <w:jc w:val="left"/>
              <w:rPr>
                <w:rFonts w:ascii="宋体" w:hAnsi="宋体"/>
                <w:bCs/>
                <w:color w:val="auto"/>
                <w:kern w:val="0"/>
                <w:highlight w:val="none"/>
              </w:rPr>
            </w:pPr>
            <w:r>
              <w:rPr>
                <w:rFonts w:hint="eastAsia" w:ascii="宋体" w:hAnsi="宋体"/>
                <w:bCs/>
                <w:color w:val="auto"/>
                <w:kern w:val="0"/>
                <w:highlight w:val="none"/>
              </w:rPr>
              <w:t>技术部分：</w:t>
            </w:r>
            <w:r>
              <w:rPr>
                <w:rFonts w:hint="eastAsia" w:ascii="宋体" w:hAnsi="宋体"/>
                <w:bCs/>
                <w:color w:val="auto"/>
                <w:kern w:val="0"/>
                <w:highlight w:val="none"/>
                <w:lang w:val="en-US" w:eastAsia="zh-CN"/>
              </w:rPr>
              <w:t>33</w:t>
            </w:r>
            <w:r>
              <w:rPr>
                <w:rFonts w:hint="eastAsia" w:ascii="宋体" w:hAnsi="宋体"/>
                <w:bCs/>
                <w:color w:val="auto"/>
                <w:kern w:val="0"/>
                <w:highlight w:val="none"/>
              </w:rPr>
              <w:t>分</w:t>
            </w:r>
          </w:p>
          <w:p w14:paraId="2BC6F967">
            <w:pPr>
              <w:adjustRightInd w:val="0"/>
              <w:spacing w:line="360" w:lineRule="auto"/>
              <w:jc w:val="left"/>
              <w:rPr>
                <w:rFonts w:ascii="宋体" w:hAnsi="宋体"/>
                <w:b/>
                <w:color w:val="auto"/>
                <w:highlight w:val="none"/>
              </w:rPr>
            </w:pPr>
            <w:r>
              <w:rPr>
                <w:rFonts w:hint="eastAsia" w:ascii="宋体" w:hAnsi="宋体"/>
                <w:bCs/>
                <w:color w:val="auto"/>
                <w:kern w:val="0"/>
                <w:highlight w:val="none"/>
              </w:rPr>
              <w:t>商务部分：</w:t>
            </w:r>
            <w:r>
              <w:rPr>
                <w:rFonts w:hint="eastAsia" w:ascii="宋体" w:hAnsi="宋体"/>
                <w:bCs/>
                <w:color w:val="auto"/>
                <w:kern w:val="0"/>
                <w:highlight w:val="none"/>
                <w:lang w:val="en-US" w:eastAsia="zh-CN"/>
              </w:rPr>
              <w:t>22</w:t>
            </w:r>
            <w:r>
              <w:rPr>
                <w:rFonts w:hint="eastAsia" w:ascii="宋体" w:hAnsi="宋体"/>
                <w:bCs/>
                <w:color w:val="auto"/>
                <w:kern w:val="0"/>
                <w:highlight w:val="none"/>
              </w:rPr>
              <w:t>分</w:t>
            </w:r>
          </w:p>
        </w:tc>
      </w:tr>
      <w:tr w14:paraId="2A38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tcBorders>
              <w:top w:val="single" w:color="auto" w:sz="4" w:space="0"/>
              <w:left w:val="single" w:color="auto" w:sz="4" w:space="0"/>
              <w:bottom w:val="single" w:color="auto" w:sz="4" w:space="0"/>
              <w:right w:val="single" w:color="auto" w:sz="4" w:space="0"/>
            </w:tcBorders>
            <w:vAlign w:val="center"/>
          </w:tcPr>
          <w:p w14:paraId="2608E7FE">
            <w:pPr>
              <w:adjustRightInd w:val="0"/>
              <w:spacing w:line="360" w:lineRule="auto"/>
              <w:jc w:val="center"/>
              <w:rPr>
                <w:rFonts w:hint="eastAsia" w:ascii="宋体" w:hAnsi="宋体"/>
                <w:bCs/>
                <w:color w:val="auto"/>
                <w:highlight w:val="none"/>
              </w:rPr>
            </w:pPr>
            <w:r>
              <w:rPr>
                <w:rFonts w:hint="eastAsia" w:ascii="宋体" w:hAnsi="宋体"/>
                <w:bCs/>
                <w:color w:val="auto"/>
                <w:highlight w:val="none"/>
              </w:rPr>
              <w:t>2.3.1</w:t>
            </w:r>
          </w:p>
          <w:p w14:paraId="10FF8730">
            <w:pPr>
              <w:adjustRightInd w:val="0"/>
              <w:spacing w:line="360" w:lineRule="auto"/>
              <w:jc w:val="center"/>
              <w:rPr>
                <w:rFonts w:ascii="宋体" w:hAnsi="宋体"/>
                <w:bCs/>
                <w:color w:val="auto"/>
                <w:highlight w:val="none"/>
              </w:rPr>
            </w:pPr>
            <w:r>
              <w:rPr>
                <w:rFonts w:hint="eastAsia" w:ascii="宋体" w:hAnsi="宋体"/>
                <w:bCs/>
                <w:color w:val="auto"/>
                <w:highlight w:val="none"/>
                <w:lang w:eastAsia="zh-CN"/>
              </w:rPr>
              <w:t>(</w:t>
            </w:r>
            <w:r>
              <w:rPr>
                <w:rFonts w:hint="eastAsia" w:ascii="宋体" w:hAnsi="宋体"/>
                <w:bCs/>
                <w:color w:val="auto"/>
                <w:highlight w:val="none"/>
              </w:rPr>
              <w:t>1</w:t>
            </w:r>
            <w:r>
              <w:rPr>
                <w:rFonts w:hint="eastAsia" w:ascii="宋体" w:hAnsi="宋体"/>
                <w:bCs/>
                <w:color w:val="auto"/>
                <w:highlight w:val="none"/>
                <w:lang w:eastAsia="zh-CN"/>
              </w:rPr>
              <w:t>)</w:t>
            </w:r>
          </w:p>
        </w:tc>
        <w:tc>
          <w:tcPr>
            <w:tcW w:w="2063" w:type="dxa"/>
            <w:gridSpan w:val="3"/>
            <w:tcBorders>
              <w:top w:val="single" w:color="auto" w:sz="4" w:space="0"/>
              <w:left w:val="single" w:color="auto" w:sz="4" w:space="0"/>
              <w:bottom w:val="single" w:color="auto" w:sz="4" w:space="0"/>
              <w:right w:val="single" w:color="auto" w:sz="4" w:space="0"/>
            </w:tcBorders>
            <w:vAlign w:val="center"/>
          </w:tcPr>
          <w:p w14:paraId="4992C00D">
            <w:pPr>
              <w:adjustRightInd w:val="0"/>
              <w:spacing w:line="360" w:lineRule="auto"/>
              <w:jc w:val="center"/>
              <w:rPr>
                <w:rFonts w:ascii="宋体" w:hAnsi="宋体"/>
                <w:bCs/>
                <w:color w:val="auto"/>
                <w:highlight w:val="none"/>
              </w:rPr>
            </w:pPr>
            <w:r>
              <w:rPr>
                <w:rFonts w:hint="eastAsia" w:ascii="宋体" w:hAnsi="宋体"/>
                <w:bCs/>
                <w:color w:val="auto"/>
                <w:highlight w:val="none"/>
              </w:rPr>
              <w:t>磋商报价</w:t>
            </w:r>
          </w:p>
          <w:p w14:paraId="40C66324">
            <w:pPr>
              <w:adjustRightInd w:val="0"/>
              <w:spacing w:line="360" w:lineRule="auto"/>
              <w:jc w:val="center"/>
              <w:rPr>
                <w:rFonts w:ascii="宋体" w:hAnsi="宋体"/>
                <w:bCs/>
                <w:color w:val="auto"/>
                <w:highlight w:val="none"/>
              </w:rPr>
            </w:pPr>
            <w:r>
              <w:rPr>
                <w:rFonts w:hint="eastAsia" w:ascii="宋体" w:hAnsi="宋体"/>
                <w:bCs/>
                <w:color w:val="auto"/>
                <w:highlight w:val="none"/>
                <w:lang w:val="en-US" w:eastAsia="zh-CN"/>
              </w:rPr>
              <w:t>45</w:t>
            </w:r>
            <w:r>
              <w:rPr>
                <w:rFonts w:hint="eastAsia" w:ascii="宋体" w:hAnsi="宋体"/>
                <w:bCs/>
                <w:color w:val="auto"/>
                <w:highlight w:val="none"/>
              </w:rPr>
              <w:t>分</w:t>
            </w:r>
          </w:p>
        </w:tc>
        <w:tc>
          <w:tcPr>
            <w:tcW w:w="6502" w:type="dxa"/>
            <w:tcBorders>
              <w:top w:val="single" w:color="auto" w:sz="4" w:space="0"/>
              <w:left w:val="single" w:color="auto" w:sz="4" w:space="0"/>
              <w:bottom w:val="single" w:color="auto" w:sz="4" w:space="0"/>
              <w:right w:val="single" w:color="auto" w:sz="4" w:space="0"/>
            </w:tcBorders>
            <w:vAlign w:val="center"/>
          </w:tcPr>
          <w:p w14:paraId="20ED459E">
            <w:pPr>
              <w:adjustRightInd w:val="0"/>
              <w:snapToGrid w:val="0"/>
              <w:spacing w:line="360" w:lineRule="auto"/>
              <w:jc w:val="left"/>
              <w:rPr>
                <w:rFonts w:hint="eastAsia" w:ascii="宋体" w:hAnsi="宋体"/>
                <w:bCs/>
                <w:color w:val="auto"/>
                <w:highlight w:val="none"/>
              </w:rPr>
            </w:pPr>
            <w:r>
              <w:rPr>
                <w:rFonts w:hint="eastAsia" w:ascii="宋体" w:hAnsi="宋体"/>
                <w:bCs/>
                <w:color w:val="auto"/>
                <w:highlight w:val="none"/>
              </w:rPr>
              <w:t>价格分统一采用低价优先法计算，即满足磋商文件要求且最终磋商价格最低的报价为基准价，其价格分为满分</w:t>
            </w:r>
            <w:r>
              <w:rPr>
                <w:rFonts w:hint="eastAsia" w:ascii="宋体" w:hAnsi="宋体"/>
                <w:bCs/>
                <w:color w:val="auto"/>
                <w:highlight w:val="none"/>
                <w:lang w:val="en-US" w:eastAsia="zh-CN"/>
              </w:rPr>
              <w:t>45</w:t>
            </w:r>
            <w:r>
              <w:rPr>
                <w:rFonts w:hint="eastAsia" w:ascii="宋体" w:hAnsi="宋体"/>
                <w:bCs/>
                <w:color w:val="auto"/>
                <w:highlight w:val="none"/>
              </w:rPr>
              <w:t>分。</w:t>
            </w:r>
          </w:p>
          <w:p w14:paraId="2B04C32D">
            <w:pPr>
              <w:adjustRightInd w:val="0"/>
              <w:snapToGrid w:val="0"/>
              <w:spacing w:line="360" w:lineRule="auto"/>
              <w:jc w:val="left"/>
              <w:rPr>
                <w:rFonts w:hint="eastAsia" w:ascii="宋体" w:hAnsi="宋体"/>
                <w:bCs/>
                <w:color w:val="auto"/>
                <w:highlight w:val="none"/>
              </w:rPr>
            </w:pPr>
            <w:r>
              <w:rPr>
                <w:rFonts w:hint="eastAsia" w:ascii="宋体" w:hAnsi="宋体"/>
                <w:bCs/>
                <w:color w:val="auto"/>
                <w:highlight w:val="none"/>
              </w:rPr>
              <w:t>其他响应供应商的磋商报价得分计算公式如下：</w:t>
            </w:r>
          </w:p>
          <w:p w14:paraId="2108B20A">
            <w:pPr>
              <w:adjustRightInd w:val="0"/>
              <w:snapToGrid w:val="0"/>
              <w:spacing w:line="360" w:lineRule="auto"/>
              <w:jc w:val="left"/>
              <w:rPr>
                <w:rFonts w:hint="eastAsia" w:ascii="宋体" w:hAnsi="宋体"/>
                <w:bCs/>
                <w:color w:val="auto"/>
                <w:highlight w:val="none"/>
              </w:rPr>
            </w:pPr>
            <w:r>
              <w:rPr>
                <w:rFonts w:hint="eastAsia" w:ascii="宋体" w:hAnsi="宋体"/>
                <w:bCs/>
                <w:color w:val="auto"/>
                <w:highlight w:val="none"/>
              </w:rPr>
              <w:t>磋商报价得分=</w:t>
            </w:r>
            <w:r>
              <w:rPr>
                <w:rFonts w:hint="eastAsia" w:ascii="宋体" w:hAnsi="宋体"/>
                <w:bCs/>
                <w:color w:val="auto"/>
                <w:highlight w:val="none"/>
                <w:lang w:eastAsia="zh-CN"/>
              </w:rPr>
              <w:t>（</w:t>
            </w:r>
            <w:r>
              <w:rPr>
                <w:rFonts w:hint="eastAsia" w:ascii="宋体" w:hAnsi="宋体"/>
                <w:bCs/>
                <w:color w:val="auto"/>
                <w:highlight w:val="none"/>
              </w:rPr>
              <w:t>评标基准价／磋商报价</w:t>
            </w:r>
            <w:r>
              <w:rPr>
                <w:rFonts w:hint="eastAsia" w:ascii="宋体" w:hAnsi="宋体"/>
                <w:bCs/>
                <w:color w:val="auto"/>
                <w:highlight w:val="none"/>
                <w:lang w:eastAsia="zh-CN"/>
              </w:rPr>
              <w:t>）</w:t>
            </w:r>
            <w:r>
              <w:rPr>
                <w:rFonts w:hint="eastAsia" w:ascii="宋体" w:hAnsi="宋体"/>
                <w:bCs/>
                <w:color w:val="auto"/>
                <w:highlight w:val="none"/>
              </w:rPr>
              <w:t>×</w:t>
            </w:r>
            <w:r>
              <w:rPr>
                <w:rFonts w:hint="eastAsia" w:ascii="宋体" w:hAnsi="宋体"/>
                <w:bCs/>
                <w:color w:val="auto"/>
                <w:highlight w:val="none"/>
                <w:lang w:val="en-US" w:eastAsia="zh-CN"/>
              </w:rPr>
              <w:t>45</w:t>
            </w:r>
            <w:r>
              <w:rPr>
                <w:rFonts w:hint="eastAsia" w:ascii="宋体" w:hAnsi="宋体"/>
                <w:bCs/>
                <w:color w:val="auto"/>
                <w:highlight w:val="none"/>
              </w:rPr>
              <w:t>；</w:t>
            </w:r>
          </w:p>
          <w:p w14:paraId="008E3A29">
            <w:pPr>
              <w:adjustRightInd w:val="0"/>
              <w:snapToGrid w:val="0"/>
              <w:spacing w:line="360" w:lineRule="auto"/>
              <w:jc w:val="left"/>
              <w:rPr>
                <w:rFonts w:hint="eastAsia" w:ascii="宋体" w:hAnsi="宋体"/>
                <w:bCs/>
                <w:color w:val="auto"/>
                <w:highlight w:val="none"/>
              </w:rPr>
            </w:pPr>
            <w:r>
              <w:rPr>
                <w:rFonts w:hint="eastAsia" w:ascii="宋体" w:hAnsi="宋体"/>
                <w:bCs/>
                <w:color w:val="auto"/>
                <w:highlight w:val="none"/>
              </w:rPr>
              <w:t>注：</w:t>
            </w:r>
          </w:p>
          <w:p w14:paraId="0C8D2B14">
            <w:pPr>
              <w:adjustRightInd w:val="0"/>
              <w:snapToGrid w:val="0"/>
              <w:spacing w:line="360" w:lineRule="auto"/>
              <w:jc w:val="left"/>
              <w:rPr>
                <w:rFonts w:hint="eastAsia" w:ascii="宋体" w:hAnsi="宋体" w:eastAsia="宋体"/>
                <w:bCs/>
                <w:color w:val="auto"/>
                <w:highlight w:val="none"/>
                <w:lang w:eastAsia="zh-CN"/>
              </w:rPr>
            </w:pPr>
            <w:r>
              <w:rPr>
                <w:rFonts w:hint="eastAsia" w:ascii="宋体" w:hAnsi="宋体"/>
                <w:bCs/>
                <w:color w:val="auto"/>
                <w:highlight w:val="none"/>
              </w:rPr>
              <w:t>1.本项目非专门面向中小企业，对属于小微型企业的磋商报价给予 3% 的价格扣除</w:t>
            </w:r>
            <w:r>
              <w:rPr>
                <w:rFonts w:hint="eastAsia" w:ascii="宋体" w:hAnsi="宋体"/>
                <w:bCs/>
                <w:color w:val="auto"/>
                <w:highlight w:val="none"/>
                <w:lang w:eastAsia="zh-CN"/>
              </w:rPr>
              <w:t>；</w:t>
            </w:r>
          </w:p>
          <w:p w14:paraId="57D85374">
            <w:pPr>
              <w:adjustRightInd w:val="0"/>
              <w:snapToGrid w:val="0"/>
              <w:spacing w:line="360" w:lineRule="auto"/>
              <w:jc w:val="left"/>
              <w:rPr>
                <w:rFonts w:hint="eastAsia" w:ascii="宋体" w:hAnsi="宋体" w:eastAsia="宋体"/>
                <w:bCs/>
                <w:color w:val="auto"/>
                <w:highlight w:val="none"/>
                <w:lang w:eastAsia="zh-CN"/>
              </w:rPr>
            </w:pPr>
            <w:r>
              <w:rPr>
                <w:rFonts w:hint="eastAsia" w:ascii="宋体" w:hAnsi="宋体"/>
                <w:bCs/>
                <w:color w:val="auto"/>
                <w:highlight w:val="none"/>
              </w:rPr>
              <w:t>2.关于异常低价</w:t>
            </w:r>
            <w:r>
              <w:rPr>
                <w:rFonts w:hint="eastAsia" w:ascii="宋体" w:hAnsi="宋体"/>
                <w:bCs/>
                <w:color w:val="auto"/>
                <w:highlight w:val="none"/>
                <w:lang w:val="en-US" w:eastAsia="zh-CN"/>
              </w:rPr>
              <w:t>审查程序详</w:t>
            </w:r>
            <w:r>
              <w:rPr>
                <w:rFonts w:hint="eastAsia" w:ascii="宋体" w:hAnsi="宋体"/>
                <w:bCs/>
                <w:color w:val="auto"/>
                <w:highlight w:val="none"/>
              </w:rPr>
              <w:t>见“供应商须知前附表10.7”</w:t>
            </w:r>
            <w:r>
              <w:rPr>
                <w:rFonts w:hint="eastAsia" w:ascii="宋体" w:hAnsi="宋体"/>
                <w:bCs/>
                <w:color w:val="auto"/>
                <w:highlight w:val="none"/>
                <w:lang w:eastAsia="zh-CN"/>
              </w:rPr>
              <w:t>；</w:t>
            </w:r>
          </w:p>
          <w:p w14:paraId="5593D52C">
            <w:pPr>
              <w:adjustRightInd w:val="0"/>
              <w:snapToGrid w:val="0"/>
              <w:spacing w:line="360" w:lineRule="auto"/>
              <w:jc w:val="left"/>
              <w:rPr>
                <w:rFonts w:ascii="宋体" w:hAnsi="宋体"/>
                <w:bCs/>
                <w:color w:val="auto"/>
                <w:highlight w:val="none"/>
              </w:rPr>
            </w:pPr>
            <w:r>
              <w:rPr>
                <w:rFonts w:hint="eastAsia" w:ascii="宋体" w:hAnsi="宋体"/>
                <w:bCs/>
                <w:color w:val="auto"/>
                <w:highlight w:val="none"/>
              </w:rPr>
              <w:t>本项目报价计算保留后两位小数点。</w:t>
            </w:r>
          </w:p>
        </w:tc>
      </w:tr>
      <w:tr w14:paraId="37ED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871" w:type="dxa"/>
            <w:vMerge w:val="restart"/>
            <w:tcBorders>
              <w:top w:val="nil"/>
              <w:left w:val="single" w:color="auto" w:sz="4" w:space="0"/>
              <w:right w:val="single" w:color="auto" w:sz="4" w:space="0"/>
            </w:tcBorders>
            <w:vAlign w:val="center"/>
          </w:tcPr>
          <w:p w14:paraId="7204BBA9">
            <w:pPr>
              <w:adjustRightInd w:val="0"/>
              <w:spacing w:line="360" w:lineRule="auto"/>
              <w:jc w:val="center"/>
              <w:rPr>
                <w:rFonts w:hint="eastAsia" w:ascii="宋体" w:hAnsi="宋体"/>
                <w:bCs/>
                <w:color w:val="auto"/>
                <w:highlight w:val="none"/>
              </w:rPr>
            </w:pPr>
            <w:r>
              <w:rPr>
                <w:rFonts w:hint="eastAsia" w:ascii="宋体" w:hAnsi="宋体"/>
                <w:bCs/>
                <w:color w:val="auto"/>
                <w:highlight w:val="none"/>
              </w:rPr>
              <w:t>2.3.1</w:t>
            </w:r>
          </w:p>
          <w:p w14:paraId="179EB363">
            <w:pPr>
              <w:adjustRightInd w:val="0"/>
              <w:spacing w:line="360" w:lineRule="auto"/>
              <w:jc w:val="center"/>
              <w:rPr>
                <w:rFonts w:ascii="宋体" w:hAnsi="宋体"/>
                <w:bCs/>
                <w:color w:val="auto"/>
                <w:highlight w:val="none"/>
              </w:rPr>
            </w:pPr>
            <w:r>
              <w:rPr>
                <w:rFonts w:hint="eastAsia" w:ascii="宋体" w:hAnsi="宋体"/>
                <w:bCs/>
                <w:color w:val="auto"/>
                <w:highlight w:val="none"/>
                <w:lang w:eastAsia="zh-CN"/>
              </w:rPr>
              <w:t>(</w:t>
            </w:r>
            <w:r>
              <w:rPr>
                <w:rFonts w:hint="eastAsia" w:ascii="宋体" w:hAnsi="宋体"/>
                <w:bCs/>
                <w:color w:val="auto"/>
                <w:highlight w:val="none"/>
              </w:rPr>
              <w:t>2</w:t>
            </w:r>
            <w:r>
              <w:rPr>
                <w:rFonts w:hint="eastAsia" w:ascii="宋体" w:hAnsi="宋体"/>
                <w:bCs/>
                <w:color w:val="auto"/>
                <w:highlight w:val="none"/>
                <w:lang w:eastAsia="zh-CN"/>
              </w:rPr>
              <w:t>)</w:t>
            </w:r>
          </w:p>
        </w:tc>
        <w:tc>
          <w:tcPr>
            <w:tcW w:w="663" w:type="dxa"/>
            <w:gridSpan w:val="2"/>
            <w:vMerge w:val="restart"/>
            <w:tcBorders>
              <w:top w:val="nil"/>
              <w:left w:val="single" w:color="auto" w:sz="4" w:space="0"/>
              <w:right w:val="single" w:color="auto" w:sz="4" w:space="0"/>
            </w:tcBorders>
            <w:vAlign w:val="center"/>
          </w:tcPr>
          <w:p w14:paraId="199AB872">
            <w:pPr>
              <w:adjustRightInd w:val="0"/>
              <w:spacing w:line="360" w:lineRule="auto"/>
              <w:jc w:val="center"/>
              <w:rPr>
                <w:rFonts w:ascii="宋体" w:hAnsi="宋体"/>
                <w:bCs/>
                <w:color w:val="auto"/>
                <w:sz w:val="21"/>
                <w:szCs w:val="21"/>
                <w:highlight w:val="none"/>
              </w:rPr>
            </w:pPr>
            <w:r>
              <w:rPr>
                <w:rFonts w:hint="eastAsia" w:ascii="宋体" w:hAnsi="宋体"/>
                <w:bCs/>
                <w:color w:val="auto"/>
                <w:sz w:val="21"/>
                <w:szCs w:val="21"/>
                <w:highlight w:val="none"/>
              </w:rPr>
              <w:t>技术评分标准</w:t>
            </w:r>
            <w:r>
              <w:rPr>
                <w:rFonts w:hint="eastAsia" w:ascii="宋体" w:hAnsi="宋体"/>
                <w:bCs/>
                <w:color w:val="auto"/>
                <w:sz w:val="21"/>
                <w:szCs w:val="21"/>
                <w:highlight w:val="none"/>
                <w:lang w:val="en-US" w:eastAsia="zh-CN"/>
              </w:rPr>
              <w:t>33</w:t>
            </w:r>
            <w:r>
              <w:rPr>
                <w:rFonts w:hint="eastAsia" w:ascii="宋体" w:hAnsi="宋体"/>
                <w:bCs/>
                <w:color w:val="auto"/>
                <w:sz w:val="21"/>
                <w:szCs w:val="21"/>
                <w:highlight w:val="none"/>
              </w:rPr>
              <w:t>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772A72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.主要施工方案与技术措施</w:t>
            </w:r>
          </w:p>
          <w:p w14:paraId="19B9A9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77E542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施工方案编制（含工程特点、施工重点与难点及绿色施工）总体安排合理，运用先进、合理的施工工艺、施工设备；对施工难点有先进和合理的建议</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14:paraId="67E2A9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施工方案（含工程特点、施工重点与难点及绿色施工）总体安排基本合理，施工工艺、施工机械基本合理、可行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p w14:paraId="1BBE18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施工方案（含工程特点、施工重点与难点及绿色施工）总体安排基本不合理，施工工艺、施工机械基本考虑不周全、措施不到位</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p w14:paraId="6914BA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4.不提供不得分。</w:t>
            </w:r>
          </w:p>
        </w:tc>
      </w:tr>
      <w:tr w14:paraId="0CB6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vMerge w:val="continue"/>
            <w:tcBorders>
              <w:left w:val="single" w:color="auto" w:sz="4" w:space="0"/>
              <w:right w:val="single" w:color="auto" w:sz="4" w:space="0"/>
            </w:tcBorders>
            <w:vAlign w:val="center"/>
          </w:tcPr>
          <w:p w14:paraId="58A0242E">
            <w:pPr>
              <w:widowControl/>
              <w:spacing w:line="360" w:lineRule="auto"/>
              <w:jc w:val="left"/>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7678EF38">
            <w:pPr>
              <w:widowControl/>
              <w:spacing w:line="360" w:lineRule="auto"/>
              <w:jc w:val="left"/>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034AFF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.质量管理体系与措施</w:t>
            </w:r>
          </w:p>
          <w:p w14:paraId="061164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6DAC35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组织机构形式合理</w:t>
            </w:r>
            <w:r>
              <w:rPr>
                <w:rFonts w:hint="eastAsia" w:ascii="宋体" w:hAnsi="宋体" w:cs="宋体"/>
                <w:color w:val="auto"/>
                <w:sz w:val="21"/>
                <w:szCs w:val="21"/>
                <w:highlight w:val="none"/>
                <w:lang w:eastAsia="zh-CN"/>
              </w:rPr>
              <w:t>，具</w:t>
            </w:r>
            <w:r>
              <w:rPr>
                <w:rFonts w:hint="eastAsia" w:ascii="宋体" w:hAnsi="宋体" w:eastAsia="宋体" w:cs="宋体"/>
                <w:color w:val="auto"/>
                <w:sz w:val="21"/>
                <w:szCs w:val="21"/>
                <w:highlight w:val="none"/>
              </w:rPr>
              <w:t>有完善的指挥系统、质量监控系统、联络协调系统，对项目提出先进、可行、具体的保证措施。主体结构质量保证措施完整得力、经济、安全、切实可行。主体结构、装饰装修按照工程建设强制性标准和其他技术标准施工</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 xml:space="preserve">5 </w:t>
            </w:r>
            <w:r>
              <w:rPr>
                <w:rFonts w:hint="eastAsia" w:ascii="宋体" w:hAnsi="宋体" w:eastAsia="宋体" w:cs="宋体"/>
                <w:color w:val="auto"/>
                <w:sz w:val="21"/>
                <w:szCs w:val="21"/>
                <w:highlight w:val="none"/>
              </w:rPr>
              <w:t>分；</w:t>
            </w:r>
          </w:p>
          <w:p w14:paraId="31F59A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组织机构形式基本合理</w:t>
            </w:r>
            <w:r>
              <w:rPr>
                <w:rFonts w:hint="eastAsia" w:ascii="宋体" w:hAnsi="宋体" w:cs="宋体"/>
                <w:color w:val="auto"/>
                <w:sz w:val="21"/>
                <w:szCs w:val="21"/>
                <w:highlight w:val="none"/>
                <w:lang w:eastAsia="zh-CN"/>
              </w:rPr>
              <w:t>，具</w:t>
            </w:r>
            <w:r>
              <w:rPr>
                <w:rFonts w:hint="eastAsia" w:ascii="宋体" w:hAnsi="宋体" w:eastAsia="宋体" w:cs="宋体"/>
                <w:color w:val="auto"/>
                <w:sz w:val="21"/>
                <w:szCs w:val="21"/>
                <w:highlight w:val="none"/>
              </w:rPr>
              <w:t>有基本完善的指挥系统、质量监控系统、联络协调系统。主体结构质量保证措施基本完整 得力、经济、安全、切实可行。主体结构、装饰装修按照工程建设强制性标准和其他技术标准施工</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 xml:space="preserve">3 </w:t>
            </w:r>
            <w:r>
              <w:rPr>
                <w:rFonts w:hint="eastAsia" w:ascii="宋体" w:hAnsi="宋体" w:eastAsia="宋体" w:cs="宋体"/>
                <w:color w:val="auto"/>
                <w:sz w:val="21"/>
                <w:szCs w:val="21"/>
                <w:highlight w:val="none"/>
              </w:rPr>
              <w:t>分；</w:t>
            </w:r>
          </w:p>
          <w:p w14:paraId="1E7958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组织机构形式基本不合理，基本没有完善的指挥系统、质量监控系统、联络协调系统</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得1分；</w:t>
            </w:r>
          </w:p>
          <w:p w14:paraId="5438DC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4.不提供不得分。</w:t>
            </w:r>
          </w:p>
        </w:tc>
      </w:tr>
      <w:tr w14:paraId="088C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vMerge w:val="continue"/>
            <w:tcBorders>
              <w:left w:val="single" w:color="auto" w:sz="4" w:space="0"/>
              <w:right w:val="single" w:color="auto" w:sz="4" w:space="0"/>
            </w:tcBorders>
            <w:vAlign w:val="center"/>
          </w:tcPr>
          <w:p w14:paraId="793B9BF1">
            <w:pPr>
              <w:widowControl/>
              <w:spacing w:line="360" w:lineRule="auto"/>
              <w:jc w:val="left"/>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2669459D">
            <w:pPr>
              <w:widowControl/>
              <w:spacing w:line="360" w:lineRule="auto"/>
              <w:jc w:val="left"/>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7E6650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.安全管理体系与措施</w:t>
            </w:r>
          </w:p>
          <w:p w14:paraId="13FA26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6C30BC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可行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 xml:space="preserve">3 </w:t>
            </w:r>
            <w:r>
              <w:rPr>
                <w:rFonts w:hint="eastAsia" w:ascii="宋体" w:hAnsi="宋体" w:eastAsia="宋体" w:cs="宋体"/>
                <w:color w:val="auto"/>
                <w:sz w:val="21"/>
                <w:szCs w:val="21"/>
                <w:highlight w:val="none"/>
              </w:rPr>
              <w:t>分；</w:t>
            </w:r>
          </w:p>
          <w:p w14:paraId="583105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施工安全生产保障体系、安全责任制和安全管理制度，现场安全管理机构、人员配备基本满足国家规定。根据工程特点、周边环境和施工工艺，有识别现场重大危险源并有相应的安全防护管理措施。制定的本项目危险性较大的分部分项工程清单和相关专项施工方案基本合理，但不是很齐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 xml:space="preserve">2 </w:t>
            </w:r>
            <w:r>
              <w:rPr>
                <w:rFonts w:hint="eastAsia" w:ascii="宋体" w:hAnsi="宋体" w:eastAsia="宋体" w:cs="宋体"/>
                <w:color w:val="auto"/>
                <w:sz w:val="21"/>
                <w:szCs w:val="21"/>
                <w:highlight w:val="none"/>
              </w:rPr>
              <w:t>分；</w:t>
            </w:r>
          </w:p>
          <w:p w14:paraId="715439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施工安全生产保障体系、安全责任制和安全管理制度不具体，基本没有识别现场重大危险源及相应的安全防护管理措施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 1</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p w14:paraId="7FA933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4.不提供不得分。</w:t>
            </w:r>
          </w:p>
        </w:tc>
      </w:tr>
      <w:tr w14:paraId="11A9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vMerge w:val="continue"/>
            <w:tcBorders>
              <w:left w:val="single" w:color="auto" w:sz="4" w:space="0"/>
              <w:right w:val="single" w:color="auto" w:sz="4" w:space="0"/>
            </w:tcBorders>
            <w:vAlign w:val="center"/>
          </w:tcPr>
          <w:p w14:paraId="5711CFED">
            <w:pPr>
              <w:widowControl/>
              <w:spacing w:line="360" w:lineRule="auto"/>
              <w:jc w:val="left"/>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14C793CC">
            <w:pPr>
              <w:widowControl/>
              <w:spacing w:line="360" w:lineRule="auto"/>
              <w:jc w:val="left"/>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469F49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.文明施工、环境保护管理体系及施工现场扬尘治理措施</w:t>
            </w:r>
          </w:p>
          <w:p w14:paraId="7AB607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3874FD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1.创建</w:t>
            </w:r>
            <w:r>
              <w:rPr>
                <w:rFonts w:hint="eastAsia" w:ascii="宋体" w:hAnsi="宋体" w:eastAsia="宋体" w:cs="宋体"/>
                <w:color w:val="auto"/>
                <w:sz w:val="21"/>
                <w:szCs w:val="21"/>
                <w:highlight w:val="none"/>
              </w:rPr>
              <w:t>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规定，防治方案科学、先进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分</w:t>
            </w:r>
            <w:r>
              <w:rPr>
                <w:rFonts w:hint="eastAsia" w:ascii="宋体" w:hAnsi="宋体" w:cs="宋体"/>
                <w:color w:val="auto"/>
                <w:sz w:val="21"/>
                <w:szCs w:val="21"/>
                <w:highlight w:val="none"/>
                <w:lang w:eastAsia="zh-CN"/>
              </w:rPr>
              <w:t>；</w:t>
            </w:r>
          </w:p>
          <w:p w14:paraId="171E55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有安全文明标准化工地创建目标计划和创建措施，有安全文明措施费用投入使用计划，现场施工区、生活区、办公区等设置符合有关文明施工、健康卫生的规定。施工现场扬尘治理措施基本达到相关规定，有防治方案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 2 分</w:t>
            </w:r>
            <w:r>
              <w:rPr>
                <w:rFonts w:hint="eastAsia" w:ascii="宋体" w:hAnsi="宋体" w:cs="宋体"/>
                <w:color w:val="auto"/>
                <w:sz w:val="21"/>
                <w:szCs w:val="21"/>
                <w:highlight w:val="none"/>
                <w:lang w:eastAsia="zh-CN"/>
              </w:rPr>
              <w:t>；</w:t>
            </w:r>
          </w:p>
          <w:p w14:paraId="5D8724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基本没有安全文明标准化工地创建目标计划和创建措施，安全文明措施费用投入使用计划，现场施工区、生活区、办公区等设置不完善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 1分</w:t>
            </w:r>
            <w:r>
              <w:rPr>
                <w:rFonts w:hint="eastAsia" w:ascii="宋体" w:hAnsi="宋体" w:cs="宋体"/>
                <w:color w:val="auto"/>
                <w:sz w:val="21"/>
                <w:szCs w:val="21"/>
                <w:highlight w:val="none"/>
                <w:lang w:eastAsia="zh-CN"/>
              </w:rPr>
              <w:t>；</w:t>
            </w:r>
          </w:p>
          <w:p w14:paraId="055224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4.不提供不得分。</w:t>
            </w:r>
          </w:p>
        </w:tc>
      </w:tr>
      <w:tr w14:paraId="00D2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vMerge w:val="continue"/>
            <w:tcBorders>
              <w:left w:val="single" w:color="auto" w:sz="4" w:space="0"/>
              <w:right w:val="single" w:color="auto" w:sz="4" w:space="0"/>
            </w:tcBorders>
            <w:vAlign w:val="center"/>
          </w:tcPr>
          <w:p w14:paraId="2ADD3DBB">
            <w:pPr>
              <w:widowControl/>
              <w:spacing w:line="360" w:lineRule="auto"/>
              <w:jc w:val="left"/>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72578377">
            <w:pPr>
              <w:widowControl/>
              <w:spacing w:line="360" w:lineRule="auto"/>
              <w:jc w:val="left"/>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766185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.资源配备计划</w:t>
            </w:r>
          </w:p>
          <w:p w14:paraId="549984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5FDA20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机械：投入计划与进度计划呼应，采用先进机械设备且配置合理、先进，满足安全技术规范和施工进度需要；劳动力：投入计划与进度计划呼应，较好满足施工需要，调配投入计划合理、准确；主要物资计划：主要物资投入计划与进度计划呼应，较好满足施工需要，调配投入计划合理、准确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分</w:t>
            </w:r>
            <w:r>
              <w:rPr>
                <w:rFonts w:hint="eastAsia" w:ascii="宋体" w:hAnsi="宋体" w:cs="宋体"/>
                <w:color w:val="auto"/>
                <w:sz w:val="21"/>
                <w:szCs w:val="21"/>
                <w:highlight w:val="none"/>
                <w:lang w:eastAsia="zh-CN"/>
              </w:rPr>
              <w:t>；</w:t>
            </w:r>
          </w:p>
          <w:p w14:paraId="42E079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机械：投入计划与进度计划呼应，机械设备配置基本合理，满足安全技术规范和施工进度需要；劳动力：投入计划与进度计划呼应，基本满足施工需要，调配投入计划基本合理；主要物资计划：主要物资投入计划与进度计划呼应，基本满足施工需要，调配投入计划基本合理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 2 分</w:t>
            </w:r>
            <w:r>
              <w:rPr>
                <w:rFonts w:hint="eastAsia" w:ascii="宋体" w:hAnsi="宋体" w:cs="宋体"/>
                <w:color w:val="auto"/>
                <w:sz w:val="21"/>
                <w:szCs w:val="21"/>
                <w:highlight w:val="none"/>
                <w:lang w:eastAsia="zh-CN"/>
              </w:rPr>
              <w:t>；</w:t>
            </w:r>
          </w:p>
          <w:p w14:paraId="4374A6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机械、劳动力、主要物资计划基本不满足施工需要的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得1分</w:t>
            </w:r>
            <w:r>
              <w:rPr>
                <w:rFonts w:hint="eastAsia" w:ascii="宋体" w:hAnsi="宋体" w:cs="宋体"/>
                <w:color w:val="auto"/>
                <w:sz w:val="21"/>
                <w:szCs w:val="21"/>
                <w:highlight w:val="none"/>
                <w:lang w:eastAsia="zh-CN"/>
              </w:rPr>
              <w:t>；</w:t>
            </w:r>
          </w:p>
          <w:p w14:paraId="2F1BB4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4.不提供不得分。</w:t>
            </w:r>
          </w:p>
        </w:tc>
      </w:tr>
      <w:tr w14:paraId="2817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vMerge w:val="continue"/>
            <w:tcBorders>
              <w:left w:val="single" w:color="auto" w:sz="4" w:space="0"/>
              <w:right w:val="single" w:color="auto" w:sz="4" w:space="0"/>
            </w:tcBorders>
            <w:vAlign w:val="center"/>
          </w:tcPr>
          <w:p w14:paraId="56E9D47A">
            <w:pPr>
              <w:widowControl/>
              <w:spacing w:line="360" w:lineRule="auto"/>
              <w:jc w:val="left"/>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71F5125C">
            <w:pPr>
              <w:widowControl/>
              <w:spacing w:line="360" w:lineRule="auto"/>
              <w:jc w:val="left"/>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5E168D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技术创新的应用实施措施</w:t>
            </w:r>
          </w:p>
          <w:p w14:paraId="4595DC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2AF5D4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（1）节能减排、（2）绿色施工、（3）工艺创新等技术创新的应用实施措施符合工程情况，具有针对性、可行性、经济适用性的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分</w:t>
            </w:r>
            <w:r>
              <w:rPr>
                <w:rFonts w:hint="eastAsia" w:ascii="宋体" w:hAnsi="宋体" w:cs="宋体"/>
                <w:color w:val="auto"/>
                <w:sz w:val="21"/>
                <w:szCs w:val="21"/>
                <w:highlight w:val="none"/>
                <w:lang w:eastAsia="zh-CN"/>
              </w:rPr>
              <w:t>；</w:t>
            </w:r>
          </w:p>
          <w:p w14:paraId="319A92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（1）节能减排、（2）绿色施工、（3）工艺创新等技术创新的应用实施措施基本符合工程情况，具有针对性的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 2 分</w:t>
            </w:r>
            <w:r>
              <w:rPr>
                <w:rFonts w:hint="eastAsia" w:ascii="宋体" w:hAnsi="宋体" w:cs="宋体"/>
                <w:color w:val="auto"/>
                <w:sz w:val="21"/>
                <w:szCs w:val="21"/>
                <w:highlight w:val="none"/>
                <w:lang w:eastAsia="zh-CN"/>
              </w:rPr>
              <w:t>；</w:t>
            </w:r>
          </w:p>
          <w:p w14:paraId="37A7CF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（1）节能减排、（2）绿色施工、（3）工艺创新等技术创新的应</w:t>
            </w:r>
            <w:r>
              <w:rPr>
                <w:rFonts w:hint="eastAsia" w:ascii="宋体" w:hAnsi="宋体" w:cs="宋体"/>
                <w:color w:val="auto"/>
                <w:sz w:val="21"/>
                <w:szCs w:val="21"/>
                <w:highlight w:val="none"/>
                <w:lang w:eastAsia="zh-CN"/>
              </w:rPr>
              <w:t>用和</w:t>
            </w:r>
            <w:r>
              <w:rPr>
                <w:rFonts w:hint="eastAsia" w:ascii="宋体" w:hAnsi="宋体" w:eastAsia="宋体" w:cs="宋体"/>
                <w:color w:val="auto"/>
                <w:sz w:val="21"/>
                <w:szCs w:val="21"/>
                <w:highlight w:val="none"/>
              </w:rPr>
              <w:t>实施措施基本不符合工程情况，针对性不强的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 1 分</w:t>
            </w:r>
            <w:r>
              <w:rPr>
                <w:rFonts w:hint="eastAsia" w:ascii="宋体" w:hAnsi="宋体" w:cs="宋体"/>
                <w:color w:val="auto"/>
                <w:sz w:val="21"/>
                <w:szCs w:val="21"/>
                <w:highlight w:val="none"/>
                <w:lang w:eastAsia="zh-CN"/>
              </w:rPr>
              <w:t>；</w:t>
            </w:r>
          </w:p>
          <w:p w14:paraId="59A381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4.不提供不得分。</w:t>
            </w:r>
          </w:p>
        </w:tc>
      </w:tr>
      <w:tr w14:paraId="26B5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vMerge w:val="continue"/>
            <w:tcBorders>
              <w:left w:val="single" w:color="auto" w:sz="4" w:space="0"/>
              <w:right w:val="single" w:color="auto" w:sz="4" w:space="0"/>
            </w:tcBorders>
            <w:vAlign w:val="center"/>
          </w:tcPr>
          <w:p w14:paraId="19DE1F56">
            <w:pPr>
              <w:widowControl/>
              <w:spacing w:line="360" w:lineRule="auto"/>
              <w:jc w:val="left"/>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0ABC368A">
            <w:pPr>
              <w:widowControl/>
              <w:spacing w:line="360" w:lineRule="auto"/>
              <w:jc w:val="left"/>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61C3F96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rPr>
              <w:t>风险管理措施</w:t>
            </w:r>
          </w:p>
          <w:p w14:paraId="59FAA1D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72C9BB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风险防控管理措施齐全，风险预控符合规范要求，风险控制要点定位准确，各阶段风险控制及应急措施得力的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分</w:t>
            </w:r>
            <w:r>
              <w:rPr>
                <w:rFonts w:hint="eastAsia" w:ascii="宋体" w:hAnsi="宋体" w:cs="宋体"/>
                <w:color w:val="auto"/>
                <w:sz w:val="21"/>
                <w:szCs w:val="21"/>
                <w:highlight w:val="none"/>
                <w:lang w:eastAsia="zh-CN"/>
              </w:rPr>
              <w:t>；</w:t>
            </w:r>
          </w:p>
          <w:p w14:paraId="2FE3F4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风险防控管理措施基本齐全，风险预控符合规范要求，风险控制要点定位基本准确，有各阶段风险控制及应</w:t>
            </w:r>
            <w:r>
              <w:rPr>
                <w:rFonts w:hint="eastAsia" w:ascii="宋体" w:hAnsi="宋体" w:cs="宋体"/>
                <w:color w:val="auto"/>
                <w:sz w:val="21"/>
                <w:szCs w:val="21"/>
                <w:highlight w:val="none"/>
                <w:lang w:eastAsia="zh-CN"/>
              </w:rPr>
              <w:t>急措</w:t>
            </w:r>
            <w:r>
              <w:rPr>
                <w:rFonts w:hint="eastAsia" w:ascii="宋体" w:hAnsi="宋体" w:eastAsia="宋体" w:cs="宋体"/>
                <w:color w:val="auto"/>
                <w:sz w:val="21"/>
                <w:szCs w:val="21"/>
                <w:highlight w:val="none"/>
              </w:rPr>
              <w:t>施的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 2 分</w:t>
            </w:r>
            <w:r>
              <w:rPr>
                <w:rFonts w:hint="eastAsia" w:ascii="宋体" w:hAnsi="宋体" w:cs="宋体"/>
                <w:color w:val="auto"/>
                <w:sz w:val="21"/>
                <w:szCs w:val="21"/>
                <w:highlight w:val="none"/>
                <w:lang w:eastAsia="zh-CN"/>
              </w:rPr>
              <w:t>；</w:t>
            </w:r>
          </w:p>
          <w:p w14:paraId="175676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风险防控管理措施基本不齐全，基本没有各阶段风险控制及应</w:t>
            </w:r>
            <w:r>
              <w:rPr>
                <w:rFonts w:hint="eastAsia" w:ascii="宋体" w:hAnsi="宋体" w:cs="宋体"/>
                <w:color w:val="auto"/>
                <w:sz w:val="21"/>
                <w:szCs w:val="21"/>
                <w:highlight w:val="none"/>
                <w:lang w:eastAsia="zh-CN"/>
              </w:rPr>
              <w:t>急措</w:t>
            </w:r>
            <w:r>
              <w:rPr>
                <w:rFonts w:hint="eastAsia" w:ascii="宋体" w:hAnsi="宋体" w:eastAsia="宋体" w:cs="宋体"/>
                <w:color w:val="auto"/>
                <w:sz w:val="21"/>
                <w:szCs w:val="21"/>
                <w:highlight w:val="none"/>
              </w:rPr>
              <w:t>施的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得 1 分</w:t>
            </w:r>
            <w:r>
              <w:rPr>
                <w:rFonts w:hint="eastAsia" w:ascii="宋体" w:hAnsi="宋体" w:cs="宋体"/>
                <w:color w:val="auto"/>
                <w:sz w:val="21"/>
                <w:szCs w:val="21"/>
                <w:highlight w:val="none"/>
                <w:lang w:eastAsia="zh-CN"/>
              </w:rPr>
              <w:t>；</w:t>
            </w:r>
          </w:p>
          <w:p w14:paraId="1B5596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4.不提供不得分。</w:t>
            </w:r>
          </w:p>
        </w:tc>
      </w:tr>
      <w:tr w14:paraId="65B3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vMerge w:val="continue"/>
            <w:tcBorders>
              <w:left w:val="single" w:color="auto" w:sz="4" w:space="0"/>
              <w:right w:val="single" w:color="auto" w:sz="4" w:space="0"/>
            </w:tcBorders>
            <w:vAlign w:val="center"/>
          </w:tcPr>
          <w:p w14:paraId="3D798589">
            <w:pPr>
              <w:widowControl/>
              <w:spacing w:line="360" w:lineRule="auto"/>
              <w:jc w:val="left"/>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799EE72A">
            <w:pPr>
              <w:widowControl/>
              <w:spacing w:line="360" w:lineRule="auto"/>
              <w:jc w:val="left"/>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2D70048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.工期保障措施</w:t>
            </w:r>
          </w:p>
          <w:p w14:paraId="0CE455B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6F5D5E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工期承诺满足</w:t>
            </w:r>
            <w:r>
              <w:rPr>
                <w:rFonts w:hint="eastAsia" w:ascii="宋体" w:hAnsi="宋体" w:cs="宋体"/>
                <w:color w:val="auto"/>
                <w:sz w:val="21"/>
                <w:szCs w:val="21"/>
                <w:highlight w:val="none"/>
                <w:lang w:eastAsia="zh-CN"/>
              </w:rPr>
              <w:t>磋商</w:t>
            </w:r>
            <w:r>
              <w:rPr>
                <w:rFonts w:hint="eastAsia" w:ascii="宋体" w:hAnsi="宋体" w:eastAsia="宋体" w:cs="宋体"/>
                <w:color w:val="auto"/>
                <w:sz w:val="21"/>
                <w:szCs w:val="21"/>
                <w:highlight w:val="none"/>
              </w:rPr>
              <w:t>文件要求，工期保证措施合理且有针对性，有具体的违约责任承诺的</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p w14:paraId="0DA7FE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工期承诺满足</w:t>
            </w:r>
            <w:r>
              <w:rPr>
                <w:rFonts w:hint="eastAsia" w:ascii="宋体" w:hAnsi="宋体" w:cs="宋体"/>
                <w:color w:val="auto"/>
                <w:sz w:val="21"/>
                <w:szCs w:val="21"/>
                <w:highlight w:val="none"/>
                <w:lang w:eastAsia="zh-CN"/>
              </w:rPr>
              <w:t>磋商</w:t>
            </w:r>
            <w:r>
              <w:rPr>
                <w:rFonts w:hint="eastAsia" w:ascii="宋体" w:hAnsi="宋体" w:eastAsia="宋体" w:cs="宋体"/>
                <w:color w:val="auto"/>
                <w:sz w:val="21"/>
                <w:szCs w:val="21"/>
                <w:highlight w:val="none"/>
              </w:rPr>
              <w:t>文件要求，工期保证措施</w:t>
            </w:r>
            <w:r>
              <w:rPr>
                <w:rFonts w:hint="eastAsia" w:ascii="宋体" w:hAnsi="宋体" w:cs="宋体"/>
                <w:color w:val="auto"/>
                <w:sz w:val="21"/>
                <w:szCs w:val="21"/>
                <w:highlight w:val="none"/>
                <w:lang w:eastAsia="zh-CN"/>
              </w:rPr>
              <w:t>较合理，针对性一般</w:t>
            </w:r>
            <w:r>
              <w:rPr>
                <w:rFonts w:hint="eastAsia" w:ascii="宋体" w:hAnsi="宋体" w:eastAsia="宋体" w:cs="宋体"/>
                <w:color w:val="auto"/>
                <w:sz w:val="21"/>
                <w:szCs w:val="21"/>
                <w:highlight w:val="none"/>
              </w:rPr>
              <w:t>，违约责任承诺</w:t>
            </w:r>
            <w:r>
              <w:rPr>
                <w:rFonts w:hint="eastAsia" w:ascii="宋体" w:hAnsi="宋体" w:cs="宋体"/>
                <w:color w:val="auto"/>
                <w:sz w:val="21"/>
                <w:szCs w:val="21"/>
                <w:highlight w:val="none"/>
                <w:lang w:eastAsia="zh-CN"/>
              </w:rPr>
              <w:t>较具体，</w:t>
            </w:r>
            <w:r>
              <w:rPr>
                <w:rFonts w:hint="eastAsia" w:ascii="宋体" w:hAnsi="宋体" w:eastAsia="宋体" w:cs="宋体"/>
                <w:color w:val="auto"/>
                <w:sz w:val="21"/>
                <w:szCs w:val="21"/>
                <w:highlight w:val="none"/>
              </w:rPr>
              <w:t xml:space="preserve">得 </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p w14:paraId="06D7FD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工期承诺满足</w:t>
            </w:r>
            <w:r>
              <w:rPr>
                <w:rFonts w:hint="eastAsia" w:ascii="宋体" w:hAnsi="宋体" w:cs="宋体"/>
                <w:color w:val="auto"/>
                <w:sz w:val="21"/>
                <w:szCs w:val="21"/>
                <w:highlight w:val="none"/>
                <w:lang w:eastAsia="zh-CN"/>
              </w:rPr>
              <w:t>磋商</w:t>
            </w:r>
            <w:r>
              <w:rPr>
                <w:rFonts w:hint="eastAsia" w:ascii="宋体" w:hAnsi="宋体" w:eastAsia="宋体" w:cs="宋体"/>
                <w:color w:val="auto"/>
                <w:sz w:val="21"/>
                <w:szCs w:val="21"/>
                <w:highlight w:val="none"/>
              </w:rPr>
              <w:t>文件要求，工期保证措施</w:t>
            </w:r>
            <w:r>
              <w:rPr>
                <w:rFonts w:hint="eastAsia" w:ascii="宋体" w:hAnsi="宋体" w:cs="宋体"/>
                <w:color w:val="auto"/>
                <w:sz w:val="21"/>
                <w:szCs w:val="21"/>
                <w:highlight w:val="none"/>
                <w:lang w:eastAsia="zh-CN"/>
              </w:rPr>
              <w:t>欠合理，针对性较差</w:t>
            </w:r>
            <w:r>
              <w:rPr>
                <w:rFonts w:hint="eastAsia" w:ascii="宋体" w:hAnsi="宋体" w:eastAsia="宋体" w:cs="宋体"/>
                <w:color w:val="auto"/>
                <w:sz w:val="21"/>
                <w:szCs w:val="21"/>
                <w:highlight w:val="none"/>
              </w:rPr>
              <w:t>，违约责任承诺</w:t>
            </w:r>
            <w:r>
              <w:rPr>
                <w:rFonts w:hint="eastAsia" w:ascii="宋体" w:hAnsi="宋体" w:cs="宋体"/>
                <w:color w:val="auto"/>
                <w:sz w:val="21"/>
                <w:szCs w:val="21"/>
                <w:highlight w:val="none"/>
                <w:lang w:eastAsia="zh-CN"/>
              </w:rPr>
              <w:t>不够具体的，</w:t>
            </w:r>
            <w:r>
              <w:rPr>
                <w:rFonts w:hint="eastAsia" w:ascii="宋体" w:hAnsi="宋体" w:eastAsia="宋体" w:cs="宋体"/>
                <w:color w:val="auto"/>
                <w:sz w:val="21"/>
                <w:szCs w:val="21"/>
                <w:highlight w:val="none"/>
              </w:rPr>
              <w:t>得 1 分</w:t>
            </w:r>
            <w:r>
              <w:rPr>
                <w:rFonts w:hint="eastAsia" w:ascii="宋体" w:hAnsi="宋体" w:cs="宋体"/>
                <w:color w:val="auto"/>
                <w:sz w:val="21"/>
                <w:szCs w:val="21"/>
                <w:highlight w:val="none"/>
                <w:lang w:eastAsia="zh-CN"/>
              </w:rPr>
              <w:t>；</w:t>
            </w:r>
          </w:p>
          <w:p w14:paraId="1EF66A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4.不提供不得分。</w:t>
            </w:r>
          </w:p>
        </w:tc>
      </w:tr>
      <w:tr w14:paraId="5AE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vMerge w:val="continue"/>
            <w:tcBorders>
              <w:left w:val="single" w:color="auto" w:sz="4" w:space="0"/>
              <w:right w:val="single" w:color="auto" w:sz="4" w:space="0"/>
            </w:tcBorders>
            <w:vAlign w:val="center"/>
          </w:tcPr>
          <w:p w14:paraId="3E31D5E4">
            <w:pPr>
              <w:widowControl/>
              <w:spacing w:line="360" w:lineRule="auto"/>
              <w:jc w:val="left"/>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38D196A1">
            <w:pPr>
              <w:widowControl/>
              <w:spacing w:line="360" w:lineRule="auto"/>
              <w:jc w:val="left"/>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03720C9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9.拟使用的主要材料质量</w:t>
            </w:r>
          </w:p>
          <w:p w14:paraId="1FEDA3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kern w:val="2"/>
                <w:sz w:val="21"/>
                <w:szCs w:val="21"/>
                <w:highlight w:val="none"/>
                <w:lang w:val="en-US" w:eastAsia="zh-CN" w:bidi="ar-SA"/>
              </w:rPr>
              <w:t>（5分）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top"/>
          </w:tcPr>
          <w:p w14:paraId="1DE4F3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根据采购人提供的主要材料清单</w:t>
            </w:r>
            <w:r>
              <w:rPr>
                <w:rFonts w:hint="eastAsia" w:ascii="宋体" w:hAnsi="宋体" w:cs="宋体"/>
                <w:color w:val="auto"/>
                <w:sz w:val="21"/>
                <w:szCs w:val="21"/>
                <w:highlight w:val="none"/>
                <w:lang w:val="en-US" w:eastAsia="zh-CN"/>
              </w:rPr>
              <w:t>（主材指防水卷材）</w:t>
            </w:r>
            <w:r>
              <w:rPr>
                <w:rFonts w:hint="eastAsia" w:ascii="宋体" w:hAnsi="宋体" w:eastAsia="宋体" w:cs="宋体"/>
                <w:color w:val="auto"/>
                <w:sz w:val="21"/>
                <w:szCs w:val="21"/>
                <w:highlight w:val="none"/>
                <w:lang w:val="en-US" w:eastAsia="zh-CN"/>
              </w:rPr>
              <w:t>，列明主要材料的品牌、产地、规格型号</w:t>
            </w:r>
            <w:r>
              <w:rPr>
                <w:rFonts w:hint="eastAsia" w:ascii="宋体" w:hAnsi="宋体" w:cs="宋体"/>
                <w:color w:val="auto"/>
                <w:sz w:val="21"/>
                <w:szCs w:val="21"/>
                <w:highlight w:val="none"/>
                <w:lang w:val="en-US" w:eastAsia="zh-CN"/>
              </w:rPr>
              <w:t>并提供国家认可的第三方检测机构出具的检测报告。根据供应商提供的主材综合质量进行评审：</w:t>
            </w:r>
          </w:p>
          <w:p w14:paraId="2DB409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使用的主材性能稳定、质量最优，得5分；</w:t>
            </w:r>
          </w:p>
          <w:p w14:paraId="5FEF3F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使用的主材性能较稳定、质量较好，得3分；</w:t>
            </w:r>
          </w:p>
          <w:p w14:paraId="147914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使用的主材性能一般、质量一般，得1分；</w:t>
            </w:r>
          </w:p>
          <w:p w14:paraId="5F0EEE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无此项内容，得0分。</w:t>
            </w:r>
          </w:p>
        </w:tc>
      </w:tr>
      <w:tr w14:paraId="706F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1" w:type="dxa"/>
            <w:vMerge w:val="continue"/>
            <w:tcBorders>
              <w:left w:val="single" w:color="auto" w:sz="4" w:space="0"/>
              <w:bottom w:val="single" w:color="auto" w:sz="4" w:space="0"/>
              <w:right w:val="single" w:color="auto" w:sz="4" w:space="0"/>
            </w:tcBorders>
            <w:vAlign w:val="center"/>
          </w:tcPr>
          <w:p w14:paraId="1BF5B858">
            <w:pPr>
              <w:widowControl/>
              <w:spacing w:line="360" w:lineRule="auto"/>
              <w:jc w:val="left"/>
              <w:rPr>
                <w:rFonts w:ascii="宋体" w:hAnsi="宋体"/>
                <w:bCs/>
                <w:color w:val="auto"/>
                <w:highlight w:val="none"/>
              </w:rPr>
            </w:pPr>
          </w:p>
        </w:tc>
        <w:tc>
          <w:tcPr>
            <w:tcW w:w="663" w:type="dxa"/>
            <w:gridSpan w:val="2"/>
            <w:vMerge w:val="continue"/>
            <w:tcBorders>
              <w:left w:val="single" w:color="auto" w:sz="4" w:space="0"/>
              <w:bottom w:val="single" w:color="auto" w:sz="4" w:space="0"/>
              <w:right w:val="single" w:color="auto" w:sz="4" w:space="0"/>
            </w:tcBorders>
            <w:vAlign w:val="center"/>
          </w:tcPr>
          <w:p w14:paraId="449C5938">
            <w:pPr>
              <w:widowControl/>
              <w:spacing w:line="360" w:lineRule="auto"/>
              <w:jc w:val="left"/>
              <w:rPr>
                <w:rFonts w:ascii="宋体" w:hAnsi="宋体"/>
                <w:bCs/>
                <w:color w:val="auto"/>
                <w:sz w:val="21"/>
                <w:szCs w:val="21"/>
                <w:highlight w:val="none"/>
              </w:rPr>
            </w:pPr>
          </w:p>
        </w:tc>
        <w:tc>
          <w:tcPr>
            <w:tcW w:w="7902" w:type="dxa"/>
            <w:gridSpan w:val="2"/>
            <w:tcBorders>
              <w:top w:val="single" w:color="auto" w:sz="4" w:space="0"/>
              <w:left w:val="single" w:color="auto" w:sz="4" w:space="0"/>
              <w:bottom w:val="single" w:color="auto" w:sz="4" w:space="0"/>
              <w:right w:val="single" w:color="auto" w:sz="4" w:space="0"/>
            </w:tcBorders>
            <w:vAlign w:val="center"/>
          </w:tcPr>
          <w:p w14:paraId="000B5112">
            <w:pPr>
              <w:widowControl/>
              <w:spacing w:line="360" w:lineRule="auto"/>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上述各项如有缺项，该项为 0 分，不缺项的，不低于最低分</w:t>
            </w:r>
            <w:r>
              <w:rPr>
                <w:rFonts w:hint="eastAsia" w:ascii="宋体" w:hAnsi="宋体" w:cs="宋体"/>
                <w:color w:val="auto"/>
                <w:sz w:val="21"/>
                <w:szCs w:val="21"/>
                <w:highlight w:val="none"/>
                <w:lang w:eastAsia="zh-CN"/>
              </w:rPr>
              <w:t>。</w:t>
            </w:r>
          </w:p>
        </w:tc>
      </w:tr>
      <w:tr w14:paraId="7634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871" w:type="dxa"/>
            <w:vMerge w:val="restart"/>
            <w:tcBorders>
              <w:top w:val="nil"/>
              <w:left w:val="single" w:color="auto" w:sz="4" w:space="0"/>
              <w:bottom w:val="single" w:color="auto" w:sz="4" w:space="0"/>
              <w:right w:val="single" w:color="auto" w:sz="4" w:space="0"/>
            </w:tcBorders>
            <w:vAlign w:val="center"/>
          </w:tcPr>
          <w:p w14:paraId="134C6F4B">
            <w:pPr>
              <w:adjustRightInd w:val="0"/>
              <w:spacing w:line="360" w:lineRule="auto"/>
              <w:jc w:val="center"/>
              <w:rPr>
                <w:rFonts w:ascii="宋体" w:hAnsi="宋体"/>
                <w:bCs/>
                <w:color w:val="auto"/>
                <w:highlight w:val="none"/>
              </w:rPr>
            </w:pPr>
            <w:r>
              <w:rPr>
                <w:rFonts w:hint="eastAsia" w:ascii="宋体" w:hAnsi="宋体"/>
                <w:bCs/>
                <w:color w:val="auto"/>
                <w:highlight w:val="none"/>
              </w:rPr>
              <w:t>2.3.1</w:t>
            </w:r>
            <w:r>
              <w:rPr>
                <w:rFonts w:hint="eastAsia" w:ascii="宋体" w:hAnsi="宋体"/>
                <w:bCs/>
                <w:color w:val="auto"/>
                <w:highlight w:val="none"/>
                <w:lang w:eastAsia="zh-CN"/>
              </w:rPr>
              <w:t>(</w:t>
            </w:r>
            <w:r>
              <w:rPr>
                <w:rFonts w:hint="eastAsia" w:ascii="宋体" w:hAnsi="宋体"/>
                <w:bCs/>
                <w:color w:val="auto"/>
                <w:highlight w:val="none"/>
              </w:rPr>
              <w:t>3</w:t>
            </w:r>
            <w:r>
              <w:rPr>
                <w:rFonts w:hint="eastAsia" w:ascii="宋体" w:hAnsi="宋体"/>
                <w:bCs/>
                <w:color w:val="auto"/>
                <w:highlight w:val="none"/>
                <w:lang w:eastAsia="zh-CN"/>
              </w:rPr>
              <w:t>)</w:t>
            </w:r>
          </w:p>
        </w:tc>
        <w:tc>
          <w:tcPr>
            <w:tcW w:w="663" w:type="dxa"/>
            <w:gridSpan w:val="2"/>
            <w:vMerge w:val="restart"/>
            <w:tcBorders>
              <w:top w:val="nil"/>
              <w:left w:val="single" w:color="auto" w:sz="4" w:space="0"/>
              <w:bottom w:val="single" w:color="auto" w:sz="4" w:space="0"/>
              <w:right w:val="single" w:color="auto" w:sz="4" w:space="0"/>
            </w:tcBorders>
            <w:vAlign w:val="center"/>
          </w:tcPr>
          <w:p w14:paraId="28392DEA">
            <w:pPr>
              <w:widowControl/>
              <w:spacing w:line="360" w:lineRule="auto"/>
              <w:jc w:val="center"/>
              <w:rPr>
                <w:rFonts w:ascii="宋体" w:hAnsi="宋体"/>
                <w:bCs/>
                <w:color w:val="auto"/>
                <w:sz w:val="21"/>
                <w:szCs w:val="21"/>
                <w:highlight w:val="none"/>
              </w:rPr>
            </w:pPr>
            <w:r>
              <w:rPr>
                <w:rFonts w:hint="eastAsia" w:ascii="宋体" w:hAnsi="宋体"/>
                <w:bCs/>
                <w:color w:val="auto"/>
                <w:kern w:val="0"/>
                <w:sz w:val="21"/>
                <w:szCs w:val="21"/>
                <w:highlight w:val="none"/>
              </w:rPr>
              <w:t>商务部分</w:t>
            </w:r>
          </w:p>
          <w:p w14:paraId="5C9694DA">
            <w:pPr>
              <w:adjustRightInd w:val="0"/>
              <w:spacing w:line="360" w:lineRule="auto"/>
              <w:jc w:val="center"/>
              <w:rPr>
                <w:rFonts w:ascii="宋体" w:hAnsi="宋体"/>
                <w:bCs/>
                <w:color w:val="auto"/>
                <w:sz w:val="21"/>
                <w:szCs w:val="21"/>
                <w:highlight w:val="none"/>
              </w:rPr>
            </w:pPr>
            <w:r>
              <w:rPr>
                <w:rFonts w:hint="eastAsia" w:ascii="宋体" w:hAnsi="宋体"/>
                <w:bCs/>
                <w:color w:val="auto"/>
                <w:sz w:val="21"/>
                <w:szCs w:val="21"/>
                <w:highlight w:val="none"/>
              </w:rPr>
              <w:t>标准</w:t>
            </w:r>
            <w:r>
              <w:rPr>
                <w:rFonts w:ascii="宋体" w:hAnsi="宋体"/>
                <w:bCs/>
                <w:color w:val="auto"/>
                <w:sz w:val="21"/>
                <w:szCs w:val="21"/>
                <w:highlight w:val="none"/>
              </w:rPr>
              <w:t>2</w:t>
            </w:r>
            <w:r>
              <w:rPr>
                <w:rFonts w:hint="eastAsia" w:ascii="宋体" w:hAnsi="宋体"/>
                <w:bCs/>
                <w:color w:val="auto"/>
                <w:sz w:val="21"/>
                <w:szCs w:val="21"/>
                <w:highlight w:val="none"/>
                <w:lang w:val="en-US" w:eastAsia="zh-CN"/>
              </w:rPr>
              <w:t>2</w:t>
            </w:r>
            <w:r>
              <w:rPr>
                <w:rFonts w:hint="eastAsia" w:ascii="宋体" w:hAnsi="宋体"/>
                <w:bCs/>
                <w:color w:val="auto"/>
                <w:sz w:val="21"/>
                <w:szCs w:val="21"/>
                <w:highlight w:val="none"/>
              </w:rPr>
              <w:t>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510808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企业业绩</w:t>
            </w:r>
          </w:p>
          <w:p w14:paraId="7E9341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07C237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供应商每提供一份 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年1月1日以来</w:t>
            </w:r>
            <w:r>
              <w:rPr>
                <w:rFonts w:hint="eastAsia" w:ascii="宋体" w:hAnsi="宋体" w:cs="宋体"/>
                <w:color w:val="auto"/>
                <w:sz w:val="21"/>
                <w:szCs w:val="21"/>
                <w:highlight w:val="none"/>
                <w:lang w:val="en-US" w:eastAsia="zh-CN"/>
              </w:rPr>
              <w:t>类似业绩（</w:t>
            </w:r>
            <w:r>
              <w:rPr>
                <w:rFonts w:hint="eastAsia" w:ascii="宋体" w:hAnsi="宋体" w:cs="宋体"/>
                <w:b/>
                <w:bCs/>
                <w:color w:val="auto"/>
                <w:sz w:val="21"/>
                <w:szCs w:val="21"/>
                <w:highlight w:val="none"/>
                <w:lang w:val="en-US" w:eastAsia="zh-CN"/>
              </w:rPr>
              <w:t>防水工程相关施工</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分，最多得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p w14:paraId="0B5274EF">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注：</w:t>
            </w:r>
            <w:r>
              <w:rPr>
                <w:rFonts w:hint="eastAsia" w:ascii="宋体" w:hAnsi="宋体" w:cs="宋体"/>
                <w:color w:val="auto"/>
                <w:sz w:val="21"/>
                <w:szCs w:val="21"/>
                <w:highlight w:val="none"/>
                <w:lang w:val="en-US" w:eastAsia="zh-CN"/>
              </w:rPr>
              <w:t>提供合同（关键页）及竣工验收报告，以合同签订时间为准。</w:t>
            </w:r>
          </w:p>
        </w:tc>
      </w:tr>
      <w:tr w14:paraId="3524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871" w:type="dxa"/>
            <w:vMerge w:val="continue"/>
            <w:tcBorders>
              <w:left w:val="single" w:color="auto" w:sz="4" w:space="0"/>
              <w:right w:val="single" w:color="auto" w:sz="4" w:space="0"/>
            </w:tcBorders>
            <w:vAlign w:val="center"/>
          </w:tcPr>
          <w:p w14:paraId="7CA597F7">
            <w:pPr>
              <w:adjustRightInd w:val="0"/>
              <w:spacing w:line="360" w:lineRule="auto"/>
              <w:jc w:val="center"/>
              <w:rPr>
                <w:rFonts w:hint="eastAsia"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39B3B5E5">
            <w:pPr>
              <w:adjustRightInd w:val="0"/>
              <w:spacing w:line="360" w:lineRule="auto"/>
              <w:jc w:val="center"/>
              <w:rPr>
                <w:rFonts w:hint="eastAsia"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3CCB37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项目经理业绩</w:t>
            </w:r>
          </w:p>
          <w:p w14:paraId="626FE8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6E75F1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提供项目经理自</w:t>
            </w:r>
            <w:r>
              <w:rPr>
                <w:rFonts w:hint="eastAsia" w:ascii="宋体" w:hAnsi="宋体" w:eastAsia="宋体" w:cs="宋体"/>
                <w:color w:val="auto"/>
                <w:sz w:val="21"/>
                <w:szCs w:val="21"/>
                <w:highlight w:val="none"/>
                <w:lang w:val="en-US" w:eastAsia="zh-CN"/>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年1月1日以来</w:t>
            </w:r>
            <w:r>
              <w:rPr>
                <w:rFonts w:hint="eastAsia" w:ascii="宋体" w:hAnsi="宋体" w:cs="宋体"/>
                <w:color w:val="auto"/>
                <w:sz w:val="21"/>
                <w:szCs w:val="21"/>
                <w:highlight w:val="none"/>
                <w:lang w:val="en-US" w:eastAsia="zh-CN"/>
              </w:rPr>
              <w:t>类似业绩（</w:t>
            </w:r>
            <w:r>
              <w:rPr>
                <w:rFonts w:hint="eastAsia" w:ascii="宋体" w:hAnsi="宋体" w:cs="宋体"/>
                <w:b/>
                <w:bCs/>
                <w:color w:val="auto"/>
                <w:sz w:val="21"/>
                <w:szCs w:val="21"/>
                <w:highlight w:val="none"/>
                <w:lang w:val="en-US" w:eastAsia="zh-CN"/>
              </w:rPr>
              <w:t>防水工程相关施工</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r>
              <w:rPr>
                <w:rFonts w:hint="eastAsia" w:ascii="宋体" w:hAnsi="宋体" w:cs="宋体"/>
                <w:color w:val="auto"/>
                <w:sz w:val="21"/>
                <w:szCs w:val="21"/>
                <w:highlight w:val="none"/>
                <w:lang w:val="en-US" w:eastAsia="zh-CN"/>
              </w:rPr>
              <w:t>本项</w:t>
            </w:r>
            <w:r>
              <w:rPr>
                <w:rFonts w:hint="eastAsia" w:ascii="宋体" w:hAnsi="宋体" w:eastAsia="宋体" w:cs="宋体"/>
                <w:color w:val="auto"/>
                <w:sz w:val="21"/>
                <w:szCs w:val="21"/>
                <w:highlight w:val="none"/>
                <w:lang w:val="en-US" w:eastAsia="zh-CN"/>
              </w:rPr>
              <w:t>最多得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w:t>
            </w:r>
          </w:p>
          <w:p w14:paraId="6E25B4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提供合同（关键页）及竣工验收</w:t>
            </w:r>
            <w:r>
              <w:rPr>
                <w:rFonts w:hint="eastAsia" w:ascii="宋体" w:hAnsi="宋体" w:cs="宋体"/>
                <w:color w:val="auto"/>
                <w:sz w:val="21"/>
                <w:szCs w:val="21"/>
                <w:highlight w:val="none"/>
                <w:lang w:val="en-US" w:eastAsia="zh-CN"/>
              </w:rPr>
              <w:t>报告</w:t>
            </w:r>
            <w:r>
              <w:rPr>
                <w:rFonts w:hint="eastAsia" w:ascii="宋体" w:hAnsi="宋体" w:eastAsia="宋体" w:cs="宋体"/>
                <w:color w:val="auto"/>
                <w:sz w:val="21"/>
                <w:szCs w:val="21"/>
                <w:highlight w:val="none"/>
                <w:lang w:val="en-US" w:eastAsia="zh-CN"/>
              </w:rPr>
              <w:t>，合同</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竣工验收</w:t>
            </w:r>
            <w:r>
              <w:rPr>
                <w:rFonts w:hint="eastAsia" w:ascii="宋体" w:hAnsi="宋体" w:cs="宋体"/>
                <w:color w:val="auto"/>
                <w:sz w:val="21"/>
                <w:szCs w:val="21"/>
                <w:highlight w:val="none"/>
                <w:lang w:val="en-US" w:eastAsia="zh-CN"/>
              </w:rPr>
              <w:t>报告中需显示项目经理姓名。</w:t>
            </w:r>
          </w:p>
          <w:p w14:paraId="563981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210" w:firstLineChars="1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sz w:val="21"/>
                <w:szCs w:val="21"/>
                <w:highlight w:val="none"/>
                <w:lang w:val="en-US" w:eastAsia="zh-CN"/>
              </w:rPr>
              <w:t>企业业绩和项目经理业绩不可重复。</w:t>
            </w:r>
          </w:p>
        </w:tc>
      </w:tr>
      <w:tr w14:paraId="2CDF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1" w:type="dxa"/>
            <w:vMerge w:val="continue"/>
            <w:tcBorders>
              <w:left w:val="single" w:color="auto" w:sz="4" w:space="0"/>
              <w:right w:val="single" w:color="auto" w:sz="4" w:space="0"/>
            </w:tcBorders>
            <w:vAlign w:val="center"/>
          </w:tcPr>
          <w:p w14:paraId="0F0071D3">
            <w:pPr>
              <w:adjustRightInd w:val="0"/>
              <w:spacing w:line="360" w:lineRule="auto"/>
              <w:jc w:val="center"/>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020F06FD">
            <w:pPr>
              <w:adjustRightInd w:val="0"/>
              <w:spacing w:line="360" w:lineRule="auto"/>
              <w:jc w:val="center"/>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061B88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项目管理机构</w:t>
            </w:r>
          </w:p>
          <w:p w14:paraId="11386D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11A180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拟派项目部主要人员配备专业齐全，结构合理，</w:t>
            </w:r>
            <w:r>
              <w:rPr>
                <w:rFonts w:hint="eastAsia" w:ascii="宋体" w:hAnsi="宋体" w:cs="宋体"/>
                <w:color w:val="auto"/>
                <w:sz w:val="21"/>
                <w:szCs w:val="21"/>
                <w:highlight w:val="none"/>
                <w:lang w:eastAsia="zh-CN"/>
              </w:rPr>
              <w:t>至少包含</w:t>
            </w:r>
            <w:r>
              <w:rPr>
                <w:rFonts w:hint="eastAsia" w:ascii="宋体" w:hAnsi="宋体" w:eastAsia="宋体" w:cs="宋体"/>
                <w:color w:val="auto"/>
                <w:sz w:val="21"/>
                <w:szCs w:val="21"/>
                <w:highlight w:val="none"/>
              </w:rPr>
              <w:t>五大员（施工员、材料员、质量员、安全员、资料员）配备齐全得5分，每缺一项扣1分，扣完为止。（响应文件中提供加盖企业电子章的证书、</w:t>
            </w:r>
            <w:r>
              <w:rPr>
                <w:rFonts w:hint="eastAsia" w:ascii="宋体" w:hAnsi="宋体" w:cs="宋体"/>
                <w:color w:val="auto"/>
                <w:sz w:val="21"/>
                <w:szCs w:val="21"/>
                <w:highlight w:val="none"/>
                <w:lang w:val="en-US" w:eastAsia="zh-CN"/>
              </w:rPr>
              <w:t>供应商</w:t>
            </w:r>
            <w:r>
              <w:rPr>
                <w:rFonts w:hint="eastAsia" w:ascii="宋体" w:hAnsi="宋体" w:eastAsia="宋体" w:cs="宋体"/>
                <w:b w:val="0"/>
                <w:bCs w:val="0"/>
                <w:color w:val="auto"/>
                <w:sz w:val="21"/>
                <w:szCs w:val="21"/>
                <w:highlight w:val="none"/>
              </w:rPr>
              <w:t>202</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年</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月以</w:t>
            </w:r>
            <w:r>
              <w:rPr>
                <w:rFonts w:hint="eastAsia" w:ascii="宋体" w:hAnsi="宋体" w:eastAsia="宋体" w:cs="宋体"/>
                <w:color w:val="auto"/>
                <w:sz w:val="21"/>
                <w:szCs w:val="21"/>
                <w:highlight w:val="none"/>
              </w:rPr>
              <w:t>来为其缴纳的任意一个月社保证明材料。）</w:t>
            </w:r>
          </w:p>
        </w:tc>
      </w:tr>
      <w:tr w14:paraId="3EC7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1" w:type="dxa"/>
            <w:vMerge w:val="continue"/>
            <w:tcBorders>
              <w:left w:val="single" w:color="auto" w:sz="4" w:space="0"/>
              <w:right w:val="single" w:color="auto" w:sz="4" w:space="0"/>
            </w:tcBorders>
            <w:vAlign w:val="center"/>
          </w:tcPr>
          <w:p w14:paraId="759C2271">
            <w:pPr>
              <w:adjustRightInd w:val="0"/>
              <w:spacing w:line="360" w:lineRule="auto"/>
              <w:jc w:val="center"/>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218A7944">
            <w:pPr>
              <w:adjustRightInd w:val="0"/>
              <w:spacing w:line="360" w:lineRule="auto"/>
              <w:jc w:val="center"/>
              <w:rPr>
                <w:rFonts w:ascii="宋体" w:hAnsi="宋体"/>
                <w:bCs/>
                <w:color w:val="auto"/>
                <w:sz w:val="21"/>
                <w:szCs w:val="21"/>
                <w:highlight w:val="none"/>
              </w:rPr>
            </w:pP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339C5844">
            <w:pPr>
              <w:pStyle w:val="94"/>
              <w:spacing w:line="237" w:lineRule="auto"/>
              <w:ind w:right="100"/>
              <w:jc w:val="center"/>
              <w:rPr>
                <w:rFonts w:hint="eastAsia"/>
                <w:color w:val="auto"/>
                <w:szCs w:val="21"/>
                <w:highlight w:val="none"/>
                <w:lang w:val="en-US" w:eastAsia="zh-CN"/>
              </w:rPr>
            </w:pPr>
            <w:r>
              <w:rPr>
                <w:rFonts w:hint="eastAsia"/>
                <w:color w:val="auto"/>
                <w:szCs w:val="21"/>
                <w:highlight w:val="none"/>
                <w:lang w:val="en-US" w:eastAsia="zh-CN"/>
              </w:rPr>
              <w:t>保修期</w:t>
            </w:r>
          </w:p>
          <w:p w14:paraId="74430813">
            <w:pPr>
              <w:pStyle w:val="94"/>
              <w:spacing w:line="237" w:lineRule="auto"/>
              <w:ind w:right="10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w:t>
            </w:r>
            <w:r>
              <w:rPr>
                <w:rFonts w:hint="eastAsia" w:ascii="宋体" w:hAnsi="宋体" w:eastAsia="宋体" w:cs="宋体"/>
                <w:color w:val="auto"/>
                <w:kern w:val="2"/>
                <w:sz w:val="21"/>
                <w:szCs w:val="21"/>
                <w:highlight w:val="none"/>
                <w:lang w:val="en-US" w:eastAsia="zh-CN" w:bidi="ar-SA"/>
              </w:rPr>
              <w:t>2分</w:t>
            </w:r>
            <w:r>
              <w:rPr>
                <w:rFonts w:hint="eastAsia"/>
                <w:color w:val="auto"/>
                <w:szCs w:val="21"/>
                <w:highlight w:val="none"/>
                <w:lang w:val="en-US" w:eastAsia="zh-CN"/>
              </w:rPr>
              <w:t>）</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top"/>
          </w:tcPr>
          <w:p w14:paraId="3B276A3A">
            <w:pPr>
              <w:autoSpaceDE w:val="0"/>
              <w:autoSpaceDN w:val="0"/>
              <w:spacing w:line="400" w:lineRule="exact"/>
              <w:rPr>
                <w:rFonts w:hint="eastAsia" w:ascii="宋体" w:hAnsi="宋体" w:eastAsia="宋体" w:cs="Times New Roman"/>
                <w:b w:val="0"/>
                <w:color w:val="auto"/>
                <w:kern w:val="2"/>
                <w:sz w:val="21"/>
                <w:szCs w:val="21"/>
                <w:highlight w:val="none"/>
                <w:lang w:val="en-US" w:eastAsia="zh-CN" w:bidi="ar-SA"/>
              </w:rPr>
            </w:pPr>
            <w:r>
              <w:rPr>
                <w:rFonts w:hint="eastAsia" w:ascii="宋体" w:hAnsi="宋体" w:eastAsia="宋体" w:cs="Times New Roman"/>
                <w:b w:val="0"/>
                <w:color w:val="auto"/>
                <w:kern w:val="2"/>
                <w:sz w:val="21"/>
                <w:szCs w:val="21"/>
                <w:highlight w:val="none"/>
                <w:lang w:val="en-US" w:eastAsia="zh-CN"/>
              </w:rPr>
              <w:t>保修期满足磋商文件要求</w:t>
            </w:r>
            <w:r>
              <w:rPr>
                <w:rFonts w:hint="eastAsia" w:ascii="宋体" w:hAnsi="宋体" w:cs="Times New Roman"/>
                <w:b w:val="0"/>
                <w:color w:val="auto"/>
                <w:kern w:val="2"/>
                <w:sz w:val="21"/>
                <w:szCs w:val="21"/>
                <w:highlight w:val="none"/>
                <w:lang w:val="en-US" w:eastAsia="zh-CN"/>
              </w:rPr>
              <w:t>（5年）</w:t>
            </w:r>
            <w:r>
              <w:rPr>
                <w:rFonts w:hint="eastAsia" w:ascii="宋体" w:hAnsi="宋体" w:eastAsia="宋体" w:cs="Times New Roman"/>
                <w:b w:val="0"/>
                <w:color w:val="auto"/>
                <w:kern w:val="2"/>
                <w:sz w:val="21"/>
                <w:szCs w:val="21"/>
                <w:highlight w:val="none"/>
                <w:lang w:val="en-US" w:eastAsia="zh-CN"/>
              </w:rPr>
              <w:t>的基础上，</w:t>
            </w:r>
            <w:r>
              <w:rPr>
                <w:rFonts w:hint="eastAsia" w:ascii="宋体" w:hAnsi="宋体" w:cs="Times New Roman"/>
                <w:b w:val="0"/>
                <w:color w:val="auto"/>
                <w:kern w:val="2"/>
                <w:sz w:val="21"/>
                <w:szCs w:val="21"/>
                <w:highlight w:val="none"/>
                <w:lang w:val="en-US" w:eastAsia="zh-CN"/>
              </w:rPr>
              <w:t>全部保修内容</w:t>
            </w:r>
            <w:r>
              <w:rPr>
                <w:rFonts w:hint="eastAsia" w:ascii="宋体" w:hAnsi="宋体" w:eastAsia="宋体" w:cs="Times New Roman"/>
                <w:b w:val="0"/>
                <w:color w:val="auto"/>
                <w:kern w:val="2"/>
                <w:sz w:val="21"/>
                <w:szCs w:val="21"/>
                <w:highlight w:val="none"/>
                <w:lang w:val="en-US" w:eastAsia="zh-CN"/>
              </w:rPr>
              <w:t>每延长1年得1分，最多得2分</w:t>
            </w:r>
            <w:r>
              <w:rPr>
                <w:rFonts w:hint="eastAsia" w:ascii="宋体" w:hAnsi="宋体" w:cs="Times New Roman"/>
                <w:b w:val="0"/>
                <w:color w:val="auto"/>
                <w:kern w:val="2"/>
                <w:sz w:val="21"/>
                <w:szCs w:val="21"/>
                <w:highlight w:val="none"/>
                <w:lang w:val="en-US" w:eastAsia="zh-CN"/>
              </w:rPr>
              <w:t>，否则不得分。</w:t>
            </w:r>
          </w:p>
        </w:tc>
      </w:tr>
      <w:tr w14:paraId="19ED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1" w:type="dxa"/>
            <w:vMerge w:val="continue"/>
            <w:tcBorders>
              <w:left w:val="single" w:color="auto" w:sz="4" w:space="0"/>
              <w:right w:val="single" w:color="auto" w:sz="4" w:space="0"/>
            </w:tcBorders>
            <w:vAlign w:val="center"/>
          </w:tcPr>
          <w:p w14:paraId="20A09A0F">
            <w:pPr>
              <w:adjustRightInd w:val="0"/>
              <w:spacing w:line="360" w:lineRule="auto"/>
              <w:jc w:val="center"/>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0296E053">
            <w:pPr>
              <w:adjustRightInd w:val="0"/>
              <w:spacing w:line="360" w:lineRule="auto"/>
              <w:jc w:val="center"/>
              <w:rPr>
                <w:rFonts w:ascii="宋体" w:hAnsi="宋体"/>
                <w:bCs/>
                <w:color w:val="auto"/>
                <w:sz w:val="21"/>
                <w:szCs w:val="21"/>
                <w:highlight w:val="none"/>
              </w:rPr>
            </w:pPr>
          </w:p>
        </w:tc>
        <w:tc>
          <w:tcPr>
            <w:tcW w:w="1400" w:type="dxa"/>
            <w:vMerge w:val="restart"/>
            <w:tcBorders>
              <w:top w:val="single" w:color="auto" w:sz="4" w:space="0"/>
              <w:left w:val="single" w:color="auto" w:sz="4" w:space="0"/>
              <w:right w:val="single" w:color="auto" w:sz="4" w:space="0"/>
            </w:tcBorders>
            <w:shd w:val="clear" w:color="auto" w:fill="auto"/>
            <w:vAlign w:val="center"/>
          </w:tcPr>
          <w:p w14:paraId="3F9996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服务承诺</w:t>
            </w:r>
          </w:p>
          <w:p w14:paraId="20B7CA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top"/>
          </w:tcPr>
          <w:p w14:paraId="33A328E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保证</w:t>
            </w:r>
            <w:r>
              <w:rPr>
                <w:rFonts w:hint="eastAsia" w:ascii="宋体" w:hAnsi="宋体" w:cs="宋体"/>
                <w:color w:val="auto"/>
                <w:sz w:val="21"/>
                <w:szCs w:val="21"/>
                <w:highlight w:val="none"/>
                <w:lang w:eastAsia="zh-CN"/>
              </w:rPr>
              <w:t>若成为成交供应商，在项目施工过程中</w:t>
            </w:r>
            <w:r>
              <w:rPr>
                <w:rFonts w:hint="eastAsia" w:ascii="宋体" w:hAnsi="宋体" w:eastAsia="宋体" w:cs="宋体"/>
                <w:color w:val="auto"/>
                <w:sz w:val="21"/>
                <w:szCs w:val="21"/>
                <w:highlight w:val="none"/>
                <w:lang w:eastAsia="zh-CN"/>
              </w:rPr>
              <w:t>按照国家规定</w:t>
            </w:r>
            <w:r>
              <w:rPr>
                <w:rFonts w:hint="eastAsia" w:ascii="宋体" w:hAnsi="宋体" w:cs="宋体"/>
                <w:color w:val="auto"/>
                <w:sz w:val="21"/>
                <w:szCs w:val="21"/>
                <w:highlight w:val="none"/>
                <w:lang w:eastAsia="zh-CN"/>
              </w:rPr>
              <w:t>按时</w:t>
            </w:r>
            <w:r>
              <w:rPr>
                <w:rFonts w:hint="eastAsia" w:ascii="宋体" w:hAnsi="宋体" w:eastAsia="宋体" w:cs="宋体"/>
                <w:color w:val="auto"/>
                <w:sz w:val="21"/>
                <w:szCs w:val="21"/>
                <w:highlight w:val="none"/>
                <w:lang w:eastAsia="zh-CN"/>
              </w:rPr>
              <w:t>支付农民工工资</w:t>
            </w:r>
            <w:r>
              <w:rPr>
                <w:rFonts w:hint="eastAsia" w:ascii="宋体" w:hAnsi="宋体" w:cs="宋体"/>
                <w:color w:val="auto"/>
                <w:sz w:val="21"/>
                <w:szCs w:val="21"/>
                <w:highlight w:val="none"/>
                <w:lang w:eastAsia="zh-CN"/>
              </w:rPr>
              <w:t>，若未按规定支付</w:t>
            </w:r>
            <w:r>
              <w:rPr>
                <w:rFonts w:hint="eastAsia" w:ascii="宋体" w:hAnsi="宋体" w:eastAsia="宋体" w:cs="宋体"/>
                <w:color w:val="auto"/>
                <w:sz w:val="21"/>
                <w:szCs w:val="21"/>
                <w:highlight w:val="none"/>
                <w:lang w:eastAsia="zh-CN"/>
              </w:rPr>
              <w:t>的</w:t>
            </w:r>
            <w:r>
              <w:rPr>
                <w:rFonts w:hint="eastAsia" w:ascii="宋体" w:hAnsi="宋体" w:cs="宋体"/>
                <w:color w:val="auto"/>
                <w:sz w:val="21"/>
                <w:szCs w:val="21"/>
                <w:highlight w:val="none"/>
                <w:lang w:eastAsia="zh-CN"/>
              </w:rPr>
              <w:t>，承担由此造成的一切违约责任，提供承诺函的，</w:t>
            </w:r>
            <w:r>
              <w:rPr>
                <w:rFonts w:hint="eastAsia" w:ascii="宋体" w:hAnsi="宋体" w:eastAsia="宋体" w:cs="宋体"/>
                <w:color w:val="auto"/>
                <w:sz w:val="21"/>
                <w:szCs w:val="21"/>
                <w:highlight w:val="none"/>
                <w:lang w:val="en-US" w:eastAsia="zh-CN"/>
              </w:rPr>
              <w:t>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分</w:t>
            </w:r>
            <w:r>
              <w:rPr>
                <w:rFonts w:hint="eastAsia" w:ascii="宋体" w:hAnsi="宋体" w:cs="宋体"/>
                <w:color w:val="auto"/>
                <w:sz w:val="21"/>
                <w:szCs w:val="21"/>
                <w:highlight w:val="none"/>
                <w:lang w:val="en-US" w:eastAsia="zh-CN"/>
              </w:rPr>
              <w:t>，未</w:t>
            </w:r>
            <w:r>
              <w:rPr>
                <w:rFonts w:hint="eastAsia" w:ascii="宋体" w:hAnsi="宋体" w:eastAsia="宋体" w:cs="宋体"/>
                <w:color w:val="auto"/>
                <w:sz w:val="21"/>
                <w:szCs w:val="21"/>
                <w:highlight w:val="none"/>
                <w:lang w:val="en-US" w:eastAsia="zh-CN"/>
              </w:rPr>
              <w:t>提供</w:t>
            </w:r>
            <w:r>
              <w:rPr>
                <w:rFonts w:hint="eastAsia" w:ascii="宋体" w:hAnsi="宋体" w:cs="宋体"/>
                <w:color w:val="auto"/>
                <w:sz w:val="21"/>
                <w:szCs w:val="21"/>
                <w:highlight w:val="none"/>
                <w:lang w:val="en-US" w:eastAsia="zh-CN"/>
              </w:rPr>
              <w:t>的不得分</w:t>
            </w:r>
            <w:r>
              <w:rPr>
                <w:rFonts w:hint="eastAsia" w:ascii="宋体" w:hAnsi="宋体" w:eastAsia="宋体" w:cs="宋体"/>
                <w:color w:val="auto"/>
                <w:sz w:val="21"/>
                <w:szCs w:val="21"/>
                <w:highlight w:val="none"/>
                <w:lang w:val="en-US" w:eastAsia="zh-CN"/>
              </w:rPr>
              <w:t>。</w:t>
            </w:r>
          </w:p>
        </w:tc>
      </w:tr>
      <w:tr w14:paraId="5D88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1" w:type="dxa"/>
            <w:vMerge w:val="continue"/>
            <w:tcBorders>
              <w:left w:val="single" w:color="auto" w:sz="4" w:space="0"/>
              <w:right w:val="single" w:color="auto" w:sz="4" w:space="0"/>
            </w:tcBorders>
            <w:vAlign w:val="center"/>
          </w:tcPr>
          <w:p w14:paraId="67BA252F">
            <w:pPr>
              <w:adjustRightInd w:val="0"/>
              <w:spacing w:line="360" w:lineRule="auto"/>
              <w:jc w:val="center"/>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08C1CD47">
            <w:pPr>
              <w:adjustRightInd w:val="0"/>
              <w:spacing w:line="360" w:lineRule="auto"/>
              <w:jc w:val="center"/>
              <w:rPr>
                <w:rFonts w:ascii="宋体" w:hAnsi="宋体"/>
                <w:bCs/>
                <w:color w:val="auto"/>
                <w:sz w:val="21"/>
                <w:szCs w:val="21"/>
                <w:highlight w:val="none"/>
              </w:rPr>
            </w:pPr>
          </w:p>
        </w:tc>
        <w:tc>
          <w:tcPr>
            <w:tcW w:w="1400" w:type="dxa"/>
            <w:vMerge w:val="continue"/>
            <w:tcBorders>
              <w:left w:val="single" w:color="auto" w:sz="4" w:space="0"/>
              <w:bottom w:val="single" w:color="auto" w:sz="4" w:space="0"/>
              <w:right w:val="single" w:color="auto" w:sz="4" w:space="0"/>
            </w:tcBorders>
            <w:shd w:val="clear" w:color="auto" w:fill="auto"/>
            <w:vAlign w:val="center"/>
          </w:tcPr>
          <w:p w14:paraId="6A343E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6031578D">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供应商针对本工程的特点和要求，提供</w:t>
            </w:r>
            <w:r>
              <w:rPr>
                <w:rFonts w:hint="eastAsia" w:ascii="宋体" w:hAnsi="宋体" w:cs="宋体"/>
                <w:color w:val="auto"/>
                <w:sz w:val="21"/>
                <w:szCs w:val="21"/>
                <w:highlight w:val="none"/>
                <w:lang w:eastAsia="zh-CN"/>
              </w:rPr>
              <w:t>以下服务承诺（</w:t>
            </w:r>
            <w:r>
              <w:rPr>
                <w:rFonts w:hint="eastAsia" w:ascii="宋体" w:hAnsi="宋体" w:cs="宋体"/>
                <w:color w:val="auto"/>
                <w:sz w:val="21"/>
                <w:szCs w:val="21"/>
                <w:highlight w:val="none"/>
                <w:lang w:val="en-US" w:eastAsia="zh-CN"/>
              </w:rPr>
              <w:t>3分</w:t>
            </w:r>
            <w:r>
              <w:rPr>
                <w:rFonts w:hint="eastAsia" w:ascii="宋体" w:hAnsi="宋体" w:cs="宋体"/>
                <w:color w:val="auto"/>
                <w:sz w:val="21"/>
                <w:szCs w:val="21"/>
                <w:highlight w:val="none"/>
                <w:lang w:eastAsia="zh-CN"/>
              </w:rPr>
              <w:t>）：</w:t>
            </w:r>
          </w:p>
          <w:p w14:paraId="2D1F6F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color w:val="auto"/>
                <w:sz w:val="21"/>
                <w:szCs w:val="21"/>
                <w:highlight w:val="none"/>
                <w:lang w:eastAsia="zh-CN"/>
              </w:rPr>
            </w:pPr>
            <w:r>
              <w:rPr>
                <w:rFonts w:hint="default" w:ascii="宋体" w:hAnsi="宋体" w:eastAsia="宋体" w:cs="宋体"/>
                <w:color w:val="auto"/>
                <w:sz w:val="21"/>
                <w:szCs w:val="21"/>
                <w:highlight w:val="none"/>
                <w:lang w:eastAsia="zh-CN"/>
              </w:rPr>
              <w:t>①</w:t>
            </w:r>
            <w:r>
              <w:rPr>
                <w:rFonts w:hint="eastAsia" w:ascii="宋体" w:hAnsi="宋体" w:eastAsia="宋体" w:cs="宋体"/>
                <w:color w:val="auto"/>
                <w:sz w:val="21"/>
                <w:szCs w:val="21"/>
                <w:highlight w:val="none"/>
                <w:lang w:eastAsia="zh-CN"/>
              </w:rPr>
              <w:t>全面的保修期内、外的服务承诺及措施；</w:t>
            </w:r>
          </w:p>
          <w:p w14:paraId="4E76CC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color w:val="auto"/>
                <w:sz w:val="21"/>
                <w:szCs w:val="21"/>
                <w:highlight w:val="none"/>
                <w:lang w:eastAsia="zh-CN"/>
              </w:rPr>
            </w:pPr>
            <w:r>
              <w:rPr>
                <w:rFonts w:hint="default" w:ascii="宋体" w:hAnsi="宋体" w:eastAsia="宋体" w:cs="宋体"/>
                <w:color w:val="auto"/>
                <w:sz w:val="21"/>
                <w:szCs w:val="21"/>
                <w:highlight w:val="none"/>
                <w:lang w:eastAsia="zh-CN"/>
              </w:rPr>
              <w:t>②在施工期间，加强安全防护措施，安全文明施工，保证不发生各种安全事故，无人员伤亡事故，并承担由此发生的一切费用</w:t>
            </w:r>
            <w:r>
              <w:rPr>
                <w:rFonts w:hint="eastAsia" w:ascii="宋体" w:hAnsi="宋体" w:cs="宋体"/>
                <w:color w:val="auto"/>
                <w:sz w:val="21"/>
                <w:szCs w:val="21"/>
                <w:highlight w:val="none"/>
                <w:lang w:eastAsia="zh-CN"/>
              </w:rPr>
              <w:t>的承诺。</w:t>
            </w:r>
          </w:p>
          <w:p w14:paraId="4606C3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承诺全面、</w:t>
            </w:r>
            <w:r>
              <w:rPr>
                <w:rFonts w:hint="eastAsia" w:ascii="宋体" w:hAnsi="宋体" w:eastAsia="宋体" w:cs="宋体"/>
                <w:color w:val="auto"/>
                <w:sz w:val="21"/>
                <w:szCs w:val="21"/>
                <w:highlight w:val="none"/>
              </w:rPr>
              <w:t>合理</w:t>
            </w:r>
            <w:r>
              <w:rPr>
                <w:rFonts w:hint="eastAsia" w:ascii="宋体" w:hAnsi="宋体" w:cs="宋体"/>
                <w:color w:val="auto"/>
                <w:sz w:val="21"/>
                <w:szCs w:val="21"/>
                <w:highlight w:val="none"/>
                <w:lang w:eastAsia="zh-CN"/>
              </w:rPr>
              <w:t>、具体明确</w:t>
            </w:r>
            <w:r>
              <w:rPr>
                <w:rFonts w:hint="eastAsia" w:ascii="宋体" w:hAnsi="宋体" w:eastAsia="宋体" w:cs="宋体"/>
                <w:color w:val="auto"/>
                <w:sz w:val="21"/>
                <w:szCs w:val="21"/>
                <w:highlight w:val="none"/>
              </w:rPr>
              <w:t>且针对本项目服务内容考虑周全的，得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3EB369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承诺</w:t>
            </w:r>
            <w:r>
              <w:rPr>
                <w:rFonts w:hint="eastAsia" w:ascii="宋体" w:hAnsi="宋体" w:eastAsia="宋体" w:cs="宋体"/>
                <w:color w:val="auto"/>
                <w:sz w:val="21"/>
                <w:szCs w:val="21"/>
                <w:highlight w:val="none"/>
              </w:rPr>
              <w:t>基本合理、基本能够满足本项目实施的，得</w:t>
            </w:r>
            <w:r>
              <w:rPr>
                <w:rFonts w:hint="eastAsia" w:ascii="宋体" w:hAnsi="宋体" w:cs="宋体"/>
                <w:color w:val="auto"/>
                <w:sz w:val="21"/>
                <w:szCs w:val="21"/>
                <w:highlight w:val="none"/>
                <w:lang w:val="en-US" w:eastAsia="zh-CN"/>
              </w:rPr>
              <w:t xml:space="preserve"> 2 </w:t>
            </w:r>
            <w:r>
              <w:rPr>
                <w:rFonts w:hint="eastAsia" w:ascii="宋体" w:hAnsi="宋体" w:eastAsia="宋体" w:cs="宋体"/>
                <w:color w:val="auto"/>
                <w:sz w:val="21"/>
                <w:szCs w:val="21"/>
                <w:highlight w:val="none"/>
              </w:rPr>
              <w:t>分。</w:t>
            </w:r>
          </w:p>
          <w:p w14:paraId="787927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承诺全面，但</w:t>
            </w:r>
            <w:r>
              <w:rPr>
                <w:rFonts w:hint="eastAsia" w:ascii="宋体" w:hAnsi="宋体" w:cs="宋体"/>
                <w:color w:val="auto"/>
                <w:sz w:val="21"/>
                <w:szCs w:val="21"/>
                <w:highlight w:val="none"/>
                <w:lang w:eastAsia="zh-CN"/>
              </w:rPr>
              <w:t>内容含糊，欠具体，</w:t>
            </w:r>
            <w:r>
              <w:rPr>
                <w:rFonts w:hint="eastAsia" w:ascii="宋体" w:hAnsi="宋体" w:eastAsia="宋体" w:cs="宋体"/>
                <w:color w:val="auto"/>
                <w:sz w:val="21"/>
                <w:szCs w:val="21"/>
                <w:highlight w:val="none"/>
              </w:rPr>
              <w:t>得 1 分。</w:t>
            </w:r>
          </w:p>
          <w:p w14:paraId="34E27B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承诺缺项或未提供的，得</w:t>
            </w:r>
            <w:r>
              <w:rPr>
                <w:rFonts w:hint="eastAsia" w:ascii="宋体" w:hAnsi="宋体" w:cs="宋体"/>
                <w:color w:val="auto"/>
                <w:sz w:val="21"/>
                <w:szCs w:val="21"/>
                <w:highlight w:val="none"/>
                <w:lang w:val="en-US" w:eastAsia="zh-CN"/>
              </w:rPr>
              <w:t>0分。</w:t>
            </w:r>
          </w:p>
        </w:tc>
      </w:tr>
      <w:tr w14:paraId="6B53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871" w:type="dxa"/>
            <w:vMerge w:val="continue"/>
            <w:tcBorders>
              <w:left w:val="single" w:color="auto" w:sz="4" w:space="0"/>
              <w:right w:val="single" w:color="auto" w:sz="4" w:space="0"/>
            </w:tcBorders>
            <w:vAlign w:val="center"/>
          </w:tcPr>
          <w:p w14:paraId="5E6B305D">
            <w:pPr>
              <w:adjustRightInd w:val="0"/>
              <w:spacing w:line="360" w:lineRule="auto"/>
              <w:jc w:val="center"/>
              <w:rPr>
                <w:rFonts w:ascii="宋体" w:hAnsi="宋体"/>
                <w:bCs/>
                <w:color w:val="auto"/>
                <w:highlight w:val="none"/>
              </w:rPr>
            </w:pPr>
          </w:p>
        </w:tc>
        <w:tc>
          <w:tcPr>
            <w:tcW w:w="663" w:type="dxa"/>
            <w:gridSpan w:val="2"/>
            <w:vMerge w:val="continue"/>
            <w:tcBorders>
              <w:left w:val="single" w:color="auto" w:sz="4" w:space="0"/>
              <w:right w:val="single" w:color="auto" w:sz="4" w:space="0"/>
            </w:tcBorders>
            <w:vAlign w:val="center"/>
          </w:tcPr>
          <w:p w14:paraId="30246336">
            <w:pPr>
              <w:adjustRightInd w:val="0"/>
              <w:spacing w:line="360" w:lineRule="auto"/>
              <w:jc w:val="center"/>
              <w:rPr>
                <w:rFonts w:ascii="宋体" w:hAnsi="宋体"/>
                <w:bCs/>
                <w:color w:val="auto"/>
                <w:sz w:val="21"/>
                <w:szCs w:val="21"/>
                <w:highlight w:val="none"/>
              </w:rPr>
            </w:pPr>
          </w:p>
        </w:tc>
        <w:tc>
          <w:tcPr>
            <w:tcW w:w="1400" w:type="dxa"/>
            <w:tcBorders>
              <w:top w:val="single" w:color="auto" w:sz="4" w:space="0"/>
              <w:left w:val="single" w:color="auto" w:sz="4" w:space="0"/>
              <w:right w:val="single" w:color="auto" w:sz="4" w:space="0"/>
            </w:tcBorders>
            <w:shd w:val="clear" w:color="auto" w:fill="auto"/>
            <w:vAlign w:val="center"/>
          </w:tcPr>
          <w:p w14:paraId="11512F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trike w:val="0"/>
                <w:dstrike w:val="0"/>
                <w:color w:val="auto"/>
                <w:sz w:val="21"/>
                <w:szCs w:val="21"/>
                <w:highlight w:val="none"/>
              </w:rPr>
            </w:pPr>
            <w:r>
              <w:rPr>
                <w:rFonts w:hint="eastAsia" w:ascii="宋体" w:hAnsi="宋体" w:cs="宋体"/>
                <w:strike w:val="0"/>
                <w:dstrike w:val="0"/>
                <w:color w:val="auto"/>
                <w:sz w:val="21"/>
                <w:szCs w:val="21"/>
                <w:highlight w:val="none"/>
                <w:lang w:eastAsia="zh-CN"/>
              </w:rPr>
              <w:t>优先采购环保</w:t>
            </w:r>
            <w:r>
              <w:rPr>
                <w:rFonts w:hint="eastAsia" w:ascii="宋体" w:hAnsi="宋体" w:eastAsia="宋体" w:cs="宋体"/>
                <w:strike w:val="0"/>
                <w:dstrike w:val="0"/>
                <w:color w:val="auto"/>
                <w:sz w:val="21"/>
                <w:szCs w:val="21"/>
                <w:highlight w:val="none"/>
              </w:rPr>
              <w:t>清单产品</w:t>
            </w:r>
          </w:p>
          <w:p w14:paraId="359C68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rPr>
              <w:t>（</w:t>
            </w:r>
            <w:r>
              <w:rPr>
                <w:rFonts w:hint="eastAsia" w:ascii="宋体" w:hAnsi="宋体" w:cs="宋体"/>
                <w:strike w:val="0"/>
                <w:dstrike w:val="0"/>
                <w:color w:val="auto"/>
                <w:sz w:val="21"/>
                <w:szCs w:val="21"/>
                <w:highlight w:val="none"/>
                <w:lang w:val="en-US" w:eastAsia="zh-CN"/>
              </w:rPr>
              <w:t>1</w:t>
            </w:r>
            <w:r>
              <w:rPr>
                <w:rFonts w:hint="eastAsia" w:ascii="宋体" w:hAnsi="宋体" w:eastAsia="宋体" w:cs="宋体"/>
                <w:strike w:val="0"/>
                <w:dstrike w:val="0"/>
                <w:color w:val="auto"/>
                <w:sz w:val="21"/>
                <w:szCs w:val="21"/>
                <w:highlight w:val="none"/>
              </w:rPr>
              <w:t>分）</w:t>
            </w:r>
          </w:p>
        </w:tc>
        <w:tc>
          <w:tcPr>
            <w:tcW w:w="6502" w:type="dxa"/>
            <w:tcBorders>
              <w:top w:val="single" w:color="auto" w:sz="4" w:space="0"/>
              <w:left w:val="single" w:color="auto" w:sz="4" w:space="0"/>
              <w:bottom w:val="single" w:color="auto" w:sz="4" w:space="0"/>
              <w:right w:val="single" w:color="auto" w:sz="4" w:space="0"/>
            </w:tcBorders>
            <w:shd w:val="clear" w:color="auto" w:fill="auto"/>
            <w:vAlign w:val="center"/>
          </w:tcPr>
          <w:p w14:paraId="10A352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trike w:val="0"/>
                <w:dstrike w:val="0"/>
                <w:color w:val="auto"/>
                <w:kern w:val="0"/>
                <w:szCs w:val="21"/>
                <w:highlight w:val="none"/>
              </w:rPr>
            </w:pPr>
            <w:r>
              <w:rPr>
                <w:rFonts w:hint="eastAsia" w:ascii="宋体" w:hAnsi="宋体" w:cs="宋体"/>
                <w:strike w:val="0"/>
                <w:dstrike w:val="0"/>
                <w:color w:val="auto"/>
                <w:kern w:val="0"/>
                <w:szCs w:val="21"/>
                <w:highlight w:val="none"/>
                <w:lang w:eastAsia="zh-CN"/>
              </w:rPr>
              <w:t>用于工程主要材料</w:t>
            </w:r>
            <w:r>
              <w:rPr>
                <w:rFonts w:hint="eastAsia" w:ascii="宋体" w:hAnsi="宋体" w:cs="宋体"/>
                <w:strike w:val="0"/>
                <w:dstrike w:val="0"/>
                <w:color w:val="auto"/>
                <w:kern w:val="0"/>
                <w:szCs w:val="21"/>
                <w:highlight w:val="none"/>
              </w:rPr>
              <w:t>如</w:t>
            </w:r>
            <w:r>
              <w:rPr>
                <w:rFonts w:hint="eastAsia" w:ascii="宋体" w:hAnsi="宋体" w:cs="宋体"/>
                <w:strike w:val="0"/>
                <w:dstrike w:val="0"/>
                <w:color w:val="auto"/>
                <w:kern w:val="0"/>
                <w:szCs w:val="21"/>
                <w:highlight w:val="none"/>
                <w:lang w:eastAsia="zh-CN"/>
              </w:rPr>
              <w:t>有</w:t>
            </w:r>
            <w:r>
              <w:rPr>
                <w:rFonts w:hint="eastAsia" w:ascii="宋体" w:hAnsi="宋体" w:cs="宋体"/>
                <w:strike w:val="0"/>
                <w:dstrike w:val="0"/>
                <w:color w:val="auto"/>
                <w:kern w:val="0"/>
                <w:szCs w:val="21"/>
                <w:highlight w:val="none"/>
              </w:rPr>
              <w:t>“环境标志产品政府采购品目清单”内的产品的，</w:t>
            </w:r>
            <w:r>
              <w:rPr>
                <w:rFonts w:hint="eastAsia" w:ascii="宋体" w:hAnsi="宋体" w:cs="宋体"/>
                <w:strike w:val="0"/>
                <w:dstrike w:val="0"/>
                <w:color w:val="auto"/>
                <w:sz w:val="21"/>
                <w:szCs w:val="21"/>
                <w:highlight w:val="none"/>
                <w:lang w:val="en-US" w:eastAsia="zh-CN"/>
              </w:rPr>
              <w:t>得1分</w:t>
            </w:r>
            <w:r>
              <w:rPr>
                <w:rFonts w:hint="eastAsia" w:ascii="宋体" w:hAnsi="宋体" w:eastAsia="宋体" w:cs="宋体"/>
                <w:strike w:val="0"/>
                <w:dstrike w:val="0"/>
                <w:color w:val="auto"/>
                <w:sz w:val="21"/>
                <w:szCs w:val="21"/>
                <w:highlight w:val="none"/>
              </w:rPr>
              <w:t>。</w:t>
            </w:r>
          </w:p>
          <w:p w14:paraId="1EE42A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trike w:val="0"/>
                <w:dstrike w:val="0"/>
                <w:color w:val="auto"/>
                <w:kern w:val="0"/>
                <w:szCs w:val="21"/>
                <w:highlight w:val="none"/>
              </w:rPr>
            </w:pPr>
            <w:r>
              <w:rPr>
                <w:rFonts w:hint="eastAsia" w:ascii="宋体" w:hAnsi="宋体" w:cs="宋体"/>
                <w:strike w:val="0"/>
                <w:dstrike w:val="0"/>
                <w:color w:val="auto"/>
                <w:kern w:val="0"/>
                <w:szCs w:val="21"/>
                <w:highlight w:val="none"/>
                <w:lang w:eastAsia="zh-CN"/>
              </w:rPr>
              <w:t>供应商</w:t>
            </w:r>
            <w:r>
              <w:rPr>
                <w:rFonts w:hint="eastAsia" w:ascii="宋体" w:hAnsi="宋体" w:cs="宋体"/>
                <w:strike w:val="0"/>
                <w:dstrike w:val="0"/>
                <w:color w:val="auto"/>
                <w:kern w:val="0"/>
                <w:szCs w:val="21"/>
                <w:highlight w:val="none"/>
              </w:rPr>
              <w:t>须在</w:t>
            </w:r>
            <w:r>
              <w:rPr>
                <w:rFonts w:hint="eastAsia" w:ascii="宋体" w:hAnsi="宋体" w:cs="宋体"/>
                <w:strike w:val="0"/>
                <w:dstrike w:val="0"/>
                <w:color w:val="auto"/>
                <w:kern w:val="0"/>
                <w:szCs w:val="21"/>
                <w:highlight w:val="none"/>
                <w:lang w:eastAsia="zh-CN"/>
              </w:rPr>
              <w:t>响应文件</w:t>
            </w:r>
            <w:r>
              <w:rPr>
                <w:rFonts w:hint="eastAsia" w:ascii="宋体" w:hAnsi="宋体" w:cs="宋体"/>
                <w:strike w:val="0"/>
                <w:dstrike w:val="0"/>
                <w:color w:val="auto"/>
                <w:kern w:val="0"/>
                <w:szCs w:val="21"/>
                <w:highlight w:val="none"/>
              </w:rPr>
              <w:t>中附该产品经国家确定的认证机构出具的、处于有效期之内的《中国环境标志产品认证证书》复印件</w:t>
            </w:r>
            <w:r>
              <w:rPr>
                <w:rFonts w:hint="eastAsia" w:ascii="宋体" w:hAnsi="宋体" w:cs="宋体"/>
                <w:strike w:val="0"/>
                <w:dstrike w:val="0"/>
                <w:color w:val="auto"/>
                <w:kern w:val="0"/>
                <w:szCs w:val="21"/>
                <w:highlight w:val="none"/>
                <w:lang w:eastAsia="zh-CN"/>
              </w:rPr>
              <w:t>或</w:t>
            </w:r>
            <w:r>
              <w:rPr>
                <w:rFonts w:hint="eastAsia" w:ascii="宋体" w:hAnsi="宋体" w:cs="宋体"/>
                <w:strike w:val="0"/>
                <w:dstrike w:val="0"/>
                <w:color w:val="auto"/>
                <w:kern w:val="0"/>
                <w:szCs w:val="21"/>
                <w:highlight w:val="none"/>
              </w:rPr>
              <w:t>提供认证信息的官网查询截图，否则评审委员会有权不予认可。查询官网为：国家市场监督管理总局（全国认证认可信息公共服务平台）——政采信息栏目，未提供或提供的证明材料不清晰无法辨认的，不得分。</w:t>
            </w:r>
          </w:p>
        </w:tc>
      </w:tr>
      <w:bookmarkEnd w:id="882"/>
    </w:tbl>
    <w:p w14:paraId="2A08B240">
      <w:pPr>
        <w:pStyle w:val="92"/>
        <w:ind w:firstLine="316"/>
        <w:rPr>
          <w:rFonts w:ascii="宋体" w:hAnsi="宋体" w:eastAsia="宋体"/>
          <w:b/>
          <w:bCs w:val="0"/>
          <w:color w:val="auto"/>
          <w:sz w:val="21"/>
          <w:szCs w:val="21"/>
          <w:highlight w:val="none"/>
        </w:rPr>
      </w:pPr>
      <w:bookmarkStart w:id="883" w:name="_Toc281405532"/>
      <w:bookmarkEnd w:id="883"/>
      <w:bookmarkStart w:id="884" w:name="_Toc466298143"/>
      <w:bookmarkEnd w:id="884"/>
      <w:bookmarkStart w:id="885" w:name="_Toc490667879"/>
      <w:bookmarkEnd w:id="885"/>
      <w:bookmarkStart w:id="886" w:name="_Toc509667310"/>
      <w:bookmarkEnd w:id="886"/>
      <w:bookmarkStart w:id="887" w:name="_Toc318450726"/>
      <w:bookmarkEnd w:id="887"/>
      <w:bookmarkStart w:id="888" w:name="_Toc17308"/>
      <w:bookmarkEnd w:id="888"/>
      <w:bookmarkStart w:id="889" w:name="_Toc455080160"/>
      <w:bookmarkEnd w:id="889"/>
      <w:bookmarkStart w:id="890" w:name="_Toc19682"/>
      <w:bookmarkEnd w:id="890"/>
      <w:bookmarkStart w:id="891" w:name="_Toc455867820"/>
      <w:bookmarkEnd w:id="891"/>
      <w:bookmarkStart w:id="892" w:name="_Toc23309"/>
      <w:bookmarkStart w:id="893" w:name="_Toc30235"/>
      <w:bookmarkStart w:id="894" w:name="_Toc22044"/>
      <w:bookmarkStart w:id="895" w:name="_Toc2271"/>
      <w:bookmarkStart w:id="896" w:name="_Toc3805"/>
      <w:bookmarkStart w:id="897" w:name="_Toc26603"/>
      <w:bookmarkStart w:id="898" w:name="_Toc24934"/>
      <w:bookmarkStart w:id="899" w:name="_Toc7129"/>
      <w:bookmarkStart w:id="900" w:name="_Toc6467"/>
      <w:bookmarkStart w:id="901" w:name="_Toc21426"/>
      <w:bookmarkStart w:id="902" w:name="_Toc26583"/>
      <w:bookmarkStart w:id="903" w:name="_Toc3577"/>
      <w:r>
        <w:rPr>
          <w:rFonts w:hint="eastAsia" w:ascii="宋体" w:hAnsi="宋体" w:eastAsia="宋体"/>
          <w:b/>
          <w:bCs w:val="0"/>
          <w:color w:val="auto"/>
          <w:sz w:val="21"/>
          <w:szCs w:val="21"/>
          <w:highlight w:val="none"/>
        </w:rPr>
        <w:t>1. 评审方法</w:t>
      </w:r>
      <w:bookmarkEnd w:id="892"/>
      <w:bookmarkEnd w:id="893"/>
      <w:bookmarkEnd w:id="894"/>
      <w:bookmarkEnd w:id="895"/>
      <w:bookmarkEnd w:id="896"/>
      <w:bookmarkEnd w:id="897"/>
      <w:bookmarkEnd w:id="898"/>
      <w:bookmarkEnd w:id="899"/>
      <w:bookmarkEnd w:id="900"/>
      <w:bookmarkEnd w:id="901"/>
      <w:bookmarkEnd w:id="902"/>
      <w:bookmarkEnd w:id="903"/>
    </w:p>
    <w:p w14:paraId="44503952">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本次评审采用综合评分法。磋商小组对满足磋商文件实质性要求的响应文件，按照本章规定的评分标准进行打分，并按得分由高到低顺序推荐成交候选人，</w:t>
      </w:r>
      <w:r>
        <w:rPr>
          <w:rFonts w:hint="eastAsia" w:ascii="宋体" w:hAnsi="宋体" w:cs="宋体"/>
          <w:color w:val="auto"/>
          <w:kern w:val="0"/>
          <w:highlight w:val="none"/>
        </w:rPr>
        <w:t>综合评分相等时，以报价得分高的优先；报价得分也相等的，由使用产品质量性能好的优先。响应文件满足竞争性磋商文件全部实质性要求，且按照评审因素的量化指标评审得分由高到低推荐3名成交候选人。</w:t>
      </w:r>
    </w:p>
    <w:p w14:paraId="318A4B0C">
      <w:pPr>
        <w:pStyle w:val="92"/>
        <w:ind w:firstLine="316"/>
        <w:rPr>
          <w:rFonts w:ascii="宋体" w:hAnsi="宋体" w:eastAsia="宋体"/>
          <w:b/>
          <w:bCs w:val="0"/>
          <w:color w:val="auto"/>
          <w:sz w:val="21"/>
          <w:szCs w:val="21"/>
          <w:highlight w:val="none"/>
        </w:rPr>
      </w:pPr>
      <w:bookmarkStart w:id="904" w:name="_Toc27453"/>
      <w:bookmarkStart w:id="905" w:name="_Toc3394"/>
      <w:bookmarkStart w:id="906" w:name="_Toc23609"/>
      <w:bookmarkStart w:id="907" w:name="_Toc28356"/>
      <w:bookmarkStart w:id="908" w:name="_Toc7820"/>
      <w:bookmarkStart w:id="909" w:name="_Toc26251"/>
      <w:bookmarkStart w:id="910" w:name="_Toc14899"/>
      <w:bookmarkStart w:id="911" w:name="_Toc30489"/>
      <w:bookmarkStart w:id="912" w:name="_Toc8131"/>
      <w:bookmarkStart w:id="913" w:name="_Toc31929"/>
      <w:bookmarkStart w:id="914" w:name="_Toc6736"/>
      <w:bookmarkStart w:id="915" w:name="_Toc10484"/>
      <w:r>
        <w:rPr>
          <w:rFonts w:hint="eastAsia" w:ascii="宋体" w:hAnsi="宋体" w:eastAsia="宋体"/>
          <w:b/>
          <w:bCs w:val="0"/>
          <w:color w:val="auto"/>
          <w:sz w:val="21"/>
          <w:szCs w:val="21"/>
          <w:highlight w:val="none"/>
        </w:rPr>
        <w:t>2. 评审标准</w:t>
      </w:r>
      <w:bookmarkEnd w:id="904"/>
      <w:bookmarkEnd w:id="905"/>
      <w:bookmarkEnd w:id="906"/>
      <w:bookmarkEnd w:id="907"/>
      <w:bookmarkEnd w:id="908"/>
      <w:bookmarkEnd w:id="909"/>
      <w:bookmarkEnd w:id="910"/>
      <w:bookmarkEnd w:id="911"/>
      <w:bookmarkEnd w:id="912"/>
      <w:bookmarkEnd w:id="913"/>
      <w:bookmarkEnd w:id="914"/>
      <w:bookmarkEnd w:id="915"/>
    </w:p>
    <w:p w14:paraId="23D8CF85">
      <w:pPr>
        <w:spacing w:line="500" w:lineRule="exact"/>
        <w:ind w:firstLine="422" w:firstLineChars="200"/>
        <w:rPr>
          <w:rFonts w:ascii="宋体" w:hAnsi="宋体" w:cs="宋体"/>
          <w:b/>
          <w:bCs/>
          <w:color w:val="auto"/>
          <w:highlight w:val="none"/>
        </w:rPr>
      </w:pPr>
      <w:bookmarkStart w:id="916" w:name="_Toc19151"/>
      <w:r>
        <w:rPr>
          <w:rFonts w:hint="eastAsia" w:ascii="宋体" w:hAnsi="宋体" w:cs="宋体"/>
          <w:b/>
          <w:bCs/>
          <w:color w:val="auto"/>
          <w:highlight w:val="none"/>
        </w:rPr>
        <w:t>2.1 初步评审标准</w:t>
      </w:r>
      <w:bookmarkEnd w:id="916"/>
    </w:p>
    <w:p w14:paraId="637D66AF">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2.1.1 资格性检查评审标准：见评审办法前附表。</w:t>
      </w:r>
    </w:p>
    <w:p w14:paraId="39BB822D">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2.1.2 符合性检查评审标准：见评审办法前附表。</w:t>
      </w:r>
    </w:p>
    <w:p w14:paraId="48C5F92B">
      <w:pPr>
        <w:spacing w:line="500" w:lineRule="exact"/>
        <w:ind w:firstLine="422" w:firstLineChars="200"/>
        <w:rPr>
          <w:rFonts w:ascii="宋体" w:hAnsi="宋体" w:cs="宋体"/>
          <w:b/>
          <w:bCs/>
          <w:color w:val="auto"/>
          <w:highlight w:val="none"/>
        </w:rPr>
      </w:pPr>
      <w:bookmarkStart w:id="917" w:name="_Toc7450"/>
      <w:r>
        <w:rPr>
          <w:rFonts w:hint="eastAsia" w:ascii="宋体" w:hAnsi="宋体" w:cs="宋体"/>
          <w:b/>
          <w:bCs/>
          <w:color w:val="auto"/>
          <w:highlight w:val="none"/>
        </w:rPr>
        <w:t>2.2 分值构成与评分标准</w:t>
      </w:r>
      <w:bookmarkEnd w:id="917"/>
    </w:p>
    <w:p w14:paraId="20B63A2A">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（1）磋商报价：见评审办法前附表</w:t>
      </w:r>
    </w:p>
    <w:p w14:paraId="29215311">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（2）技术部分：见评审办法前附表；</w:t>
      </w:r>
    </w:p>
    <w:p w14:paraId="61DC9671">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（3）商务部分：见评审办法前附表；</w:t>
      </w:r>
    </w:p>
    <w:p w14:paraId="555CEE81">
      <w:pPr>
        <w:pStyle w:val="92"/>
        <w:ind w:firstLine="316"/>
        <w:rPr>
          <w:rFonts w:ascii="宋体" w:hAnsi="宋体" w:eastAsia="宋体"/>
          <w:b/>
          <w:bCs w:val="0"/>
          <w:color w:val="auto"/>
          <w:sz w:val="21"/>
          <w:szCs w:val="21"/>
          <w:highlight w:val="none"/>
        </w:rPr>
      </w:pPr>
      <w:bookmarkStart w:id="918" w:name="_Toc16853"/>
      <w:bookmarkStart w:id="919" w:name="_Toc129073512"/>
      <w:bookmarkStart w:id="920" w:name="_Toc4465"/>
      <w:bookmarkStart w:id="921" w:name="_Toc2305"/>
      <w:bookmarkStart w:id="922" w:name="_Toc25244"/>
      <w:bookmarkStart w:id="923" w:name="_Toc3562"/>
      <w:bookmarkStart w:id="924" w:name="_Toc18998"/>
      <w:bookmarkStart w:id="925" w:name="_Toc21079"/>
      <w:bookmarkStart w:id="926" w:name="_Toc2382"/>
      <w:bookmarkStart w:id="927" w:name="_Toc25105"/>
      <w:bookmarkStart w:id="928" w:name="_Toc841"/>
      <w:bookmarkStart w:id="929" w:name="_Toc21981"/>
      <w:bookmarkStart w:id="930" w:name="_Toc8466"/>
      <w:bookmarkStart w:id="931" w:name="_Toc16239"/>
      <w:r>
        <w:rPr>
          <w:rFonts w:hint="eastAsia" w:ascii="宋体" w:hAnsi="宋体" w:eastAsia="宋体"/>
          <w:b/>
          <w:bCs w:val="0"/>
          <w:color w:val="auto"/>
          <w:sz w:val="21"/>
          <w:szCs w:val="21"/>
          <w:highlight w:val="none"/>
        </w:rPr>
        <w:t xml:space="preserve">3. </w:t>
      </w:r>
      <w:bookmarkEnd w:id="918"/>
      <w:bookmarkEnd w:id="919"/>
      <w:bookmarkEnd w:id="920"/>
      <w:bookmarkEnd w:id="921"/>
      <w:bookmarkEnd w:id="922"/>
      <w:bookmarkEnd w:id="923"/>
      <w:bookmarkEnd w:id="924"/>
      <w:r>
        <w:rPr>
          <w:rFonts w:hint="eastAsia" w:ascii="宋体" w:hAnsi="宋体" w:eastAsia="宋体"/>
          <w:b/>
          <w:bCs w:val="0"/>
          <w:color w:val="auto"/>
          <w:sz w:val="21"/>
          <w:szCs w:val="21"/>
          <w:highlight w:val="none"/>
        </w:rPr>
        <w:t>评审程序</w:t>
      </w:r>
      <w:bookmarkEnd w:id="925"/>
      <w:bookmarkEnd w:id="926"/>
      <w:bookmarkEnd w:id="927"/>
      <w:bookmarkEnd w:id="928"/>
      <w:bookmarkEnd w:id="929"/>
      <w:bookmarkEnd w:id="930"/>
      <w:bookmarkEnd w:id="931"/>
    </w:p>
    <w:p w14:paraId="10B6357F">
      <w:pPr>
        <w:spacing w:line="500" w:lineRule="exact"/>
        <w:ind w:firstLine="422" w:firstLineChars="200"/>
        <w:rPr>
          <w:rFonts w:ascii="宋体" w:hAnsi="宋体" w:cs="宋体"/>
          <w:b/>
          <w:bCs/>
          <w:color w:val="auto"/>
          <w:highlight w:val="none"/>
        </w:rPr>
      </w:pPr>
      <w:bookmarkStart w:id="932" w:name="_Toc7272"/>
      <w:bookmarkEnd w:id="932"/>
      <w:bookmarkStart w:id="933" w:name="_Toc29614"/>
      <w:bookmarkEnd w:id="933"/>
      <w:bookmarkStart w:id="934" w:name="_Toc455080161"/>
      <w:bookmarkEnd w:id="934"/>
      <w:bookmarkStart w:id="935" w:name="_Toc509667311"/>
      <w:bookmarkEnd w:id="935"/>
      <w:bookmarkStart w:id="936" w:name="_Toc466298144"/>
      <w:bookmarkEnd w:id="936"/>
      <w:bookmarkStart w:id="937" w:name="_Toc14633"/>
      <w:bookmarkEnd w:id="937"/>
      <w:bookmarkStart w:id="938" w:name="_Toc318450727"/>
      <w:bookmarkEnd w:id="938"/>
      <w:bookmarkStart w:id="939" w:name="_Toc490667880"/>
      <w:bookmarkEnd w:id="939"/>
      <w:bookmarkStart w:id="940" w:name="_Toc18886"/>
      <w:bookmarkEnd w:id="940"/>
      <w:bookmarkStart w:id="941" w:name="_Toc281405533"/>
      <w:bookmarkEnd w:id="941"/>
      <w:bookmarkStart w:id="942" w:name="_Toc30986"/>
      <w:bookmarkEnd w:id="942"/>
      <w:bookmarkStart w:id="943" w:name="_Toc455867821"/>
      <w:bookmarkEnd w:id="943"/>
      <w:bookmarkStart w:id="944" w:name="_Toc129073513"/>
      <w:bookmarkStart w:id="945" w:name="_Toc5427"/>
      <w:bookmarkStart w:id="946" w:name="_Toc29587"/>
      <w:r>
        <w:rPr>
          <w:rFonts w:hint="eastAsia" w:ascii="宋体" w:hAnsi="宋体" w:cs="宋体"/>
          <w:b/>
          <w:bCs/>
          <w:color w:val="auto"/>
          <w:highlight w:val="none"/>
        </w:rPr>
        <w:t>3.1 初步评审</w:t>
      </w:r>
      <w:bookmarkEnd w:id="944"/>
      <w:bookmarkEnd w:id="945"/>
      <w:bookmarkEnd w:id="946"/>
    </w:p>
    <w:p w14:paraId="333D8982">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3.1.1 磋商小组依据本章第2.1款规定的标准对响应文件进行初步评审（资格性审查、符合性审查）。有一项不符合评审标准的，作无效响应处理。</w:t>
      </w:r>
    </w:p>
    <w:p w14:paraId="2A9350DF">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3.1.2 供应商有以下情形之一的，其响应文件作无效处理：</w:t>
      </w:r>
    </w:p>
    <w:p w14:paraId="27C0E979">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（1）串通或弄虚作假或有其他违法行为的；</w:t>
      </w:r>
    </w:p>
    <w:p w14:paraId="01CA2913">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（2）不按磋商小组要求澄清、说明或补正的；</w:t>
      </w:r>
    </w:p>
    <w:p w14:paraId="065A0CBC">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（3）未按规定格式填写、内容不全或关键字迹模糊、无法辨认的；</w:t>
      </w:r>
    </w:p>
    <w:p w14:paraId="65CFEB76">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（4）响应文件附有采购人不能接受的条件；</w:t>
      </w:r>
    </w:p>
    <w:p w14:paraId="24383C21">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（5）不符合磋商文件规定的其他实质性要求。</w:t>
      </w:r>
    </w:p>
    <w:p w14:paraId="739886AC">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3.1.3 响应文件报价出现前后不一致的，按照下列规定修正：</w:t>
      </w:r>
    </w:p>
    <w:p w14:paraId="3C7E99EF">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（一）响应文件中磋商函附录（报价表）内容与响应文件中相应内容不一致的，以磋商函附录（报价表）为准；</w:t>
      </w:r>
    </w:p>
    <w:p w14:paraId="67AACEAD">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（二）大写金额和小写金额不一致的，以大写金额为准；</w:t>
      </w:r>
    </w:p>
    <w:p w14:paraId="42CFA1C9">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（三）单价金额小数点或者百分比有明显错位的，以磋商函附录的总价为准，并修改单价；</w:t>
      </w:r>
    </w:p>
    <w:p w14:paraId="1CD19FAE">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（四）总价金额与按单价汇总金额不一致的，以单价金额计算结果为准。</w:t>
      </w:r>
    </w:p>
    <w:p w14:paraId="71E80E50">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同时出现两种以上不一致的，按照前款规定的顺序修正。</w:t>
      </w:r>
    </w:p>
    <w:p w14:paraId="5444F408">
      <w:pPr>
        <w:spacing w:line="500" w:lineRule="exact"/>
        <w:ind w:firstLine="422" w:firstLineChars="200"/>
        <w:rPr>
          <w:rFonts w:ascii="宋体" w:hAnsi="宋体" w:cs="宋体"/>
          <w:b/>
          <w:bCs/>
          <w:color w:val="auto"/>
          <w:highlight w:val="none"/>
        </w:rPr>
      </w:pPr>
      <w:bookmarkStart w:id="947" w:name="_Toc21032"/>
      <w:bookmarkEnd w:id="947"/>
      <w:bookmarkStart w:id="948" w:name="_Toc281405534"/>
      <w:bookmarkEnd w:id="948"/>
      <w:bookmarkStart w:id="949" w:name="_Toc455080162"/>
      <w:bookmarkEnd w:id="949"/>
      <w:bookmarkStart w:id="950" w:name="_Toc509667312"/>
      <w:bookmarkEnd w:id="950"/>
      <w:bookmarkStart w:id="951" w:name="_Toc318450728"/>
      <w:bookmarkEnd w:id="951"/>
      <w:bookmarkStart w:id="952" w:name="_Toc7121"/>
      <w:bookmarkEnd w:id="952"/>
      <w:bookmarkStart w:id="953" w:name="_Toc466298145"/>
      <w:bookmarkEnd w:id="953"/>
      <w:bookmarkStart w:id="954" w:name="_Toc21570"/>
      <w:bookmarkEnd w:id="954"/>
      <w:bookmarkStart w:id="955" w:name="_Toc455867822"/>
      <w:bookmarkEnd w:id="955"/>
      <w:bookmarkStart w:id="956" w:name="_Toc12406"/>
      <w:bookmarkEnd w:id="956"/>
      <w:bookmarkStart w:id="957" w:name="_Toc10692"/>
      <w:bookmarkEnd w:id="957"/>
      <w:bookmarkStart w:id="958" w:name="_Toc490667881"/>
      <w:bookmarkEnd w:id="958"/>
      <w:bookmarkStart w:id="959" w:name="_Toc3258"/>
      <w:bookmarkStart w:id="960" w:name="_Toc129073514"/>
      <w:bookmarkStart w:id="961" w:name="_Toc26049"/>
      <w:r>
        <w:rPr>
          <w:rFonts w:hint="eastAsia" w:ascii="宋体" w:hAnsi="宋体" w:cs="宋体"/>
          <w:b/>
          <w:bCs/>
          <w:color w:val="auto"/>
          <w:highlight w:val="none"/>
        </w:rPr>
        <w:t>3.2 磋商</w:t>
      </w:r>
    </w:p>
    <w:p w14:paraId="7377AFAF">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3.2.1磋商小组集中与单一供应商分别进行磋商。磋商顺序按照交易平台默认顺序进行磋商，在磋商中，磋商双方可以就磋商项目所涉及的价格、技术、服务、合同草案条款等进行实质性磋商，但磋商的任何一方不得透露与磋商有关的其他供应商的商业秘密、技术资料、价格和其他信息。</w:t>
      </w:r>
    </w:p>
    <w:p w14:paraId="5FAA6D1D">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3.2.2在磋商过程中，磋商小组可以根据竞争性磋商文件和磋商情况实质性变动采购需求中的技术、服务要求以及合同草案条款，但不得变动竞争性磋商文件中的其他内容。实质性变动的内容，须经采购人代表确认。</w:t>
      </w:r>
    </w:p>
    <w:p w14:paraId="4204353E">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3.2.3对竞争性磋商文件作出的实质性变动是竞争性磋商文件的有效组成部分，磋商小组应当以书面形式同时通知所有参加磋商的供应商。</w:t>
      </w:r>
    </w:p>
    <w:p w14:paraId="2E9A26B6">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3.2.4竞争性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FB8C794">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3.2.5竞争性磋商文件能够详细列明采购标的的技术、服务要求的，磋商结束后，磋商小组应当要求所有实质性响应的供应商在规定时间内提交最后报价，未在规定时间内提交最后报价的供应商，</w:t>
      </w:r>
      <w:r>
        <w:rPr>
          <w:rFonts w:hint="eastAsia" w:ascii="宋体" w:hAnsi="宋体" w:cs="宋体"/>
          <w:b/>
          <w:bCs/>
          <w:color w:val="auto"/>
          <w:highlight w:val="none"/>
        </w:rPr>
        <w:t>视为退出磋商，作无效响应处理</w:t>
      </w:r>
      <w:r>
        <w:rPr>
          <w:rFonts w:hint="eastAsia" w:ascii="宋体" w:hAnsi="宋体" w:cs="宋体"/>
          <w:color w:val="auto"/>
          <w:highlight w:val="none"/>
        </w:rPr>
        <w:t>（系统故障除外），提交最后报价的供应商不得少于3家。</w:t>
      </w:r>
    </w:p>
    <w:p w14:paraId="64ED2682">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3.2.6最后报价是供应商响应文件的有效组成部分【注：最后报价明显低于其他通过初步审查供应商的报价，有可能影响工程质量或者不能诚信履约的，应当要求其在评审现场合理的时间内提供书面说明，必要时提交相关证明材料；供应商不能证明其报价合理性的，磋商小组应当认定其响应文件无效】。</w:t>
      </w:r>
    </w:p>
    <w:p w14:paraId="0F35A07C">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3.2.7情况特殊，经磋商小组根据磋商现场情况，可以要求供应商适当进行多轮报价。</w:t>
      </w:r>
    </w:p>
    <w:p w14:paraId="279901BD">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3.2.8经磋商确定最终采购需求和提交最后报价的供应商后，由磋商小组采用综合评分法对提交最后报价的供应商的响应文件和最后报价进行综合评分。</w:t>
      </w:r>
    </w:p>
    <w:p w14:paraId="560EBA3C">
      <w:pPr>
        <w:spacing w:line="500" w:lineRule="exact"/>
        <w:ind w:firstLine="422" w:firstLineChars="200"/>
        <w:rPr>
          <w:rFonts w:ascii="宋体" w:hAnsi="宋体" w:cs="宋体"/>
          <w:b/>
          <w:bCs/>
          <w:color w:val="auto"/>
          <w:highlight w:val="none"/>
        </w:rPr>
      </w:pPr>
      <w:r>
        <w:rPr>
          <w:rFonts w:hint="eastAsia" w:ascii="宋体" w:hAnsi="宋体" w:cs="宋体"/>
          <w:b/>
          <w:bCs/>
          <w:color w:val="auto"/>
          <w:highlight w:val="none"/>
        </w:rPr>
        <w:t>3.3详细评审</w:t>
      </w:r>
      <w:bookmarkEnd w:id="959"/>
      <w:bookmarkEnd w:id="960"/>
      <w:bookmarkEnd w:id="961"/>
    </w:p>
    <w:p w14:paraId="094D3AB2">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3.3.1磋商小组按本章第2.3款规定的量化因素和分值进行打分，并计算出综合评分得分。</w:t>
      </w:r>
    </w:p>
    <w:p w14:paraId="26E5A549">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（1）按本章第 2.3.1（1）目规定的评审因素和分值对磋商报价计算出得分 A；</w:t>
      </w:r>
    </w:p>
    <w:p w14:paraId="3BFF205D">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（2）按本章第 2.3.1（2）目规定的评审因素和分值对技术部分计算出得分 B；</w:t>
      </w:r>
    </w:p>
    <w:p w14:paraId="702C40B1">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（3）按本章第 2.3.1（3）目规定的评审因素和分值对商务部分计算出得分 C；</w:t>
      </w:r>
    </w:p>
    <w:p w14:paraId="0A1E2646">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3.3.2 评分分值计算保留小数点后两位，小数点后第三位“四舍五入”。</w:t>
      </w:r>
    </w:p>
    <w:p w14:paraId="27F90559">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3.3.3 供应商得分=A+B+C。</w:t>
      </w:r>
    </w:p>
    <w:p w14:paraId="4F57ED9D">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3.3.4在磋商过程中，凡遇到磋商文件中无界定或界定不清、前后不一致使磋商小组意见有分歧且又难以协商一致的问题，均由磋商小组予以表决，获半数以上同意的即为通过，未获半数同意的即为否决。</w:t>
      </w:r>
    </w:p>
    <w:p w14:paraId="449CEFF2">
      <w:pPr>
        <w:spacing w:line="500" w:lineRule="exact"/>
        <w:ind w:firstLine="422" w:firstLineChars="200"/>
        <w:rPr>
          <w:rFonts w:ascii="宋体" w:hAnsi="宋体" w:cs="宋体"/>
          <w:b/>
          <w:bCs/>
          <w:color w:val="auto"/>
          <w:highlight w:val="none"/>
        </w:rPr>
      </w:pPr>
      <w:bookmarkStart w:id="962" w:name="_Toc10153"/>
      <w:bookmarkEnd w:id="962"/>
      <w:bookmarkStart w:id="963" w:name="_Toc455867823"/>
      <w:bookmarkEnd w:id="963"/>
      <w:bookmarkStart w:id="964" w:name="_Toc455080163"/>
      <w:bookmarkEnd w:id="964"/>
      <w:bookmarkStart w:id="965" w:name="_Toc8813"/>
      <w:bookmarkEnd w:id="965"/>
      <w:bookmarkStart w:id="966" w:name="_Toc318450729"/>
      <w:bookmarkEnd w:id="966"/>
      <w:bookmarkStart w:id="967" w:name="_Toc24862"/>
      <w:bookmarkEnd w:id="967"/>
      <w:bookmarkStart w:id="968" w:name="_Toc11958"/>
      <w:bookmarkEnd w:id="968"/>
      <w:bookmarkStart w:id="969" w:name="_Toc28633"/>
      <w:bookmarkEnd w:id="969"/>
      <w:bookmarkStart w:id="970" w:name="_Toc281405535"/>
      <w:bookmarkEnd w:id="970"/>
      <w:bookmarkStart w:id="971" w:name="_Toc8342"/>
      <w:bookmarkEnd w:id="971"/>
      <w:bookmarkStart w:id="972" w:name="_Toc509667313"/>
      <w:bookmarkEnd w:id="972"/>
      <w:bookmarkStart w:id="973" w:name="_Toc466298146"/>
      <w:bookmarkEnd w:id="973"/>
      <w:bookmarkStart w:id="974" w:name="_Toc19344"/>
      <w:bookmarkStart w:id="975" w:name="_Toc129073515"/>
      <w:bookmarkStart w:id="976" w:name="_Toc490667882"/>
      <w:r>
        <w:rPr>
          <w:rFonts w:hint="eastAsia" w:ascii="宋体" w:hAnsi="宋体" w:cs="宋体"/>
          <w:b/>
          <w:bCs/>
          <w:color w:val="auto"/>
          <w:highlight w:val="none"/>
        </w:rPr>
        <w:t>3.4 响应文件的澄清和补正</w:t>
      </w:r>
      <w:bookmarkEnd w:id="974"/>
      <w:bookmarkEnd w:id="975"/>
      <w:bookmarkEnd w:id="976"/>
    </w:p>
    <w:p w14:paraId="171081F4">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3.4.1在磋商过程中，磋商小组可以要求供应商对响应文件中含义不明确、同类问题表述不一致或者有明显文字和计算错误的内容或者对细微偏离等作出必要的澄清、说明或者更正。磋商小组不接受供应商主动提出的澄清、说明或补正。</w:t>
      </w:r>
    </w:p>
    <w:p w14:paraId="23F988F4">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3.4.2 磋商小组对供应商提交的澄清、说明或补正有疑问的，可以要求供应商进一步澄清、说明或补正，直至满足磋商小组的要求。</w:t>
      </w:r>
    </w:p>
    <w:p w14:paraId="4B11309B">
      <w:pPr>
        <w:spacing w:line="500" w:lineRule="exact"/>
        <w:ind w:firstLine="420" w:firstLineChars="200"/>
        <w:rPr>
          <w:rFonts w:ascii="宋体" w:hAnsi="宋体" w:cs="宋体"/>
          <w:color w:val="auto"/>
          <w:highlight w:val="none"/>
        </w:rPr>
      </w:pPr>
      <w:bookmarkStart w:id="977" w:name="_Toc30243"/>
      <w:r>
        <w:rPr>
          <w:rFonts w:hint="eastAsia" w:ascii="宋体" w:hAnsi="宋体" w:cs="宋体"/>
          <w:color w:val="auto"/>
          <w:highlight w:val="none"/>
        </w:rPr>
        <w:t>3.4.4磋商小组要求供应商澄清、说明或者更正响应文件应当以书面形式作出。</w:t>
      </w:r>
      <w:bookmarkEnd w:id="977"/>
    </w:p>
    <w:p w14:paraId="048F5B04">
      <w:pPr>
        <w:spacing w:line="500" w:lineRule="exact"/>
        <w:ind w:firstLine="422" w:firstLineChars="200"/>
        <w:rPr>
          <w:rFonts w:ascii="宋体" w:hAnsi="宋体" w:cs="宋体"/>
          <w:b/>
          <w:bCs/>
          <w:color w:val="auto"/>
          <w:highlight w:val="none"/>
        </w:rPr>
      </w:pPr>
      <w:bookmarkStart w:id="978" w:name="_Toc5903"/>
      <w:bookmarkEnd w:id="978"/>
      <w:bookmarkStart w:id="979" w:name="_Toc19453"/>
      <w:bookmarkEnd w:id="979"/>
      <w:bookmarkStart w:id="980" w:name="_Toc281405536"/>
      <w:bookmarkEnd w:id="980"/>
      <w:bookmarkStart w:id="981" w:name="_Toc32183"/>
      <w:bookmarkEnd w:id="981"/>
      <w:bookmarkStart w:id="982" w:name="_Toc455867824"/>
      <w:bookmarkEnd w:id="982"/>
      <w:bookmarkStart w:id="983" w:name="_Toc22986"/>
      <w:bookmarkEnd w:id="983"/>
      <w:bookmarkStart w:id="984" w:name="_Toc26894"/>
      <w:bookmarkEnd w:id="984"/>
      <w:bookmarkStart w:id="985" w:name="_Toc490667883"/>
      <w:bookmarkEnd w:id="985"/>
      <w:bookmarkStart w:id="986" w:name="_Toc466298147"/>
      <w:bookmarkEnd w:id="986"/>
      <w:bookmarkStart w:id="987" w:name="_Toc509667314"/>
      <w:bookmarkEnd w:id="987"/>
      <w:bookmarkStart w:id="988" w:name="_Toc455080164"/>
      <w:bookmarkEnd w:id="988"/>
      <w:bookmarkStart w:id="989" w:name="_Toc318450730"/>
      <w:bookmarkEnd w:id="989"/>
      <w:bookmarkStart w:id="990" w:name="_Toc1857"/>
      <w:bookmarkStart w:id="991" w:name="_Toc129073516"/>
      <w:bookmarkStart w:id="992" w:name="_Toc28505"/>
      <w:r>
        <w:rPr>
          <w:rFonts w:hint="eastAsia" w:ascii="宋体" w:hAnsi="宋体" w:cs="宋体"/>
          <w:b/>
          <w:bCs/>
          <w:color w:val="auto"/>
          <w:highlight w:val="none"/>
        </w:rPr>
        <w:t>3.5 评审结果</w:t>
      </w:r>
      <w:bookmarkEnd w:id="990"/>
      <w:bookmarkEnd w:id="991"/>
      <w:bookmarkEnd w:id="992"/>
    </w:p>
    <w:p w14:paraId="1DD91390">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3.5.1除第二章“供应商须知”前附表授权直接确定成交人外，磋商小组按照得分由高到低的顺序推荐成交候选人。</w:t>
      </w:r>
    </w:p>
    <w:p w14:paraId="5BA660C4">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3.5.2 磋商小组完成评审后，应当向采购人提交书面评审报告和成交候选人名单。磋商小组推荐成交候选人的人数见供应商须知前附表。</w:t>
      </w:r>
    </w:p>
    <w:p w14:paraId="5E026D15">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3.5.3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BD247D5">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3.5.4未实质性响应磋商文件的响应文件作无效响应处理后，磋商小组应当在评审报告中详细的说明不响应的原因，应简单明了并说明不响应磋商文件中的具体条款。</w:t>
      </w:r>
    </w:p>
    <w:p w14:paraId="3B716A95">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3.6评标结果汇总完成后，除下列情形外，任何人不得修改评标结果：</w:t>
      </w:r>
    </w:p>
    <w:p w14:paraId="46476698">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1）分值汇总计算错误的；</w:t>
      </w:r>
    </w:p>
    <w:p w14:paraId="283EAF35">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2）分项评分超出评分标准范围的；</w:t>
      </w:r>
    </w:p>
    <w:p w14:paraId="2E6CFDB9">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3）磋商小组成员对客观评审因素评分不一致的；</w:t>
      </w:r>
    </w:p>
    <w:p w14:paraId="4BA59B8E">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4）经磋商小组认定评分畸高、畸低的。</w:t>
      </w:r>
    </w:p>
    <w:p w14:paraId="2A76AC55">
      <w:pPr>
        <w:spacing w:line="500" w:lineRule="exact"/>
        <w:ind w:firstLine="420" w:firstLineChars="200"/>
        <w:rPr>
          <w:rFonts w:ascii="宋体" w:hAnsi="宋体" w:cs="宋体"/>
          <w:color w:val="auto"/>
          <w:highlight w:val="none"/>
        </w:rPr>
      </w:pPr>
      <w:r>
        <w:rPr>
          <w:rFonts w:hint="eastAsia" w:ascii="宋体" w:hAnsi="宋体" w:cs="宋体"/>
          <w:color w:val="auto"/>
          <w:highlight w:val="none"/>
        </w:rPr>
        <w:t>评</w:t>
      </w:r>
      <w:r>
        <w:rPr>
          <w:rFonts w:hint="eastAsia" w:ascii="宋体" w:hAnsi="宋体" w:cs="宋体"/>
          <w:color w:val="auto"/>
          <w:highlight w:val="none"/>
          <w:lang w:val="en-US" w:eastAsia="zh-CN"/>
        </w:rPr>
        <w:t>审</w:t>
      </w:r>
      <w:r>
        <w:rPr>
          <w:rFonts w:hint="eastAsia" w:ascii="宋体" w:hAnsi="宋体" w:cs="宋体"/>
          <w:color w:val="auto"/>
          <w:highlight w:val="none"/>
        </w:rPr>
        <w:t>报告签署前，经复核发现存在以上情形之一的，磋商小组应当当场修改评标结果，并在</w:t>
      </w:r>
      <w:r>
        <w:rPr>
          <w:rFonts w:hint="eastAsia" w:ascii="宋体" w:hAnsi="宋体" w:cs="宋体"/>
          <w:color w:val="auto"/>
          <w:highlight w:val="none"/>
          <w:lang w:val="en-US" w:eastAsia="zh-CN"/>
        </w:rPr>
        <w:t>评审</w:t>
      </w:r>
      <w:r>
        <w:rPr>
          <w:rFonts w:hint="eastAsia" w:ascii="宋体" w:hAnsi="宋体" w:cs="宋体"/>
          <w:color w:val="auto"/>
          <w:highlight w:val="none"/>
        </w:rPr>
        <w:t>报告中记载；</w:t>
      </w:r>
      <w:r>
        <w:rPr>
          <w:rFonts w:hint="eastAsia" w:ascii="宋体" w:hAnsi="宋体" w:cs="宋体"/>
          <w:color w:val="auto"/>
          <w:highlight w:val="none"/>
          <w:lang w:val="en-US" w:eastAsia="zh-CN"/>
        </w:rPr>
        <w:t>评审</w:t>
      </w:r>
      <w:r>
        <w:rPr>
          <w:rFonts w:hint="eastAsia" w:ascii="宋体" w:hAnsi="宋体" w:cs="宋体"/>
          <w:color w:val="auto"/>
          <w:highlight w:val="none"/>
        </w:rPr>
        <w:t>报告签署后，采购人或者采购代理机构发现存在以上情形之一的，应当组织原磋商小组进行重新评审。</w:t>
      </w:r>
    </w:p>
    <w:p w14:paraId="5A0A926D">
      <w:pPr>
        <w:spacing w:line="360" w:lineRule="auto"/>
        <w:rPr>
          <w:rFonts w:ascii="宋体" w:hAnsi="宋体"/>
          <w:color w:val="auto"/>
          <w:highlight w:val="none"/>
        </w:rPr>
      </w:pPr>
    </w:p>
    <w:p w14:paraId="3BDBEBC3">
      <w:pPr>
        <w:pStyle w:val="2"/>
        <w:spacing w:before="120" w:after="120" w:line="400" w:lineRule="exact"/>
        <w:ind w:firstLine="542"/>
        <w:jc w:val="center"/>
        <w:rPr>
          <w:rFonts w:ascii="宋体" w:hAnsi="宋体"/>
          <w:bCs w:val="0"/>
          <w:color w:val="auto"/>
          <w:sz w:val="36"/>
          <w:szCs w:val="36"/>
          <w:highlight w:val="none"/>
        </w:rPr>
      </w:pPr>
      <w:r>
        <w:rPr>
          <w:rFonts w:hint="eastAsia" w:ascii="宋体" w:hAnsi="宋体"/>
          <w:bCs w:val="0"/>
          <w:color w:val="auto"/>
          <w:sz w:val="36"/>
          <w:szCs w:val="36"/>
          <w:highlight w:val="none"/>
        </w:rPr>
        <w:br w:type="page"/>
      </w:r>
      <w:bookmarkStart w:id="993" w:name="_Toc152045609"/>
      <w:bookmarkEnd w:id="993"/>
      <w:bookmarkStart w:id="994" w:name="_Toc152042387"/>
      <w:bookmarkEnd w:id="994"/>
      <w:bookmarkStart w:id="995" w:name="_Toc144974577"/>
      <w:bookmarkEnd w:id="995"/>
      <w:bookmarkStart w:id="996" w:name="_Toc2239"/>
      <w:bookmarkEnd w:id="996"/>
      <w:bookmarkStart w:id="997" w:name="_Toc25581"/>
      <w:bookmarkStart w:id="998" w:name="_Toc129073517"/>
      <w:bookmarkStart w:id="999" w:name="_Toc23890"/>
      <w:bookmarkStart w:id="1000" w:name="_Toc25849"/>
      <w:bookmarkStart w:id="1001" w:name="_Toc509667315"/>
      <w:bookmarkStart w:id="1002" w:name="_Toc5150"/>
      <w:r>
        <w:rPr>
          <w:rFonts w:hint="eastAsia" w:ascii="宋体" w:hAnsi="宋体"/>
          <w:bCs w:val="0"/>
          <w:color w:val="auto"/>
          <w:sz w:val="28"/>
          <w:szCs w:val="28"/>
          <w:highlight w:val="none"/>
        </w:rPr>
        <w:t>第四章  合同条款及格式</w:t>
      </w:r>
      <w:bookmarkEnd w:id="997"/>
      <w:bookmarkEnd w:id="998"/>
      <w:bookmarkEnd w:id="999"/>
      <w:bookmarkEnd w:id="1000"/>
      <w:bookmarkEnd w:id="1001"/>
      <w:bookmarkEnd w:id="1002"/>
    </w:p>
    <w:p w14:paraId="0FA30AE6">
      <w:pPr>
        <w:jc w:val="center"/>
        <w:rPr>
          <w:rFonts w:hint="default" w:ascii="Times New Roman" w:hAnsi="Times New Roman" w:eastAsia="华文中宋" w:cs="Times New Roman"/>
          <w:b/>
          <w:color w:val="auto"/>
          <w:sz w:val="52"/>
          <w:szCs w:val="52"/>
        </w:rPr>
      </w:pPr>
      <w:bookmarkStart w:id="1003" w:name="_Toc509667320"/>
      <w:bookmarkEnd w:id="1003"/>
      <w:bookmarkStart w:id="1004" w:name="_Toc152042575"/>
      <w:bookmarkEnd w:id="1004"/>
      <w:bookmarkStart w:id="1005" w:name="_Toc7718"/>
      <w:bookmarkEnd w:id="1005"/>
      <w:bookmarkStart w:id="1006" w:name="_Toc152045786"/>
      <w:bookmarkEnd w:id="1006"/>
      <w:bookmarkStart w:id="1007" w:name="_Toc144974855"/>
      <w:bookmarkEnd w:id="1007"/>
      <w:bookmarkStart w:id="1008" w:name="_Toc29364"/>
      <w:bookmarkEnd w:id="1008"/>
      <w:bookmarkStart w:id="1009" w:name="_Toc18631"/>
      <w:bookmarkStart w:id="1010" w:name="_Toc129073521"/>
      <w:bookmarkStart w:id="1011" w:name="_Toc6585"/>
    </w:p>
    <w:p w14:paraId="619DAC92">
      <w:pPr>
        <w:jc w:val="center"/>
        <w:rPr>
          <w:rFonts w:hint="default" w:ascii="Times New Roman" w:hAnsi="Times New Roman" w:eastAsia="华文中宋" w:cs="Times New Roman"/>
          <w:b/>
          <w:color w:val="auto"/>
          <w:sz w:val="52"/>
          <w:szCs w:val="52"/>
        </w:rPr>
      </w:pPr>
    </w:p>
    <w:p w14:paraId="70D9F857">
      <w:pPr>
        <w:jc w:val="center"/>
        <w:rPr>
          <w:rFonts w:hint="default" w:ascii="Times New Roman" w:hAnsi="Times New Roman" w:eastAsia="华文中宋" w:cs="Times New Roman"/>
          <w:b/>
          <w:color w:val="auto"/>
          <w:sz w:val="52"/>
          <w:szCs w:val="52"/>
        </w:rPr>
      </w:pPr>
    </w:p>
    <w:p w14:paraId="39A2F42C">
      <w:pPr>
        <w:jc w:val="center"/>
        <w:rPr>
          <w:rFonts w:hint="default" w:ascii="Times New Roman" w:hAnsi="Times New Roman" w:eastAsia="华文中宋" w:cs="Times New Roman"/>
          <w:b/>
          <w:color w:val="auto"/>
          <w:sz w:val="52"/>
          <w:szCs w:val="52"/>
        </w:rPr>
      </w:pPr>
    </w:p>
    <w:p w14:paraId="5E7F6B27">
      <w:pPr>
        <w:jc w:val="center"/>
        <w:rPr>
          <w:rFonts w:hint="default" w:ascii="Times New Roman" w:hAnsi="Times New Roman" w:eastAsia="华文中宋" w:cs="Times New Roman"/>
          <w:b/>
          <w:color w:val="auto"/>
          <w:sz w:val="52"/>
          <w:szCs w:val="52"/>
        </w:rPr>
      </w:pPr>
    </w:p>
    <w:p w14:paraId="125B8462">
      <w:pPr>
        <w:jc w:val="center"/>
        <w:rPr>
          <w:rFonts w:hint="default" w:ascii="Times New Roman" w:hAnsi="Times New Roman" w:eastAsia="华文中宋" w:cs="Times New Roman"/>
          <w:b/>
          <w:color w:val="auto"/>
          <w:sz w:val="52"/>
          <w:szCs w:val="52"/>
        </w:rPr>
      </w:pPr>
      <w:r>
        <w:rPr>
          <w:rFonts w:hint="default" w:ascii="Times New Roman" w:hAnsi="Times New Roman" w:eastAsia="华文中宋" w:cs="Times New Roman"/>
          <w:b/>
          <w:color w:val="auto"/>
          <w:sz w:val="72"/>
          <w:szCs w:val="52"/>
        </w:rPr>
        <w:t>建设工程施工合同</w:t>
      </w:r>
      <w:r>
        <w:rPr>
          <w:rFonts w:hint="default" w:ascii="Times New Roman" w:hAnsi="Times New Roman" w:eastAsia="华文中宋" w:cs="Times New Roman"/>
          <w:b/>
          <w:color w:val="auto"/>
          <w:sz w:val="52"/>
          <w:szCs w:val="52"/>
        </w:rPr>
        <w:br w:type="textWrapping"/>
      </w:r>
    </w:p>
    <w:p w14:paraId="69E96C51">
      <w:pPr>
        <w:jc w:val="center"/>
        <w:rPr>
          <w:rFonts w:hint="default" w:ascii="Times New Roman" w:hAnsi="Times New Roman" w:eastAsia="华文中宋" w:cs="Times New Roman"/>
          <w:b/>
          <w:color w:val="auto"/>
          <w:sz w:val="52"/>
          <w:szCs w:val="52"/>
        </w:rPr>
      </w:pPr>
    </w:p>
    <w:p w14:paraId="43D57CE7">
      <w:pPr>
        <w:jc w:val="center"/>
        <w:rPr>
          <w:rFonts w:hint="default" w:ascii="Times New Roman" w:hAnsi="Times New Roman" w:eastAsia="黑体" w:cs="Times New Roman"/>
          <w:b/>
          <w:color w:val="auto"/>
          <w:sz w:val="72"/>
          <w:szCs w:val="72"/>
        </w:rPr>
      </w:pPr>
    </w:p>
    <w:p w14:paraId="2F4EA041">
      <w:pPr>
        <w:jc w:val="center"/>
        <w:rPr>
          <w:rFonts w:hint="default" w:ascii="Times New Roman" w:hAnsi="Times New Roman" w:eastAsia="楷体_GB2312" w:cs="Times New Roman"/>
          <w:b/>
          <w:color w:val="auto"/>
          <w:sz w:val="72"/>
          <w:szCs w:val="72"/>
        </w:rPr>
      </w:pPr>
    </w:p>
    <w:p w14:paraId="1E66C93E">
      <w:pPr>
        <w:jc w:val="center"/>
        <w:rPr>
          <w:rFonts w:hint="default" w:ascii="Times New Roman" w:hAnsi="Times New Roman" w:eastAsia="黑体" w:cs="Times New Roman"/>
          <w:b/>
          <w:color w:val="auto"/>
          <w:sz w:val="52"/>
          <w:szCs w:val="52"/>
        </w:rPr>
      </w:pPr>
    </w:p>
    <w:p w14:paraId="3136B5EE">
      <w:pPr>
        <w:rPr>
          <w:rFonts w:hint="default" w:ascii="Times New Roman" w:hAnsi="Times New Roman" w:cs="Times New Roman"/>
          <w:b/>
          <w:color w:val="auto"/>
          <w:sz w:val="28"/>
          <w:szCs w:val="28"/>
        </w:rPr>
      </w:pPr>
    </w:p>
    <w:p w14:paraId="25628458">
      <w:pPr>
        <w:rPr>
          <w:rFonts w:hint="default" w:ascii="Times New Roman" w:hAnsi="Times New Roman" w:cs="Times New Roman"/>
          <w:b/>
          <w:color w:val="auto"/>
          <w:sz w:val="28"/>
          <w:szCs w:val="28"/>
        </w:rPr>
      </w:pPr>
    </w:p>
    <w:p w14:paraId="4A2F94C1">
      <w:pPr>
        <w:rPr>
          <w:rFonts w:hint="default" w:ascii="Times New Roman" w:hAnsi="Times New Roman" w:cs="Times New Roman"/>
          <w:b/>
          <w:color w:val="auto"/>
          <w:sz w:val="28"/>
          <w:szCs w:val="28"/>
        </w:rPr>
      </w:pPr>
    </w:p>
    <w:p w14:paraId="1A81A61A">
      <w:pPr>
        <w:rPr>
          <w:rFonts w:hint="default" w:ascii="Times New Roman" w:hAnsi="Times New Roman" w:cs="Times New Roman"/>
          <w:b/>
          <w:color w:val="auto"/>
          <w:sz w:val="28"/>
          <w:szCs w:val="28"/>
        </w:rPr>
      </w:pPr>
    </w:p>
    <w:p w14:paraId="111EE42D">
      <w:pPr>
        <w:rPr>
          <w:rFonts w:hint="default" w:ascii="Times New Roman" w:hAnsi="Times New Roman" w:cs="Times New Roman"/>
          <w:b/>
          <w:color w:val="auto"/>
          <w:sz w:val="28"/>
          <w:szCs w:val="28"/>
        </w:rPr>
      </w:pPr>
    </w:p>
    <w:p w14:paraId="37C68452">
      <w:pPr>
        <w:ind w:right="2719" w:rightChars="1295" w:firstLine="2738" w:firstLineChars="1304"/>
        <w:jc w:val="distribute"/>
        <w:rPr>
          <w:rFonts w:hint="default" w:ascii="Times New Roman" w:hAnsi="Times New Roman" w:cs="Times New Roman"/>
          <w:b/>
          <w:color w:val="auto"/>
          <w:sz w:val="32"/>
          <w:szCs w:val="28"/>
        </w:rPr>
      </w:pPr>
      <w:r>
        <w:rPr>
          <w:rFonts w:hint="default" w:ascii="Times New Roman" w:hAnsi="Times New Roman" w:cs="Times New Roman"/>
          <w:color w:val="auto"/>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1" name="文本框 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2E57F78A">
                            <w:pPr>
                              <w:rPr>
                                <w:rFonts w:hint="eastAsia"/>
                                <w:b/>
                                <w:bCs/>
                                <w:color w:val="000000"/>
                                <w:sz w:val="32"/>
                              </w:rPr>
                            </w:pPr>
                            <w:r>
                              <w:rPr>
                                <w:rFonts w:hint="eastAsia"/>
                                <w:b/>
                                <w:bCs/>
                                <w:color w:val="000000"/>
                                <w:sz w:val="32"/>
                              </w:rPr>
                              <w:t>制定</w:t>
                            </w:r>
                          </w:p>
                        </w:txbxContent>
                      </wps:txbx>
                      <wps:bodyPr wrap="square" upright="1"/>
                    </wps:wsp>
                  </a:graphicData>
                </a:graphic>
              </wp:anchor>
            </w:drawing>
          </mc:Choice>
          <mc:Fallback>
            <w:pict>
              <v:shape id="文本框 2" o:spid="_x0000_s1026" o:spt="202" type="#_x0000_t202" style="position:absolute;left:0pt;margin-left:312.6pt;margin-top:9.45pt;height:36pt;width:57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V6Ltg0CAAAaBAAADgAAAGRycy9lMm9Eb2MueG1srVNL&#10;ktMwEN1TxR1U2hN7AmEYV5ypghA2FFA1cICOLNuq0g+1EjsXgBuwYsOec+UctOSQgWGTBV7YbfXT&#10;635PreXtaDTby4DK2ZpfzUrOpBWuUbar+aePmycvOMMItgHtrKz5QSK/XT1+tBx8Jeeud7qRgRGJ&#10;xWrwNe9j9FVRoOilAZw5Ly0lWxcMRPoNXdEEGIjd6GJels+LwYXGByckIq2upyQ/MYZLCF3bKiHX&#10;TuyMtHFiDVJDJEnYK498lbttWyni+7ZFGZmuOSmN+U1FKN6md7FaQtUF8L0SpxbgkhYeaDKgLBU9&#10;U60hAtsF9Q+VUSI4dG2cCWeKSUh2hFRclQ+8uevBy6yFrEZ/Nh3/H614t/8QmGpoEjizYOjAj9++&#10;Hr//PP74wubJnsFjRag7T7g4vnRjgp7WkRaT6rENJn1JD6M8mXs4myvHyAQtXs+f3pSUEZR6trim&#10;UUgsxf1mHzC+kc6wFNQ80NllS2H/FuME/Q1JtazbKK1pHSpt2VDzm8V8QfRAM9nSLFBoPOlC22Ua&#10;dFo1aUvagaHbvtKB7YHmYpOfUzd/wVK9NWA/4XIqwaAyKsqQo15C89o2LB48eWfpyvDUjJENZ1rS&#10;DUtRRkZQ+hIkWaItOZOMnwxOURy3I9GkcOuaAx3GQFNL8j7vIFDNnQ+q68m3fDh5M41MNvg03mkm&#10;//zPJe6v9Oo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c0tcdgAAAAJAQAADwAAAAAAAAABACAA&#10;AAAiAAAAZHJzL2Rvd25yZXYueG1sUEsBAhQAFAAAAAgAh07iQP1ei7YNAgAAGgQAAA4AAAAAAAAA&#10;AQAgAAAAJwEAAGRycy9lMm9Eb2MueG1sUEsFBgAAAAAGAAYAWQEAAKYFAAAAAA==&#10;">
                <v:fill on="f" focussize="0,0"/>
                <v:stroke color="#FFFFFF" joinstyle="miter"/>
                <v:imagedata o:title=""/>
                <o:lock v:ext="edit" aspectratio="f"/>
                <v:textbox>
                  <w:txbxContent>
                    <w:p w14:paraId="2E57F78A">
                      <w:pPr>
                        <w:rPr>
                          <w:rFonts w:hint="eastAsia"/>
                          <w:b/>
                          <w:bCs/>
                          <w:color w:val="000000"/>
                          <w:sz w:val="32"/>
                        </w:rPr>
                      </w:pPr>
                      <w:r>
                        <w:rPr>
                          <w:rFonts w:hint="eastAsia"/>
                          <w:b/>
                          <w:bCs/>
                          <w:color w:val="000000"/>
                          <w:sz w:val="32"/>
                        </w:rPr>
                        <w:t>制定</w:t>
                      </w:r>
                    </w:p>
                  </w:txbxContent>
                </v:textbox>
              </v:shape>
            </w:pict>
          </mc:Fallback>
        </mc:AlternateContent>
      </w:r>
      <w:r>
        <w:rPr>
          <w:rFonts w:hint="default" w:ascii="Times New Roman" w:hAnsi="Times New Roman" w:cs="Times New Roman"/>
          <w:b/>
          <w:color w:val="auto"/>
          <w:sz w:val="32"/>
          <w:szCs w:val="28"/>
        </w:rPr>
        <w:t>住房城乡建设部</w:t>
      </w:r>
    </w:p>
    <w:p w14:paraId="6F83D9FB">
      <w:pPr>
        <w:ind w:right="2719" w:rightChars="1295" w:firstLine="2750" w:firstLineChars="856"/>
        <w:jc w:val="distribute"/>
        <w:rPr>
          <w:rFonts w:hint="default" w:ascii="Times New Roman" w:hAnsi="Times New Roman" w:cs="Times New Roman"/>
          <w:b/>
          <w:color w:val="auto"/>
          <w:sz w:val="32"/>
          <w:szCs w:val="28"/>
        </w:rPr>
      </w:pPr>
      <w:r>
        <w:rPr>
          <w:rFonts w:hint="default" w:ascii="Times New Roman" w:hAnsi="Times New Roman" w:cs="Times New Roman"/>
          <w:b/>
          <w:color w:val="auto"/>
          <w:sz w:val="32"/>
          <w:szCs w:val="28"/>
        </w:rPr>
        <w:t>国家工商行政管理总局</w:t>
      </w:r>
    </w:p>
    <w:p w14:paraId="3AD06F0F">
      <w:pPr>
        <w:rPr>
          <w:rFonts w:hint="default" w:ascii="Times New Roman" w:hAnsi="Times New Roman" w:cs="Times New Roman"/>
          <w:b/>
          <w:color w:val="auto"/>
        </w:rPr>
      </w:pPr>
    </w:p>
    <w:p w14:paraId="5AD9FC8E">
      <w:pPr>
        <w:pStyle w:val="202"/>
        <w:spacing w:before="0" w:after="0" w:line="240" w:lineRule="auto"/>
        <w:jc w:val="center"/>
        <w:outlineLvl w:val="1"/>
        <w:rPr>
          <w:rFonts w:hint="default" w:ascii="Times New Roman" w:hAnsi="Times New Roman" w:eastAsia="华文中宋" w:cs="Times New Roman"/>
          <w:b w:val="0"/>
          <w:color w:val="auto"/>
        </w:rPr>
      </w:pPr>
      <w:r>
        <w:rPr>
          <w:rFonts w:hint="default" w:ascii="Times New Roman" w:hAnsi="Times New Roman" w:cs="Times New Roman"/>
          <w:b w:val="0"/>
          <w:color w:val="auto"/>
        </w:rPr>
        <w:br w:type="page"/>
      </w:r>
      <w:bookmarkStart w:id="1012" w:name="_Toc13827"/>
      <w:bookmarkStart w:id="1013" w:name="_Toc296503025"/>
      <w:bookmarkStart w:id="1014" w:name="_Toc296890982"/>
      <w:bookmarkStart w:id="1015" w:name="_Toc351203480"/>
      <w:r>
        <w:rPr>
          <w:rFonts w:hint="default" w:ascii="Times New Roman" w:hAnsi="Times New Roman" w:eastAsia="华文中宋" w:cs="Times New Roman"/>
          <w:color w:val="auto"/>
        </w:rPr>
        <w:t>第一部分 合同协议书</w:t>
      </w:r>
      <w:bookmarkEnd w:id="1012"/>
      <w:bookmarkEnd w:id="1013"/>
      <w:bookmarkEnd w:id="1014"/>
      <w:bookmarkEnd w:id="1015"/>
    </w:p>
    <w:p w14:paraId="142D4A75">
      <w:pPr>
        <w:pageBreakBefore w:val="0"/>
        <w:widowControl w:val="0"/>
        <w:kinsoku/>
        <w:wordWrap/>
        <w:overflowPunct/>
        <w:topLinePunct w:val="0"/>
        <w:bidi w:val="0"/>
        <w:snapToGrid/>
        <w:spacing w:line="440" w:lineRule="exact"/>
        <w:textAlignment w:val="auto"/>
        <w:rPr>
          <w:rFonts w:hint="eastAsia" w:ascii="仿宋" w:hAnsi="仿宋" w:eastAsia="仿宋" w:cs="仿宋"/>
          <w:b/>
          <w:color w:val="auto"/>
          <w:sz w:val="24"/>
          <w:szCs w:val="24"/>
          <w:u w:val="single"/>
          <w:lang w:val="en-US" w:eastAsia="zh-CN"/>
        </w:rPr>
      </w:pPr>
      <w:r>
        <w:rPr>
          <w:rFonts w:hint="eastAsia" w:ascii="仿宋" w:hAnsi="仿宋" w:eastAsia="仿宋" w:cs="仿宋"/>
          <w:b/>
          <w:color w:val="auto"/>
          <w:sz w:val="24"/>
          <w:szCs w:val="24"/>
          <w:lang w:eastAsia="zh-CN"/>
        </w:rPr>
        <w:t>发包人</w:t>
      </w:r>
      <w:r>
        <w:rPr>
          <w:rFonts w:hint="eastAsia" w:ascii="仿宋" w:hAnsi="仿宋" w:eastAsia="仿宋" w:cs="仿宋"/>
          <w:b/>
          <w:color w:val="auto"/>
          <w:sz w:val="24"/>
          <w:szCs w:val="24"/>
        </w:rPr>
        <w:t>(全称）：</w:t>
      </w:r>
      <w:r>
        <w:rPr>
          <w:rStyle w:val="100"/>
          <w:rFonts w:hint="eastAsia" w:ascii="仿宋" w:hAnsi="仿宋" w:eastAsia="仿宋" w:cs="仿宋"/>
          <w:color w:val="auto"/>
          <w:sz w:val="24"/>
          <w:szCs w:val="24"/>
          <w:u w:val="single"/>
          <w:lang w:val="en-US" w:eastAsia="zh-CN"/>
        </w:rPr>
        <w:t>河南财经政法大学</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        </w:t>
      </w:r>
    </w:p>
    <w:p w14:paraId="30DC9C2C">
      <w:pPr>
        <w:pageBreakBefore w:val="0"/>
        <w:widowControl w:val="0"/>
        <w:kinsoku/>
        <w:wordWrap/>
        <w:overflowPunct/>
        <w:topLinePunct w:val="0"/>
        <w:bidi w:val="0"/>
        <w:snapToGrid/>
        <w:spacing w:line="440" w:lineRule="exact"/>
        <w:textAlignment w:val="auto"/>
        <w:rPr>
          <w:rFonts w:hint="eastAsia" w:ascii="仿宋" w:hAnsi="仿宋" w:eastAsia="仿宋" w:cs="仿宋"/>
          <w:b/>
          <w:color w:val="auto"/>
          <w:sz w:val="24"/>
          <w:szCs w:val="24"/>
          <w:u w:val="single"/>
          <w:lang w:val="en-US" w:eastAsia="zh-CN"/>
        </w:rPr>
      </w:pPr>
      <w:r>
        <w:rPr>
          <w:rFonts w:hint="eastAsia" w:ascii="仿宋" w:hAnsi="仿宋" w:eastAsia="仿宋" w:cs="仿宋"/>
          <w:b/>
          <w:color w:val="auto"/>
          <w:sz w:val="24"/>
          <w:szCs w:val="24"/>
          <w:lang w:eastAsia="zh-CN"/>
        </w:rPr>
        <w:t>承包人</w:t>
      </w:r>
      <w:r>
        <w:rPr>
          <w:rFonts w:hint="eastAsia" w:ascii="仿宋" w:hAnsi="仿宋" w:eastAsia="仿宋" w:cs="仿宋"/>
          <w:b/>
          <w:color w:val="auto"/>
          <w:sz w:val="24"/>
          <w:szCs w:val="24"/>
        </w:rPr>
        <w:t>(全称）：</w:t>
      </w:r>
      <w:r>
        <w:rPr>
          <w:rFonts w:hint="eastAsia" w:ascii="仿宋" w:hAnsi="仿宋" w:eastAsia="仿宋" w:cs="仿宋"/>
          <w:b/>
          <w:color w:val="auto"/>
          <w:sz w:val="24"/>
          <w:szCs w:val="24"/>
          <w:u w:val="single"/>
          <w:lang w:val="en-US" w:eastAsia="zh-CN"/>
        </w:rPr>
        <w:t xml:space="preserve">                         </w:t>
      </w:r>
    </w:p>
    <w:p w14:paraId="414C83F9">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根据《中华人民共和国</w:t>
      </w:r>
      <w:r>
        <w:rPr>
          <w:rFonts w:hint="eastAsia" w:ascii="仿宋" w:hAnsi="仿宋" w:eastAsia="仿宋" w:cs="仿宋"/>
          <w:color w:val="auto"/>
          <w:sz w:val="24"/>
          <w:szCs w:val="24"/>
          <w:lang w:val="en-US" w:eastAsia="zh-CN"/>
        </w:rPr>
        <w:t>民法典</w:t>
      </w:r>
      <w:r>
        <w:rPr>
          <w:rFonts w:hint="eastAsia" w:ascii="仿宋" w:hAnsi="仿宋" w:eastAsia="仿宋" w:cs="仿宋"/>
          <w:color w:val="auto"/>
          <w:sz w:val="24"/>
          <w:szCs w:val="24"/>
        </w:rPr>
        <w:t>》、《中华人民共和国建筑法》及有关法律规定，遵循平等、自愿、公平和诚实信用的原则，双方就</w:t>
      </w:r>
    </w:p>
    <w:p w14:paraId="01AF9A4A">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bCs/>
          <w:color w:val="auto"/>
          <w:sz w:val="24"/>
          <w:szCs w:val="24"/>
          <w:u w:val="single"/>
          <w:lang w:eastAsia="zh-CN"/>
        </w:rPr>
        <w:t>河南财经政法大学文化路校区部分楼宇防水项目</w:t>
      </w:r>
      <w:r>
        <w:rPr>
          <w:rFonts w:hint="eastAsia" w:ascii="仿宋" w:hAnsi="仿宋" w:eastAsia="仿宋" w:cs="仿宋"/>
          <w:color w:val="auto"/>
          <w:sz w:val="24"/>
          <w:szCs w:val="24"/>
        </w:rPr>
        <w:t>及有关事项协商一致</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共同达成如下协议：</w:t>
      </w:r>
    </w:p>
    <w:p w14:paraId="7815DB71">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 xml:space="preserve">    </w:t>
      </w:r>
      <w:bookmarkStart w:id="1016" w:name="_Toc351203481"/>
      <w:r>
        <w:rPr>
          <w:rFonts w:hint="eastAsia" w:ascii="仿宋" w:hAnsi="仿宋" w:eastAsia="仿宋" w:cs="仿宋"/>
          <w:b/>
          <w:bCs w:val="0"/>
          <w:color w:val="auto"/>
          <w:sz w:val="24"/>
          <w:szCs w:val="24"/>
        </w:rPr>
        <w:t>一、工程概况</w:t>
      </w:r>
      <w:bookmarkEnd w:id="1016"/>
    </w:p>
    <w:p w14:paraId="38A3671F">
      <w:pPr>
        <w:pageBreakBefore w:val="0"/>
        <w:widowControl w:val="0"/>
        <w:kinsoku/>
        <w:wordWrap/>
        <w:overflowPunct/>
        <w:topLinePunct w:val="0"/>
        <w:bidi w:val="0"/>
        <w:snapToGrid/>
        <w:spacing w:line="440" w:lineRule="exact"/>
        <w:ind w:firstLine="470" w:firstLineChars="196"/>
        <w:textAlignment w:val="auto"/>
        <w:rPr>
          <w:rFonts w:hint="eastAsia" w:ascii="仿宋" w:hAnsi="仿宋" w:eastAsia="仿宋" w:cs="仿宋"/>
          <w:color w:val="auto"/>
          <w:sz w:val="24"/>
          <w:szCs w:val="24"/>
          <w:u w:val="single"/>
        </w:rPr>
      </w:pPr>
      <w:r>
        <w:rPr>
          <w:rFonts w:hint="eastAsia" w:ascii="仿宋" w:hAnsi="仿宋" w:eastAsia="仿宋" w:cs="仿宋"/>
          <w:bCs/>
          <w:color w:val="auto"/>
          <w:sz w:val="24"/>
          <w:szCs w:val="24"/>
        </w:rPr>
        <w:t>1</w:t>
      </w:r>
      <w:r>
        <w:rPr>
          <w:rFonts w:hint="eastAsia" w:ascii="仿宋" w:hAnsi="仿宋" w:eastAsia="仿宋" w:cs="仿宋"/>
          <w:bCs/>
          <w:color w:val="auto"/>
          <w:sz w:val="24"/>
          <w:szCs w:val="24"/>
          <w:lang w:val="en-US" w:eastAsia="zh-CN"/>
        </w:rPr>
        <w:t>.</w:t>
      </w:r>
      <w:r>
        <w:rPr>
          <w:rFonts w:hint="eastAsia" w:ascii="仿宋" w:hAnsi="仿宋" w:eastAsia="仿宋" w:cs="仿宋"/>
          <w:bCs/>
          <w:color w:val="auto"/>
          <w:sz w:val="24"/>
          <w:szCs w:val="24"/>
        </w:rPr>
        <w:t>工程名称</w:t>
      </w:r>
      <w:r>
        <w:rPr>
          <w:rFonts w:hint="eastAsia" w:ascii="仿宋" w:hAnsi="仿宋" w:eastAsia="仿宋" w:cs="仿宋"/>
          <w:color w:val="auto"/>
          <w:sz w:val="24"/>
          <w:szCs w:val="24"/>
        </w:rPr>
        <w:t>:</w:t>
      </w:r>
      <w:r>
        <w:rPr>
          <w:rFonts w:hint="eastAsia" w:ascii="仿宋" w:hAnsi="仿宋" w:eastAsia="仿宋" w:cs="仿宋"/>
          <w:bCs/>
          <w:color w:val="auto"/>
          <w:sz w:val="24"/>
          <w:szCs w:val="24"/>
          <w:u w:val="single"/>
          <w:lang w:eastAsia="zh-CN"/>
        </w:rPr>
        <w:t>河南财经政法大学文化路校区部分楼宇防水项目</w:t>
      </w:r>
      <w:r>
        <w:rPr>
          <w:rFonts w:hint="eastAsia" w:ascii="仿宋" w:hAnsi="仿宋" w:eastAsia="仿宋" w:cs="仿宋"/>
          <w:color w:val="auto"/>
          <w:sz w:val="24"/>
          <w:szCs w:val="24"/>
        </w:rPr>
        <w:t>。</w:t>
      </w:r>
    </w:p>
    <w:p w14:paraId="0442B758">
      <w:pPr>
        <w:pageBreakBefore w:val="0"/>
        <w:widowControl w:val="0"/>
        <w:kinsoku/>
        <w:wordWrap/>
        <w:overflowPunct/>
        <w:topLinePunct w:val="0"/>
        <w:bidi w:val="0"/>
        <w:snapToGrid/>
        <w:spacing w:line="440" w:lineRule="exact"/>
        <w:ind w:firstLine="470" w:firstLineChars="196"/>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2</w:t>
      </w:r>
      <w:r>
        <w:rPr>
          <w:rFonts w:hint="eastAsia" w:ascii="仿宋" w:hAnsi="仿宋" w:eastAsia="仿宋" w:cs="仿宋"/>
          <w:bCs/>
          <w:color w:val="auto"/>
          <w:sz w:val="24"/>
          <w:szCs w:val="24"/>
          <w:lang w:val="en-US" w:eastAsia="zh-CN"/>
        </w:rPr>
        <w:t>.</w:t>
      </w:r>
      <w:r>
        <w:rPr>
          <w:rFonts w:hint="eastAsia" w:ascii="仿宋" w:hAnsi="仿宋" w:eastAsia="仿宋" w:cs="仿宋"/>
          <w:bCs/>
          <w:color w:val="auto"/>
          <w:sz w:val="24"/>
          <w:szCs w:val="24"/>
        </w:rPr>
        <w:t>工程地点：</w:t>
      </w:r>
      <w:r>
        <w:rPr>
          <w:rFonts w:hint="eastAsia" w:ascii="仿宋" w:hAnsi="仿宋" w:eastAsia="仿宋" w:cs="仿宋"/>
          <w:bCs/>
          <w:color w:val="auto"/>
          <w:sz w:val="24"/>
          <w:szCs w:val="24"/>
          <w:u w:val="single"/>
          <w:lang w:eastAsia="zh-CN"/>
        </w:rPr>
        <w:t>河南财经政法大学文化路校区（郑州市金水区文化路80号、90号）</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rPr>
        <w:t>。</w:t>
      </w:r>
    </w:p>
    <w:p w14:paraId="4C19011C">
      <w:pPr>
        <w:pageBreakBefore w:val="0"/>
        <w:widowControl w:val="0"/>
        <w:kinsoku/>
        <w:wordWrap/>
        <w:overflowPunct/>
        <w:topLinePunct w:val="0"/>
        <w:bidi w:val="0"/>
        <w:snapToGrid/>
        <w:spacing w:line="440" w:lineRule="exact"/>
        <w:ind w:firstLine="470" w:firstLineChars="196"/>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3.工程立项批准文号:</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bCs/>
          <w:color w:val="auto"/>
          <w:sz w:val="24"/>
          <w:szCs w:val="24"/>
        </w:rPr>
        <w:t>。</w:t>
      </w:r>
    </w:p>
    <w:p w14:paraId="1E78F5BF">
      <w:pPr>
        <w:pageBreakBefore w:val="0"/>
        <w:widowControl w:val="0"/>
        <w:kinsoku/>
        <w:wordWrap/>
        <w:overflowPunct/>
        <w:topLinePunct w:val="0"/>
        <w:bidi w:val="0"/>
        <w:snapToGrid/>
        <w:spacing w:line="440" w:lineRule="exact"/>
        <w:ind w:firstLine="470" w:firstLineChars="196"/>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4.资金来源：</w:t>
      </w:r>
      <w:r>
        <w:rPr>
          <w:rFonts w:hint="eastAsia" w:ascii="仿宋" w:hAnsi="仿宋" w:eastAsia="仿宋" w:cs="仿宋"/>
          <w:bCs/>
          <w:color w:val="auto"/>
          <w:sz w:val="24"/>
          <w:szCs w:val="24"/>
          <w:u w:val="single"/>
          <w:lang w:eastAsia="zh-CN"/>
        </w:rPr>
        <w:t>财政资金</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bCs/>
          <w:color w:val="auto"/>
          <w:sz w:val="24"/>
          <w:szCs w:val="24"/>
        </w:rPr>
        <w:t>。</w:t>
      </w:r>
    </w:p>
    <w:p w14:paraId="1354B1A2">
      <w:pPr>
        <w:pageBreakBefore w:val="0"/>
        <w:widowControl w:val="0"/>
        <w:kinsoku/>
        <w:wordWrap/>
        <w:overflowPunct/>
        <w:topLinePunct w:val="0"/>
        <w:bidi w:val="0"/>
        <w:snapToGrid/>
        <w:spacing w:line="440" w:lineRule="exact"/>
        <w:ind w:firstLine="470" w:firstLineChars="196"/>
        <w:textAlignment w:val="auto"/>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5</w:t>
      </w:r>
      <w:r>
        <w:rPr>
          <w:rFonts w:hint="eastAsia" w:ascii="仿宋" w:hAnsi="仿宋" w:eastAsia="仿宋" w:cs="仿宋"/>
          <w:bCs/>
          <w:color w:val="auto"/>
          <w:sz w:val="24"/>
          <w:szCs w:val="24"/>
          <w:lang w:val="en-US" w:eastAsia="zh-CN"/>
        </w:rPr>
        <w:t>.</w:t>
      </w:r>
      <w:r>
        <w:rPr>
          <w:rFonts w:hint="eastAsia" w:ascii="仿宋" w:hAnsi="仿宋" w:eastAsia="仿宋" w:cs="仿宋"/>
          <w:bCs/>
          <w:color w:val="auto"/>
          <w:sz w:val="24"/>
          <w:szCs w:val="24"/>
        </w:rPr>
        <w:t>工程内容:</w:t>
      </w:r>
      <w:r>
        <w:rPr>
          <w:rFonts w:hint="eastAsia" w:ascii="仿宋" w:hAnsi="仿宋" w:eastAsia="仿宋" w:cs="仿宋"/>
          <w:bCs/>
          <w:color w:val="auto"/>
          <w:sz w:val="24"/>
          <w:szCs w:val="24"/>
          <w:u w:val="single"/>
          <w:lang w:val="en-US" w:eastAsia="zh-CN"/>
        </w:rPr>
        <w:t>河南财经政法大学文北校区办公楼、一餐厅、二餐厅、4号楼附楼、校医院及河南财经政法大学文南校区办公楼、宾馆楼、2号楼、榕园楼屋顶防水拆除及恢复</w:t>
      </w:r>
      <w:r>
        <w:rPr>
          <w:rFonts w:hint="eastAsia" w:ascii="仿宋" w:hAnsi="仿宋" w:eastAsia="仿宋" w:cs="仿宋"/>
          <w:color w:val="auto"/>
          <w:sz w:val="24"/>
          <w:szCs w:val="24"/>
          <w:u w:val="single"/>
          <w:lang w:eastAsia="zh-CN"/>
        </w:rPr>
        <w:t>。</w:t>
      </w:r>
    </w:p>
    <w:p w14:paraId="674CCEB5">
      <w:pPr>
        <w:pageBreakBefore w:val="0"/>
        <w:widowControl w:val="0"/>
        <w:kinsoku/>
        <w:wordWrap/>
        <w:overflowPunct/>
        <w:topLinePunct w:val="0"/>
        <w:bidi w:val="0"/>
        <w:snapToGrid/>
        <w:spacing w:line="440" w:lineRule="exact"/>
        <w:ind w:firstLine="470" w:firstLineChars="196"/>
        <w:textAlignment w:val="auto"/>
        <w:rPr>
          <w:rFonts w:hint="eastAsia" w:ascii="仿宋" w:hAnsi="仿宋" w:eastAsia="仿宋" w:cs="仿宋"/>
          <w:color w:val="auto"/>
          <w:sz w:val="24"/>
          <w:szCs w:val="24"/>
        </w:rPr>
      </w:pPr>
      <w:r>
        <w:rPr>
          <w:rFonts w:hint="eastAsia" w:ascii="仿宋" w:hAnsi="仿宋" w:eastAsia="仿宋" w:cs="仿宋"/>
          <w:bCs/>
          <w:color w:val="auto"/>
          <w:sz w:val="24"/>
          <w:szCs w:val="24"/>
        </w:rPr>
        <w:t>6</w:t>
      </w:r>
      <w:r>
        <w:rPr>
          <w:rFonts w:hint="eastAsia" w:ascii="仿宋" w:hAnsi="仿宋" w:eastAsia="仿宋" w:cs="仿宋"/>
          <w:bCs/>
          <w:color w:val="auto"/>
          <w:sz w:val="24"/>
          <w:szCs w:val="24"/>
          <w:lang w:val="en-US" w:eastAsia="zh-CN"/>
        </w:rPr>
        <w:t>.</w:t>
      </w:r>
      <w:r>
        <w:rPr>
          <w:rFonts w:hint="eastAsia" w:ascii="仿宋" w:hAnsi="仿宋" w:eastAsia="仿宋" w:cs="仿宋"/>
          <w:bCs/>
          <w:color w:val="auto"/>
          <w:sz w:val="24"/>
          <w:szCs w:val="24"/>
        </w:rPr>
        <w:t>工程承包范围：</w:t>
      </w:r>
      <w:r>
        <w:rPr>
          <w:rFonts w:hint="eastAsia" w:ascii="仿宋" w:hAnsi="仿宋" w:eastAsia="仿宋" w:cs="仿宋"/>
          <w:bCs/>
          <w:color w:val="auto"/>
          <w:sz w:val="24"/>
          <w:szCs w:val="24"/>
          <w:u w:val="single"/>
          <w:lang w:val="en-US" w:eastAsia="zh-CN"/>
        </w:rPr>
        <w:t>本项目磋商文件、</w:t>
      </w:r>
      <w:r>
        <w:rPr>
          <w:rFonts w:hint="eastAsia" w:ascii="仿宋" w:hAnsi="仿宋" w:eastAsia="仿宋" w:cs="仿宋"/>
          <w:bCs/>
          <w:color w:val="auto"/>
          <w:sz w:val="24"/>
          <w:szCs w:val="24"/>
          <w:u w:val="single"/>
          <w:lang w:eastAsia="zh-CN"/>
        </w:rPr>
        <w:t>工程量清单、工程量清单答疑（如有）及补充说明（如有）包含的全部工作内容的</w:t>
      </w:r>
      <w:r>
        <w:rPr>
          <w:rFonts w:hint="eastAsia" w:ascii="仿宋" w:hAnsi="仿宋" w:eastAsia="仿宋" w:cs="仿宋"/>
          <w:bCs/>
          <w:color w:val="auto"/>
          <w:sz w:val="24"/>
          <w:szCs w:val="24"/>
          <w:u w:val="single"/>
          <w:lang w:val="en-US" w:eastAsia="zh-CN"/>
        </w:rPr>
        <w:t>施工、竣工验收、保修和相关服务</w:t>
      </w:r>
      <w:r>
        <w:rPr>
          <w:rFonts w:hint="eastAsia" w:ascii="仿宋" w:hAnsi="仿宋" w:eastAsia="仿宋" w:cs="仿宋"/>
          <w:color w:val="auto"/>
          <w:sz w:val="24"/>
          <w:szCs w:val="24"/>
        </w:rPr>
        <w:t>。</w:t>
      </w:r>
    </w:p>
    <w:p w14:paraId="2D86D615">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 xml:space="preserve">  </w:t>
      </w:r>
      <w:r>
        <w:rPr>
          <w:rFonts w:hint="eastAsia" w:ascii="仿宋" w:hAnsi="仿宋" w:eastAsia="仿宋" w:cs="仿宋"/>
          <w:b/>
          <w:bCs w:val="0"/>
          <w:color w:val="auto"/>
          <w:sz w:val="24"/>
          <w:szCs w:val="24"/>
          <w:lang w:val="en-US" w:eastAsia="zh-CN"/>
        </w:rPr>
        <w:t xml:space="preserve"> </w:t>
      </w:r>
      <w:r>
        <w:rPr>
          <w:rFonts w:hint="eastAsia" w:ascii="仿宋" w:hAnsi="仿宋" w:eastAsia="仿宋" w:cs="仿宋"/>
          <w:b/>
          <w:bCs w:val="0"/>
          <w:color w:val="auto"/>
          <w:sz w:val="24"/>
          <w:szCs w:val="24"/>
        </w:rPr>
        <w:t xml:space="preserve"> </w:t>
      </w:r>
      <w:bookmarkStart w:id="1017" w:name="_Toc351203482"/>
      <w:r>
        <w:rPr>
          <w:rFonts w:hint="eastAsia" w:ascii="仿宋" w:hAnsi="仿宋" w:eastAsia="仿宋" w:cs="仿宋"/>
          <w:b/>
          <w:bCs w:val="0"/>
          <w:color w:val="auto"/>
          <w:sz w:val="24"/>
          <w:szCs w:val="24"/>
        </w:rPr>
        <w:t>二、合同工期</w:t>
      </w:r>
      <w:bookmarkEnd w:id="1017"/>
    </w:p>
    <w:p w14:paraId="78EE39CF">
      <w:pPr>
        <w:pageBreakBefore w:val="0"/>
        <w:widowControl w:val="0"/>
        <w:kinsoku/>
        <w:wordWrap/>
        <w:overflowPunct/>
        <w:topLinePunct w:val="0"/>
        <w:bidi w:val="0"/>
        <w:snapToGrid/>
        <w:spacing w:line="440" w:lineRule="exact"/>
        <w:ind w:firstLine="459"/>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计划开工日期：</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2026</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日</w:t>
      </w:r>
    </w:p>
    <w:p w14:paraId="130128A5">
      <w:pPr>
        <w:pageBreakBefore w:val="0"/>
        <w:widowControl w:val="0"/>
        <w:kinsoku/>
        <w:wordWrap/>
        <w:overflowPunct/>
        <w:topLinePunct w:val="0"/>
        <w:bidi w:val="0"/>
        <w:snapToGrid/>
        <w:spacing w:line="440" w:lineRule="exact"/>
        <w:ind w:firstLine="459"/>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计划竣工日期：</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2026</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日。</w:t>
      </w:r>
    </w:p>
    <w:p w14:paraId="6E967450">
      <w:pPr>
        <w:pageBreakBefore w:val="0"/>
        <w:widowControl w:val="0"/>
        <w:kinsoku/>
        <w:wordWrap/>
        <w:overflowPunct/>
        <w:topLinePunct w:val="0"/>
        <w:bidi w:val="0"/>
        <w:snapToGrid/>
        <w:spacing w:line="440" w:lineRule="exact"/>
        <w:ind w:firstLine="459"/>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工期总日历天数：</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天</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工期总日历天数与根据前述计划开竣工日期计算的工期天数不一致的，以工期总日历天数为准。</w:t>
      </w:r>
    </w:p>
    <w:p w14:paraId="1C133F7B">
      <w:pPr>
        <w:pageBreakBefore w:val="0"/>
        <w:widowControl w:val="0"/>
        <w:kinsoku/>
        <w:wordWrap/>
        <w:overflowPunct/>
        <w:topLinePunct w:val="0"/>
        <w:bidi w:val="0"/>
        <w:snapToGrid/>
        <w:spacing w:line="440" w:lineRule="exact"/>
        <w:ind w:firstLine="459"/>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缺陷责任期：2年，有国家特殊规定的，按照规定执行。缺陷责任期的起算时间：自竣工验收合格之日起开始计算。</w:t>
      </w:r>
    </w:p>
    <w:p w14:paraId="3BAD8C6F">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 xml:space="preserve">    </w:t>
      </w:r>
      <w:bookmarkStart w:id="1018" w:name="_Toc351203483"/>
      <w:r>
        <w:rPr>
          <w:rFonts w:hint="eastAsia" w:ascii="仿宋" w:hAnsi="仿宋" w:eastAsia="仿宋" w:cs="仿宋"/>
          <w:b/>
          <w:bCs w:val="0"/>
          <w:color w:val="auto"/>
          <w:sz w:val="24"/>
          <w:szCs w:val="24"/>
        </w:rPr>
        <w:t>三、质量标准</w:t>
      </w:r>
      <w:bookmarkEnd w:id="1018"/>
    </w:p>
    <w:p w14:paraId="6B212059">
      <w:pPr>
        <w:pageBreakBefore w:val="0"/>
        <w:widowControl w:val="0"/>
        <w:kinsoku/>
        <w:wordWrap/>
        <w:overflowPunct/>
        <w:topLinePunct w:val="0"/>
        <w:bidi w:val="0"/>
        <w:snapToGrid/>
        <w:spacing w:line="440" w:lineRule="exact"/>
        <w:ind w:firstLine="459"/>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工程质量符合</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工程质量符合国家现行规范和标准，达到合格工程标准</w:t>
      </w:r>
      <w:r>
        <w:rPr>
          <w:rFonts w:hint="eastAsia" w:ascii="仿宋" w:hAnsi="仿宋" w:eastAsia="仿宋" w:cs="仿宋"/>
          <w:color w:val="auto"/>
          <w:sz w:val="24"/>
          <w:szCs w:val="24"/>
          <w:u w:val="single"/>
          <w:lang w:val="en-US" w:eastAsia="zh-CN"/>
        </w:rPr>
        <w:t>。</w:t>
      </w:r>
    </w:p>
    <w:p w14:paraId="5C24E67B">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 xml:space="preserve">    </w:t>
      </w:r>
      <w:bookmarkStart w:id="1019" w:name="_Toc351203484"/>
      <w:r>
        <w:rPr>
          <w:rFonts w:hint="eastAsia" w:ascii="仿宋" w:hAnsi="仿宋" w:eastAsia="仿宋" w:cs="仿宋"/>
          <w:b/>
          <w:bCs w:val="0"/>
          <w:color w:val="auto"/>
          <w:sz w:val="24"/>
          <w:szCs w:val="24"/>
        </w:rPr>
        <w:t>四、签约合同价与合同价格形式</w:t>
      </w:r>
      <w:bookmarkEnd w:id="1019"/>
      <w:r>
        <w:rPr>
          <w:rFonts w:hint="eastAsia" w:ascii="仿宋" w:hAnsi="仿宋" w:eastAsia="仿宋" w:cs="仿宋"/>
          <w:b/>
          <w:bCs w:val="0"/>
          <w:color w:val="auto"/>
          <w:sz w:val="24"/>
          <w:szCs w:val="24"/>
        </w:rPr>
        <w:tab/>
      </w:r>
    </w:p>
    <w:p w14:paraId="22632F15">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签约合同价为:</w:t>
      </w:r>
    </w:p>
    <w:p w14:paraId="5F93DA9C">
      <w:pPr>
        <w:pageBreakBefore w:val="0"/>
        <w:widowControl w:val="0"/>
        <w:kinsoku/>
        <w:wordWrap/>
        <w:overflowPunct/>
        <w:topLinePunct w:val="0"/>
        <w:bidi w:val="0"/>
        <w:snapToGrid/>
        <w:spacing w:line="440" w:lineRule="exact"/>
        <w:ind w:firstLine="600" w:firstLineChars="25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元)；</w:t>
      </w:r>
    </w:p>
    <w:p w14:paraId="1B04C1F1">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其中：</w:t>
      </w:r>
    </w:p>
    <w:p w14:paraId="1D1BAF1D">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（1）安全文明施工费：</w:t>
      </w:r>
    </w:p>
    <w:p w14:paraId="543DC313">
      <w:pPr>
        <w:pageBreakBefore w:val="0"/>
        <w:widowControl w:val="0"/>
        <w:kinsoku/>
        <w:wordWrap/>
        <w:overflowPunct/>
        <w:topLinePunct w:val="0"/>
        <w:bidi w:val="0"/>
        <w:snapToGrid/>
        <w:spacing w:line="440" w:lineRule="exact"/>
        <w:ind w:firstLine="1080" w:firstLineChars="45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p>
    <w:p w14:paraId="62572AD6">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（2）材料和工程设备暂估价金额：</w:t>
      </w:r>
    </w:p>
    <w:p w14:paraId="5E7BEE4D">
      <w:pPr>
        <w:pageBreakBefore w:val="0"/>
        <w:widowControl w:val="0"/>
        <w:kinsoku/>
        <w:wordWrap/>
        <w:overflowPunct/>
        <w:topLinePunct w:val="0"/>
        <w:bidi w:val="0"/>
        <w:snapToGrid/>
        <w:spacing w:line="440" w:lineRule="exact"/>
        <w:ind w:firstLine="1080" w:firstLineChars="45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p>
    <w:p w14:paraId="4F61437D">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（3）专业工程暂估价金额：</w:t>
      </w:r>
    </w:p>
    <w:p w14:paraId="00E1B6D5">
      <w:pPr>
        <w:pageBreakBefore w:val="0"/>
        <w:widowControl w:val="0"/>
        <w:kinsoku/>
        <w:wordWrap/>
        <w:overflowPunct/>
        <w:topLinePunct w:val="0"/>
        <w:bidi w:val="0"/>
        <w:snapToGrid/>
        <w:spacing w:line="440" w:lineRule="exact"/>
        <w:ind w:firstLine="1080" w:firstLineChars="45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p>
    <w:p w14:paraId="5B51BAF2">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暂列金额：</w:t>
      </w:r>
    </w:p>
    <w:p w14:paraId="30F6D067">
      <w:pPr>
        <w:pageBreakBefore w:val="0"/>
        <w:widowControl w:val="0"/>
        <w:kinsoku/>
        <w:wordWrap/>
        <w:overflowPunct/>
        <w:topLinePunct w:val="0"/>
        <w:bidi w:val="0"/>
        <w:snapToGrid/>
        <w:spacing w:line="440" w:lineRule="exact"/>
        <w:ind w:firstLine="1080" w:firstLineChars="45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p>
    <w:p w14:paraId="16FC87C8">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2.合同价格形式:</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总价合同</w:t>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rPr>
        <w:t>。</w:t>
      </w:r>
    </w:p>
    <w:p w14:paraId="7E265D88">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 xml:space="preserve">    </w:t>
      </w:r>
      <w:bookmarkStart w:id="1020" w:name="_Toc351203485"/>
      <w:r>
        <w:rPr>
          <w:rFonts w:hint="eastAsia" w:ascii="仿宋" w:hAnsi="仿宋" w:eastAsia="仿宋" w:cs="仿宋"/>
          <w:b/>
          <w:bCs w:val="0"/>
          <w:color w:val="auto"/>
          <w:sz w:val="24"/>
          <w:szCs w:val="24"/>
        </w:rPr>
        <w:t>五、</w:t>
      </w:r>
      <w:bookmarkEnd w:id="1020"/>
      <w:r>
        <w:rPr>
          <w:rFonts w:hint="eastAsia" w:ascii="仿宋" w:hAnsi="仿宋" w:eastAsia="仿宋" w:cs="仿宋"/>
          <w:b/>
          <w:bCs w:val="0"/>
          <w:color w:val="auto"/>
          <w:sz w:val="24"/>
          <w:szCs w:val="24"/>
        </w:rPr>
        <w:t>项目经理</w:t>
      </w:r>
    </w:p>
    <w:p w14:paraId="38DC84B8">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项目经理：</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sym w:font="Times New Roman" w:char="0020"/>
      </w:r>
      <w:r>
        <w:rPr>
          <w:rFonts w:hint="eastAsia" w:ascii="仿宋" w:hAnsi="仿宋" w:eastAsia="仿宋" w:cs="仿宋"/>
          <w:color w:val="auto"/>
          <w:sz w:val="24"/>
          <w:szCs w:val="24"/>
          <w:u w:val="single"/>
          <w:lang w:val="en-US" w:eastAsia="zh-CN"/>
        </w:rPr>
        <w:sym w:font="Times New Roman" w:char="0020"/>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lang w:eastAsia="zh-CN"/>
        </w:rPr>
        <w:t>。</w:t>
      </w:r>
    </w:p>
    <w:p w14:paraId="19C13533">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 xml:space="preserve">    </w:t>
      </w:r>
      <w:bookmarkStart w:id="1021" w:name="_Toc351203486"/>
      <w:r>
        <w:rPr>
          <w:rFonts w:hint="eastAsia" w:ascii="仿宋" w:hAnsi="仿宋" w:eastAsia="仿宋" w:cs="仿宋"/>
          <w:b/>
          <w:bCs w:val="0"/>
          <w:color w:val="auto"/>
          <w:sz w:val="24"/>
          <w:szCs w:val="24"/>
        </w:rPr>
        <w:t>六、合同文件构成</w:t>
      </w:r>
      <w:bookmarkEnd w:id="1021"/>
    </w:p>
    <w:p w14:paraId="67AA3AD9">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本协议书与下列文件一起构成合同文件：</w:t>
      </w:r>
    </w:p>
    <w:p w14:paraId="396C5D6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成交通知书</w:t>
      </w:r>
      <w:r>
        <w:rPr>
          <w:rFonts w:hint="eastAsia" w:ascii="仿宋" w:hAnsi="仿宋" w:eastAsia="仿宋" w:cs="仿宋"/>
          <w:color w:val="auto"/>
          <w:sz w:val="24"/>
          <w:szCs w:val="24"/>
        </w:rPr>
        <w:t>;</w:t>
      </w:r>
    </w:p>
    <w:p w14:paraId="487F335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投标文件及投标报价表</w:t>
      </w:r>
      <w:r>
        <w:rPr>
          <w:rFonts w:hint="eastAsia" w:ascii="仿宋" w:hAnsi="仿宋" w:eastAsia="仿宋" w:cs="仿宋"/>
          <w:color w:val="auto"/>
          <w:sz w:val="24"/>
          <w:szCs w:val="24"/>
        </w:rPr>
        <w:t>；</w:t>
      </w:r>
    </w:p>
    <w:p w14:paraId="10B841B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专用合同条款及其附件；</w:t>
      </w:r>
    </w:p>
    <w:p w14:paraId="54EBE1E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（4）通用合同条款;</w:t>
      </w:r>
    </w:p>
    <w:p w14:paraId="5CDE43F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技术标准和要求；</w:t>
      </w:r>
    </w:p>
    <w:p w14:paraId="2378F9C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工程量清单</w:t>
      </w:r>
      <w:r>
        <w:rPr>
          <w:rFonts w:hint="eastAsia" w:ascii="仿宋" w:hAnsi="仿宋" w:eastAsia="仿宋" w:cs="仿宋"/>
          <w:color w:val="auto"/>
          <w:sz w:val="24"/>
          <w:szCs w:val="24"/>
        </w:rPr>
        <w:t>；</w:t>
      </w:r>
    </w:p>
    <w:p w14:paraId="1B5CEAF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）其他合同文件。</w:t>
      </w:r>
    </w:p>
    <w:p w14:paraId="21BD97B9">
      <w:pPr>
        <w:pageBreakBefore w:val="0"/>
        <w:widowControl w:val="0"/>
        <w:kinsoku/>
        <w:wordWrap/>
        <w:overflowPunct/>
        <w:topLinePunct w:val="0"/>
        <w:autoSpaceDE w:val="0"/>
        <w:autoSpaceDN w:val="0"/>
        <w:bidi w:val="0"/>
        <w:adjustRightInd w:val="0"/>
        <w:snapToGrid/>
        <w:spacing w:line="440" w:lineRule="exact"/>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在合同订立及履行过程中形成的与合同有关的文件均构成合同文件组成部分。上述各项合同文件包括合同当事人就该项合同文件所作出的补充和修改，属于同一类内容的文件，应以最新签署的为准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专用合同条款及其附件须经合同当事人签字或盖章。</w:t>
      </w:r>
    </w:p>
    <w:p w14:paraId="08D9DD73">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    </w:t>
      </w:r>
      <w:bookmarkStart w:id="1022" w:name="_Toc351203487"/>
      <w:r>
        <w:rPr>
          <w:rFonts w:hint="eastAsia" w:ascii="仿宋" w:hAnsi="仿宋" w:eastAsia="仿宋" w:cs="仿宋"/>
          <w:b/>
          <w:bCs/>
          <w:color w:val="auto"/>
          <w:sz w:val="24"/>
          <w:szCs w:val="24"/>
        </w:rPr>
        <w:t>七、承诺</w:t>
      </w:r>
      <w:bookmarkEnd w:id="1022"/>
    </w:p>
    <w:p w14:paraId="1330B1F5">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lang w:val="en-US" w:eastAsia="zh-CN"/>
        </w:rPr>
        <w:t>1.</w:t>
      </w:r>
      <w:r>
        <w:rPr>
          <w:rFonts w:hint="eastAsia" w:ascii="仿宋" w:hAnsi="仿宋" w:eastAsia="仿宋" w:cs="仿宋"/>
          <w:bCs/>
          <w:color w:val="auto"/>
          <w:sz w:val="24"/>
          <w:szCs w:val="24"/>
          <w:lang w:eastAsia="zh-CN"/>
        </w:rPr>
        <w:t>发包人</w:t>
      </w:r>
      <w:r>
        <w:rPr>
          <w:rFonts w:hint="eastAsia" w:ascii="仿宋" w:hAnsi="仿宋" w:eastAsia="仿宋" w:cs="仿宋"/>
          <w:bCs/>
          <w:color w:val="auto"/>
          <w:sz w:val="24"/>
          <w:szCs w:val="24"/>
        </w:rPr>
        <w:t>承诺按照法律规定履行项目审批手续、筹集工程建设资金并按照合同约定的期限和方式支付合同价款。</w:t>
      </w:r>
    </w:p>
    <w:p w14:paraId="3B132C25">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2.</w:t>
      </w:r>
      <w:r>
        <w:rPr>
          <w:rFonts w:hint="eastAsia" w:ascii="仿宋" w:hAnsi="仿宋" w:eastAsia="仿宋" w:cs="仿宋"/>
          <w:bCs/>
          <w:color w:val="auto"/>
          <w:sz w:val="24"/>
          <w:szCs w:val="24"/>
          <w:lang w:eastAsia="zh-CN"/>
        </w:rPr>
        <w:t>承包人</w:t>
      </w:r>
      <w:r>
        <w:rPr>
          <w:rFonts w:hint="eastAsia" w:ascii="仿宋" w:hAnsi="仿宋" w:eastAsia="仿宋" w:cs="仿宋"/>
          <w:bCs/>
          <w:color w:val="auto"/>
          <w:sz w:val="24"/>
          <w:szCs w:val="24"/>
        </w:rPr>
        <w:t>承诺按照法律规定及合同约定组织完成工程施工，确保工程质量和安全，不进行转包及违法分包</w:t>
      </w:r>
      <w:r>
        <w:rPr>
          <w:rFonts w:hint="eastAsia" w:ascii="仿宋" w:hAnsi="仿宋" w:eastAsia="仿宋" w:cs="仿宋"/>
          <w:bCs/>
          <w:color w:val="auto"/>
          <w:sz w:val="24"/>
          <w:szCs w:val="24"/>
          <w:lang w:eastAsia="zh-CN"/>
        </w:rPr>
        <w:t>，</w:t>
      </w:r>
      <w:r>
        <w:rPr>
          <w:rFonts w:hint="eastAsia" w:ascii="仿宋" w:hAnsi="仿宋" w:eastAsia="仿宋" w:cs="仿宋"/>
          <w:bCs/>
          <w:color w:val="auto"/>
          <w:sz w:val="24"/>
          <w:szCs w:val="24"/>
        </w:rPr>
        <w:t>并在缺陷责任期及保修期内承担相应的工程维修责任。</w:t>
      </w:r>
    </w:p>
    <w:p w14:paraId="1CA040CA">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val="en-US" w:eastAsia="zh-CN"/>
        </w:rPr>
        <w:t>3.</w:t>
      </w:r>
      <w:r>
        <w:rPr>
          <w:rFonts w:hint="eastAsia" w:ascii="仿宋" w:hAnsi="仿宋" w:eastAsia="仿宋" w:cs="仿宋"/>
          <w:bCs/>
          <w:color w:val="auto"/>
          <w:sz w:val="24"/>
          <w:szCs w:val="24"/>
          <w:lang w:eastAsia="zh-CN"/>
        </w:rPr>
        <w:t>发包人</w:t>
      </w:r>
      <w:r>
        <w:rPr>
          <w:rFonts w:hint="eastAsia" w:ascii="仿宋" w:hAnsi="仿宋" w:eastAsia="仿宋" w:cs="仿宋"/>
          <w:bCs/>
          <w:color w:val="auto"/>
          <w:sz w:val="24"/>
          <w:szCs w:val="24"/>
        </w:rPr>
        <w:t>和</w:t>
      </w:r>
      <w:r>
        <w:rPr>
          <w:rFonts w:hint="eastAsia" w:ascii="仿宋" w:hAnsi="仿宋" w:eastAsia="仿宋" w:cs="仿宋"/>
          <w:bCs/>
          <w:color w:val="auto"/>
          <w:sz w:val="24"/>
          <w:szCs w:val="24"/>
          <w:lang w:eastAsia="zh-CN"/>
        </w:rPr>
        <w:t>承包人</w:t>
      </w:r>
      <w:r>
        <w:rPr>
          <w:rFonts w:hint="eastAsia" w:ascii="仿宋" w:hAnsi="仿宋" w:eastAsia="仿宋" w:cs="仿宋"/>
          <w:bCs/>
          <w:color w:val="auto"/>
          <w:sz w:val="24"/>
          <w:szCs w:val="24"/>
        </w:rPr>
        <w:t>通过招投标形式签订合同的，双方理解并承诺不再就同一工程另行签订与合同实质性内容相背离的协议</w:t>
      </w:r>
      <w:r>
        <w:rPr>
          <w:rFonts w:hint="eastAsia" w:ascii="仿宋" w:hAnsi="仿宋" w:eastAsia="仿宋" w:cs="仿宋"/>
          <w:bCs/>
          <w:color w:val="auto"/>
          <w:sz w:val="24"/>
          <w:szCs w:val="24"/>
          <w:lang w:eastAsia="zh-CN"/>
        </w:rPr>
        <w:t>。</w:t>
      </w:r>
    </w:p>
    <w:p w14:paraId="1F9B8B09">
      <w:pPr>
        <w:pageBreakBefore w:val="0"/>
        <w:widowControl w:val="0"/>
        <w:kinsoku/>
        <w:wordWrap/>
        <w:overflowPunct/>
        <w:topLinePunct w:val="0"/>
        <w:bidi w:val="0"/>
        <w:snapToGrid/>
        <w:spacing w:line="440" w:lineRule="exact"/>
        <w:textAlignment w:val="auto"/>
        <w:rPr>
          <w:rFonts w:hint="eastAsia" w:ascii="仿宋" w:hAnsi="仿宋" w:eastAsia="仿宋" w:cs="仿宋"/>
          <w:bCs/>
          <w:color w:val="auto"/>
          <w:sz w:val="24"/>
          <w:szCs w:val="24"/>
        </w:rPr>
      </w:pPr>
      <w:bookmarkStart w:id="1023" w:name="_Toc351203488"/>
      <w:r>
        <w:rPr>
          <w:rFonts w:hint="eastAsia" w:ascii="仿宋" w:hAnsi="仿宋" w:eastAsia="仿宋" w:cs="仿宋"/>
          <w:b/>
          <w:color w:val="auto"/>
          <w:sz w:val="24"/>
          <w:szCs w:val="24"/>
        </w:rPr>
        <w:t xml:space="preserve">    八、词语含义</w:t>
      </w:r>
      <w:bookmarkEnd w:id="1023"/>
    </w:p>
    <w:p w14:paraId="4B99FE7B">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本协议书中词语含义与第二部分通用合同条款中赋予的含义相同。</w:t>
      </w:r>
    </w:p>
    <w:p w14:paraId="0385DDE6">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Cs w:val="0"/>
          <w:color w:val="auto"/>
          <w:sz w:val="24"/>
          <w:szCs w:val="24"/>
        </w:rPr>
      </w:pPr>
      <w:r>
        <w:rPr>
          <w:rFonts w:hint="eastAsia" w:ascii="仿宋" w:hAnsi="仿宋" w:eastAsia="仿宋" w:cs="仿宋"/>
          <w:bCs w:val="0"/>
          <w:color w:val="auto"/>
          <w:sz w:val="24"/>
          <w:szCs w:val="24"/>
        </w:rPr>
        <w:t xml:space="preserve">  </w:t>
      </w:r>
      <w:r>
        <w:rPr>
          <w:rFonts w:hint="eastAsia" w:ascii="仿宋" w:hAnsi="仿宋" w:eastAsia="仿宋" w:cs="仿宋"/>
          <w:b/>
          <w:bCs w:val="0"/>
          <w:color w:val="auto"/>
          <w:sz w:val="24"/>
          <w:szCs w:val="24"/>
        </w:rPr>
        <w:t xml:space="preserve">  </w:t>
      </w:r>
      <w:bookmarkStart w:id="1024" w:name="_Toc351203489"/>
      <w:r>
        <w:rPr>
          <w:rFonts w:hint="eastAsia" w:ascii="仿宋" w:hAnsi="仿宋" w:eastAsia="仿宋" w:cs="仿宋"/>
          <w:b/>
          <w:bCs w:val="0"/>
          <w:color w:val="auto"/>
          <w:sz w:val="24"/>
          <w:szCs w:val="24"/>
        </w:rPr>
        <w:t>九、签订时间</w:t>
      </w:r>
      <w:bookmarkEnd w:id="1024"/>
    </w:p>
    <w:p w14:paraId="7D07ABC1">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本合同于</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2026</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年</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月</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日签订。</w:t>
      </w:r>
    </w:p>
    <w:p w14:paraId="7F24A7D3">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Cs w:val="0"/>
          <w:color w:val="auto"/>
          <w:sz w:val="24"/>
          <w:szCs w:val="24"/>
        </w:rPr>
      </w:pPr>
      <w:r>
        <w:rPr>
          <w:rFonts w:hint="eastAsia" w:ascii="仿宋" w:hAnsi="仿宋" w:eastAsia="仿宋" w:cs="仿宋"/>
          <w:bCs w:val="0"/>
          <w:color w:val="auto"/>
          <w:sz w:val="24"/>
          <w:szCs w:val="24"/>
        </w:rPr>
        <w:t xml:space="preserve">    </w:t>
      </w:r>
      <w:bookmarkStart w:id="1025" w:name="_Toc351203490"/>
      <w:r>
        <w:rPr>
          <w:rFonts w:hint="eastAsia" w:ascii="仿宋" w:hAnsi="仿宋" w:eastAsia="仿宋" w:cs="仿宋"/>
          <w:b w:val="0"/>
          <w:color w:val="auto"/>
          <w:sz w:val="24"/>
          <w:szCs w:val="24"/>
        </w:rPr>
        <w:t>十、签订地点</w:t>
      </w:r>
      <w:bookmarkEnd w:id="1025"/>
    </w:p>
    <w:p w14:paraId="16AC4BDD">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本合同在</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郑州市</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签订。</w:t>
      </w:r>
    </w:p>
    <w:p w14:paraId="5DD8D37F">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Cs w:val="0"/>
          <w:color w:val="auto"/>
          <w:sz w:val="24"/>
          <w:szCs w:val="24"/>
        </w:rPr>
      </w:pPr>
      <w:r>
        <w:rPr>
          <w:rFonts w:hint="eastAsia" w:ascii="仿宋" w:hAnsi="仿宋" w:eastAsia="仿宋" w:cs="仿宋"/>
          <w:bCs w:val="0"/>
          <w:color w:val="auto"/>
          <w:sz w:val="24"/>
          <w:szCs w:val="24"/>
        </w:rPr>
        <w:t xml:space="preserve">    </w:t>
      </w:r>
      <w:bookmarkStart w:id="1026" w:name="_Toc351203491"/>
      <w:r>
        <w:rPr>
          <w:rFonts w:hint="eastAsia" w:ascii="仿宋" w:hAnsi="仿宋" w:eastAsia="仿宋" w:cs="仿宋"/>
          <w:b w:val="0"/>
          <w:color w:val="auto"/>
          <w:sz w:val="24"/>
          <w:szCs w:val="24"/>
        </w:rPr>
        <w:t>十一、补充协议</w:t>
      </w:r>
      <w:bookmarkEnd w:id="1026"/>
    </w:p>
    <w:p w14:paraId="65601AFA">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
          <w:bCs/>
          <w:color w:val="auto"/>
          <w:sz w:val="24"/>
          <w:szCs w:val="24"/>
          <w:lang w:eastAsia="zh-CN"/>
        </w:rPr>
      </w:pPr>
      <w:r>
        <w:rPr>
          <w:rFonts w:hint="eastAsia" w:ascii="仿宋" w:hAnsi="仿宋" w:eastAsia="仿宋" w:cs="仿宋"/>
          <w:bCs/>
          <w:color w:val="auto"/>
          <w:sz w:val="24"/>
          <w:szCs w:val="24"/>
        </w:rPr>
        <w:t>合同未尽事宜，合同当事人另行签订补充协议，补充协议是合同的组成部分</w:t>
      </w:r>
      <w:r>
        <w:rPr>
          <w:rFonts w:hint="eastAsia" w:ascii="仿宋" w:hAnsi="仿宋" w:eastAsia="仿宋" w:cs="仿宋"/>
          <w:bCs/>
          <w:color w:val="auto"/>
          <w:sz w:val="24"/>
          <w:szCs w:val="24"/>
          <w:lang w:eastAsia="zh-CN"/>
        </w:rPr>
        <w:t>。</w:t>
      </w:r>
    </w:p>
    <w:p w14:paraId="31851CF5">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Cs w:val="0"/>
          <w:color w:val="auto"/>
          <w:sz w:val="24"/>
          <w:szCs w:val="24"/>
        </w:rPr>
      </w:pPr>
      <w:r>
        <w:rPr>
          <w:rFonts w:hint="eastAsia" w:ascii="仿宋" w:hAnsi="仿宋" w:eastAsia="仿宋" w:cs="仿宋"/>
          <w:bCs w:val="0"/>
          <w:color w:val="auto"/>
          <w:sz w:val="24"/>
          <w:szCs w:val="24"/>
        </w:rPr>
        <w:t xml:space="preserve">    </w:t>
      </w:r>
      <w:bookmarkStart w:id="1027" w:name="_Toc351203492"/>
      <w:r>
        <w:rPr>
          <w:rFonts w:hint="eastAsia" w:ascii="仿宋" w:hAnsi="仿宋" w:eastAsia="仿宋" w:cs="仿宋"/>
          <w:b w:val="0"/>
          <w:color w:val="auto"/>
          <w:sz w:val="24"/>
          <w:szCs w:val="24"/>
        </w:rPr>
        <w:t>十二、合同生效</w:t>
      </w:r>
      <w:bookmarkEnd w:id="1027"/>
    </w:p>
    <w:p w14:paraId="295F627B">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本合同自</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双方签字盖章后</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生效。</w:t>
      </w:r>
    </w:p>
    <w:p w14:paraId="7345DB8B">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Cs w:val="0"/>
          <w:color w:val="auto"/>
          <w:sz w:val="24"/>
          <w:szCs w:val="24"/>
        </w:rPr>
      </w:pPr>
      <w:r>
        <w:rPr>
          <w:rFonts w:hint="eastAsia" w:ascii="仿宋" w:hAnsi="仿宋" w:eastAsia="仿宋" w:cs="仿宋"/>
          <w:bCs w:val="0"/>
          <w:color w:val="auto"/>
          <w:sz w:val="24"/>
          <w:szCs w:val="24"/>
        </w:rPr>
        <w:t xml:space="preserve">    </w:t>
      </w:r>
      <w:bookmarkStart w:id="1028" w:name="_Toc351203493"/>
      <w:r>
        <w:rPr>
          <w:rFonts w:hint="eastAsia" w:ascii="仿宋" w:hAnsi="仿宋" w:eastAsia="仿宋" w:cs="仿宋"/>
          <w:b w:val="0"/>
          <w:color w:val="auto"/>
          <w:sz w:val="24"/>
          <w:szCs w:val="24"/>
        </w:rPr>
        <w:t>十三、合同份数</w:t>
      </w:r>
      <w:bookmarkEnd w:id="1028"/>
    </w:p>
    <w:p w14:paraId="4A0FE526">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本合同一式</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捌</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份，均具有同等法律效力</w:t>
      </w:r>
      <w:r>
        <w:rPr>
          <w:rFonts w:hint="eastAsia" w:ascii="仿宋" w:hAnsi="仿宋" w:eastAsia="仿宋" w:cs="仿宋"/>
          <w:bCs/>
          <w:color w:val="auto"/>
          <w:sz w:val="24"/>
          <w:szCs w:val="24"/>
          <w:lang w:eastAsia="zh-CN"/>
        </w:rPr>
        <w:t>，发包人</w:t>
      </w:r>
      <w:r>
        <w:rPr>
          <w:rFonts w:hint="eastAsia" w:ascii="仿宋" w:hAnsi="仿宋" w:eastAsia="仿宋" w:cs="仿宋"/>
          <w:bCs/>
          <w:color w:val="auto"/>
          <w:sz w:val="24"/>
          <w:szCs w:val="24"/>
        </w:rPr>
        <w:t>执</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陆</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份，</w:t>
      </w:r>
      <w:r>
        <w:rPr>
          <w:rFonts w:hint="eastAsia" w:ascii="仿宋" w:hAnsi="仿宋" w:eastAsia="仿宋" w:cs="仿宋"/>
          <w:bCs/>
          <w:color w:val="auto"/>
          <w:sz w:val="24"/>
          <w:szCs w:val="24"/>
          <w:lang w:eastAsia="zh-CN"/>
        </w:rPr>
        <w:t>承包人</w:t>
      </w:r>
      <w:r>
        <w:rPr>
          <w:rFonts w:hint="eastAsia" w:ascii="仿宋" w:hAnsi="仿宋" w:eastAsia="仿宋" w:cs="仿宋"/>
          <w:bCs/>
          <w:color w:val="auto"/>
          <w:sz w:val="24"/>
          <w:szCs w:val="24"/>
        </w:rPr>
        <w:t>执</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贰</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份。</w:t>
      </w:r>
    </w:p>
    <w:p w14:paraId="10CE3CFD">
      <w:pPr>
        <w:pageBreakBefore w:val="0"/>
        <w:widowControl w:val="0"/>
        <w:kinsoku/>
        <w:wordWrap/>
        <w:overflowPunct/>
        <w:topLinePunct w:val="0"/>
        <w:bidi w:val="0"/>
        <w:snapToGrid/>
        <w:spacing w:line="440" w:lineRule="exact"/>
        <w:textAlignment w:val="auto"/>
        <w:rPr>
          <w:rFonts w:hint="eastAsia" w:ascii="仿宋" w:hAnsi="仿宋" w:eastAsia="仿宋" w:cs="仿宋"/>
          <w:bCs/>
          <w:color w:val="auto"/>
          <w:sz w:val="24"/>
          <w:szCs w:val="24"/>
        </w:rPr>
      </w:pPr>
    </w:p>
    <w:p w14:paraId="25F1A063">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14:paraId="5F193B69">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 xml:space="preserve">：  (公章）           </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  （公章）</w:t>
      </w:r>
    </w:p>
    <w:p w14:paraId="03AB8ED0">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u w:val="single"/>
        </w:rPr>
      </w:pPr>
      <w:r>
        <w:rPr>
          <w:rFonts w:hint="eastAsia" w:ascii="仿宋" w:hAnsi="仿宋" w:eastAsia="仿宋" w:cs="仿宋"/>
          <w:color w:val="auto"/>
          <w:sz w:val="24"/>
          <w:szCs w:val="24"/>
        </w:rPr>
        <w:t xml:space="preserve">                                 </w:t>
      </w:r>
    </w:p>
    <w:p w14:paraId="5E19F27D">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法定代表人或其委托代理人：法定代表人或其委托代理人:</w:t>
      </w:r>
    </w:p>
    <w:p w14:paraId="52CBCCFD">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(签字)                    （签字）</w:t>
      </w:r>
    </w:p>
    <w:p w14:paraId="1FF3AE53">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u w:val="single"/>
        </w:rPr>
      </w:pPr>
    </w:p>
    <w:p w14:paraId="557415C2">
      <w:pPr>
        <w:pageBreakBefore w:val="0"/>
        <w:widowControl w:val="0"/>
        <w:tabs>
          <w:tab w:val="left" w:pos="4410"/>
        </w:tabs>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组织机构代码：</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组织机构代码：</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bCs/>
          <w:color w:val="auto"/>
          <w:sz w:val="24"/>
          <w:szCs w:val="24"/>
          <w:u w:val="single"/>
          <w:lang w:eastAsia="zh-CN"/>
        </w:rPr>
        <w:sym w:font="Times New Roman" w:char="E5E5"/>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u w:val="single"/>
          <w:lang w:eastAsia="zh-CN"/>
        </w:rPr>
        <w:sym w:font="Times New Roman" w:char="0020"/>
      </w:r>
      <w:r>
        <w:rPr>
          <w:rFonts w:hint="eastAsia" w:ascii="仿宋" w:hAnsi="仿宋" w:eastAsia="仿宋" w:cs="仿宋"/>
          <w:bCs/>
          <w:color w:val="auto"/>
          <w:sz w:val="24"/>
          <w:szCs w:val="24"/>
          <w:u w:val="single"/>
          <w:lang w:eastAsia="zh-CN"/>
        </w:rPr>
        <w:sym w:font="Times New Roman" w:char="0020"/>
      </w:r>
      <w:r>
        <w:rPr>
          <w:rFonts w:hint="eastAsia" w:ascii="仿宋" w:hAnsi="仿宋" w:eastAsia="仿宋" w:cs="仿宋"/>
          <w:bCs/>
          <w:color w:val="auto"/>
          <w:sz w:val="24"/>
          <w:szCs w:val="24"/>
          <w:u w:val="single"/>
          <w:lang w:eastAsia="zh-CN"/>
        </w:rPr>
        <w:sym w:font="Times New Roman" w:char="0020"/>
      </w:r>
    </w:p>
    <w:p w14:paraId="4FFF668F">
      <w:pPr>
        <w:pageBreakBefore w:val="0"/>
        <w:widowControl w:val="0"/>
        <w:kinsoku/>
        <w:wordWrap/>
        <w:overflowPunct/>
        <w:topLinePunct w:val="0"/>
        <w:bidi w:val="0"/>
        <w:snapToGrid/>
        <w:spacing w:line="440" w:lineRule="exact"/>
        <w:ind w:left="4207" w:leftChars="0" w:hanging="4207" w:hangingChars="1753"/>
        <w:textAlignment w:val="auto"/>
        <w:rPr>
          <w:rFonts w:hint="eastAsia" w:ascii="仿宋" w:hAnsi="仿宋" w:eastAsia="仿宋" w:cs="仿宋"/>
          <w:bCs/>
          <w:color w:val="auto"/>
          <w:sz w:val="24"/>
          <w:szCs w:val="24"/>
        </w:rPr>
      </w:pPr>
      <w:r>
        <w:rPr>
          <w:rFonts w:hint="eastAsia" w:ascii="仿宋" w:hAnsi="仿宋" w:eastAsia="仿宋" w:cs="仿宋"/>
          <w:color w:val="auto"/>
          <w:sz w:val="24"/>
          <w:szCs w:val="24"/>
        </w:rPr>
        <w:t>地  址：</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地  址：</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bCs/>
          <w:color w:val="auto"/>
          <w:sz w:val="24"/>
          <w:szCs w:val="24"/>
          <w:u w:val="single"/>
          <w:lang w:eastAsia="zh-CN"/>
        </w:rPr>
        <w:sym w:font="Times New Roman" w:char="E5E5"/>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u w:val="single"/>
          <w:lang w:eastAsia="zh-CN"/>
        </w:rPr>
        <w:sym w:font="Times New Roman" w:char="0020"/>
      </w:r>
      <w:r>
        <w:rPr>
          <w:rFonts w:hint="eastAsia" w:ascii="仿宋" w:hAnsi="仿宋" w:eastAsia="仿宋" w:cs="仿宋"/>
          <w:bCs/>
          <w:color w:val="auto"/>
          <w:sz w:val="24"/>
          <w:szCs w:val="24"/>
          <w:u w:val="single"/>
          <w:lang w:eastAsia="zh-CN"/>
        </w:rPr>
        <w:sym w:font="Times New Roman" w:char="0020"/>
      </w:r>
      <w:r>
        <w:rPr>
          <w:rFonts w:hint="eastAsia" w:ascii="仿宋" w:hAnsi="仿宋" w:eastAsia="仿宋" w:cs="仿宋"/>
          <w:bCs/>
          <w:color w:val="auto"/>
          <w:sz w:val="24"/>
          <w:szCs w:val="24"/>
          <w:u w:val="single"/>
          <w:lang w:eastAsia="zh-CN"/>
        </w:rPr>
        <w:sym w:font="Times New Roman" w:char="0020"/>
      </w:r>
      <w:r>
        <w:rPr>
          <w:rFonts w:hint="eastAsia" w:ascii="仿宋" w:hAnsi="仿宋" w:eastAsia="仿宋" w:cs="仿宋"/>
          <w:bCs/>
          <w:color w:val="auto"/>
          <w:sz w:val="24"/>
          <w:szCs w:val="24"/>
        </w:rPr>
        <w:t xml:space="preserve"> </w:t>
      </w:r>
    </w:p>
    <w:p w14:paraId="18EEAF97">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邮政编码：</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none"/>
        </w:rPr>
        <w:t xml:space="preserve">  </w:t>
      </w:r>
      <w:r>
        <w:rPr>
          <w:rFonts w:hint="eastAsia" w:ascii="仿宋" w:hAnsi="仿宋" w:eastAsia="仿宋" w:cs="仿宋"/>
          <w:color w:val="auto"/>
          <w:sz w:val="24"/>
          <w:szCs w:val="24"/>
        </w:rPr>
        <w:t xml:space="preserve"> 邮政编码：</w:t>
      </w:r>
      <w:bookmarkStart w:id="1029" w:name="_Toc28494"/>
      <w:r>
        <w:rPr>
          <w:rFonts w:hint="eastAsia" w:ascii="仿宋" w:hAnsi="仿宋" w:eastAsia="仿宋" w:cs="仿宋"/>
          <w:color w:val="auto"/>
          <w:sz w:val="24"/>
          <w:szCs w:val="24"/>
          <w:u w:val="single"/>
          <w:lang w:val="en-US" w:eastAsia="zh-CN"/>
        </w:rPr>
        <w:t xml:space="preserve">      </w:t>
      </w:r>
      <w:bookmarkEnd w:id="1029"/>
      <w:r>
        <w:rPr>
          <w:rFonts w:hint="eastAsia" w:ascii="仿宋" w:hAnsi="仿宋" w:eastAsia="仿宋" w:cs="仿宋"/>
          <w:bCs/>
          <w:color w:val="auto"/>
          <w:sz w:val="24"/>
          <w:szCs w:val="24"/>
          <w:u w:val="single"/>
          <w:lang w:eastAsia="zh-CN"/>
        </w:rPr>
        <w:sym w:font="Times New Roman" w:char="E5E5"/>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u w:val="single"/>
          <w:lang w:eastAsia="zh-CN"/>
        </w:rPr>
        <w:sym w:font="Times New Roman" w:char="0020"/>
      </w:r>
      <w:r>
        <w:rPr>
          <w:rFonts w:hint="eastAsia" w:ascii="仿宋" w:hAnsi="仿宋" w:eastAsia="仿宋" w:cs="仿宋"/>
          <w:bCs/>
          <w:color w:val="auto"/>
          <w:sz w:val="24"/>
          <w:szCs w:val="24"/>
          <w:u w:val="single"/>
          <w:lang w:eastAsia="zh-CN"/>
        </w:rPr>
        <w:sym w:font="Times New Roman" w:char="0020"/>
      </w:r>
      <w:r>
        <w:rPr>
          <w:rFonts w:hint="eastAsia" w:ascii="仿宋" w:hAnsi="仿宋" w:eastAsia="仿宋" w:cs="仿宋"/>
          <w:bCs/>
          <w:color w:val="auto"/>
          <w:sz w:val="24"/>
          <w:szCs w:val="24"/>
          <w:u w:val="single"/>
          <w:lang w:eastAsia="zh-CN"/>
        </w:rPr>
        <w:sym w:font="Times New Roman" w:char="0020"/>
      </w:r>
    </w:p>
    <w:p w14:paraId="4715122B">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none"/>
        </w:rPr>
        <w:t xml:space="preserve"> </w:t>
      </w:r>
      <w:r>
        <w:rPr>
          <w:rFonts w:hint="eastAsia" w:ascii="仿宋" w:hAnsi="仿宋" w:eastAsia="仿宋" w:cs="仿宋"/>
          <w:color w:val="auto"/>
          <w:sz w:val="24"/>
          <w:szCs w:val="24"/>
          <w:u w:val="none"/>
          <w:lang w:val="en-US" w:eastAsia="zh-CN"/>
        </w:rPr>
        <w:t xml:space="preserve">  </w:t>
      </w:r>
      <w:r>
        <w:rPr>
          <w:rFonts w:hint="eastAsia" w:ascii="仿宋" w:hAnsi="仿宋" w:eastAsia="仿宋" w:cs="仿宋"/>
          <w:color w:val="auto"/>
          <w:sz w:val="24"/>
          <w:szCs w:val="24"/>
        </w:rPr>
        <w:t>法定代表人：</w:t>
      </w:r>
      <w:r>
        <w:rPr>
          <w:rFonts w:hint="eastAsia" w:ascii="仿宋" w:hAnsi="仿宋" w:eastAsia="仿宋" w:cs="仿宋"/>
          <w:color w:val="auto"/>
          <w:sz w:val="24"/>
          <w:szCs w:val="24"/>
          <w:u w:val="single"/>
        </w:rPr>
        <w:sym w:font="Times New Roman" w:char="E5E5"/>
      </w:r>
      <w:bookmarkStart w:id="1030" w:name="_Toc9423"/>
      <w:r>
        <w:rPr>
          <w:rFonts w:hint="eastAsia" w:ascii="仿宋" w:hAnsi="仿宋" w:eastAsia="仿宋" w:cs="仿宋"/>
          <w:color w:val="auto"/>
          <w:sz w:val="24"/>
          <w:szCs w:val="24"/>
          <w:u w:val="single"/>
          <w:lang w:val="en-US" w:eastAsia="zh-CN"/>
        </w:rPr>
        <w:t xml:space="preserve">           </w:t>
      </w:r>
      <w:bookmarkEnd w:id="1030"/>
      <w:r>
        <w:rPr>
          <w:rFonts w:hint="eastAsia" w:ascii="仿宋" w:hAnsi="仿宋" w:eastAsia="仿宋" w:cs="仿宋"/>
          <w:bCs/>
          <w:color w:val="auto"/>
          <w:sz w:val="24"/>
          <w:szCs w:val="24"/>
          <w:u w:val="single"/>
          <w:lang w:eastAsia="zh-CN"/>
        </w:rPr>
        <w:t xml:space="preserve">   </w:t>
      </w:r>
      <w:r>
        <w:rPr>
          <w:rFonts w:hint="eastAsia" w:ascii="仿宋" w:hAnsi="仿宋" w:eastAsia="仿宋" w:cs="仿宋"/>
          <w:color w:val="auto"/>
          <w:sz w:val="24"/>
          <w:szCs w:val="24"/>
          <w:u w:val="single"/>
        </w:rPr>
        <w:t xml:space="preserve">   </w:t>
      </w:r>
    </w:p>
    <w:p w14:paraId="16D1ADA9">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委托代理人：</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none"/>
        </w:rPr>
        <w:t xml:space="preserve"> </w:t>
      </w:r>
      <w:r>
        <w:rPr>
          <w:rFonts w:hint="eastAsia" w:ascii="仿宋" w:hAnsi="仿宋" w:eastAsia="仿宋" w:cs="仿宋"/>
          <w:color w:val="auto"/>
          <w:sz w:val="24"/>
          <w:szCs w:val="24"/>
          <w:u w:val="none"/>
          <w:lang w:val="en-US" w:eastAsia="zh-CN"/>
        </w:rPr>
        <w:t xml:space="preserve"> </w:t>
      </w:r>
      <w:r>
        <w:rPr>
          <w:rFonts w:hint="eastAsia" w:ascii="仿宋" w:hAnsi="仿宋" w:eastAsia="仿宋" w:cs="仿宋"/>
          <w:color w:val="auto"/>
          <w:sz w:val="24"/>
          <w:szCs w:val="24"/>
        </w:rPr>
        <w:t>委托代理人：</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38CA4268">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电  话：</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电  话：</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p>
    <w:p w14:paraId="5422FF34">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传  真:</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传  真：</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u w:val="single"/>
          <w:lang w:val="en-US" w:eastAsia="zh-CN"/>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p>
    <w:p w14:paraId="1BDAD94D">
      <w:pPr>
        <w:pageBreakBefore w:val="0"/>
        <w:widowControl w:val="0"/>
        <w:kinsoku/>
        <w:wordWrap/>
        <w:overflowPunct/>
        <w:topLinePunct w:val="0"/>
        <w:bidi w:val="0"/>
        <w:snapToGrid/>
        <w:spacing w:line="440" w:lineRule="exact"/>
        <w:ind w:left="4365" w:leftChars="0" w:hanging="4365" w:hangingChars="1819"/>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开户银行：</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rPr>
        <w:t xml:space="preserve"> 开户银行：</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 xml:space="preserve">                   </w:t>
      </w:r>
    </w:p>
    <w:p w14:paraId="57308F2C">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账  号：</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rPr>
        <w:t xml:space="preserve">   账  号</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77985C20">
      <w:pPr>
        <w:pStyle w:val="3"/>
        <w:pageBreakBefore w:val="0"/>
        <w:widowControl w:val="0"/>
        <w:kinsoku/>
        <w:wordWrap/>
        <w:overflowPunct/>
        <w:topLinePunct w:val="0"/>
        <w:bidi w:val="0"/>
        <w:snapToGrid/>
        <w:spacing w:line="440" w:lineRule="exact"/>
        <w:jc w:val="center"/>
        <w:textAlignment w:val="auto"/>
        <w:rPr>
          <w:rFonts w:hint="default" w:ascii="Times New Roman" w:hAnsi="Times New Roman" w:eastAsia="华文中宋" w:cs="Times New Roman"/>
          <w:color w:val="auto"/>
          <w:sz w:val="44"/>
          <w:szCs w:val="44"/>
        </w:rPr>
      </w:pPr>
      <w:r>
        <w:rPr>
          <w:rFonts w:hint="eastAsia" w:ascii="仿宋" w:hAnsi="仿宋" w:eastAsia="仿宋" w:cs="仿宋"/>
          <w:color w:val="auto"/>
          <w:sz w:val="24"/>
          <w:szCs w:val="24"/>
        </w:rPr>
        <w:br w:type="page"/>
      </w:r>
      <w:bookmarkStart w:id="1031" w:name="_Toc351203632"/>
      <w:r>
        <w:rPr>
          <w:rFonts w:hint="default" w:ascii="Times New Roman" w:hAnsi="Times New Roman" w:eastAsia="华文中宋" w:cs="Times New Roman"/>
          <w:color w:val="auto"/>
          <w:sz w:val="44"/>
          <w:szCs w:val="44"/>
        </w:rPr>
        <w:t>第二部分 通用合同条款</w:t>
      </w:r>
      <w:bookmarkStart w:id="1032" w:name="_Toc337558727"/>
    </w:p>
    <w:p w14:paraId="6D70E3B0">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033" w:name="_Toc351203495"/>
      <w:r>
        <w:rPr>
          <w:rFonts w:hint="eastAsia" w:ascii="仿宋" w:hAnsi="仿宋" w:eastAsia="仿宋" w:cs="仿宋"/>
          <w:b w:val="0"/>
          <w:color w:val="auto"/>
          <w:sz w:val="24"/>
          <w:szCs w:val="24"/>
        </w:rPr>
        <w:t>1.</w:t>
      </w:r>
      <w:bookmarkStart w:id="1034" w:name="_Toc303538972"/>
      <w:bookmarkEnd w:id="1034"/>
      <w:bookmarkStart w:id="1035" w:name="_Toc303538976"/>
      <w:bookmarkEnd w:id="1035"/>
      <w:bookmarkStart w:id="1036" w:name="_Toc303538974"/>
      <w:bookmarkEnd w:id="1036"/>
      <w:bookmarkStart w:id="1037" w:name="_Toc303538973"/>
      <w:bookmarkEnd w:id="1037"/>
      <w:bookmarkStart w:id="1038" w:name="_Toc303538975"/>
      <w:bookmarkEnd w:id="1038"/>
      <w:bookmarkStart w:id="1039" w:name="_Toc296346528"/>
      <w:bookmarkStart w:id="1040" w:name="_Toc296503027"/>
      <w:r>
        <w:rPr>
          <w:rFonts w:hint="eastAsia" w:ascii="仿宋" w:hAnsi="仿宋" w:eastAsia="仿宋" w:cs="仿宋"/>
          <w:b w:val="0"/>
          <w:color w:val="auto"/>
          <w:sz w:val="24"/>
          <w:szCs w:val="24"/>
        </w:rPr>
        <w:t xml:space="preserve"> 一般约定</w:t>
      </w:r>
      <w:bookmarkEnd w:id="1032"/>
      <w:bookmarkEnd w:id="1033"/>
      <w:bookmarkEnd w:id="1039"/>
      <w:bookmarkEnd w:id="1040"/>
    </w:p>
    <w:p w14:paraId="1E113D8D">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41" w:name="_Toc296503028"/>
      <w:bookmarkStart w:id="1042" w:name="_Toc337558728"/>
      <w:bookmarkStart w:id="1043" w:name="_Toc296346529"/>
      <w:bookmarkStart w:id="1044" w:name="_Toc351203496"/>
      <w:r>
        <w:rPr>
          <w:rFonts w:hint="eastAsia" w:ascii="仿宋" w:hAnsi="仿宋" w:eastAsia="仿宋" w:cs="仿宋"/>
          <w:b w:val="0"/>
          <w:color w:val="auto"/>
          <w:sz w:val="24"/>
          <w:szCs w:val="24"/>
        </w:rPr>
        <w:t>1.1词语定义</w:t>
      </w:r>
      <w:bookmarkEnd w:id="1041"/>
      <w:bookmarkEnd w:id="1042"/>
      <w:bookmarkEnd w:id="1043"/>
      <w:r>
        <w:rPr>
          <w:rFonts w:hint="eastAsia" w:ascii="仿宋" w:hAnsi="仿宋" w:eastAsia="仿宋" w:cs="仿宋"/>
          <w:b w:val="0"/>
          <w:color w:val="auto"/>
          <w:sz w:val="24"/>
          <w:szCs w:val="24"/>
        </w:rPr>
        <w:t>与解释</w:t>
      </w:r>
      <w:bookmarkEnd w:id="1044"/>
    </w:p>
    <w:p w14:paraId="256726F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合同协议书、通用合同条款、专用合同条款中的下列词语具有本款所赋予的含义：</w:t>
      </w:r>
    </w:p>
    <w:p w14:paraId="7F9A2D0B">
      <w:pPr>
        <w:pageBreakBefore w:val="0"/>
        <w:widowControl w:val="0"/>
        <w:kinsoku/>
        <w:wordWrap/>
        <w:overflowPunct/>
        <w:topLinePunct w:val="0"/>
        <w:autoSpaceDE w:val="0"/>
        <w:autoSpaceDN w:val="0"/>
        <w:bidi w:val="0"/>
        <w:adjustRightInd w:val="0"/>
        <w:snapToGrid/>
        <w:spacing w:line="44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1.1.1 合同</w:t>
      </w:r>
    </w:p>
    <w:p w14:paraId="1A8D79C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1.1.1.1 合同：是指根据法律规定和合同当事人约定具有约束力的文件，构成合同的文件包括合同协议书、中标通知书（如果有）、投标函及其附录（如果有）、专用合同条款</w:t>
      </w:r>
      <w:r>
        <w:rPr>
          <w:rFonts w:hint="eastAsia" w:ascii="仿宋" w:hAnsi="仿宋" w:eastAsia="仿宋" w:cs="仿宋"/>
          <w:color w:val="auto"/>
          <w:sz w:val="24"/>
          <w:szCs w:val="24"/>
        </w:rPr>
        <w:t>及其附件</w:t>
      </w:r>
      <w:r>
        <w:rPr>
          <w:rFonts w:hint="eastAsia" w:ascii="仿宋" w:hAnsi="仿宋" w:eastAsia="仿宋" w:cs="仿宋"/>
          <w:color w:val="auto"/>
          <w:kern w:val="0"/>
          <w:sz w:val="24"/>
          <w:szCs w:val="24"/>
        </w:rPr>
        <w:t>、通用合同条款、技术标准和要求、已标价工程量清单或预算书以及其他合同文件。</w:t>
      </w:r>
    </w:p>
    <w:p w14:paraId="5D344A5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1.1.1.2 合同协议书：是指构成合同的由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共同签署的称为“合同协议书”的书面文件。</w:t>
      </w:r>
    </w:p>
    <w:p w14:paraId="178A09C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1.1.1.3 中标通知书：是指构成合同的由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中标的书面文件。</w:t>
      </w:r>
    </w:p>
    <w:p w14:paraId="329711D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1.1.1.4 投标函：是指构成合同的由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填写并签署的用于投标的称为“投标函”的文件。</w:t>
      </w:r>
    </w:p>
    <w:p w14:paraId="63E3B92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1.1.1.5 投标函附录：是指构成合同的附在投标函后的称为“投标函附录”的文件。</w:t>
      </w:r>
    </w:p>
    <w:p w14:paraId="5675523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1.1.1.6 技术标准和要求：是指构成合同的施工应当遵守的或指导施工的国家、行业或地方的技术标准和要求，以及合同约定的技术标准和要求。</w:t>
      </w:r>
    </w:p>
    <w:p w14:paraId="69D44C2A">
      <w:pPr>
        <w:pageBreakBefore w:val="0"/>
        <w:widowControl w:val="0"/>
        <w:kinsoku/>
        <w:wordWrap/>
        <w:overflowPunct/>
        <w:topLinePunct w:val="0"/>
        <w:autoSpaceDE w:val="0"/>
        <w:autoSpaceDN w:val="0"/>
        <w:bidi w:val="0"/>
        <w:adjustRightInd w:val="0"/>
        <w:snapToGrid/>
        <w:spacing w:line="440" w:lineRule="exact"/>
        <w:ind w:firstLine="468" w:firstLineChars="195"/>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w:t>
      </w: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 xml:space="preserve"> 已标价工程量清单：是指构成合同的由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按照规定的格式和要求填写并标明价格的工程量清单，包括说明和表格。</w:t>
      </w:r>
    </w:p>
    <w:p w14:paraId="6802ED7D">
      <w:pPr>
        <w:pageBreakBefore w:val="0"/>
        <w:widowControl w:val="0"/>
        <w:kinsoku/>
        <w:wordWrap/>
        <w:overflowPunct/>
        <w:topLinePunct w:val="0"/>
        <w:autoSpaceDE w:val="0"/>
        <w:autoSpaceDN w:val="0"/>
        <w:bidi w:val="0"/>
        <w:adjustRightInd w:val="0"/>
        <w:snapToGrid/>
        <w:spacing w:line="440" w:lineRule="exact"/>
        <w:ind w:firstLine="468" w:firstLineChars="195"/>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w:t>
      </w: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 xml:space="preserve"> 预算书：是指构成合同的由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规定的格式和要求编制的工程预算文件。</w:t>
      </w:r>
    </w:p>
    <w:p w14:paraId="2B78650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w:t>
      </w:r>
      <w:r>
        <w:rPr>
          <w:rFonts w:hint="eastAsia" w:ascii="仿宋" w:hAnsi="仿宋" w:eastAsia="仿宋" w:cs="仿宋"/>
          <w:color w:val="auto"/>
          <w:kern w:val="0"/>
          <w:sz w:val="24"/>
          <w:szCs w:val="24"/>
          <w:lang w:val="en-US" w:eastAsia="zh-CN"/>
        </w:rPr>
        <w:t>9</w:t>
      </w:r>
      <w:r>
        <w:rPr>
          <w:rFonts w:hint="eastAsia" w:ascii="仿宋" w:hAnsi="仿宋" w:eastAsia="仿宋" w:cs="仿宋"/>
          <w:color w:val="auto"/>
          <w:kern w:val="0"/>
          <w:sz w:val="24"/>
          <w:szCs w:val="24"/>
        </w:rPr>
        <w:t xml:space="preserve"> 其他合同文件：是指经合同当事人约定的与工程施工有关的具有合同约束力的文件或书面协议。合同当事人可以在专用合同条款中进行约定。</w:t>
      </w:r>
    </w:p>
    <w:p w14:paraId="555CE70D">
      <w:pPr>
        <w:pageBreakBefore w:val="0"/>
        <w:widowControl w:val="0"/>
        <w:kinsoku/>
        <w:wordWrap/>
        <w:overflowPunct/>
        <w:topLinePunct w:val="0"/>
        <w:autoSpaceDE w:val="0"/>
        <w:autoSpaceDN w:val="0"/>
        <w:bidi w:val="0"/>
        <w:adjustRightInd w:val="0"/>
        <w:snapToGrid/>
        <w:spacing w:line="44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1.1.2 合同当事人及其他相关方</w:t>
      </w:r>
    </w:p>
    <w:p w14:paraId="2E4507B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1.1.2.1 合同当事人：是指</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w:t>
      </w:r>
    </w:p>
    <w:p w14:paraId="054DF18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1.1.2.2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：是指与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签订合同协议书的当事人及取得该当事人资格的合法继承人。</w:t>
      </w:r>
    </w:p>
    <w:p w14:paraId="0EA1791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1.1.2.3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：是指与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签订合同协议书的，具有相应工程施工承包资质的当事人及取得该当事人资格的合法继承人。</w:t>
      </w:r>
    </w:p>
    <w:p w14:paraId="158A0F7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1.1.2.4 监理人：是指在专用合同条款中指明的，受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委托按照法律规定进行工程监督管理的法人或其他组织。</w:t>
      </w:r>
    </w:p>
    <w:p w14:paraId="1D4034C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1.1.2.5 设计人：是指在专用合同条款中指明的，受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委托负责工程设计并具备相应工程设计资质的法人或其他组织。</w:t>
      </w:r>
    </w:p>
    <w:p w14:paraId="7B9F87B8">
      <w:pPr>
        <w:pageBreakBefore w:val="0"/>
        <w:widowControl w:val="0"/>
        <w:kinsoku/>
        <w:wordWrap/>
        <w:overflowPunct/>
        <w:topLinePunct w:val="0"/>
        <w:bidi w:val="0"/>
        <w:snapToGrid/>
        <w:spacing w:line="440" w:lineRule="exact"/>
        <w:ind w:firstLine="468" w:firstLineChars="195"/>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1.1.2.6 分包人：</w:t>
      </w:r>
      <w:bookmarkStart w:id="1045" w:name="#go5"/>
      <w:bookmarkEnd w:id="1045"/>
      <w:r>
        <w:rPr>
          <w:rFonts w:hint="eastAsia" w:ascii="仿宋" w:hAnsi="仿宋" w:eastAsia="仿宋" w:cs="仿宋"/>
          <w:color w:val="auto"/>
          <w:kern w:val="0"/>
          <w:sz w:val="24"/>
          <w:szCs w:val="24"/>
        </w:rPr>
        <w:t>是指按照法律规定和合同约定，分包部分工程或工作，并与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签订分包合同的具有相应资质的法人。</w:t>
      </w:r>
    </w:p>
    <w:p w14:paraId="15A5B24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1.1.2.7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代表：是指由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任命并派驻施工现场在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授权范围内行使</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权利的人。</w:t>
      </w:r>
    </w:p>
    <w:p w14:paraId="116BEDA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1.1.2.8 项目经理：是指由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任命并派驻施工现场，在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授权范围内负责合同履行，且按照法律规定具有相应资格的项目负责人。</w:t>
      </w:r>
    </w:p>
    <w:p w14:paraId="2078597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1.1.2.9 总监理工程师：是指由监理人任命并派驻施工现场进行工程监理的总负责人。</w:t>
      </w:r>
    </w:p>
    <w:p w14:paraId="3CAAA1E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 工程和设备</w:t>
      </w:r>
    </w:p>
    <w:p w14:paraId="6533D8F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1.1.3.1 工程：是指与合同协议书中工程承包范围对应的永久工程和（或）临时工程。</w:t>
      </w:r>
    </w:p>
    <w:p w14:paraId="211477B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1.1.3.2 永久工程：是指按合同约定建造并移交给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的工程，包括工程设备。</w:t>
      </w:r>
    </w:p>
    <w:p w14:paraId="0360E90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1.1.3.3 临时工程：是指为完成合同约定的永久工程所修建的各类临时性工程，不包括施工设备。</w:t>
      </w:r>
    </w:p>
    <w:p w14:paraId="49DC689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1.1.3.4 单位工程：是指在合同协议书中指明的，具备独立施工条件并能形成独立使用功能的永久工程。</w:t>
      </w:r>
    </w:p>
    <w:p w14:paraId="7E62874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1.1.3.5 工程设备：是指构成永久工程的机电设备、金属结构设备、仪器及其他类似的设备和装置。</w:t>
      </w:r>
    </w:p>
    <w:p w14:paraId="51E7F38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1.1.3.6 施工设备：是指为完成合同约定的各项工作所需的设备、器具和其他物品，但不包括工程设备、临时工程和材料。</w:t>
      </w:r>
    </w:p>
    <w:p w14:paraId="4802031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1.1.3.7 施工现场：是指用于工程施工的场所，以及在专用合同条款中指明作为施工场所组成部分的其他场所，包括永久占地和临时占地。</w:t>
      </w:r>
    </w:p>
    <w:p w14:paraId="332F27C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1.1.3.8临时设施：是指为完成合同约定的各项工作所服务的临时性生产和生活设施。</w:t>
      </w:r>
    </w:p>
    <w:p w14:paraId="0417F6F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1.1.3.9 永久占地：是指专用合同条款中指明为实施工程需永久占用的土地。</w:t>
      </w:r>
    </w:p>
    <w:p w14:paraId="492EB41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1.1.3.10 临时占地：是指专用合同条款中指明为实施工程需要临时占用的土地。</w:t>
      </w:r>
    </w:p>
    <w:p w14:paraId="5E36969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1.1.4 日期和期限</w:t>
      </w:r>
    </w:p>
    <w:p w14:paraId="714AD04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1EBDEE4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1.1.4.2 竣工日期：包括计划竣工日期和实际竣工日期。计划竣工日期是指合同协议书约定的竣工日期；实际竣工日期按照第13.2.3项〔竣工日期〕的约定确定。 </w:t>
      </w:r>
    </w:p>
    <w:p w14:paraId="4FD931FC">
      <w:pPr>
        <w:pageBreakBefore w:val="0"/>
        <w:widowControl w:val="0"/>
        <w:kinsoku/>
        <w:wordWrap/>
        <w:overflowPunct/>
        <w:topLinePunct w:val="0"/>
        <w:bidi w:val="0"/>
        <w:snapToGrid/>
        <w:spacing w:line="440" w:lineRule="exact"/>
        <w:ind w:firstLine="487" w:firstLineChars="203"/>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1.1.4.3 工期：是指在合同协议书约定的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完成工程所需的期限，包括按照合同约定所作的期限变更。</w:t>
      </w:r>
    </w:p>
    <w:p w14:paraId="3A349B8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1.1.4.4 缺陷责任期：是指</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按照合同约定承担缺陷修复义务，且</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预留质量保证金</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已缴纳履约保证金的除外</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的期限，自工程实际竣工日期起计算。</w:t>
      </w:r>
    </w:p>
    <w:p w14:paraId="204C236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1.1.4.5 保修期：是指</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按照合同约定对工程承担保修责任的期限，从工程竣工验收合格之日起计算。</w:t>
      </w:r>
    </w:p>
    <w:p w14:paraId="52178FD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1.1.4.6 基准日期：招标发包的工程以投标截止日前28天的日期为基准日期，直接发包的工程以合同签订日前28天的日期为基准日期。</w:t>
      </w:r>
    </w:p>
    <w:p w14:paraId="56A915E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1.1.4.7 天：除特别指明外，均指日历天。合同中按天计算时间的，开始当天不计入，从次日开始计算，期限最后一天的截止时间为当天24:00时。</w:t>
      </w:r>
    </w:p>
    <w:p w14:paraId="357AB68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1.1.5 合同价格和费用</w:t>
      </w:r>
    </w:p>
    <w:p w14:paraId="48A20AA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1.1.5.1 签约合同价：是指</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在合同协议书中确定的总金额，包括安全文明施工费、暂估价及暂列金额等。</w:t>
      </w:r>
    </w:p>
    <w:p w14:paraId="139A752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1.1.5.2 合同价格：是指</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用于支付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按照合同约定完成承包范围内全部工作的金额，包括合同履行过程中按合同约定发生的价格变化。</w:t>
      </w:r>
    </w:p>
    <w:p w14:paraId="4C04C52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1.1.5.3 费用：是指为履行合同所发生的或将要发生的所有必需的开支，包括管理费和应分摊的其他费用，但不包括利润。</w:t>
      </w:r>
    </w:p>
    <w:p w14:paraId="2DA9BE3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1.1.5.4 暂估价：是指</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在工程量清单或预算书中提供的用于支付必然发生但暂时不能确定价格的材料、工程设备的单价、专业工程以及服务工作的金额。</w:t>
      </w:r>
    </w:p>
    <w:p w14:paraId="2886E53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1.1.5.5 暂列金额：是指</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6BB5853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1.1.5.6 计日工：是指合同履行过程中，</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完成</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提出的零星工作或需要采用计日工计价的变更工作时，按合同中约定的单价计价的一种方式。</w:t>
      </w:r>
    </w:p>
    <w:p w14:paraId="2CF3F3B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1.1.5.7 质量保证金</w:t>
      </w:r>
      <w:bookmarkStart w:id="1046" w:name="#go2"/>
      <w:bookmarkEnd w:id="1046"/>
      <w:r>
        <w:rPr>
          <w:rFonts w:hint="eastAsia" w:ascii="仿宋" w:hAnsi="仿宋" w:eastAsia="仿宋" w:cs="仿宋"/>
          <w:color w:val="auto"/>
          <w:kern w:val="0"/>
          <w:sz w:val="24"/>
          <w:szCs w:val="24"/>
        </w:rPr>
        <w:t>：是指按照第15.3款〔质量保证金〕约定</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用于保证其在缺陷责任期内履行缺陷修补义务的担保</w:t>
      </w:r>
      <w:r>
        <w:rPr>
          <w:rFonts w:hint="eastAsia" w:ascii="仿宋" w:hAnsi="仿宋" w:eastAsia="仿宋" w:cs="仿宋"/>
          <w:color w:val="auto"/>
          <w:sz w:val="24"/>
          <w:szCs w:val="24"/>
        </w:rPr>
        <w:t>。</w:t>
      </w:r>
    </w:p>
    <w:p w14:paraId="086FD10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1.1.5.8 总价项目：是指在现行国家、行业以及地方的计量规则中无工程量计算规则，在已标价工程量清单或预算书中以总价或以费率形式计算的项目。</w:t>
      </w:r>
    </w:p>
    <w:p w14:paraId="45E4FAC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1.1.6 其他</w:t>
      </w:r>
    </w:p>
    <w:p w14:paraId="2EABA39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1.1.6.1 书面形式：是指合同文件、信函、电报、传真等可以有形地表现所载内容的形式。</w:t>
      </w:r>
    </w:p>
    <w:p w14:paraId="702D8FA8">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 xml:space="preserve">    </w:t>
      </w:r>
      <w:bookmarkStart w:id="1047" w:name="_Toc296503029"/>
      <w:bookmarkStart w:id="1048" w:name="_Toc351203497"/>
      <w:bookmarkStart w:id="1049" w:name="_Toc296346530"/>
      <w:bookmarkStart w:id="1050" w:name="_Toc337558729"/>
      <w:r>
        <w:rPr>
          <w:rFonts w:hint="eastAsia" w:ascii="仿宋" w:hAnsi="仿宋" w:eastAsia="仿宋" w:cs="仿宋"/>
          <w:b w:val="0"/>
          <w:color w:val="auto"/>
          <w:sz w:val="24"/>
          <w:szCs w:val="24"/>
        </w:rPr>
        <w:t>1.2语言文字</w:t>
      </w:r>
      <w:bookmarkEnd w:id="1047"/>
      <w:bookmarkEnd w:id="1048"/>
      <w:bookmarkEnd w:id="1049"/>
      <w:bookmarkEnd w:id="1050"/>
    </w:p>
    <w:p w14:paraId="014FB48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合同以中国的汉语简体文字编写、解释和说明。合同当事人在专用合同条款中约定使用两种以上语言时，汉语为优先解释和说明合同的语言。</w:t>
      </w:r>
    </w:p>
    <w:p w14:paraId="72331D20">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51" w:name="_Toc296503030"/>
      <w:bookmarkStart w:id="1052" w:name="_Toc337558730"/>
      <w:bookmarkStart w:id="1053" w:name="_Toc296346531"/>
      <w:bookmarkStart w:id="1054" w:name="_Toc351203498"/>
      <w:r>
        <w:rPr>
          <w:rFonts w:hint="eastAsia" w:ascii="仿宋" w:hAnsi="仿宋" w:eastAsia="仿宋" w:cs="仿宋"/>
          <w:b w:val="0"/>
          <w:color w:val="auto"/>
          <w:sz w:val="24"/>
          <w:szCs w:val="24"/>
        </w:rPr>
        <w:t>1.3法律</w:t>
      </w:r>
      <w:bookmarkEnd w:id="1051"/>
      <w:bookmarkEnd w:id="1052"/>
      <w:bookmarkEnd w:id="1053"/>
      <w:bookmarkEnd w:id="1054"/>
    </w:p>
    <w:p w14:paraId="0357D4E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合同所称法律是指中华人民共和国法律、行政法规、部门规章，以及工程所在地的地方性法规、自治条例、单行条例和地方政府规章等。</w:t>
      </w:r>
    </w:p>
    <w:p w14:paraId="6375A35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合同当事人可以在专用合同条款中约定合同适用的其他规范性文件。</w:t>
      </w:r>
    </w:p>
    <w:p w14:paraId="16C3621B">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55" w:name="_Toc351203499"/>
      <w:r>
        <w:rPr>
          <w:rFonts w:hint="eastAsia" w:ascii="仿宋" w:hAnsi="仿宋" w:eastAsia="仿宋" w:cs="仿宋"/>
          <w:b w:val="0"/>
          <w:color w:val="auto"/>
          <w:sz w:val="24"/>
          <w:szCs w:val="24"/>
        </w:rPr>
        <w:t>1.4 标准和规范</w:t>
      </w:r>
      <w:bookmarkEnd w:id="1055"/>
    </w:p>
    <w:p w14:paraId="4A433093">
      <w:pPr>
        <w:pageBreakBefore w:val="0"/>
        <w:widowControl w:val="0"/>
        <w:kinsoku/>
        <w:wordWrap/>
        <w:overflowPunct/>
        <w:topLinePunct w:val="0"/>
        <w:autoSpaceDE w:val="0"/>
        <w:autoSpaceDN w:val="0"/>
        <w:bidi w:val="0"/>
        <w:adjustRightInd w:val="0"/>
        <w:snapToGrid/>
        <w:spacing w:line="440" w:lineRule="exact"/>
        <w:ind w:firstLine="64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1.4.1 适用于工程的国家标准、行业标准、工程所在地的地方性标准，以及相应的规范、规程等，合同当事人有特别要求的，应在专用合同条款中约定。</w:t>
      </w:r>
    </w:p>
    <w:p w14:paraId="4D4962A1">
      <w:pPr>
        <w:pageBreakBefore w:val="0"/>
        <w:widowControl w:val="0"/>
        <w:kinsoku/>
        <w:wordWrap/>
        <w:overflowPunct/>
        <w:topLinePunct w:val="0"/>
        <w:autoSpaceDE w:val="0"/>
        <w:autoSpaceDN w:val="0"/>
        <w:bidi w:val="0"/>
        <w:adjustRightInd w:val="0"/>
        <w:snapToGrid/>
        <w:spacing w:line="440" w:lineRule="exact"/>
        <w:ind w:firstLine="64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1.4.2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要求使用国外标准、规范的，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负责提供原文版本和中文译本，并在专用合同条款中约定提供标准规范的名称、份数和时间。</w:t>
      </w:r>
    </w:p>
    <w:p w14:paraId="54E2D086">
      <w:pPr>
        <w:pageBreakBefore w:val="0"/>
        <w:widowControl w:val="0"/>
        <w:kinsoku/>
        <w:wordWrap/>
        <w:overflowPunct/>
        <w:topLinePunct w:val="0"/>
        <w:autoSpaceDE w:val="0"/>
        <w:autoSpaceDN w:val="0"/>
        <w:bidi w:val="0"/>
        <w:adjustRightInd w:val="0"/>
        <w:snapToGrid/>
        <w:spacing w:line="440" w:lineRule="exact"/>
        <w:ind w:firstLine="64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1.4.3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对工程的技术标准、功能要求高于或严于现行国家、行业或地方标准的，应当在专用合同条款中予以明确。除专用合同条款另有约定外，应视为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在签订合同前已充分预见前述技术标准和功能要求的复杂程度，签约合同价中已包含由此产生的费用。</w:t>
      </w:r>
    </w:p>
    <w:p w14:paraId="5FA1189D">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56" w:name="_Toc351203500"/>
      <w:r>
        <w:rPr>
          <w:rFonts w:hint="eastAsia" w:ascii="仿宋" w:hAnsi="仿宋" w:eastAsia="仿宋" w:cs="仿宋"/>
          <w:b w:val="0"/>
          <w:color w:val="auto"/>
          <w:sz w:val="24"/>
          <w:szCs w:val="24"/>
        </w:rPr>
        <w:t>1</w:t>
      </w:r>
      <w:bookmarkStart w:id="1057" w:name="_Toc296503031"/>
      <w:bookmarkStart w:id="1058" w:name="_Toc337558731"/>
      <w:bookmarkStart w:id="1059" w:name="_Toc296346532"/>
      <w:r>
        <w:rPr>
          <w:rFonts w:hint="eastAsia" w:ascii="仿宋" w:hAnsi="仿宋" w:eastAsia="仿宋" w:cs="仿宋"/>
          <w:b w:val="0"/>
          <w:color w:val="auto"/>
          <w:sz w:val="24"/>
          <w:szCs w:val="24"/>
        </w:rPr>
        <w:t>.5 合同文件的优先顺序</w:t>
      </w:r>
      <w:bookmarkEnd w:id="1056"/>
    </w:p>
    <w:bookmarkEnd w:id="1057"/>
    <w:bookmarkEnd w:id="1058"/>
    <w:bookmarkEnd w:id="1059"/>
    <w:p w14:paraId="7586848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组成合同的各项文件应互相解释，互为说明。除专用合同条款另有约定外，解释合同文件的优先顺序如下：</w:t>
      </w:r>
    </w:p>
    <w:p w14:paraId="38FBCEE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（1）合同协议书；</w:t>
      </w:r>
    </w:p>
    <w:p w14:paraId="73672E2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（2）中标通知书（如果有）；</w:t>
      </w:r>
    </w:p>
    <w:p w14:paraId="71D4C3F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（3）投标函及其附录（如果有）；</w:t>
      </w:r>
    </w:p>
    <w:p w14:paraId="2371011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（4）专用合同条款</w:t>
      </w:r>
      <w:r>
        <w:rPr>
          <w:rFonts w:hint="eastAsia" w:ascii="仿宋" w:hAnsi="仿宋" w:eastAsia="仿宋" w:cs="仿宋"/>
          <w:color w:val="auto"/>
          <w:sz w:val="24"/>
          <w:szCs w:val="24"/>
        </w:rPr>
        <w:t>及其附件</w:t>
      </w:r>
      <w:r>
        <w:rPr>
          <w:rFonts w:hint="eastAsia" w:ascii="仿宋" w:hAnsi="仿宋" w:eastAsia="仿宋" w:cs="仿宋"/>
          <w:color w:val="auto"/>
          <w:kern w:val="0"/>
          <w:sz w:val="24"/>
          <w:szCs w:val="24"/>
        </w:rPr>
        <w:t>；</w:t>
      </w:r>
    </w:p>
    <w:p w14:paraId="20B123D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（5）通用合同条款；</w:t>
      </w:r>
    </w:p>
    <w:p w14:paraId="3C32A39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（6）技术标准和要求；</w:t>
      </w:r>
    </w:p>
    <w:p w14:paraId="2189A54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）已标价工程量清单或预算书；</w:t>
      </w:r>
    </w:p>
    <w:p w14:paraId="110CD28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）其他合同文件。</w:t>
      </w:r>
    </w:p>
    <w:p w14:paraId="4E2585C5">
      <w:pPr>
        <w:pageBreakBefore w:val="0"/>
        <w:widowControl w:val="0"/>
        <w:kinsoku/>
        <w:wordWrap/>
        <w:overflowPunct/>
        <w:topLinePunct w:val="0"/>
        <w:bidi w:val="0"/>
        <w:snapToGrid/>
        <w:spacing w:line="440" w:lineRule="exact"/>
        <w:ind w:firstLine="511" w:firstLineChars="213"/>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上述各项合同文件包括合同当事人就该项合同文件所作出的补充和修改，属于同一类内容的文件，应以最新签署的为准。</w:t>
      </w:r>
    </w:p>
    <w:p w14:paraId="0F6B7473">
      <w:pPr>
        <w:pageBreakBefore w:val="0"/>
        <w:widowControl w:val="0"/>
        <w:kinsoku/>
        <w:wordWrap/>
        <w:overflowPunct/>
        <w:topLinePunct w:val="0"/>
        <w:bidi w:val="0"/>
        <w:snapToGrid/>
        <w:spacing w:line="440" w:lineRule="exact"/>
        <w:ind w:firstLine="511" w:firstLineChars="213"/>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在合同订立及履行过程中形成的与合同有关的文件均构成合同文件组成部分，并根据其性质确定优先解释顺序。</w:t>
      </w:r>
    </w:p>
    <w:p w14:paraId="354D696D">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60" w:name="_Toc351203501"/>
      <w:r>
        <w:rPr>
          <w:rFonts w:hint="eastAsia" w:ascii="仿宋" w:hAnsi="仿宋" w:eastAsia="仿宋" w:cs="仿宋"/>
          <w:b w:val="0"/>
          <w:color w:val="auto"/>
          <w:sz w:val="24"/>
          <w:szCs w:val="24"/>
        </w:rPr>
        <w:t>1</w:t>
      </w:r>
      <w:bookmarkStart w:id="1061" w:name="_Toc337558732"/>
      <w:bookmarkStart w:id="1062" w:name="_Toc296346533"/>
      <w:bookmarkStart w:id="1063" w:name="_Toc296503032"/>
      <w:r>
        <w:rPr>
          <w:rFonts w:hint="eastAsia" w:ascii="仿宋" w:hAnsi="仿宋" w:eastAsia="仿宋" w:cs="仿宋"/>
          <w:b w:val="0"/>
          <w:color w:val="auto"/>
          <w:sz w:val="24"/>
          <w:szCs w:val="24"/>
        </w:rPr>
        <w:t>.6</w:t>
      </w:r>
      <w:r>
        <w:rPr>
          <w:rFonts w:hint="eastAsia" w:ascii="仿宋" w:hAnsi="仿宋" w:eastAsia="仿宋" w:cs="仿宋"/>
          <w:b w:val="0"/>
          <w:color w:val="auto"/>
          <w:sz w:val="24"/>
          <w:szCs w:val="24"/>
          <w:lang w:eastAsia="zh-CN"/>
        </w:rPr>
        <w:t>承包人</w:t>
      </w:r>
      <w:r>
        <w:rPr>
          <w:rFonts w:hint="eastAsia" w:ascii="仿宋" w:hAnsi="仿宋" w:eastAsia="仿宋" w:cs="仿宋"/>
          <w:b w:val="0"/>
          <w:color w:val="auto"/>
          <w:sz w:val="24"/>
          <w:szCs w:val="24"/>
        </w:rPr>
        <w:t>文件</w:t>
      </w:r>
      <w:bookmarkEnd w:id="1060"/>
    </w:p>
    <w:bookmarkEnd w:id="1061"/>
    <w:bookmarkEnd w:id="1062"/>
    <w:bookmarkEnd w:id="1063"/>
    <w:p w14:paraId="23A367D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应按照专用合同条款的约定提供应当由其编制的与工程施工有关的文件，并按照专用合同条款约定的期限、数量和形式提交监理人，并由监理人报送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p>
    <w:p w14:paraId="5275E7C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除专用合同条款另有约定外，监理人应在收到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文件后7天内审查完毕，监理人对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文件有异议的，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应予以修改，并重新报送监理人。监理人的审查并不减轻或免除</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根据合同约定应当承担的责任。</w:t>
      </w:r>
    </w:p>
    <w:p w14:paraId="2DD18E21">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64" w:name="_Toc351203502"/>
      <w:r>
        <w:rPr>
          <w:rFonts w:hint="eastAsia" w:ascii="仿宋" w:hAnsi="仿宋" w:eastAsia="仿宋" w:cs="仿宋"/>
          <w:b w:val="0"/>
          <w:color w:val="auto"/>
          <w:sz w:val="24"/>
          <w:szCs w:val="24"/>
        </w:rPr>
        <w:t>1</w:t>
      </w:r>
      <w:bookmarkStart w:id="1065" w:name="_Toc337558733"/>
      <w:bookmarkStart w:id="1066" w:name="_Toc296503033"/>
      <w:bookmarkStart w:id="1067" w:name="_Toc296346534"/>
      <w:r>
        <w:rPr>
          <w:rFonts w:hint="eastAsia" w:ascii="仿宋" w:hAnsi="仿宋" w:eastAsia="仿宋" w:cs="仿宋"/>
          <w:b w:val="0"/>
          <w:color w:val="auto"/>
          <w:sz w:val="24"/>
          <w:szCs w:val="24"/>
        </w:rPr>
        <w:t>.7联络</w:t>
      </w:r>
      <w:bookmarkEnd w:id="1064"/>
    </w:p>
    <w:bookmarkEnd w:id="1065"/>
    <w:bookmarkEnd w:id="1066"/>
    <w:bookmarkEnd w:id="1067"/>
    <w:p w14:paraId="7240696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1.7.1 与合同有关的通知、批准、证明、证书、指示、指令、要求、请求、同意、意见、确定和决定等，均应采用书面形式，并应在合同约定的期限内送达接收人和送达地点。</w:t>
      </w:r>
    </w:p>
    <w:p w14:paraId="0C2CDD1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1.7.2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应在专用合同条款中约定各自的送达接收人和送达地点。任何一方合同当事人指定的接收人或送达地点发生变动的，应提前3天以书面形式通知对方。</w:t>
      </w:r>
    </w:p>
    <w:p w14:paraId="627715D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1.7.3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应当及时签收另一方送达至送达地点和指定接收人的来往信函。拒不签收的，由此增加的费用和（或）延误的工期由拒绝接收一方承担。</w:t>
      </w:r>
    </w:p>
    <w:p w14:paraId="01516E14">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68" w:name="_Toc351203503"/>
      <w:r>
        <w:rPr>
          <w:rFonts w:hint="eastAsia" w:ascii="仿宋" w:hAnsi="仿宋" w:eastAsia="仿宋" w:cs="仿宋"/>
          <w:b w:val="0"/>
          <w:color w:val="auto"/>
          <w:sz w:val="24"/>
          <w:szCs w:val="24"/>
        </w:rPr>
        <w:t>1</w:t>
      </w:r>
      <w:bookmarkStart w:id="1069" w:name="_Toc296503035"/>
      <w:bookmarkStart w:id="1070" w:name="_Toc337558734"/>
      <w:bookmarkStart w:id="1071" w:name="_Toc296346536"/>
      <w:r>
        <w:rPr>
          <w:rFonts w:hint="eastAsia" w:ascii="仿宋" w:hAnsi="仿宋" w:eastAsia="仿宋" w:cs="仿宋"/>
          <w:b w:val="0"/>
          <w:color w:val="auto"/>
          <w:sz w:val="24"/>
          <w:szCs w:val="24"/>
        </w:rPr>
        <w:t>.8严禁贿赂</w:t>
      </w:r>
      <w:bookmarkEnd w:id="1068"/>
    </w:p>
    <w:bookmarkEnd w:id="1069"/>
    <w:bookmarkEnd w:id="1070"/>
    <w:bookmarkEnd w:id="1071"/>
    <w:p w14:paraId="75769ED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合同当事人不得以贿赂或变相贿赂的方式，谋取非法利益或损害对方权益。因一方合同当事人的贿赂造成对方损失的，应赔偿损失，并承担相应的法律责任。</w:t>
      </w:r>
    </w:p>
    <w:p w14:paraId="343AE1C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不得与监理人或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聘请的第三方串通损害</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利益。未经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不得为监理人提供合同约定以外的通讯设备、交通工具及其他任何形式的利益，不得向监理人支付报酬。</w:t>
      </w:r>
    </w:p>
    <w:p w14:paraId="6630566B">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72" w:name="_Toc351203504"/>
      <w:r>
        <w:rPr>
          <w:rFonts w:hint="eastAsia" w:ascii="仿宋" w:hAnsi="仿宋" w:eastAsia="仿宋" w:cs="仿宋"/>
          <w:b w:val="0"/>
          <w:color w:val="auto"/>
          <w:sz w:val="24"/>
          <w:szCs w:val="24"/>
        </w:rPr>
        <w:t>1</w:t>
      </w:r>
      <w:bookmarkStart w:id="1073" w:name="_Toc296346537"/>
      <w:bookmarkStart w:id="1074" w:name="_Toc296503036"/>
      <w:bookmarkStart w:id="1075" w:name="_Toc337558735"/>
      <w:r>
        <w:rPr>
          <w:rFonts w:hint="eastAsia" w:ascii="仿宋" w:hAnsi="仿宋" w:eastAsia="仿宋" w:cs="仿宋"/>
          <w:b w:val="0"/>
          <w:color w:val="auto"/>
          <w:sz w:val="24"/>
          <w:szCs w:val="24"/>
        </w:rPr>
        <w:t>.9化石、文物</w:t>
      </w:r>
      <w:bookmarkEnd w:id="1072"/>
    </w:p>
    <w:bookmarkEnd w:id="1073"/>
    <w:bookmarkEnd w:id="1074"/>
    <w:bookmarkEnd w:id="1075"/>
    <w:p w14:paraId="62E7128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在施工现场发掘的所有文物、古迹以及具有地质研究或考古价值的其他遗迹、化石、钱币或物品属于国家所有。一旦发现上述文物，</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应采取合理有效的保护措施，防止任何人员移动或损坏上述物品，并立即报告有关政府行政管理部门，同时通知监理人。</w:t>
      </w:r>
    </w:p>
    <w:p w14:paraId="01F4C9F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、监理人和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应按有关政府行政管理部门要求采取妥善的保护措施，由此增加的费用和（或）延误的工期由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7D6BBA6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发现文物后不及时报告或隐瞒不报，致使文物丢失或损坏的，应赔偿损失，并承担相应的法律责任。</w:t>
      </w:r>
    </w:p>
    <w:p w14:paraId="66E1CB30">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76" w:name="_Toc351203505"/>
      <w:r>
        <w:rPr>
          <w:rFonts w:hint="eastAsia" w:ascii="仿宋" w:hAnsi="仿宋" w:eastAsia="仿宋" w:cs="仿宋"/>
          <w:b w:val="0"/>
          <w:color w:val="auto"/>
          <w:sz w:val="24"/>
          <w:szCs w:val="24"/>
        </w:rPr>
        <w:t>1</w:t>
      </w:r>
      <w:bookmarkStart w:id="1077" w:name="_Toc337558736"/>
      <w:r>
        <w:rPr>
          <w:rFonts w:hint="eastAsia" w:ascii="仿宋" w:hAnsi="仿宋" w:eastAsia="仿宋" w:cs="仿宋"/>
          <w:b w:val="0"/>
          <w:color w:val="auto"/>
          <w:sz w:val="24"/>
          <w:szCs w:val="24"/>
        </w:rPr>
        <w:t>.10交通运输</w:t>
      </w:r>
      <w:bookmarkEnd w:id="1076"/>
    </w:p>
    <w:bookmarkEnd w:id="1077"/>
    <w:p w14:paraId="37B464D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1.10.1 出入现场的权利</w:t>
      </w:r>
    </w:p>
    <w:p w14:paraId="55F23EF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应根据施工需要，负责取得出入施工现场所需的批准手续和全部权利，以及取得因施工所需修建道路、桥梁以及其他基础设施的权利，并承担相关手续费用和建设费用。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应协助</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办理修建场内外道路、桥梁以及其他基础设施的手续。</w:t>
      </w:r>
    </w:p>
    <w:p w14:paraId="016014E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应在订立合同前查勘施工现场，并根据工程规模及技术参数合理预见工程施工所需的进出施工现场的方式、手段、路径等。因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未合理预见所增加的费用和（或）延误的工期由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7FE6D6A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1.10.2 场外交通</w:t>
      </w:r>
    </w:p>
    <w:p w14:paraId="591B1BA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应提供场外交通设施的技术参数和具体条件，</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应遵守有关交通法规，严格按照道路和桥梁的限制荷载行驶，执行有关道路限速、限行、禁止超载的规定，并配合交通管理部门的监督和检查。场外交通设施无法满足工程施工需要的，由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负责完善并承担相关费用。</w:t>
      </w:r>
    </w:p>
    <w:p w14:paraId="58297F7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1.10.3场内交通</w:t>
      </w:r>
    </w:p>
    <w:p w14:paraId="134B736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应提供场内交通设施的技术参数和具体条件，并应按照专用合同条款的约定向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免费提供满足工程施工所需的场内道路和交通设施。因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原因造成上述道路或交通设施损坏的，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负责修复并承担由此增加的费用。</w:t>
      </w:r>
    </w:p>
    <w:p w14:paraId="446F894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按照合同约定提供的场内道路和交通设施外，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负责修建、维修、养护和管理施工所需的其他场内临时道路和交通设施。</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和监理人可以为实现合同目的使用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修建的场内临时道路和交通设施。</w:t>
      </w:r>
    </w:p>
    <w:p w14:paraId="0C27AD7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场外交通和场内交通的边界由合同当事人在专用合同条款中约定。</w:t>
      </w:r>
    </w:p>
    <w:p w14:paraId="4C32113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1.10.4 超大件和超重件的运输</w:t>
      </w:r>
    </w:p>
    <w:p w14:paraId="4AF38D3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负责运输的超大件或超重件，应由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负责向交通管理部门办理申请手续，</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给予协助。运输超大件或超重件所需的道路和桥梁临时加固改造费用和其他有关费用，由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承担，但专用合同条款另有约定除外。</w:t>
      </w:r>
    </w:p>
    <w:p w14:paraId="32FDC3B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1.10.5 道路和桥梁的损坏责任</w:t>
      </w:r>
    </w:p>
    <w:p w14:paraId="3346137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运输造成施工场地内外公共道路和桥梁损坏的，由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承担修复损坏的全部费用和可能引起的赔偿。</w:t>
      </w:r>
    </w:p>
    <w:p w14:paraId="0168F59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1.10.6 水路和航空运输</w:t>
      </w:r>
    </w:p>
    <w:p w14:paraId="0C3AC21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本款前述各项的内容适用于水路运输和航空运输，其中“道路”一词的涵义包括河道、航线、船闸、机场、码头、堤防以及水路或航空运输中其他相似结构物；“车辆”一词的涵义包括船舶和飞机等。</w:t>
      </w:r>
    </w:p>
    <w:p w14:paraId="74D0B67B">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78" w:name="_Toc351203506"/>
      <w:r>
        <w:rPr>
          <w:rFonts w:hint="eastAsia" w:ascii="仿宋" w:hAnsi="仿宋" w:eastAsia="仿宋" w:cs="仿宋"/>
          <w:b w:val="0"/>
          <w:color w:val="auto"/>
          <w:sz w:val="24"/>
          <w:szCs w:val="24"/>
        </w:rPr>
        <w:t>1</w:t>
      </w:r>
      <w:bookmarkStart w:id="1079" w:name="_Toc337558737"/>
      <w:bookmarkStart w:id="1080" w:name="_Toc296503037"/>
      <w:bookmarkStart w:id="1081" w:name="_Toc296346538"/>
      <w:r>
        <w:rPr>
          <w:rFonts w:hint="eastAsia" w:ascii="仿宋" w:hAnsi="仿宋" w:eastAsia="仿宋" w:cs="仿宋"/>
          <w:b w:val="0"/>
          <w:color w:val="auto"/>
          <w:sz w:val="24"/>
          <w:szCs w:val="24"/>
        </w:rPr>
        <w:t>.11知识产权</w:t>
      </w:r>
      <w:bookmarkEnd w:id="1078"/>
      <w:r>
        <w:rPr>
          <w:rFonts w:hint="eastAsia" w:ascii="仿宋" w:hAnsi="仿宋" w:eastAsia="仿宋" w:cs="仿宋"/>
          <w:b w:val="0"/>
          <w:color w:val="auto"/>
          <w:sz w:val="24"/>
          <w:szCs w:val="24"/>
        </w:rPr>
        <w:t xml:space="preserve"> </w:t>
      </w:r>
      <w:bookmarkEnd w:id="1079"/>
    </w:p>
    <w:bookmarkEnd w:id="1080"/>
    <w:bookmarkEnd w:id="1081"/>
    <w:p w14:paraId="1ACAAB2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1.11.1 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为实施工程自行编制或委托编制的技术规范以及反映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要求的或其他类似性质的文件的著作权属于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可以为实现合同目的而复制、使用此类文件，但不能用于与合同无关的其他事项。未经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不得为了合同以外的目的而复制、使用上述文件或将之提供给任何第三方。</w:t>
      </w:r>
    </w:p>
    <w:p w14:paraId="7C04267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1.11.2 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为实施工程所编制的文件，除署名权以外的著作权属于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可因实施工程的运行、调试、维修、改造等目的而复制、使用此类文件，但不能用于与合同无关的其他事项。未经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不得为了合同以外的目的而复制、使用上述文件或将之提供给任何第三方。</w:t>
      </w:r>
    </w:p>
    <w:p w14:paraId="01B30E2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1.11.3 合同当事人保证在履行合同过程中不侵犯对方及第三方的知识产权。</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在使用材料、施工设备、工程设备或采用施工工艺时，因侵犯他人的专利权或其他知识产权所引起的责任，由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提供的材料、施工设备、工程设备或施工工艺导致侵权的，由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承担责任。</w:t>
      </w:r>
    </w:p>
    <w:p w14:paraId="0120C49D">
      <w:pPr>
        <w:pageBreakBefore w:val="0"/>
        <w:widowControl w:val="0"/>
        <w:kinsoku/>
        <w:wordWrap/>
        <w:overflowPunct/>
        <w:topLinePunct w:val="0"/>
        <w:bidi w:val="0"/>
        <w:snapToGrid/>
        <w:spacing w:line="440" w:lineRule="exac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 xml:space="preserve">    </w:t>
      </w:r>
      <w:r>
        <w:rPr>
          <w:rFonts w:hint="eastAsia" w:ascii="仿宋" w:hAnsi="仿宋" w:eastAsia="仿宋" w:cs="仿宋"/>
          <w:color w:val="auto"/>
          <w:sz w:val="24"/>
          <w:szCs w:val="24"/>
        </w:rPr>
        <w:t>1.11.4 除专用合同条款另有约定外，</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在合同签订前和签订时已确定采用的专利、专有技术、技术秘密的使用费已包含在签约合同价中。</w:t>
      </w:r>
    </w:p>
    <w:p w14:paraId="6C0588D9">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82" w:name="_Toc351203507"/>
      <w:r>
        <w:rPr>
          <w:rFonts w:hint="eastAsia" w:ascii="仿宋" w:hAnsi="仿宋" w:eastAsia="仿宋" w:cs="仿宋"/>
          <w:b w:val="0"/>
          <w:color w:val="auto"/>
          <w:sz w:val="24"/>
          <w:szCs w:val="24"/>
        </w:rPr>
        <w:t>1</w:t>
      </w:r>
      <w:bookmarkStart w:id="1083" w:name="_Toc337558738"/>
      <w:r>
        <w:rPr>
          <w:rFonts w:hint="eastAsia" w:ascii="仿宋" w:hAnsi="仿宋" w:eastAsia="仿宋" w:cs="仿宋"/>
          <w:b w:val="0"/>
          <w:color w:val="auto"/>
          <w:sz w:val="24"/>
          <w:szCs w:val="24"/>
        </w:rPr>
        <w:t>.12保密</w:t>
      </w:r>
      <w:bookmarkEnd w:id="1082"/>
    </w:p>
    <w:bookmarkEnd w:id="1083"/>
    <w:p w14:paraId="2581754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除法律规定或合同另有约定外，未经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不得将</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提供的文件以及声明需要保密的资料信息等商业秘密泄露给第三方。</w:t>
      </w:r>
    </w:p>
    <w:p w14:paraId="07CD4E8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除法律规定或合同另有约定外，未经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同意，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不得将</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提供的技术秘密及声明需要保密的资料信息等商业秘密泄露给第三方。</w:t>
      </w:r>
    </w:p>
    <w:p w14:paraId="2CE1B7B5">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84" w:name="_Toc351203508"/>
      <w:r>
        <w:rPr>
          <w:rFonts w:hint="eastAsia" w:ascii="仿宋" w:hAnsi="仿宋" w:eastAsia="仿宋" w:cs="仿宋"/>
          <w:b w:val="0"/>
          <w:color w:val="auto"/>
          <w:sz w:val="24"/>
          <w:szCs w:val="24"/>
        </w:rPr>
        <w:t>1.13工程量清单错误的修正</w:t>
      </w:r>
      <w:bookmarkEnd w:id="1084"/>
    </w:p>
    <w:p w14:paraId="2A738F8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提供的工程量清单，应被认为是准确的和完整的。出现下列情形之一时，</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应予以修正，并相应调整合同价格：</w:t>
      </w:r>
    </w:p>
    <w:p w14:paraId="53CBD1E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（1）工程量清单存在缺项、漏项的；</w:t>
      </w:r>
    </w:p>
    <w:p w14:paraId="28A768B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（2）工程量清单偏差超出专用合同条款约定的工程量偏差范围的；</w:t>
      </w:r>
    </w:p>
    <w:p w14:paraId="26C9B05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（3）未按照国家现行计量规范强制性规定计量的。</w:t>
      </w:r>
    </w:p>
    <w:p w14:paraId="37E20211">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lang w:eastAsia="zh-CN"/>
        </w:rPr>
      </w:pPr>
      <w:bookmarkStart w:id="1085" w:name="_Toc351203509"/>
      <w:r>
        <w:rPr>
          <w:rFonts w:hint="eastAsia" w:ascii="仿宋" w:hAnsi="仿宋" w:eastAsia="仿宋" w:cs="仿宋"/>
          <w:b w:val="0"/>
          <w:color w:val="auto"/>
          <w:sz w:val="24"/>
          <w:szCs w:val="24"/>
        </w:rPr>
        <w:t>2</w:t>
      </w:r>
      <w:bookmarkStart w:id="1086" w:name="_Toc337558739"/>
      <w:bookmarkStart w:id="1087" w:name="_Toc296503038"/>
      <w:bookmarkStart w:id="1088" w:name="_Toc296346539"/>
      <w:bookmarkStart w:id="1089" w:name="OLE_LINK2"/>
      <w:bookmarkStart w:id="1090" w:name="OLE_LINK1"/>
      <w:r>
        <w:rPr>
          <w:rFonts w:hint="eastAsia" w:ascii="仿宋" w:hAnsi="仿宋" w:eastAsia="仿宋" w:cs="仿宋"/>
          <w:b w:val="0"/>
          <w:color w:val="auto"/>
          <w:sz w:val="24"/>
          <w:szCs w:val="24"/>
        </w:rPr>
        <w:t xml:space="preserve">. </w:t>
      </w:r>
      <w:bookmarkEnd w:id="1085"/>
      <w:r>
        <w:rPr>
          <w:rFonts w:hint="eastAsia" w:ascii="仿宋" w:hAnsi="仿宋" w:eastAsia="仿宋" w:cs="仿宋"/>
          <w:b w:val="0"/>
          <w:color w:val="auto"/>
          <w:sz w:val="24"/>
          <w:szCs w:val="24"/>
          <w:lang w:eastAsia="zh-CN"/>
        </w:rPr>
        <w:t>发包人</w:t>
      </w:r>
    </w:p>
    <w:bookmarkEnd w:id="1086"/>
    <w:bookmarkEnd w:id="1087"/>
    <w:bookmarkEnd w:id="1088"/>
    <w:p w14:paraId="247E0C42">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91" w:name="_Toc351203510"/>
      <w:r>
        <w:rPr>
          <w:rFonts w:hint="eastAsia" w:ascii="仿宋" w:hAnsi="仿宋" w:eastAsia="仿宋" w:cs="仿宋"/>
          <w:b w:val="0"/>
          <w:color w:val="auto"/>
          <w:sz w:val="24"/>
          <w:szCs w:val="24"/>
        </w:rPr>
        <w:t>2</w:t>
      </w:r>
      <w:bookmarkStart w:id="1092" w:name="_Toc296503039"/>
      <w:bookmarkStart w:id="1093" w:name="_Toc337558740"/>
      <w:bookmarkStart w:id="1094" w:name="_Toc296346540"/>
      <w:r>
        <w:rPr>
          <w:rFonts w:hint="eastAsia" w:ascii="仿宋" w:hAnsi="仿宋" w:eastAsia="仿宋" w:cs="仿宋"/>
          <w:b w:val="0"/>
          <w:color w:val="auto"/>
          <w:sz w:val="24"/>
          <w:szCs w:val="24"/>
        </w:rPr>
        <w:t>.1 许可或批准</w:t>
      </w:r>
      <w:bookmarkEnd w:id="1091"/>
    </w:p>
    <w:p w14:paraId="0B38B48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遵守法律，并办理法律规定由其办理的许可、批准或备案，包括但不限于建设用地规划许可证、建设工程规划许可证、建设工程施工许可证、施工所需临时用水、临时用电、中断道路交通、临时占用土地等许可和批准。</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应协助</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办理法律规定的有关施工证件和批件。</w:t>
      </w:r>
    </w:p>
    <w:p w14:paraId="4FD23AE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原因未能及时办理完毕前述许可、批准或备案，由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承担由此增加的费用和（或）延误的工期，并支付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w:t>
      </w:r>
    </w:p>
    <w:p w14:paraId="17828E0F">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95" w:name="_Toc351203511"/>
      <w:r>
        <w:rPr>
          <w:rFonts w:hint="eastAsia" w:ascii="仿宋" w:hAnsi="仿宋" w:eastAsia="仿宋" w:cs="仿宋"/>
          <w:b w:val="0"/>
          <w:color w:val="auto"/>
          <w:sz w:val="24"/>
          <w:szCs w:val="24"/>
        </w:rPr>
        <w:t xml:space="preserve">2.2 </w:t>
      </w:r>
      <w:r>
        <w:rPr>
          <w:rFonts w:hint="eastAsia" w:ascii="仿宋" w:hAnsi="仿宋" w:eastAsia="仿宋" w:cs="仿宋"/>
          <w:b w:val="0"/>
          <w:color w:val="auto"/>
          <w:sz w:val="24"/>
          <w:szCs w:val="24"/>
          <w:lang w:eastAsia="zh-CN"/>
        </w:rPr>
        <w:t>发包人</w:t>
      </w:r>
      <w:r>
        <w:rPr>
          <w:rFonts w:hint="eastAsia" w:ascii="仿宋" w:hAnsi="仿宋" w:eastAsia="仿宋" w:cs="仿宋"/>
          <w:b w:val="0"/>
          <w:color w:val="auto"/>
          <w:sz w:val="24"/>
          <w:szCs w:val="24"/>
        </w:rPr>
        <w:t>代表</w:t>
      </w:r>
      <w:bookmarkEnd w:id="1095"/>
    </w:p>
    <w:p w14:paraId="3E6C877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应在专用合同条款中明确其派驻施工现场的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代表的姓名、职务、联系方式及授权范围等事项。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的授权范围内，负责处理合同履行过程中与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有关的具体事宜。</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代表在授权范围内的行为由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承担法律责任。</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更换</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代表的，应提前7天书面通知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w:t>
      </w:r>
    </w:p>
    <w:p w14:paraId="067A4EE2">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代表不能按照合同约定履行其职责及义务，并导致合同无法继续正常履行的，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可以要求</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撤换</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w:t>
      </w:r>
    </w:p>
    <w:p w14:paraId="1D35351E">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不属于法定必须监理的工程，监理人的职权可以由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指定的其他人员行使。</w:t>
      </w:r>
    </w:p>
    <w:p w14:paraId="6C2E3AA6">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96" w:name="_Toc351203512"/>
      <w:r>
        <w:rPr>
          <w:rFonts w:hint="eastAsia" w:ascii="仿宋" w:hAnsi="仿宋" w:eastAsia="仿宋" w:cs="仿宋"/>
          <w:b w:val="0"/>
          <w:color w:val="auto"/>
          <w:sz w:val="24"/>
          <w:szCs w:val="24"/>
        </w:rPr>
        <w:t xml:space="preserve">2.3 </w:t>
      </w:r>
      <w:r>
        <w:rPr>
          <w:rFonts w:hint="eastAsia" w:ascii="仿宋" w:hAnsi="仿宋" w:eastAsia="仿宋" w:cs="仿宋"/>
          <w:b w:val="0"/>
          <w:color w:val="auto"/>
          <w:sz w:val="24"/>
          <w:szCs w:val="24"/>
          <w:lang w:eastAsia="zh-CN"/>
        </w:rPr>
        <w:t>发包人</w:t>
      </w:r>
      <w:r>
        <w:rPr>
          <w:rFonts w:hint="eastAsia" w:ascii="仿宋" w:hAnsi="仿宋" w:eastAsia="仿宋" w:cs="仿宋"/>
          <w:b w:val="0"/>
          <w:color w:val="auto"/>
          <w:sz w:val="24"/>
          <w:szCs w:val="24"/>
        </w:rPr>
        <w:t>人员</w:t>
      </w:r>
      <w:bookmarkEnd w:id="1096"/>
    </w:p>
    <w:p w14:paraId="67CEEED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应要求在施工现场的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人员遵守法律及有关安全、质量、环境保护、文明施工等规定，并保障</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免于承受因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人员未遵守上述要求给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造成的损失和责任。</w:t>
      </w:r>
    </w:p>
    <w:p w14:paraId="1E4AD2ED">
      <w:pPr>
        <w:pageBreakBefore w:val="0"/>
        <w:widowControl w:val="0"/>
        <w:kinsoku/>
        <w:wordWrap/>
        <w:overflowPunct/>
        <w:topLinePunct w:val="0"/>
        <w:bidi w:val="0"/>
        <w:snapToGrid/>
        <w:spacing w:line="440" w:lineRule="exact"/>
        <w:ind w:firstLine="64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人员包括</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代表及其他由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派驻施工现场的人员。</w:t>
      </w:r>
      <w:bookmarkEnd w:id="1092"/>
      <w:bookmarkEnd w:id="1093"/>
      <w:bookmarkEnd w:id="1094"/>
    </w:p>
    <w:p w14:paraId="7CCA3D08">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097" w:name="_Toc351203513"/>
      <w:r>
        <w:rPr>
          <w:rFonts w:hint="eastAsia" w:ascii="仿宋" w:hAnsi="仿宋" w:eastAsia="仿宋" w:cs="仿宋"/>
          <w:b w:val="0"/>
          <w:color w:val="auto"/>
          <w:sz w:val="24"/>
          <w:szCs w:val="24"/>
        </w:rPr>
        <w:t>2</w:t>
      </w:r>
      <w:bookmarkStart w:id="1098" w:name="_Toc296503040"/>
      <w:bookmarkStart w:id="1099" w:name="_Toc296346541"/>
      <w:bookmarkStart w:id="1100" w:name="_Toc337558741"/>
      <w:r>
        <w:rPr>
          <w:rFonts w:hint="eastAsia" w:ascii="仿宋" w:hAnsi="仿宋" w:eastAsia="仿宋" w:cs="仿宋"/>
          <w:b w:val="0"/>
          <w:color w:val="auto"/>
          <w:sz w:val="24"/>
          <w:szCs w:val="24"/>
        </w:rPr>
        <w:t>.4 施工现场、施工条件和基础资料的提供</w:t>
      </w:r>
      <w:bookmarkEnd w:id="1097"/>
      <w:r>
        <w:rPr>
          <w:rFonts w:hint="eastAsia" w:ascii="仿宋" w:hAnsi="仿宋" w:eastAsia="仿宋" w:cs="仿宋"/>
          <w:b w:val="0"/>
          <w:color w:val="auto"/>
          <w:sz w:val="24"/>
          <w:szCs w:val="24"/>
        </w:rPr>
        <w:t xml:space="preserve"> </w:t>
      </w:r>
      <w:bookmarkEnd w:id="1098"/>
      <w:bookmarkEnd w:id="1099"/>
      <w:bookmarkEnd w:id="1100"/>
      <w:r>
        <w:rPr>
          <w:rFonts w:hint="eastAsia" w:ascii="仿宋" w:hAnsi="仿宋" w:eastAsia="仿宋" w:cs="仿宋"/>
          <w:b w:val="0"/>
          <w:color w:val="auto"/>
          <w:sz w:val="24"/>
          <w:szCs w:val="24"/>
        </w:rPr>
        <w:t xml:space="preserve"> </w:t>
      </w:r>
    </w:p>
    <w:p w14:paraId="654EAE3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2.4.1 提供施工现场</w:t>
      </w:r>
    </w:p>
    <w:p w14:paraId="2906EEE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w:t>
      </w:r>
      <w:bookmarkEnd w:id="1089"/>
      <w:bookmarkEnd w:id="1090"/>
      <w:r>
        <w:rPr>
          <w:rFonts w:hint="eastAsia" w:ascii="仿宋" w:hAnsi="仿宋" w:eastAsia="仿宋" w:cs="仿宋"/>
          <w:color w:val="auto"/>
          <w:kern w:val="0"/>
          <w:sz w:val="24"/>
          <w:szCs w:val="24"/>
        </w:rPr>
        <w:t>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应最迟于开工日期7天前向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移交施工现场。</w:t>
      </w:r>
    </w:p>
    <w:p w14:paraId="577A50E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2.4.2 提供施工条件</w:t>
      </w:r>
    </w:p>
    <w:p w14:paraId="08DBAB6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应负责提供施工所需要的条件，包括：</w:t>
      </w:r>
    </w:p>
    <w:p w14:paraId="622C8D7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（1）将施工用水、电力、通讯线路等施工所必需的条件接至施工现场内；</w:t>
      </w:r>
    </w:p>
    <w:p w14:paraId="35BAAA9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（2）保证向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提供正常施工所需要的进入施工现场的交通条件；</w:t>
      </w:r>
    </w:p>
    <w:p w14:paraId="485DEB2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（3）协调处理施工现场周围地下管线和邻近建筑物、构筑物、古树名木的保护工作，并承担相关费用；</w:t>
      </w:r>
    </w:p>
    <w:p w14:paraId="6A5F0F8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（4）按照专用合同条款约定应提供的其他设施和条件。</w:t>
      </w:r>
    </w:p>
    <w:p w14:paraId="16E9CB9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2.4.3 提供基础资料</w:t>
      </w:r>
    </w:p>
    <w:p w14:paraId="6232BBA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应当在移交施工现场前向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53AAD4A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按照法律规定确需在开工后方能提供的基础资料，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应尽其努力及时地在相应工程施工前的合理期限内提供，合理期限应以不影响</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的正常施工为限。</w:t>
      </w:r>
    </w:p>
    <w:p w14:paraId="59FF9D3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2.4.4 逾期提供的责任</w:t>
      </w:r>
    </w:p>
    <w:p w14:paraId="107D54E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原因未能按合同约定及时向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提供施工现场、施工条件、基础资料的，由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承担由此增加的费用和（或）延误的工期。</w:t>
      </w:r>
    </w:p>
    <w:p w14:paraId="2DD60330">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01" w:name="_Toc351203514"/>
      <w:r>
        <w:rPr>
          <w:rFonts w:hint="eastAsia" w:ascii="仿宋" w:hAnsi="仿宋" w:eastAsia="仿宋" w:cs="仿宋"/>
          <w:b w:val="0"/>
          <w:color w:val="auto"/>
          <w:sz w:val="24"/>
          <w:szCs w:val="24"/>
        </w:rPr>
        <w:t>2</w:t>
      </w:r>
      <w:bookmarkStart w:id="1102" w:name="_Toc337558745"/>
      <w:bookmarkStart w:id="1103" w:name="_Toc296346543"/>
      <w:bookmarkStart w:id="1104" w:name="_Toc296503042"/>
      <w:r>
        <w:rPr>
          <w:rFonts w:hint="eastAsia" w:ascii="仿宋" w:hAnsi="仿宋" w:eastAsia="仿宋" w:cs="仿宋"/>
          <w:b w:val="0"/>
          <w:color w:val="auto"/>
          <w:sz w:val="24"/>
          <w:szCs w:val="24"/>
        </w:rPr>
        <w:t>.5 资</w:t>
      </w:r>
      <w:bookmarkEnd w:id="1102"/>
      <w:bookmarkEnd w:id="1103"/>
      <w:bookmarkEnd w:id="1104"/>
      <w:r>
        <w:rPr>
          <w:rFonts w:hint="eastAsia" w:ascii="仿宋" w:hAnsi="仿宋" w:eastAsia="仿宋" w:cs="仿宋"/>
          <w:b w:val="0"/>
          <w:color w:val="auto"/>
          <w:sz w:val="24"/>
          <w:szCs w:val="24"/>
        </w:rPr>
        <w:t>金来源证明及支付担保</w:t>
      </w:r>
      <w:bookmarkEnd w:id="1101"/>
    </w:p>
    <w:p w14:paraId="70829DC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要求提供资金来源证明的书面通知后28天内，向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提供能够按照合同约定支付合同价款的相应资金来源证明。</w:t>
      </w:r>
    </w:p>
    <w:p w14:paraId="6F15112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提供履约担保的，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应当向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提供支付担保。支付担保可以采用银行保函或担保公司担保等形式，具体由合同当事人在专用合同条款中约定。</w:t>
      </w:r>
    </w:p>
    <w:p w14:paraId="4EF7DEA3">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05" w:name="_Toc351203515"/>
      <w:r>
        <w:rPr>
          <w:rFonts w:hint="eastAsia" w:ascii="仿宋" w:hAnsi="仿宋" w:eastAsia="仿宋" w:cs="仿宋"/>
          <w:b w:val="0"/>
          <w:color w:val="auto"/>
          <w:sz w:val="24"/>
          <w:szCs w:val="24"/>
        </w:rPr>
        <w:t>2.6 支付合同价款</w:t>
      </w:r>
      <w:bookmarkEnd w:id="1105"/>
    </w:p>
    <w:p w14:paraId="49C5206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应按合同约定向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及时支付合同价款。</w:t>
      </w:r>
    </w:p>
    <w:p w14:paraId="228B0D5C">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06" w:name="_Toc351203516"/>
      <w:r>
        <w:rPr>
          <w:rFonts w:hint="eastAsia" w:ascii="仿宋" w:hAnsi="仿宋" w:eastAsia="仿宋" w:cs="仿宋"/>
          <w:b w:val="0"/>
          <w:color w:val="auto"/>
          <w:sz w:val="24"/>
          <w:szCs w:val="24"/>
        </w:rPr>
        <w:t>2.7 组织竣工验收</w:t>
      </w:r>
      <w:bookmarkEnd w:id="1106"/>
    </w:p>
    <w:p w14:paraId="0294626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应按合同约定及时组织竣工验收。</w:t>
      </w:r>
    </w:p>
    <w:p w14:paraId="3AEC0D95">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07" w:name="_Toc351203517"/>
      <w:r>
        <w:rPr>
          <w:rFonts w:hint="eastAsia" w:ascii="仿宋" w:hAnsi="仿宋" w:eastAsia="仿宋" w:cs="仿宋"/>
          <w:b w:val="0"/>
          <w:color w:val="auto"/>
          <w:sz w:val="24"/>
          <w:szCs w:val="24"/>
        </w:rPr>
        <w:t>2.8 现场统一管理协议</w:t>
      </w:r>
      <w:bookmarkEnd w:id="1107"/>
    </w:p>
    <w:p w14:paraId="10930CD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直接发包的专业工程的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签订施工现场统一管理协议，明确各方的权利义务。施工现场统一管理协议作为专用合同条款的附件。</w:t>
      </w:r>
    </w:p>
    <w:p w14:paraId="3A28CBC1">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lang w:eastAsia="zh-CN"/>
        </w:rPr>
      </w:pPr>
      <w:bookmarkStart w:id="1108" w:name="_Toc351203518"/>
      <w:r>
        <w:rPr>
          <w:rFonts w:hint="eastAsia" w:ascii="仿宋" w:hAnsi="仿宋" w:eastAsia="仿宋" w:cs="仿宋"/>
          <w:b w:val="0"/>
          <w:color w:val="auto"/>
          <w:sz w:val="24"/>
          <w:szCs w:val="24"/>
        </w:rPr>
        <w:t>3</w:t>
      </w:r>
      <w:bookmarkStart w:id="1109" w:name="_Toc296346546"/>
      <w:bookmarkStart w:id="1110" w:name="_Toc337558746"/>
      <w:bookmarkStart w:id="1111" w:name="_Toc296503045"/>
      <w:r>
        <w:rPr>
          <w:rFonts w:hint="eastAsia" w:ascii="仿宋" w:hAnsi="仿宋" w:eastAsia="仿宋" w:cs="仿宋"/>
          <w:b w:val="0"/>
          <w:color w:val="auto"/>
          <w:sz w:val="24"/>
          <w:szCs w:val="24"/>
        </w:rPr>
        <w:t xml:space="preserve">. </w:t>
      </w:r>
      <w:bookmarkEnd w:id="1108"/>
      <w:r>
        <w:rPr>
          <w:rFonts w:hint="eastAsia" w:ascii="仿宋" w:hAnsi="仿宋" w:eastAsia="仿宋" w:cs="仿宋"/>
          <w:b w:val="0"/>
          <w:color w:val="auto"/>
          <w:sz w:val="24"/>
          <w:szCs w:val="24"/>
          <w:lang w:eastAsia="zh-CN"/>
        </w:rPr>
        <w:t>承包人</w:t>
      </w:r>
    </w:p>
    <w:bookmarkEnd w:id="1109"/>
    <w:bookmarkEnd w:id="1110"/>
    <w:bookmarkEnd w:id="1111"/>
    <w:p w14:paraId="66655675">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12" w:name="_Toc351203519"/>
      <w:r>
        <w:rPr>
          <w:rFonts w:hint="eastAsia" w:ascii="仿宋" w:hAnsi="仿宋" w:eastAsia="仿宋" w:cs="仿宋"/>
          <w:b w:val="0"/>
          <w:color w:val="auto"/>
          <w:sz w:val="24"/>
          <w:szCs w:val="24"/>
        </w:rPr>
        <w:t>3</w:t>
      </w:r>
      <w:bookmarkStart w:id="1113" w:name="_Toc337558747"/>
      <w:bookmarkStart w:id="1114" w:name="_Toc296503046"/>
      <w:bookmarkStart w:id="1115" w:name="_Toc296346547"/>
      <w:r>
        <w:rPr>
          <w:rFonts w:hint="eastAsia" w:ascii="仿宋" w:hAnsi="仿宋" w:eastAsia="仿宋" w:cs="仿宋"/>
          <w:b w:val="0"/>
          <w:color w:val="auto"/>
          <w:sz w:val="24"/>
          <w:szCs w:val="24"/>
        </w:rPr>
        <w:t xml:space="preserve">.1 </w:t>
      </w:r>
      <w:r>
        <w:rPr>
          <w:rFonts w:hint="eastAsia" w:ascii="仿宋" w:hAnsi="仿宋" w:eastAsia="仿宋" w:cs="仿宋"/>
          <w:b w:val="0"/>
          <w:color w:val="auto"/>
          <w:sz w:val="24"/>
          <w:szCs w:val="24"/>
          <w:lang w:eastAsia="zh-CN"/>
        </w:rPr>
        <w:t>承包人</w:t>
      </w:r>
      <w:r>
        <w:rPr>
          <w:rFonts w:hint="eastAsia" w:ascii="仿宋" w:hAnsi="仿宋" w:eastAsia="仿宋" w:cs="仿宋"/>
          <w:b w:val="0"/>
          <w:color w:val="auto"/>
          <w:sz w:val="24"/>
          <w:szCs w:val="24"/>
        </w:rPr>
        <w:t>的一般义务</w:t>
      </w:r>
      <w:bookmarkEnd w:id="1112"/>
    </w:p>
    <w:bookmarkEnd w:id="1113"/>
    <w:bookmarkEnd w:id="1114"/>
    <w:bookmarkEnd w:id="1115"/>
    <w:p w14:paraId="22DA2BE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在履行合同过程中应遵守法律和工程建设标准规范，并履行以下义务：</w:t>
      </w:r>
    </w:p>
    <w:p w14:paraId="5A9875EC">
      <w:pPr>
        <w:pageBreakBefore w:val="0"/>
        <w:widowControl w:val="0"/>
        <w:numPr>
          <w:ilvl w:val="0"/>
          <w:numId w:val="2"/>
        </w:numPr>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办理法律规定应由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办理的许可和批准，并将办理结果书面报送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留存；</w:t>
      </w:r>
    </w:p>
    <w:p w14:paraId="759DECF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（2）按法律规定和合同约定完成工程，并在保修期内承担保修义务；</w:t>
      </w:r>
    </w:p>
    <w:p w14:paraId="4AF03B8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（3）按法律规定和合同约定采取施工安全和环境保护措施，办理工伤保险，确保工程及人员、材料、设备和设施的安全；</w:t>
      </w:r>
    </w:p>
    <w:p w14:paraId="2AC95B7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（4）按合同约定的工作内容和施工进度要求，编制施工组织设计和施工措施计划，并对所有施工作业和施工方法的完备性和安全可靠性负责；</w:t>
      </w:r>
    </w:p>
    <w:p w14:paraId="0421C76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（5）在进行合同约定的各项工作时，不得侵害</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与他人使用公用道路、水源、市政管网等公共设施的权利，避免对邻近的公共设施产生干扰。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占用或使用他人的施工场地，影响他人作业或生活的，应承担相应责任；</w:t>
      </w:r>
    </w:p>
    <w:p w14:paraId="1442C0D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（6）按照第6.3款〔环境保护〕约定负责施工场地及其周边环境与生态的保护工作；</w:t>
      </w:r>
    </w:p>
    <w:p w14:paraId="4220DEB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（7）按第6.1款〔安全文明施工〕约定采取施工安全措施，确保工程及其人员、材料、设备和设施的安全，防止因工程施工造成的人身伤害和财产损失；</w:t>
      </w:r>
    </w:p>
    <w:p w14:paraId="7CD9E30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（8）将</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按合同约定支付的各项价款专用于合同工程，且应及时支付其雇用人员工资，并及时向分包人支付合同价款；</w:t>
      </w:r>
    </w:p>
    <w:p w14:paraId="09458B9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（9）按照法律规定和合同约定编制竣工资料，完成竣工资料立卷及归档，并按专用合同条款约定的竣工资料的套数、内容、时间等要求移交</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p>
    <w:p w14:paraId="6293079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（10）应履行的其他义务。</w:t>
      </w:r>
    </w:p>
    <w:p w14:paraId="67411B84">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16" w:name="_Toc351203520"/>
      <w:r>
        <w:rPr>
          <w:rFonts w:hint="eastAsia" w:ascii="仿宋" w:hAnsi="仿宋" w:eastAsia="仿宋" w:cs="仿宋"/>
          <w:b w:val="0"/>
          <w:color w:val="auto"/>
          <w:sz w:val="24"/>
          <w:szCs w:val="24"/>
        </w:rPr>
        <w:t>3</w:t>
      </w:r>
      <w:bookmarkStart w:id="1117" w:name="_Toc296346548"/>
      <w:bookmarkStart w:id="1118" w:name="_Toc337558748"/>
      <w:bookmarkStart w:id="1119" w:name="_Toc296503047"/>
      <w:r>
        <w:rPr>
          <w:rFonts w:hint="eastAsia" w:ascii="仿宋" w:hAnsi="仿宋" w:eastAsia="仿宋" w:cs="仿宋"/>
          <w:b w:val="0"/>
          <w:color w:val="auto"/>
          <w:sz w:val="24"/>
          <w:szCs w:val="24"/>
        </w:rPr>
        <w:t xml:space="preserve">.2 </w:t>
      </w:r>
      <w:bookmarkEnd w:id="1116"/>
      <w:r>
        <w:rPr>
          <w:rFonts w:hint="eastAsia" w:ascii="仿宋" w:hAnsi="仿宋" w:eastAsia="仿宋" w:cs="仿宋"/>
          <w:b w:val="0"/>
          <w:color w:val="auto"/>
          <w:sz w:val="24"/>
          <w:szCs w:val="24"/>
        </w:rPr>
        <w:t>项目经理</w:t>
      </w:r>
    </w:p>
    <w:bookmarkEnd w:id="1117"/>
    <w:bookmarkEnd w:id="1118"/>
    <w:bookmarkEnd w:id="1119"/>
    <w:p w14:paraId="7A1FE59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3.2.1 项目经理应为合同当事人所确认的人选，并在专用合同条款中明确项目经理的姓名、职称、注册执业证书编号、联系方式及授权范围等事项，项目经理经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授权后代表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负责履行合同。项目经理应是</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正式聘用的员工，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提交项目经理与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之间的劳动合同，以及</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为项目经理缴纳社会保险的有效证明。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不提交上述文件的，项目经理无权履行职责，</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有权要求更换项目经理，由此增加的费用和（或）延误的工期由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5FF169F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项目经理应常驻施工现场，且每月在施工现场时间不得少于专用合同条款约定的天数。项目经理不得同时担任其他项目的项目经理。项目经理确需离开施工现场时，应事先通知监理人，并取得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的书面同意。项目经理的通知中应当载明临时代行其职责的人员的注册执业资格、管理经验等资料，该人员应具备履行相应职责的能力。</w:t>
      </w:r>
    </w:p>
    <w:p w14:paraId="327B73A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违反上述约定的，应按照专用合同条款的约定，承担违约责任。</w:t>
      </w:r>
    </w:p>
    <w:p w14:paraId="4D70E55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3.2.2 项目经理按合同约定组织工程实施。在紧急情况下为确保施工安全和人员安全，在无法与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代表和总监理工程师及时取得联系时，项目经理有权采取必要的措施保证与工程有关的人身、财产和工程的安全，但应在48小时内向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代表和总监理工程师提交书面报告。</w:t>
      </w:r>
    </w:p>
    <w:p w14:paraId="3BD62A8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3.2.3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需要更换项目经理的，应提前14天书面通知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和监理人，并征得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书面同意。通知中应当载明继任项目经理的注册执业资格、管理经验等资料，继任项目经理继续履行第3.2.1项约定的职责。未经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不得擅自更换项目经理。</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擅自更换项目经理的，应按照专用合同条款的约定承担违约责任。</w:t>
      </w:r>
    </w:p>
    <w:p w14:paraId="455C134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3.2.4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有权书面通知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更换其认为不称职的项目经理，通知中应当载明要求更换的理由。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应在接到更换通知后14天内向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提出书面的改进报告。</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收到改进报告后仍要求更换的，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应在接到第二次更换通知的28天内进行更换，并将新任命的项目经理的注册执业资格、管理经验等资料书面通知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。继任项目经理继续履行第3.2.1项约定的职责。</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无正当理由拒绝更换项目经理的，应按照专用合同条款的约定承担违约责任。</w:t>
      </w:r>
    </w:p>
    <w:p w14:paraId="2B5C1EA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3.2.5 项目经理因特殊情况授权其下属人员履行其某项工作职责的，该下属人员应具备履行相应职责的能力，并应提前7天将上述人员的姓名和授权范围书面通知监理人，并征得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书面同意。</w:t>
      </w:r>
    </w:p>
    <w:p w14:paraId="3FE88CA8">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20" w:name="_Toc351203521"/>
      <w:r>
        <w:rPr>
          <w:rFonts w:hint="eastAsia" w:ascii="仿宋" w:hAnsi="仿宋" w:eastAsia="仿宋" w:cs="仿宋"/>
          <w:b w:val="0"/>
          <w:color w:val="auto"/>
          <w:sz w:val="24"/>
          <w:szCs w:val="24"/>
        </w:rPr>
        <w:t>3</w:t>
      </w:r>
      <w:bookmarkStart w:id="1121" w:name="_Toc296503048"/>
      <w:bookmarkStart w:id="1122" w:name="_Toc296346549"/>
      <w:bookmarkStart w:id="1123" w:name="_Toc337558749"/>
      <w:r>
        <w:rPr>
          <w:rFonts w:hint="eastAsia" w:ascii="仿宋" w:hAnsi="仿宋" w:eastAsia="仿宋" w:cs="仿宋"/>
          <w:b w:val="0"/>
          <w:color w:val="auto"/>
          <w:sz w:val="24"/>
          <w:szCs w:val="24"/>
        </w:rPr>
        <w:t xml:space="preserve">.3 </w:t>
      </w:r>
      <w:bookmarkEnd w:id="1121"/>
      <w:bookmarkEnd w:id="1122"/>
      <w:r>
        <w:rPr>
          <w:rFonts w:hint="eastAsia" w:ascii="仿宋" w:hAnsi="仿宋" w:eastAsia="仿宋" w:cs="仿宋"/>
          <w:b w:val="0"/>
          <w:color w:val="auto"/>
          <w:sz w:val="24"/>
          <w:szCs w:val="24"/>
          <w:lang w:eastAsia="zh-CN"/>
        </w:rPr>
        <w:t>承包人</w:t>
      </w:r>
      <w:r>
        <w:rPr>
          <w:rFonts w:hint="eastAsia" w:ascii="仿宋" w:hAnsi="仿宋" w:eastAsia="仿宋" w:cs="仿宋"/>
          <w:b w:val="0"/>
          <w:color w:val="auto"/>
          <w:sz w:val="24"/>
          <w:szCs w:val="24"/>
        </w:rPr>
        <w:t>人员</w:t>
      </w:r>
      <w:bookmarkEnd w:id="1120"/>
    </w:p>
    <w:bookmarkEnd w:id="1123"/>
    <w:p w14:paraId="0F4E093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3.3.1 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应在接到开工通知后7天内，向监理人提交</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项目管理机构及施工现场人员安排的报告，其内容应包括合同管理、施工、技术、材料、质量、安全、财务等主要施工管理人员名单及其岗位、注册执业资格等，以及各工种技术工人的安排情况，并同时提交主要施工管理人员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之间的劳动关系证明和缴纳社会保险的有效证明。</w:t>
      </w:r>
    </w:p>
    <w:p w14:paraId="005072E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3.3.2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派驻到施工现场的主要施工管理人员应相对稳定。施工过程中如有变动，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应及时向监理人提交施工现场人员变动情况的报告。</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更换主要施工管理人员时，应提前7天书面通知监理人，并征得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书面同意。通知中应当载明继任人员的注册执业资格、管理经验等资料。</w:t>
      </w:r>
    </w:p>
    <w:p w14:paraId="3889F62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特殊工种作业人员均应持有相应的资格证明，监理人可以随时检查。</w:t>
      </w:r>
    </w:p>
    <w:p w14:paraId="40D9A2F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3.3.3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对于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主要施工管理人员的资格或能力有异议的，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应提供资料证明被质疑人员有能力完成其岗位工作或不存在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所质疑的情形。</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要求撤换不能按照合同约定履行职责及义务的主要施工管理人员的，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应当撤换。</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无正当理由拒绝撤换的，应按照专用合同条款的约定承担违约责任。</w:t>
      </w:r>
    </w:p>
    <w:p w14:paraId="0F3E994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3.3.4 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的主要施工管理人员离开施工现场每月累计不超过5天的，应报监理人同意；离开施工现场每月累计超过5天的，应通知监理人，并征得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书面同意。主要施工管理人员离开施工现场前应指定一名有经验的人员临时代行其职责，该人员应具备履行相应职责的资格和能力，且应征得监理人或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的同意。</w:t>
      </w:r>
    </w:p>
    <w:p w14:paraId="036C31D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3.3.5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擅自更换主要施工管理人员，或前述人员未经监理人或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同意擅自离开施工现场的，应按照专用合同条款约定承担违约责任。</w:t>
      </w:r>
    </w:p>
    <w:p w14:paraId="71E52A28">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24" w:name="_Toc351203522"/>
      <w:r>
        <w:rPr>
          <w:rFonts w:hint="eastAsia" w:ascii="仿宋" w:hAnsi="仿宋" w:eastAsia="仿宋" w:cs="仿宋"/>
          <w:b w:val="0"/>
          <w:color w:val="auto"/>
          <w:sz w:val="24"/>
          <w:szCs w:val="24"/>
        </w:rPr>
        <w:t>3</w:t>
      </w:r>
      <w:bookmarkStart w:id="1125" w:name="_Toc296346551"/>
      <w:bookmarkStart w:id="1126" w:name="_Toc296503050"/>
      <w:bookmarkStart w:id="1127" w:name="_Toc337558750"/>
      <w:r>
        <w:rPr>
          <w:rFonts w:hint="eastAsia" w:ascii="仿宋" w:hAnsi="仿宋" w:eastAsia="仿宋" w:cs="仿宋"/>
          <w:b w:val="0"/>
          <w:color w:val="auto"/>
          <w:sz w:val="24"/>
          <w:szCs w:val="24"/>
        </w:rPr>
        <w:t xml:space="preserve">.4 </w:t>
      </w:r>
      <w:r>
        <w:rPr>
          <w:rFonts w:hint="eastAsia" w:ascii="仿宋" w:hAnsi="仿宋" w:eastAsia="仿宋" w:cs="仿宋"/>
          <w:b w:val="0"/>
          <w:color w:val="auto"/>
          <w:sz w:val="24"/>
          <w:szCs w:val="24"/>
          <w:lang w:eastAsia="zh-CN"/>
        </w:rPr>
        <w:t>承包人</w:t>
      </w:r>
      <w:r>
        <w:rPr>
          <w:rFonts w:hint="eastAsia" w:ascii="仿宋" w:hAnsi="仿宋" w:eastAsia="仿宋" w:cs="仿宋"/>
          <w:b w:val="0"/>
          <w:color w:val="auto"/>
          <w:sz w:val="24"/>
          <w:szCs w:val="24"/>
        </w:rPr>
        <w:t>现场查勘</w:t>
      </w:r>
      <w:bookmarkEnd w:id="1124"/>
    </w:p>
    <w:bookmarkEnd w:id="1125"/>
    <w:bookmarkEnd w:id="1126"/>
    <w:bookmarkEnd w:id="1127"/>
    <w:p w14:paraId="57A74B3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应对基于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按照第2.4.3项〔提供基础资料〕提交的基础资料所做出的解释和推断负责，但因基础资料存在错误、遗漏导致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解释或推断失实的，由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承担责任。</w:t>
      </w:r>
    </w:p>
    <w:p w14:paraId="75F57BA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应对施工现场和施工条件进行查勘，并充分了解工程所在地的气象条件、交通条件、风俗习惯以及其他与完成合同工作有关的其他资料。因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未能充分查勘、了解前述情况或未能充分估计前述情况所可能产生后果的，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承担由此增加的费用和（或）延误的工期。</w:t>
      </w:r>
    </w:p>
    <w:p w14:paraId="55227DFD">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28" w:name="_Toc351203523"/>
      <w:r>
        <w:rPr>
          <w:rFonts w:hint="eastAsia" w:ascii="仿宋" w:hAnsi="仿宋" w:eastAsia="仿宋" w:cs="仿宋"/>
          <w:b w:val="0"/>
          <w:color w:val="auto"/>
          <w:sz w:val="24"/>
          <w:szCs w:val="24"/>
        </w:rPr>
        <w:t>3</w:t>
      </w:r>
      <w:bookmarkStart w:id="1129" w:name="_Toc337558751"/>
      <w:bookmarkStart w:id="1130" w:name="_Toc296503051"/>
      <w:bookmarkStart w:id="1131" w:name="_Toc296346552"/>
      <w:r>
        <w:rPr>
          <w:rFonts w:hint="eastAsia" w:ascii="仿宋" w:hAnsi="仿宋" w:eastAsia="仿宋" w:cs="仿宋"/>
          <w:b w:val="0"/>
          <w:color w:val="auto"/>
          <w:sz w:val="24"/>
          <w:szCs w:val="24"/>
        </w:rPr>
        <w:t>.5 分包</w:t>
      </w:r>
      <w:bookmarkEnd w:id="1128"/>
    </w:p>
    <w:bookmarkEnd w:id="1129"/>
    <w:bookmarkEnd w:id="1130"/>
    <w:bookmarkEnd w:id="1131"/>
    <w:p w14:paraId="664BD10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3.5.1 分包的一般约定</w:t>
      </w:r>
    </w:p>
    <w:p w14:paraId="700FB35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不得将其承包的全部工程转包给第三人，或将其承包的全部工程肢解后以分包的名义转包给第三人。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不得将工程主体结构、关键性工作及专用合同条款中禁止分包的专业工程分包给第三人，主体结构、关键性工作的范围由合同当事人按照法律规定在专用合同条款中予以明确。</w:t>
      </w:r>
    </w:p>
    <w:p w14:paraId="7505579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不得以劳务分包的名义转包或违法分包工程。</w:t>
      </w:r>
    </w:p>
    <w:p w14:paraId="2B6BC8E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3.5.2 分包的确定</w:t>
      </w:r>
    </w:p>
    <w:p w14:paraId="1611F6F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应按专用合同条款的约定进行分包，确定分包人。已标价工程量清单或预算书中给定暂估价的专业工程，按照第10.7款〔暂估价〕确定分包人。按照合同约定进行分包的，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应确保分包人具有相应的资质和能力。工程分包不减轻或免除</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的责任和义务，</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和分包人就分包工程向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承担连带责任。除合同另有约定外，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应在分包合同签订后7天内向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和监理人提交分包合同副本。</w:t>
      </w:r>
    </w:p>
    <w:p w14:paraId="749E6C7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3.5.3 分包管理</w:t>
      </w:r>
    </w:p>
    <w:p w14:paraId="5B56AD5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应向监理人提交分包人的主要施工管理人员表，并对分包人的施工人员进行实名制管理，包括但不限于进出场管理、登记造册以及各种证照的办理。</w:t>
      </w:r>
    </w:p>
    <w:p w14:paraId="7B3A137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3.5.4 分包合同价款</w:t>
      </w:r>
    </w:p>
    <w:p w14:paraId="67D46D2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（1）除本项第（2）目约定的情况或专用合同条款另有约定外，分包合同价款由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与分包人结算，未经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同意，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不得向分包人支付分包工程价款；</w:t>
      </w:r>
    </w:p>
    <w:p w14:paraId="498E8E5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（2）生效法律文书要求</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向分包人支付分包合同价款的，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有权从应付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工程款中扣除该部分款项。</w:t>
      </w:r>
    </w:p>
    <w:p w14:paraId="15B46B0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3.5.5 分包合同权益的转让</w:t>
      </w:r>
    </w:p>
    <w:p w14:paraId="39A4821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分包人在分包合同项下的义务持续到缺陷责任期届满以后的，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有权在缺陷责任期届满前，要求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将其在分包合同项下的权益转让给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应当转让。除转让合同另有约定外，转让合同生效后，由分包人向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履行义务。</w:t>
      </w:r>
      <w:bookmarkStart w:id="1132" w:name="_Toc351203524"/>
    </w:p>
    <w:p w14:paraId="357A8313">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3.6 工程照管与成品、半成品保护</w:t>
      </w:r>
      <w:bookmarkEnd w:id="1132"/>
    </w:p>
    <w:p w14:paraId="62A551E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（1）除专用合同条款另有约定外，自</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移交施工现场之日起，</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应负责照管工程及工程相关的材料、工程设备，直到颁发工程接收证书之日止。</w:t>
      </w:r>
    </w:p>
    <w:p w14:paraId="3D17CD3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负责照管期间，因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原因造成工程、材料、工程设备损坏的，由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负责修复或更换，并承担由此增加的费用和（或）延误的工期。</w:t>
      </w:r>
    </w:p>
    <w:p w14:paraId="2791324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（3）对合同内分期完成的成品和半成品，在工程接收证书颁发前，由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承担保护责任。因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原因造成成品或半成品损坏的，由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负责修复或更换，并承担由此增加的费用和（或）延误的工期。</w:t>
      </w:r>
    </w:p>
    <w:p w14:paraId="193B8F83">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33" w:name="_Toc351203525"/>
      <w:r>
        <w:rPr>
          <w:rFonts w:hint="eastAsia" w:ascii="仿宋" w:hAnsi="仿宋" w:eastAsia="仿宋" w:cs="仿宋"/>
          <w:b w:val="0"/>
          <w:color w:val="auto"/>
          <w:sz w:val="24"/>
          <w:szCs w:val="24"/>
        </w:rPr>
        <w:t>3</w:t>
      </w:r>
      <w:bookmarkStart w:id="1134" w:name="_Toc296503052"/>
      <w:bookmarkStart w:id="1135" w:name="_Toc296346553"/>
      <w:bookmarkStart w:id="1136" w:name="_Toc337558752"/>
      <w:r>
        <w:rPr>
          <w:rFonts w:hint="eastAsia" w:ascii="仿宋" w:hAnsi="仿宋" w:eastAsia="仿宋" w:cs="仿宋"/>
          <w:b w:val="0"/>
          <w:color w:val="auto"/>
          <w:sz w:val="24"/>
          <w:szCs w:val="24"/>
        </w:rPr>
        <w:t>.7 履约担保</w:t>
      </w:r>
      <w:bookmarkEnd w:id="1133"/>
    </w:p>
    <w:bookmarkEnd w:id="1134"/>
    <w:bookmarkEnd w:id="1135"/>
    <w:bookmarkEnd w:id="1136"/>
    <w:p w14:paraId="6B014AE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需要</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提供履约担保的，由合同当事人在专用合同条款中约定履约担保的方式、金额及期限等。履约担保可以采用银行保函或担保公司担保等形式，具体由合同当事人在专用合同条款中约定。</w:t>
      </w:r>
    </w:p>
    <w:p w14:paraId="416E408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原因导致工期延长的，继续提供履约担保所增加的费用由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承担；非因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原因导致工期延长的，继续提供履约担保所增加的费用由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181D3D3E">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37" w:name="_Toc351203526"/>
      <w:r>
        <w:rPr>
          <w:rFonts w:hint="eastAsia" w:ascii="仿宋" w:hAnsi="仿宋" w:eastAsia="仿宋" w:cs="仿宋"/>
          <w:b w:val="0"/>
          <w:color w:val="auto"/>
          <w:sz w:val="24"/>
          <w:szCs w:val="24"/>
        </w:rPr>
        <w:t>3.8 联合体</w:t>
      </w:r>
      <w:bookmarkEnd w:id="1137"/>
    </w:p>
    <w:p w14:paraId="1009849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3.8.1 联合体各方应共同与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签订合同协议书。联合体各方应为履行合同向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承担连带责任。</w:t>
      </w:r>
    </w:p>
    <w:p w14:paraId="3C09910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3.8.2 联合体协议经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确认后作为合同附件。在履行合同过程中，未经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同意，不得修改联合体协议。</w:t>
      </w:r>
    </w:p>
    <w:p w14:paraId="24BCBFC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3.8.3 联合体牵头人负责与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和监理人联系，并接受指示，负责组织联合体各成员全面履行合同。</w:t>
      </w:r>
    </w:p>
    <w:p w14:paraId="3D0BB3C3">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138" w:name="_Toc351203527"/>
      <w:r>
        <w:rPr>
          <w:rFonts w:hint="eastAsia" w:ascii="仿宋" w:hAnsi="仿宋" w:eastAsia="仿宋" w:cs="仿宋"/>
          <w:b w:val="0"/>
          <w:color w:val="auto"/>
          <w:sz w:val="24"/>
          <w:szCs w:val="24"/>
        </w:rPr>
        <w:t>4</w:t>
      </w:r>
      <w:bookmarkStart w:id="1139" w:name="_Toc296503053"/>
      <w:bookmarkStart w:id="1140" w:name="_Toc296346554"/>
      <w:bookmarkStart w:id="1141" w:name="_Toc337558753"/>
      <w:r>
        <w:rPr>
          <w:rFonts w:hint="eastAsia" w:ascii="仿宋" w:hAnsi="仿宋" w:eastAsia="仿宋" w:cs="仿宋"/>
          <w:b w:val="0"/>
          <w:color w:val="auto"/>
          <w:sz w:val="24"/>
          <w:szCs w:val="24"/>
        </w:rPr>
        <w:t>. 监</w:t>
      </w:r>
      <w:bookmarkEnd w:id="1139"/>
      <w:bookmarkEnd w:id="1140"/>
      <w:r>
        <w:rPr>
          <w:rFonts w:hint="eastAsia" w:ascii="仿宋" w:hAnsi="仿宋" w:eastAsia="仿宋" w:cs="仿宋"/>
          <w:b w:val="0"/>
          <w:color w:val="auto"/>
          <w:sz w:val="24"/>
          <w:szCs w:val="24"/>
        </w:rPr>
        <w:t>理人</w:t>
      </w:r>
      <w:bookmarkEnd w:id="1138"/>
    </w:p>
    <w:bookmarkEnd w:id="1141"/>
    <w:p w14:paraId="1544FD9D">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42" w:name="_Toc351203528"/>
      <w:r>
        <w:rPr>
          <w:rFonts w:hint="eastAsia" w:ascii="仿宋" w:hAnsi="仿宋" w:eastAsia="仿宋" w:cs="仿宋"/>
          <w:b w:val="0"/>
          <w:color w:val="auto"/>
          <w:sz w:val="24"/>
          <w:szCs w:val="24"/>
        </w:rPr>
        <w:t>4</w:t>
      </w:r>
      <w:bookmarkStart w:id="1143" w:name="_Toc337558754"/>
      <w:bookmarkStart w:id="1144" w:name="_Toc296346555"/>
      <w:bookmarkStart w:id="1145" w:name="_Toc296503054"/>
      <w:r>
        <w:rPr>
          <w:rFonts w:hint="eastAsia" w:ascii="仿宋" w:hAnsi="仿宋" w:eastAsia="仿宋" w:cs="仿宋"/>
          <w:b w:val="0"/>
          <w:color w:val="auto"/>
          <w:sz w:val="24"/>
          <w:szCs w:val="24"/>
        </w:rPr>
        <w:t>.1监理人的一般规定</w:t>
      </w:r>
      <w:bookmarkEnd w:id="1142"/>
    </w:p>
    <w:bookmarkEnd w:id="1143"/>
    <w:bookmarkEnd w:id="1144"/>
    <w:bookmarkEnd w:id="1145"/>
    <w:p w14:paraId="148E5A8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工程实行监理的，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应在专用合同条款中明确监理人的监理内容及监理权限等事项。监理人应当根据</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授权及法律规定，代表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对工程施工相关事项进行检查、查验、审核、验收，并签发相关指示，但监理人无权修改合同，且无权减轻或免除合同约定的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的任何责任与义务。</w:t>
      </w:r>
    </w:p>
    <w:p w14:paraId="385B30A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除专用合同条款另有约定外，监理人在施工现场的办公场所、生活场所由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提供，所发生的费用由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534461D4">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46" w:name="_Toc351203529"/>
      <w:r>
        <w:rPr>
          <w:rFonts w:hint="eastAsia" w:ascii="仿宋" w:hAnsi="仿宋" w:eastAsia="仿宋" w:cs="仿宋"/>
          <w:b w:val="0"/>
          <w:color w:val="auto"/>
          <w:sz w:val="24"/>
          <w:szCs w:val="24"/>
        </w:rPr>
        <w:t>4</w:t>
      </w:r>
      <w:bookmarkStart w:id="1147" w:name="_Toc337558755"/>
      <w:r>
        <w:rPr>
          <w:rFonts w:hint="eastAsia" w:ascii="仿宋" w:hAnsi="仿宋" w:eastAsia="仿宋" w:cs="仿宋"/>
          <w:b w:val="0"/>
          <w:color w:val="auto"/>
          <w:sz w:val="24"/>
          <w:szCs w:val="24"/>
        </w:rPr>
        <w:t>.2监理人员</w:t>
      </w:r>
      <w:bookmarkEnd w:id="1146"/>
    </w:p>
    <w:bookmarkEnd w:id="1147"/>
    <w:p w14:paraId="516B0AD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授予监理人对工程实施监理的权利由监理人派驻施工现场的监理人员行使，监理人员包括总监理工程师及监理工程师。监理人应将授权的总监理工程师和监理工程师的姓名及授权范围以书面形式提前通知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。更换总监理工程师的，监理人应提前7天书面通知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；更换其他监理人员，监理人应提前48小时书面通知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w:t>
      </w:r>
    </w:p>
    <w:p w14:paraId="7D187EC9">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48" w:name="_Toc351203530"/>
      <w:r>
        <w:rPr>
          <w:rFonts w:hint="eastAsia" w:ascii="仿宋" w:hAnsi="仿宋" w:eastAsia="仿宋" w:cs="仿宋"/>
          <w:b w:val="0"/>
          <w:color w:val="auto"/>
          <w:sz w:val="24"/>
          <w:szCs w:val="24"/>
        </w:rPr>
        <w:t>4</w:t>
      </w:r>
      <w:bookmarkStart w:id="1149" w:name="_Toc296346556"/>
      <w:bookmarkStart w:id="1150" w:name="_Toc296503055"/>
      <w:bookmarkStart w:id="1151" w:name="_Toc337558756"/>
      <w:r>
        <w:rPr>
          <w:rFonts w:hint="eastAsia" w:ascii="仿宋" w:hAnsi="仿宋" w:eastAsia="仿宋" w:cs="仿宋"/>
          <w:b w:val="0"/>
          <w:color w:val="auto"/>
          <w:sz w:val="24"/>
          <w:szCs w:val="24"/>
        </w:rPr>
        <w:t>.3</w:t>
      </w:r>
      <w:bookmarkEnd w:id="1149"/>
      <w:bookmarkEnd w:id="1150"/>
      <w:r>
        <w:rPr>
          <w:rFonts w:hint="eastAsia" w:ascii="仿宋" w:hAnsi="仿宋" w:eastAsia="仿宋" w:cs="仿宋"/>
          <w:b w:val="0"/>
          <w:color w:val="auto"/>
          <w:sz w:val="24"/>
          <w:szCs w:val="24"/>
        </w:rPr>
        <w:t>监理人的指</w:t>
      </w:r>
      <w:bookmarkEnd w:id="1151"/>
      <w:r>
        <w:rPr>
          <w:rFonts w:hint="eastAsia" w:ascii="仿宋" w:hAnsi="仿宋" w:eastAsia="仿宋" w:cs="仿宋"/>
          <w:b w:val="0"/>
          <w:color w:val="auto"/>
          <w:sz w:val="24"/>
          <w:szCs w:val="24"/>
        </w:rPr>
        <w:t>示</w:t>
      </w:r>
      <w:bookmarkEnd w:id="1148"/>
    </w:p>
    <w:p w14:paraId="348C6D9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监理人应按照</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48CC4C6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监理人发出的指示应送达</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项目经理或经项目经理授权接收的人员。因监理人未能按合同约定发出指示、指示延误或发出了错误指示而导致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费用增加和（或）工期延误的，由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承担相应责任。除专用合同条款另有约定外，总监理工程师不应将第4.4款〔商定或确定〕约定应由总监理工程师作出确定的权力授权或委托给其他监理人员。</w:t>
      </w:r>
    </w:p>
    <w:p w14:paraId="5A3A645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对监理人发出的指示有疑问的，应向监理人提出书面异议，监理人应在48小时内对该指示予以确认、更改或撤销，监理人逾期未回复的，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有权拒绝执行上述指示。</w:t>
      </w:r>
    </w:p>
    <w:p w14:paraId="5622BB5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的任何工作、工程或其采用的材料和工程设备未在约定的或合理期限内提出意见的，视为批准，但不免除或减轻</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对该工作、工程、材料、工程设备等应承担的责任和义务。</w:t>
      </w:r>
    </w:p>
    <w:p w14:paraId="4096853D">
      <w:pPr>
        <w:pStyle w:val="4"/>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52" w:name="_Toc351203531"/>
      <w:r>
        <w:rPr>
          <w:rFonts w:hint="eastAsia" w:ascii="仿宋" w:hAnsi="仿宋" w:eastAsia="仿宋" w:cs="仿宋"/>
          <w:b w:val="0"/>
          <w:color w:val="auto"/>
          <w:sz w:val="24"/>
          <w:szCs w:val="24"/>
        </w:rPr>
        <w:t>4</w:t>
      </w:r>
      <w:bookmarkStart w:id="1153" w:name="_Toc296503057"/>
      <w:bookmarkStart w:id="1154" w:name="_Toc337558757"/>
      <w:bookmarkStart w:id="1155" w:name="_Toc296346558"/>
      <w:r>
        <w:rPr>
          <w:rFonts w:hint="eastAsia" w:ascii="仿宋" w:hAnsi="仿宋" w:eastAsia="仿宋" w:cs="仿宋"/>
          <w:b w:val="0"/>
          <w:color w:val="auto"/>
          <w:sz w:val="24"/>
          <w:szCs w:val="24"/>
        </w:rPr>
        <w:t>.4 商定或确定</w:t>
      </w:r>
      <w:bookmarkEnd w:id="1152"/>
    </w:p>
    <w:bookmarkEnd w:id="1153"/>
    <w:bookmarkEnd w:id="1154"/>
    <w:bookmarkEnd w:id="1155"/>
    <w:p w14:paraId="3CE8A24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合同当事人进行商定或确定时，总监理工程师应当会同合同当事人尽量通过协商达成一致，不能达成一致的，由总监理工程师按照合同约定审慎做出公正的确定。</w:t>
      </w:r>
    </w:p>
    <w:p w14:paraId="1A3419C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总监理工程师应将确定以书面形式通知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461B62AC">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156" w:name="_Toc351203532"/>
      <w:r>
        <w:rPr>
          <w:rFonts w:hint="eastAsia" w:ascii="仿宋" w:hAnsi="仿宋" w:eastAsia="仿宋" w:cs="仿宋"/>
          <w:b w:val="0"/>
          <w:color w:val="auto"/>
          <w:sz w:val="24"/>
          <w:szCs w:val="24"/>
        </w:rPr>
        <w:t>5</w:t>
      </w:r>
      <w:bookmarkStart w:id="1157" w:name="_Toc337558758"/>
      <w:r>
        <w:rPr>
          <w:rFonts w:hint="eastAsia" w:ascii="仿宋" w:hAnsi="仿宋" w:eastAsia="仿宋" w:cs="仿宋"/>
          <w:b w:val="0"/>
          <w:color w:val="auto"/>
          <w:sz w:val="24"/>
          <w:szCs w:val="24"/>
        </w:rPr>
        <w:t>. 工程质量</w:t>
      </w:r>
      <w:bookmarkEnd w:id="1156"/>
    </w:p>
    <w:bookmarkEnd w:id="1157"/>
    <w:p w14:paraId="393DD4AB">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58" w:name="_Toc351203533"/>
      <w:r>
        <w:rPr>
          <w:rFonts w:hint="eastAsia" w:ascii="仿宋" w:hAnsi="仿宋" w:eastAsia="仿宋" w:cs="仿宋"/>
          <w:b w:val="0"/>
          <w:color w:val="auto"/>
          <w:sz w:val="24"/>
          <w:szCs w:val="24"/>
        </w:rPr>
        <w:t>5</w:t>
      </w:r>
      <w:bookmarkStart w:id="1159" w:name="_Toc337558759"/>
      <w:r>
        <w:rPr>
          <w:rFonts w:hint="eastAsia" w:ascii="仿宋" w:hAnsi="仿宋" w:eastAsia="仿宋" w:cs="仿宋"/>
          <w:b w:val="0"/>
          <w:color w:val="auto"/>
          <w:sz w:val="24"/>
          <w:szCs w:val="24"/>
        </w:rPr>
        <w:t>.1质量要求</w:t>
      </w:r>
      <w:bookmarkEnd w:id="1158"/>
    </w:p>
    <w:bookmarkEnd w:id="1159"/>
    <w:p w14:paraId="00547FA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5.1.1 工程质量标准必须符合现行国家有关工程施工质量验收规范和标准的要求。有关工程质量的特殊标准或要求由合同当事人在专用合同条款中约定。</w:t>
      </w:r>
    </w:p>
    <w:p w14:paraId="78D1829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5.1.2 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原因造成工程质量未达到合同约定标准的，由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承担由此增加的费用和（或）延误的工期，并支付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w:t>
      </w:r>
    </w:p>
    <w:p w14:paraId="216CCB4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5.1.3 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原因造成工程质量未达到合同约定标准的，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返工直至工程质量达到合同约定的标准为止，并由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承担由此增加的费用和（或）延误的工期。</w:t>
      </w:r>
    </w:p>
    <w:p w14:paraId="11BAD025">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60" w:name="_Toc351203534"/>
      <w:r>
        <w:rPr>
          <w:rFonts w:hint="eastAsia" w:ascii="仿宋" w:hAnsi="仿宋" w:eastAsia="仿宋" w:cs="仿宋"/>
          <w:b w:val="0"/>
          <w:color w:val="auto"/>
          <w:sz w:val="24"/>
          <w:szCs w:val="24"/>
        </w:rPr>
        <w:t>5</w:t>
      </w:r>
      <w:bookmarkStart w:id="1161" w:name="_Toc337558760"/>
      <w:r>
        <w:rPr>
          <w:rFonts w:hint="eastAsia" w:ascii="仿宋" w:hAnsi="仿宋" w:eastAsia="仿宋" w:cs="仿宋"/>
          <w:b w:val="0"/>
          <w:color w:val="auto"/>
          <w:sz w:val="24"/>
          <w:szCs w:val="24"/>
        </w:rPr>
        <w:t>.2质量保证措施</w:t>
      </w:r>
      <w:bookmarkEnd w:id="1160"/>
    </w:p>
    <w:bookmarkEnd w:id="1161"/>
    <w:p w14:paraId="00F8893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outlineLvl w:val="4"/>
        <w:rPr>
          <w:rFonts w:hint="eastAsia" w:ascii="仿宋" w:hAnsi="仿宋" w:eastAsia="仿宋" w:cs="仿宋"/>
          <w:color w:val="auto"/>
          <w:kern w:val="0"/>
          <w:sz w:val="24"/>
          <w:szCs w:val="24"/>
        </w:rPr>
      </w:pPr>
      <w:bookmarkStart w:id="1162" w:name="_Toc20676"/>
      <w:r>
        <w:rPr>
          <w:rFonts w:hint="eastAsia" w:ascii="仿宋" w:hAnsi="仿宋" w:eastAsia="仿宋" w:cs="仿宋"/>
          <w:color w:val="auto"/>
          <w:kern w:val="0"/>
          <w:sz w:val="24"/>
          <w:szCs w:val="24"/>
        </w:rPr>
        <w:t xml:space="preserve">5.2.1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的质量管理</w:t>
      </w:r>
      <w:bookmarkEnd w:id="1162"/>
    </w:p>
    <w:p w14:paraId="3E7698E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应按照法律规定及合同约定完成与工程质量有关的各项工作。</w:t>
      </w:r>
    </w:p>
    <w:p w14:paraId="4453524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5.2.2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的质量管理</w:t>
      </w:r>
    </w:p>
    <w:p w14:paraId="2CF4368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按照第7.1款〔施工组织设计〕约定向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和监理人提交工程质量保证体系及措施文件，建立完善的质量检查制度，并提交相应的工程质量文件。对于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和监理人违反法律规定和合同约定的错误指示，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有权拒绝实施。</w:t>
      </w:r>
    </w:p>
    <w:p w14:paraId="3F9FAD8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应对施工人员进行质量教育和技术培训，定期考核施工人员的劳动技能，严格执行施工规范和操作规程。</w:t>
      </w:r>
    </w:p>
    <w:p w14:paraId="2E9934F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应按照法律规定和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的要求，对材料、工程设备以及工程的所有部位及其施工工艺进行全过程的质量检查和检验，并作详细记录，编制工程质量报表，报送监理人审查。此外，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还应按照法律规定和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的要求，进行施工现场取样试验、工程复核测量和设备性能检测，提供试验样品、提交试验报告和测量成果以及其他工作。</w:t>
      </w:r>
    </w:p>
    <w:p w14:paraId="68C71ED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outlineLvl w:val="4"/>
        <w:rPr>
          <w:rFonts w:hint="eastAsia" w:ascii="仿宋" w:hAnsi="仿宋" w:eastAsia="仿宋" w:cs="仿宋"/>
          <w:color w:val="auto"/>
          <w:kern w:val="0"/>
          <w:sz w:val="24"/>
          <w:szCs w:val="24"/>
        </w:rPr>
      </w:pPr>
      <w:bookmarkStart w:id="1163" w:name="_Toc17775"/>
      <w:r>
        <w:rPr>
          <w:rFonts w:hint="eastAsia" w:ascii="仿宋" w:hAnsi="仿宋" w:eastAsia="仿宋" w:cs="仿宋"/>
          <w:color w:val="auto"/>
          <w:kern w:val="0"/>
          <w:sz w:val="24"/>
          <w:szCs w:val="24"/>
        </w:rPr>
        <w:t>5.2.3 监理人的质量检查和检验</w:t>
      </w:r>
      <w:bookmarkEnd w:id="1163"/>
    </w:p>
    <w:p w14:paraId="65C8469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监理人按照法律规定和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授权对工程的所有部位及其施工工艺、材料和工程设备进行检查和检验。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应为监理人的检查和检验提供方便，包括监理人到施工现场，或制造、加工地点，或合同约定的其他地方进行察看和查阅施工原始记录。监理人为此进行的检查和检验，不免除或减轻</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按照合同约定应当承担的责任。</w:t>
      </w:r>
    </w:p>
    <w:p w14:paraId="1F6F84B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监理人的检查和检验不应影响施工正常进行。监理人的检查和检验影响施工正常进行的，且经检查检验不合格的，影响正常施工的费用由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承担，工期不予顺延；经检查检验合格的，由此增加的费用和（或）延误的工期由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0E0B0A86">
      <w:pPr>
        <w:pStyle w:val="10"/>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64" w:name="_Toc351203535"/>
      <w:r>
        <w:rPr>
          <w:rFonts w:hint="eastAsia" w:ascii="仿宋" w:hAnsi="仿宋" w:eastAsia="仿宋" w:cs="仿宋"/>
          <w:b w:val="0"/>
          <w:color w:val="auto"/>
          <w:sz w:val="24"/>
          <w:szCs w:val="24"/>
        </w:rPr>
        <w:t>5</w:t>
      </w:r>
      <w:bookmarkStart w:id="1165" w:name="_Toc337558761"/>
      <w:r>
        <w:rPr>
          <w:rFonts w:hint="eastAsia" w:ascii="仿宋" w:hAnsi="仿宋" w:eastAsia="仿宋" w:cs="仿宋"/>
          <w:b w:val="0"/>
          <w:color w:val="auto"/>
          <w:sz w:val="24"/>
          <w:szCs w:val="24"/>
        </w:rPr>
        <w:t>.3 隐蔽工程检查</w:t>
      </w:r>
      <w:bookmarkEnd w:id="1164"/>
    </w:p>
    <w:bookmarkEnd w:id="1165"/>
    <w:p w14:paraId="2EE0B3E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5.3.1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自检</w:t>
      </w:r>
    </w:p>
    <w:p w14:paraId="3C58E0B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应当对工程隐蔽部位进行自检，并经自检确认是否具备覆盖条件。</w:t>
      </w:r>
    </w:p>
    <w:p w14:paraId="15C158C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5.3.2检查程序</w:t>
      </w:r>
    </w:p>
    <w:p w14:paraId="5BC670A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除专用合同条款另有约定外，工程隐蔽部位经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自检确认具备覆盖条件的，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应在共同检查前48小时书面通知监理人检查，通知中应载明隐蔽检查的内容、时间和地点，并应附有自检记录和必要的检查资料。</w:t>
      </w:r>
    </w:p>
    <w:p w14:paraId="587A5B3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监理人应按时到场并对隐蔽工程及其施工工艺、材料和工程设备进行检查。经监理人检查确认质量符合隐蔽要求，并在验收记录上签字后，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才能进行覆盖。经监理人检查质量不合格的，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应在监理人指示的时间内完成修复，并由监理人重新检查，由此增加的费用和（或）延误的工期由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066BDDD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除专用合同条款另有约定外，监理人不能按时进行检查的，应在检查前24小时向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提交书面延期要求，但延期不能超过48小时，由此导致工期延误的，工期应予以顺延。监理人未按时进行检查，也未提出延期要求的，视为隐蔽工程检查合格，</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可自行完成覆盖工作，并作相应记录报送监理人，监理人应签字确认。监理人事后对检查记录有疑问的，可按第5.3.3项〔重新检查〕的约定重新检查。</w:t>
      </w:r>
    </w:p>
    <w:p w14:paraId="634CFF3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5.3.3 重新检查</w:t>
      </w:r>
    </w:p>
    <w:p w14:paraId="36CE076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覆盖工程隐蔽部位后，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或监理人对质量有疑问的，可要求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对已覆盖的部位进行钻孔探测或揭开重新检查，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应遵照执行，并在检查后重新覆盖恢复原状。经检查证明工程质量符合合同要求的，由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承担由此增加的费用和（或）延误的工期，并支付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合理的利润；经检查证明工程质量不符合合同要求的，由此增加的费用和（或）延误的工期由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579B370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5.3.4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私自覆盖</w:t>
      </w:r>
    </w:p>
    <w:p w14:paraId="732209D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未通知监理人到场检查，私自将工程隐蔽部位覆盖的，监理人有权指示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钻孔探测或揭开检查，无论工程隐蔽部位质量是否合格，由此增加的费用和（或）延误的工期均由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35019BF5">
      <w:pPr>
        <w:pStyle w:val="10"/>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66" w:name="_Toc351203536"/>
      <w:r>
        <w:rPr>
          <w:rFonts w:hint="eastAsia" w:ascii="仿宋" w:hAnsi="仿宋" w:eastAsia="仿宋" w:cs="仿宋"/>
          <w:b w:val="0"/>
          <w:color w:val="auto"/>
          <w:sz w:val="24"/>
          <w:szCs w:val="24"/>
        </w:rPr>
        <w:t>5</w:t>
      </w:r>
      <w:bookmarkStart w:id="1167" w:name="_Toc337558762"/>
      <w:r>
        <w:rPr>
          <w:rFonts w:hint="eastAsia" w:ascii="仿宋" w:hAnsi="仿宋" w:eastAsia="仿宋" w:cs="仿宋"/>
          <w:b w:val="0"/>
          <w:color w:val="auto"/>
          <w:sz w:val="24"/>
          <w:szCs w:val="24"/>
        </w:rPr>
        <w:t>.4不合格工程的处理</w:t>
      </w:r>
      <w:bookmarkEnd w:id="1166"/>
    </w:p>
    <w:bookmarkEnd w:id="1167"/>
    <w:p w14:paraId="38CD0B9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5.4.1 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原因造成工程不合格的，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有权随时要求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采取补救措施，直至达到合同要求的质量标准，由此增加的费用和（或）延误的工期由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 xml:space="preserve">承担。无法补救的，按照第13.2.4项〔拒绝接收全部或部分工程〕约定执行。 </w:t>
      </w:r>
    </w:p>
    <w:p w14:paraId="29CE245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5.4.2 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原因造成工程不合格的，由此增加的费用和（或）延误的工期由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w:t>
      </w:r>
    </w:p>
    <w:p w14:paraId="1E54902B">
      <w:pPr>
        <w:pStyle w:val="10"/>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68" w:name="_Toc351203537"/>
      <w:r>
        <w:rPr>
          <w:rFonts w:hint="eastAsia" w:ascii="仿宋" w:hAnsi="仿宋" w:eastAsia="仿宋" w:cs="仿宋"/>
          <w:b w:val="0"/>
          <w:color w:val="auto"/>
          <w:sz w:val="24"/>
          <w:szCs w:val="24"/>
        </w:rPr>
        <w:t>5.5 质量争议检测</w:t>
      </w:r>
      <w:bookmarkEnd w:id="1168"/>
    </w:p>
    <w:p w14:paraId="3B3C7A7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合同当事人对工程质量有争议的，由双方协商确定的工程质量检测机构鉴定，由此产生的费用及因此造成的损失，由责任方承担。</w:t>
      </w:r>
    </w:p>
    <w:p w14:paraId="00E4EA8A">
      <w:pPr>
        <w:pageBreakBefore w:val="0"/>
        <w:widowControl w:val="0"/>
        <w:kinsoku/>
        <w:wordWrap/>
        <w:overflowPunct/>
        <w:topLinePunct w:val="0"/>
        <w:autoSpaceDE w:val="0"/>
        <w:autoSpaceDN w:val="0"/>
        <w:bidi w:val="0"/>
        <w:adjustRightInd w:val="0"/>
        <w:snapToGrid/>
        <w:spacing w:line="44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合同当事人均有责任的，由双方根据其责任分别承担。合同当事人无法达成一致的，按照第4.4款〔商定或确定〕执行。</w:t>
      </w:r>
    </w:p>
    <w:p w14:paraId="64084A11">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169" w:name="_Toc351203538"/>
      <w:r>
        <w:rPr>
          <w:rFonts w:hint="eastAsia" w:ascii="仿宋" w:hAnsi="仿宋" w:eastAsia="仿宋" w:cs="仿宋"/>
          <w:b w:val="0"/>
          <w:color w:val="auto"/>
          <w:sz w:val="24"/>
          <w:szCs w:val="24"/>
        </w:rPr>
        <w:t>6</w:t>
      </w:r>
      <w:bookmarkStart w:id="1170" w:name="_Toc337558763"/>
      <w:r>
        <w:rPr>
          <w:rFonts w:hint="eastAsia" w:ascii="仿宋" w:hAnsi="仿宋" w:eastAsia="仿宋" w:cs="仿宋"/>
          <w:b w:val="0"/>
          <w:color w:val="auto"/>
          <w:sz w:val="24"/>
          <w:szCs w:val="24"/>
        </w:rPr>
        <w:t>. 安全文明施工与环境保护</w:t>
      </w:r>
      <w:bookmarkEnd w:id="1169"/>
    </w:p>
    <w:bookmarkEnd w:id="1170"/>
    <w:p w14:paraId="6BBC0647">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71" w:name="_Toc351203539"/>
      <w:r>
        <w:rPr>
          <w:rFonts w:hint="eastAsia" w:ascii="仿宋" w:hAnsi="仿宋" w:eastAsia="仿宋" w:cs="仿宋"/>
          <w:b w:val="0"/>
          <w:color w:val="auto"/>
          <w:sz w:val="24"/>
          <w:szCs w:val="24"/>
        </w:rPr>
        <w:t>6</w:t>
      </w:r>
      <w:bookmarkStart w:id="1172" w:name="_Toc337558764"/>
      <w:r>
        <w:rPr>
          <w:rFonts w:hint="eastAsia" w:ascii="仿宋" w:hAnsi="仿宋" w:eastAsia="仿宋" w:cs="仿宋"/>
          <w:b w:val="0"/>
          <w:color w:val="auto"/>
          <w:sz w:val="24"/>
          <w:szCs w:val="24"/>
        </w:rPr>
        <w:t>.1安全文明施工</w:t>
      </w:r>
      <w:bookmarkEnd w:id="1171"/>
    </w:p>
    <w:bookmarkEnd w:id="1172"/>
    <w:p w14:paraId="296D282B">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6.1.1安全生产要求</w:t>
      </w:r>
    </w:p>
    <w:p w14:paraId="039337F4">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合同履行期间，合同当事人均应当遵守国家和工程所在地有关安全生产的要求，合同当事人有特别要求的，应在专用合同条款中明确施工项目安全生产标准化达标目标及相应事项。</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有权拒绝</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及监理人强令</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违章作业、冒险施工的任何指示。</w:t>
      </w:r>
    </w:p>
    <w:p w14:paraId="7F5A73F3">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在施工过程中，如遇到突发的地质变动、事先未知的地下施工障碍等影响施工安全的紧急情况，</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应及时报告监理人和</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应当及时下令停工并报</w:t>
      </w:r>
      <w:r>
        <w:rPr>
          <w:rFonts w:hint="eastAsia" w:ascii="仿宋" w:hAnsi="仿宋" w:eastAsia="仿宋" w:cs="仿宋"/>
          <w:color w:val="auto"/>
          <w:kern w:val="0"/>
          <w:sz w:val="24"/>
          <w:szCs w:val="24"/>
        </w:rPr>
        <w:t>政府有关行政管理部门</w:t>
      </w:r>
      <w:r>
        <w:rPr>
          <w:rFonts w:hint="eastAsia" w:ascii="仿宋" w:hAnsi="仿宋" w:eastAsia="仿宋" w:cs="仿宋"/>
          <w:color w:val="auto"/>
          <w:sz w:val="24"/>
          <w:szCs w:val="24"/>
        </w:rPr>
        <w:t>采取应急措施。</w:t>
      </w:r>
    </w:p>
    <w:p w14:paraId="7EE9C598">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因安全生产需要暂停施工的，按照第7.8款〔暂停施工〕的约定执行。</w:t>
      </w:r>
    </w:p>
    <w:p w14:paraId="40A0AB0C">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6.1.2 安全生产保证措施</w:t>
      </w:r>
    </w:p>
    <w:p w14:paraId="76C2A9A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应当按照有关</w:t>
      </w:r>
      <w:r>
        <w:rPr>
          <w:rFonts w:hint="eastAsia" w:ascii="仿宋" w:hAnsi="仿宋" w:eastAsia="仿宋" w:cs="仿宋"/>
          <w:color w:val="auto"/>
          <w:kern w:val="0"/>
          <w:sz w:val="24"/>
          <w:szCs w:val="24"/>
        </w:rPr>
        <w:t>规定编制安全技术措施或者专项施工方案，</w:t>
      </w:r>
      <w:r>
        <w:rPr>
          <w:rFonts w:hint="eastAsia" w:ascii="仿宋" w:hAnsi="仿宋" w:eastAsia="仿宋" w:cs="仿宋"/>
          <w:color w:val="auto"/>
          <w:sz w:val="24"/>
          <w:szCs w:val="24"/>
        </w:rPr>
        <w:t>建立安全生产责任制度、治安保卫制度及安全生产教育培训制度，并</w:t>
      </w:r>
      <w:r>
        <w:rPr>
          <w:rFonts w:hint="eastAsia" w:ascii="仿宋" w:hAnsi="仿宋" w:eastAsia="仿宋" w:cs="仿宋"/>
          <w:color w:val="auto"/>
          <w:kern w:val="0"/>
          <w:sz w:val="24"/>
          <w:szCs w:val="24"/>
        </w:rPr>
        <w:t>按安全生产法律规定及合同约定履行安全职责，如实</w:t>
      </w:r>
      <w:r>
        <w:rPr>
          <w:rFonts w:hint="eastAsia" w:ascii="仿宋" w:hAnsi="仿宋" w:eastAsia="仿宋" w:cs="仿宋"/>
          <w:color w:val="auto"/>
          <w:sz w:val="24"/>
          <w:szCs w:val="24"/>
        </w:rPr>
        <w:t>编制工程安全生产的有关记录，</w:t>
      </w:r>
      <w:r>
        <w:rPr>
          <w:rFonts w:hint="eastAsia" w:ascii="仿宋" w:hAnsi="仿宋" w:eastAsia="仿宋" w:cs="仿宋"/>
          <w:color w:val="auto"/>
          <w:kern w:val="0"/>
          <w:sz w:val="24"/>
          <w:szCs w:val="24"/>
        </w:rPr>
        <w:t>接受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、监理人及政府安全监督部门的检查与监督。</w:t>
      </w:r>
    </w:p>
    <w:p w14:paraId="27D5458D">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6.1.3特别安全生产事项</w:t>
      </w:r>
    </w:p>
    <w:p w14:paraId="0368CCCD">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应按照法律规定进行施工，开工前做好安全技术交底工作，施工过程中做好各项安全防护措施。</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为实施合同而雇用的特殊工种的人员应受过专门的培训并已取得政府有关管理机构颁发的上岗证书。</w:t>
      </w:r>
    </w:p>
    <w:p w14:paraId="72B9D14B">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在动力设备、输电线路、地下管道、密封防震车间、易燃易爆地段以及临街交通要道附近施工时，施工开始前应向</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和监理人提出安全防护措施，经</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 xml:space="preserve">认可后实施。 </w:t>
      </w:r>
    </w:p>
    <w:p w14:paraId="0289188D">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实施爆破作业，在放射、毒害性环境中施工（含储存、运输、使用）及使用毒害性、腐蚀性物品施工时，</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应在施工前7天以书面通知</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和监理人，并报送相应的安全防护措施，经</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认可后实施。</w:t>
      </w:r>
    </w:p>
    <w:p w14:paraId="638F079E">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需单独编制危险性较大分部分项专项工程施工方案的，及要求进行专家论证的超过一定规模的危险性较大的分部分项工程，</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应及时编制和组织论证。</w:t>
      </w:r>
    </w:p>
    <w:p w14:paraId="509B51C7">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6.1.4 治安保卫</w:t>
      </w:r>
    </w:p>
    <w:p w14:paraId="5AD3554C">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除专用合同条款另有约定外，</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应与当地公安部门协商，在现场建立治安管理机构或联防组织，统一管理施工场地的治安保卫事项，履行合同工程的治安保卫职责。</w:t>
      </w:r>
    </w:p>
    <w:p w14:paraId="5E785E80">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除应协助现场治安管理机构或联防组织维护施工场地的社会治安外，还应做好包括生活区在内的各自管辖区的治安保卫工作。</w:t>
      </w:r>
    </w:p>
    <w:p w14:paraId="0BD422EE">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除专用合同条款另有约定外，</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应在工程开工后7天内共同编制施工场地治安管理计划，并制定应对突发治安事件的紧急预案。在工程施工过程中，发生暴乱、爆炸等恐怖事件，以及群殴、械斗等群体性突发治安事件的，</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应立即向当地政府报告。</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应积极协助当地有关部门采取措施平息事态，防止事态扩大，尽量避免人员伤亡和财产损失。</w:t>
      </w:r>
    </w:p>
    <w:p w14:paraId="75CF3918">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6.1.5 文明施工</w:t>
      </w:r>
    </w:p>
    <w:p w14:paraId="753CEB2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在工程施工期间，应当采取措施保持施工现场平整，物料堆放整齐。工程所在地有关政府行政管理部门有特殊要求的，按照其要求执行。合同当事人对文明施工有其他要求的，可以在专用合同条款中明确。</w:t>
      </w:r>
    </w:p>
    <w:p w14:paraId="3DE8F9A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在工程移交之前，</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应当从施工现场清除</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的全部工程设备、多余材料、垃圾和各种临时工程，并保持施工现场清洁整齐。经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指定的地点保留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履行保修期内的各项义务所需要的材料、施工设备和临时工程。</w:t>
      </w:r>
    </w:p>
    <w:p w14:paraId="34E2DC22">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6.1.6 安全文明施工费</w:t>
      </w:r>
    </w:p>
    <w:p w14:paraId="754AB7B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安全文明施工费由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不得以任何形式扣减该部分费用。因基准日期后合同所适用的法律或政府有关规定发生变化，增加的安全文明施工费由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2D81ABA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同意采取合同约定以外的安全措施所产生的费用，由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承担。未经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同意的，如果该措施避免了</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的损失，则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在避免损失的额度内承担该措施费。如果该措施避免了</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的损失，由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承担该措施费。</w:t>
      </w:r>
    </w:p>
    <w:p w14:paraId="783E4EB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应在开工后28天内预付安全文明施工费总额的50%，其余部分与进度款同期支付。</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逾期支付安全文明施工费超过7天的，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发出要求预付的催告通知，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收到通知后7天内仍未支付的，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有权暂停施工，并按第16.1.1项〔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违约的情形〕执行。</w:t>
      </w:r>
    </w:p>
    <w:p w14:paraId="003AB29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对安全文明施工费应专款专用，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应在财务账目中单独列项备查，不得挪作他用，否则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有权责令其限期改正；逾期未改正的，可以责令其暂停施工，由此增加的费用和（或）延误的工期由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10DE252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6.1.7 紧急情况处理</w:t>
      </w:r>
    </w:p>
    <w:p w14:paraId="7D36D4C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在工程实施期间或缺陷责任期内发生危及工程安全的事件，监理人通知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进行抢救，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声明无能力或不愿立即执行的，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有权雇佣其他人员进行抢救。此类抢救按合同约定属于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义务的，由此增加的费用和（或）延误的工期由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2978ADC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6.1.8 事故处理</w:t>
      </w:r>
    </w:p>
    <w:p w14:paraId="1240A83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工程施工过程中发生事故的，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应立即通知监理人，监理人应立即通知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应立即组织人员和设备进行紧急抢救和抢修，减少人员伤亡和财产损失，防止事故扩大，并保护事故现场。需要移动现场物品时，应作出标记和书面记录，妥善保管有关证据。</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应按国家有关规定，及时如实地向有关部门报告事故发生的情况，以及正在采取的紧急措施等。</w:t>
      </w:r>
    </w:p>
    <w:p w14:paraId="6CFB5F3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6.1.9 安全生产责任</w:t>
      </w:r>
    </w:p>
    <w:p w14:paraId="69A8138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6.1.9.1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的安全责任</w:t>
      </w:r>
    </w:p>
    <w:p w14:paraId="0D2B98E2">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应负责赔偿以下各种情况造成的损失：</w:t>
      </w:r>
    </w:p>
    <w:p w14:paraId="6C1E167B">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（1）工程或工程的任何部分对土地的占用所造成的第三者财产损失；</w:t>
      </w:r>
    </w:p>
    <w:p w14:paraId="038B2D4B">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（2）由于</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原因在施工场地及其毗邻地带造成的第三者人身伤亡和财产损失；</w:t>
      </w:r>
    </w:p>
    <w:p w14:paraId="08D75087">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（3）由于</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原因对</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、监理人造成的人员人身伤亡和财产损失；</w:t>
      </w:r>
    </w:p>
    <w:p w14:paraId="778EE2CD">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（4）由于</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原因造成的</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自身人员的人身伤害以及财产损失。</w:t>
      </w:r>
    </w:p>
    <w:p w14:paraId="160E129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6.1.9.2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的安全责任</w:t>
      </w:r>
    </w:p>
    <w:p w14:paraId="31949393">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由于</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原因在施工场地内及其毗邻地带造成的</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、监理人以及第三者人员伤亡和财产损失，由</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负责赔偿。</w:t>
      </w:r>
    </w:p>
    <w:p w14:paraId="7A32C01E">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73" w:name="_Toc351203540"/>
      <w:r>
        <w:rPr>
          <w:rFonts w:hint="eastAsia" w:ascii="仿宋" w:hAnsi="仿宋" w:eastAsia="仿宋" w:cs="仿宋"/>
          <w:b w:val="0"/>
          <w:color w:val="auto"/>
          <w:sz w:val="24"/>
          <w:szCs w:val="24"/>
        </w:rPr>
        <w:t>6</w:t>
      </w:r>
      <w:bookmarkStart w:id="1174" w:name="_Toc337558765"/>
      <w:r>
        <w:rPr>
          <w:rFonts w:hint="eastAsia" w:ascii="仿宋" w:hAnsi="仿宋" w:eastAsia="仿宋" w:cs="仿宋"/>
          <w:b w:val="0"/>
          <w:color w:val="auto"/>
          <w:sz w:val="24"/>
          <w:szCs w:val="24"/>
        </w:rPr>
        <w:t>.2 职业健康</w:t>
      </w:r>
      <w:bookmarkEnd w:id="1173"/>
    </w:p>
    <w:bookmarkEnd w:id="1174"/>
    <w:p w14:paraId="15C3707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6.2.1 劳动保护</w:t>
      </w:r>
    </w:p>
    <w:p w14:paraId="096B717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应按照法律规定安排现场施工人员的劳动和休息时间，保障劳动者的休息时间，并支付合理的报酬和费用。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应依法为其履行合同所雇用的人员办理必要的证件、许可、保险和注册等，</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应督促其分包人为分包人所雇用的人员办理必要的证件、许可、保险和注册等。</w:t>
      </w:r>
    </w:p>
    <w:p w14:paraId="5D542F7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应按照法律规定保障现场施工人员的劳动安全，并提供劳动保护</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并应按国家有关劳动保护的规定，采取有效的防止粉尘、降低噪声、控制有害气体和保障高温、高寒、高空作业安全等劳动保护措施。</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雇佣人员在施工中受到伤害的，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应立即采取有效措施进行抢救和治疗。</w:t>
      </w:r>
    </w:p>
    <w:p w14:paraId="27E6262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应按法律规定安排工作时间，保证其雇佣人员享有休息和休假的权利。因工程施工的特殊需要占用休假日或延长工作时间的，应不超过法律规定的限度，并按法律规定给予补休或付酬。</w:t>
      </w:r>
    </w:p>
    <w:p w14:paraId="56DAAB5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6.2.2 生活条件</w:t>
      </w:r>
    </w:p>
    <w:p w14:paraId="5DE31AE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应为其履行合同所雇用的人员提供必要的膳宿条件和生活环境；</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应采取有效措施预防传染病，保证施工人员的健康，并定期对施工现场、施工人员生活基地和工程进行防疫和卫生的专业检查和处理</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 xml:space="preserve"> 在远离城镇的施工场地，还应配备必要的伤病防治和急救的医务人员与医疗设施。</w:t>
      </w:r>
    </w:p>
    <w:p w14:paraId="014009B8">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75" w:name="_Toc351203541"/>
      <w:r>
        <w:rPr>
          <w:rFonts w:hint="eastAsia" w:ascii="仿宋" w:hAnsi="仿宋" w:eastAsia="仿宋" w:cs="仿宋"/>
          <w:b w:val="0"/>
          <w:color w:val="auto"/>
          <w:sz w:val="24"/>
          <w:szCs w:val="24"/>
        </w:rPr>
        <w:t>6</w:t>
      </w:r>
      <w:bookmarkStart w:id="1176" w:name="_Toc337558766"/>
      <w:r>
        <w:rPr>
          <w:rFonts w:hint="eastAsia" w:ascii="仿宋" w:hAnsi="仿宋" w:eastAsia="仿宋" w:cs="仿宋"/>
          <w:b w:val="0"/>
          <w:color w:val="auto"/>
          <w:sz w:val="24"/>
          <w:szCs w:val="24"/>
        </w:rPr>
        <w:t>.3 环境保护</w:t>
      </w:r>
      <w:bookmarkEnd w:id="1175"/>
    </w:p>
    <w:bookmarkEnd w:id="1176"/>
    <w:p w14:paraId="6E758B8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应在施工组织设计中列明环境保护的具体措施。在合同履行期间，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应采取合理措施保护施工现场环境。对施工作业过程中可能引起的大气、水、噪音以及固体废物污染采取具体可行的防范措施。</w:t>
      </w:r>
    </w:p>
    <w:p w14:paraId="4FBC3A7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应当承担因其原因引起的环境污染侵权损害赔偿责任，因上述环境污染引起纠纷而导致暂停施工的，由此增加的费用和（或）延误的工期由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5AC31A58">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177" w:name="_Toc351203542"/>
      <w:r>
        <w:rPr>
          <w:rFonts w:hint="eastAsia" w:ascii="仿宋" w:hAnsi="仿宋" w:eastAsia="仿宋" w:cs="仿宋"/>
          <w:b w:val="0"/>
          <w:color w:val="auto"/>
          <w:sz w:val="24"/>
          <w:szCs w:val="24"/>
        </w:rPr>
        <w:t>7</w:t>
      </w:r>
      <w:bookmarkStart w:id="1178" w:name="_Toc337558767"/>
      <w:r>
        <w:rPr>
          <w:rFonts w:hint="eastAsia" w:ascii="仿宋" w:hAnsi="仿宋" w:eastAsia="仿宋" w:cs="仿宋"/>
          <w:b w:val="0"/>
          <w:color w:val="auto"/>
          <w:sz w:val="24"/>
          <w:szCs w:val="24"/>
        </w:rPr>
        <w:t>. 工期和进度</w:t>
      </w:r>
      <w:bookmarkEnd w:id="1177"/>
    </w:p>
    <w:bookmarkEnd w:id="1178"/>
    <w:p w14:paraId="73176CD9">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79" w:name="_Toc351203543"/>
      <w:r>
        <w:rPr>
          <w:rFonts w:hint="eastAsia" w:ascii="仿宋" w:hAnsi="仿宋" w:eastAsia="仿宋" w:cs="仿宋"/>
          <w:b w:val="0"/>
          <w:color w:val="auto"/>
          <w:sz w:val="24"/>
          <w:szCs w:val="24"/>
        </w:rPr>
        <w:t>7</w:t>
      </w:r>
      <w:bookmarkStart w:id="1180" w:name="_Toc337558768"/>
      <w:bookmarkStart w:id="1181" w:name="_Toc296503066"/>
      <w:bookmarkStart w:id="1182" w:name="_Toc296346567"/>
      <w:r>
        <w:rPr>
          <w:rFonts w:hint="eastAsia" w:ascii="仿宋" w:hAnsi="仿宋" w:eastAsia="仿宋" w:cs="仿宋"/>
          <w:b w:val="0"/>
          <w:color w:val="auto"/>
          <w:sz w:val="24"/>
          <w:szCs w:val="24"/>
        </w:rPr>
        <w:t>.1施工组织设计</w:t>
      </w:r>
      <w:bookmarkEnd w:id="1179"/>
    </w:p>
    <w:bookmarkEnd w:id="1180"/>
    <w:p w14:paraId="5D10FE2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 xml:space="preserve">7.1.1 </w:t>
      </w:r>
      <w:r>
        <w:rPr>
          <w:rFonts w:hint="eastAsia" w:ascii="仿宋" w:hAnsi="仿宋" w:eastAsia="仿宋" w:cs="仿宋"/>
          <w:color w:val="auto"/>
          <w:kern w:val="0"/>
          <w:sz w:val="24"/>
          <w:szCs w:val="24"/>
        </w:rPr>
        <w:t>施工组织设计的内容</w:t>
      </w:r>
    </w:p>
    <w:p w14:paraId="0B8A626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施工组织设计应包含以下内容：</w:t>
      </w:r>
    </w:p>
    <w:p w14:paraId="12FF1E5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（1）施工方案； </w:t>
      </w:r>
    </w:p>
    <w:p w14:paraId="487D4B3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（2）施工现场平面布置图；</w:t>
      </w:r>
    </w:p>
    <w:p w14:paraId="0B57B5C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（3）施工进度计划和保证措施； </w:t>
      </w:r>
    </w:p>
    <w:p w14:paraId="55EDA49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（4）劳动力及材料供应计划；</w:t>
      </w:r>
    </w:p>
    <w:p w14:paraId="3FA301C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（5）施工机械设备的选用；</w:t>
      </w:r>
    </w:p>
    <w:p w14:paraId="26F4B7B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（6）质量保证体系及措施；</w:t>
      </w:r>
    </w:p>
    <w:p w14:paraId="1DFB88F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（7）安全生产、文明施工措施；</w:t>
      </w:r>
    </w:p>
    <w:p w14:paraId="28FBBD5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（8）环境保护、成本控制措施；</w:t>
      </w:r>
    </w:p>
    <w:p w14:paraId="0CF6E1E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（9）合同当事人约定的其他内容。</w:t>
      </w:r>
    </w:p>
    <w:p w14:paraId="0CDA16A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 xml:space="preserve">7.1.2 </w:t>
      </w:r>
      <w:r>
        <w:rPr>
          <w:rFonts w:hint="eastAsia" w:ascii="仿宋" w:hAnsi="仿宋" w:eastAsia="仿宋" w:cs="仿宋"/>
          <w:color w:val="auto"/>
          <w:kern w:val="0"/>
          <w:sz w:val="24"/>
          <w:szCs w:val="24"/>
        </w:rPr>
        <w:t>施工组织设计的提交和修改</w:t>
      </w:r>
    </w:p>
    <w:p w14:paraId="1C24D9F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应在合同签订后14天内，但至迟不得晚于第7.3.2项〔开工通知〕载明的开工日期前7天，向监理人提交详细的施工组织设计，并由监理人报送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和监理人应在监理人收到施工组织设计后7天内确认或提出修改意见。对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和监理人提出的合理意见和要求，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应自费修改完善。根据工程实际情况需要修改施工组织设计的，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和监理人提交修改后的施工组织设计。</w:t>
      </w:r>
    </w:p>
    <w:p w14:paraId="326C9E2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施工进度计划的编制和修改按照第7.2款〔施工进度计划〕执行。</w:t>
      </w:r>
    </w:p>
    <w:p w14:paraId="78F8DB86">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83" w:name="_Toc351203544"/>
      <w:r>
        <w:rPr>
          <w:rFonts w:hint="eastAsia" w:ascii="仿宋" w:hAnsi="仿宋" w:eastAsia="仿宋" w:cs="仿宋"/>
          <w:b w:val="0"/>
          <w:color w:val="auto"/>
          <w:sz w:val="24"/>
          <w:szCs w:val="24"/>
        </w:rPr>
        <w:t>7</w:t>
      </w:r>
      <w:bookmarkStart w:id="1184" w:name="_Toc337558769"/>
      <w:r>
        <w:rPr>
          <w:rFonts w:hint="eastAsia" w:ascii="仿宋" w:hAnsi="仿宋" w:eastAsia="仿宋" w:cs="仿宋"/>
          <w:b w:val="0"/>
          <w:color w:val="auto"/>
          <w:sz w:val="24"/>
          <w:szCs w:val="24"/>
        </w:rPr>
        <w:t>.2 施工进度计划</w:t>
      </w:r>
      <w:bookmarkEnd w:id="1183"/>
    </w:p>
    <w:bookmarkEnd w:id="1184"/>
    <w:p w14:paraId="4F750EC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7.2.1 施工进度计划的编制</w:t>
      </w:r>
    </w:p>
    <w:p w14:paraId="5A5ECCE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应按照第7.1款〔施工组织设计〕约定提交详细的施工进度计划，施工进度计划的编制应当符合国家法律规定和一般工程实践惯例，施工进度计划经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批准后实施。施工进度计划是控制工程进度的依据，</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和监理人有权按照施工进度计划检查工程进度情况。</w:t>
      </w:r>
    </w:p>
    <w:p w14:paraId="78992AD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7.2.2 施工进度计划的修订</w:t>
      </w:r>
    </w:p>
    <w:p w14:paraId="406E037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施工进度计划不符合合同要求或与工程的实际进度不一致的，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应向监理人提交修订的施工进度计划，并附具有关措施和相关资料，由监理人报送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和监理人应在收到修订的施工进度计划后7天内完成审核和批准或提出修改意见。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提交的施工进度计划的确认，不能减轻或免除</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根据法律规定和合同约定应承担的任何责任或义务。</w:t>
      </w:r>
    </w:p>
    <w:p w14:paraId="757BF2D9">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85" w:name="_Toc351203545"/>
      <w:r>
        <w:rPr>
          <w:rFonts w:hint="eastAsia" w:ascii="仿宋" w:hAnsi="仿宋" w:eastAsia="仿宋" w:cs="仿宋"/>
          <w:b w:val="0"/>
          <w:color w:val="auto"/>
          <w:sz w:val="24"/>
          <w:szCs w:val="24"/>
        </w:rPr>
        <w:t>7</w:t>
      </w:r>
      <w:bookmarkStart w:id="1186" w:name="_Toc337558770"/>
      <w:r>
        <w:rPr>
          <w:rFonts w:hint="eastAsia" w:ascii="仿宋" w:hAnsi="仿宋" w:eastAsia="仿宋" w:cs="仿宋"/>
          <w:b w:val="0"/>
          <w:color w:val="auto"/>
          <w:sz w:val="24"/>
          <w:szCs w:val="24"/>
        </w:rPr>
        <w:t>.3 开工</w:t>
      </w:r>
      <w:bookmarkEnd w:id="1185"/>
    </w:p>
    <w:p w14:paraId="298E866E">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7.3.1 开工准备</w:t>
      </w:r>
    </w:p>
    <w:p w14:paraId="35E1D1E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应按照第7.1款〔施工组织设计〕约定的期限，向监理人提交工程开工报审表，经监理人报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批准后执行。开工报审表应详细说明按施工进度计划正常施工所需的施工道路、临时设施、材料、工程设备、施工设备、施工人员等落实情况以及工程的进度安排。</w:t>
      </w:r>
    </w:p>
    <w:p w14:paraId="372FD2A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除专用合同条款另有约定外，合同当事人应按约定完成开工准备工作。</w:t>
      </w:r>
    </w:p>
    <w:p w14:paraId="4B00A88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7.3.2 开工通知</w:t>
      </w:r>
    </w:p>
    <w:bookmarkEnd w:id="1186"/>
    <w:p w14:paraId="4A02526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应按照法律规定获得工程施工所需的许可。经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同意后，监理人发出的开工通知应符合法律规定。监理人应在计划开工日期7天前向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发出开工通知，工期自开工通知中载明的开工日期起算。</w:t>
      </w:r>
    </w:p>
    <w:p w14:paraId="1139701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原因造成监理人未能在计划开工日期之日起90天内发出开工通知的，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有权提出价格调整要求，或者解除合同。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应当承担由此增加的费用和（或）延误的工期，并向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支付合理利润。</w:t>
      </w:r>
    </w:p>
    <w:p w14:paraId="1A90994A">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87" w:name="_Toc351203546"/>
      <w:r>
        <w:rPr>
          <w:rFonts w:hint="eastAsia" w:ascii="仿宋" w:hAnsi="仿宋" w:eastAsia="仿宋" w:cs="仿宋"/>
          <w:b w:val="0"/>
          <w:color w:val="auto"/>
          <w:sz w:val="24"/>
          <w:szCs w:val="24"/>
        </w:rPr>
        <w:t>7.4测量放线</w:t>
      </w:r>
      <w:bookmarkEnd w:id="1187"/>
    </w:p>
    <w:p w14:paraId="2A87AEF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7.4.1 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应在至迟不得晚于第7.3.2项〔开工通知〕载明的开工日期前7天通过监理人向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提供测量基准点、基准线和水准点及其书面资料。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应对其提供的测量基准点、基准线和水准点及其书面资料的真实性、准确性和完整性负责。</w:t>
      </w:r>
    </w:p>
    <w:p w14:paraId="2BA6EB8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发现</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提供的测量基准点、基准线和水准点及其书面资料存在错误或疏漏的，应及时通知监理人。监理人应及时报告</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，并会同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予以核实。</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应就如何处理和是否继续施工作出决定，并通知监理人和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w:t>
      </w:r>
    </w:p>
    <w:p w14:paraId="1BEE804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7.4.2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负责施工过程中的全部施工测量放线工作，并配置具有相应资质的人员、合格的仪器、设备和其他物品。</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应矫正工程的位置、标高、尺寸或准线中出现的任何差错，并对工程各部分的定位负责。</w:t>
      </w:r>
    </w:p>
    <w:p w14:paraId="65A70E7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施工过程中对施工现场内水准点等测量标志物的保护工作由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w:t>
      </w:r>
      <w:bookmarkStart w:id="1188" w:name="_Toc351203547"/>
    </w:p>
    <w:p w14:paraId="43BFD88A">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7</w:t>
      </w:r>
      <w:bookmarkEnd w:id="1181"/>
      <w:bookmarkEnd w:id="1182"/>
      <w:bookmarkStart w:id="1189" w:name="_Toc337558772"/>
      <w:bookmarkStart w:id="1190" w:name="_Toc296346574"/>
      <w:bookmarkStart w:id="1191" w:name="_Toc296503073"/>
      <w:r>
        <w:rPr>
          <w:rFonts w:hint="eastAsia" w:ascii="仿宋" w:hAnsi="仿宋" w:eastAsia="仿宋" w:cs="仿宋"/>
          <w:b w:val="0"/>
          <w:color w:val="auto"/>
          <w:sz w:val="24"/>
          <w:szCs w:val="24"/>
        </w:rPr>
        <w:t>.5 工期延误</w:t>
      </w:r>
      <w:bookmarkEnd w:id="1188"/>
    </w:p>
    <w:bookmarkEnd w:id="1189"/>
    <w:bookmarkEnd w:id="1190"/>
    <w:bookmarkEnd w:id="1191"/>
    <w:p w14:paraId="4D1A13C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7.5.1 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原因导致工期延误</w:t>
      </w:r>
    </w:p>
    <w:p w14:paraId="532FB7A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在合同履行过程中，因下列情况导致工期延误和（或）费用增加的，由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承担由此延误的工期和（或）增加的费用，且</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 xml:space="preserve">合理的利润： </w:t>
      </w:r>
    </w:p>
    <w:p w14:paraId="3DE504F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未能按合同约定提供图纸或所提供图纸不符合合同约定的</w:t>
      </w:r>
      <w:r>
        <w:rPr>
          <w:rFonts w:hint="eastAsia" w:ascii="仿宋" w:hAnsi="仿宋" w:eastAsia="仿宋" w:cs="仿宋"/>
          <w:color w:val="auto"/>
          <w:kern w:val="0"/>
          <w:sz w:val="24"/>
          <w:szCs w:val="24"/>
          <w:lang w:eastAsia="zh-CN"/>
        </w:rPr>
        <w:t>（本项目不适用）</w:t>
      </w:r>
      <w:r>
        <w:rPr>
          <w:rFonts w:hint="eastAsia" w:ascii="仿宋" w:hAnsi="仿宋" w:eastAsia="仿宋" w:cs="仿宋"/>
          <w:color w:val="auto"/>
          <w:kern w:val="0"/>
          <w:sz w:val="24"/>
          <w:szCs w:val="24"/>
        </w:rPr>
        <w:t>；</w:t>
      </w:r>
    </w:p>
    <w:p w14:paraId="2CA94EA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未能按合同约定提供施工现场、施工条件、基础资料、许可、批准等开工条件的；</w:t>
      </w:r>
    </w:p>
    <w:p w14:paraId="615A746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提供的测量基准点、基准线和水准点及其书面资料存在错误或疏漏的；</w:t>
      </w:r>
    </w:p>
    <w:p w14:paraId="27A1042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未能在计划开工日期之日起7天内同意下达开工通知的；</w:t>
      </w:r>
    </w:p>
    <w:p w14:paraId="6C139A8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未能按合同约定日期支付工程预付款、进度款或竣工结算款的；</w:t>
      </w:r>
    </w:p>
    <w:p w14:paraId="4F7D7D8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（6）监理人未按合同约定发出指示、批准等文件的；</w:t>
      </w:r>
    </w:p>
    <w:p w14:paraId="4B35DF0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（7）专用合同条款中约定的其他情形。</w:t>
      </w:r>
    </w:p>
    <w:p w14:paraId="4C96639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原因未按计划开工日期开工的，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应按实际开工日期顺延竣工日期，确保实际工期不低于合同约定的工期总日历天数。因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原因导致工期延误需要修订施工进度计划的，按照第7.2.2项〔施工进度计划的修订〕执行。</w:t>
      </w:r>
    </w:p>
    <w:p w14:paraId="2948213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7.5.2 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原因导致工期延误</w:t>
      </w:r>
    </w:p>
    <w:p w14:paraId="3E17F28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bookmarkStart w:id="1192" w:name="_Toc296503076"/>
      <w:bookmarkStart w:id="1193" w:name="_Toc296346577"/>
      <w:r>
        <w:rPr>
          <w:rFonts w:hint="eastAsia" w:ascii="仿宋" w:hAnsi="仿宋" w:eastAsia="仿宋" w:cs="仿宋"/>
          <w:color w:val="auto"/>
          <w:kern w:val="0"/>
          <w:sz w:val="24"/>
          <w:szCs w:val="24"/>
        </w:rPr>
        <w:t>因</w:t>
      </w:r>
      <w:bookmarkEnd w:id="1192"/>
      <w:bookmarkEnd w:id="1193"/>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原因造成工期延误的，可以在专用合同条款中约定逾期竣工违约金的计算方法和逾期竣工违约金的上限。</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支付逾期竣工违约金后，不免除</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继续完成工程及修补缺陷的义务。</w:t>
      </w:r>
    </w:p>
    <w:p w14:paraId="05B7D7F6">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194" w:name="_Toc351203548"/>
      <w:r>
        <w:rPr>
          <w:rFonts w:hint="eastAsia" w:ascii="仿宋" w:hAnsi="仿宋" w:eastAsia="仿宋" w:cs="仿宋"/>
          <w:b w:val="0"/>
          <w:color w:val="auto"/>
          <w:sz w:val="24"/>
          <w:szCs w:val="24"/>
        </w:rPr>
        <w:t>7</w:t>
      </w:r>
      <w:bookmarkStart w:id="1195" w:name="_Toc337558773"/>
      <w:bookmarkStart w:id="1196" w:name="_Toc296503074"/>
      <w:bookmarkStart w:id="1197" w:name="_Toc296346575"/>
      <w:bookmarkStart w:id="1198" w:name="_Toc296346578"/>
      <w:bookmarkStart w:id="1199" w:name="_Toc296503077"/>
      <w:r>
        <w:rPr>
          <w:rFonts w:hint="eastAsia" w:ascii="仿宋" w:hAnsi="仿宋" w:eastAsia="仿宋" w:cs="仿宋"/>
          <w:b w:val="0"/>
          <w:color w:val="auto"/>
          <w:sz w:val="24"/>
          <w:szCs w:val="24"/>
        </w:rPr>
        <w:t>.6 不利物质条件</w:t>
      </w:r>
      <w:bookmarkEnd w:id="1194"/>
    </w:p>
    <w:bookmarkEnd w:id="1195"/>
    <w:bookmarkEnd w:id="1196"/>
    <w:bookmarkEnd w:id="1197"/>
    <w:p w14:paraId="13D2259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不利物质条件是指有经验的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在施工现场遇到的不可预见的自然物质条件、非自然的物质障碍和污染物，包括地表以下物质条件和水文条件以及专用合同条款约定的其他情形，但不包括气候条件。</w:t>
      </w:r>
    </w:p>
    <w:p w14:paraId="6B06F75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遇到不利物质条件时，应采取克服不利物质条件的合理措施继续施工，并及时通知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和监理人。通知应载明不利物质条件的内容以及</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认为不可预见的理由。监理人经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同意后应当及时发出指示，指示构成变更的，按第10条〔变更〕约定执行。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因采取合理措施而增加的费用和（或）延误的工期由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45E65DE7">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00" w:name="_Toc351203549"/>
      <w:r>
        <w:rPr>
          <w:rFonts w:hint="eastAsia" w:ascii="仿宋" w:hAnsi="仿宋" w:eastAsia="仿宋" w:cs="仿宋"/>
          <w:b w:val="0"/>
          <w:color w:val="auto"/>
          <w:sz w:val="24"/>
          <w:szCs w:val="24"/>
        </w:rPr>
        <w:t>7</w:t>
      </w:r>
      <w:bookmarkStart w:id="1201" w:name="_Toc296503075"/>
      <w:bookmarkStart w:id="1202" w:name="_Toc296346576"/>
      <w:bookmarkStart w:id="1203" w:name="_Toc337558774"/>
      <w:r>
        <w:rPr>
          <w:rFonts w:hint="eastAsia" w:ascii="仿宋" w:hAnsi="仿宋" w:eastAsia="仿宋" w:cs="仿宋"/>
          <w:b w:val="0"/>
          <w:color w:val="auto"/>
          <w:sz w:val="24"/>
          <w:szCs w:val="24"/>
        </w:rPr>
        <w:t>.7 异常恶劣的气候条件</w:t>
      </w:r>
      <w:bookmarkEnd w:id="1200"/>
    </w:p>
    <w:bookmarkEnd w:id="1201"/>
    <w:bookmarkEnd w:id="1202"/>
    <w:bookmarkEnd w:id="1203"/>
    <w:p w14:paraId="4BEF58C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异常恶劣的气候条件是指在施工过程中遇到的，有经验的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在签订合同时不可预见的，对合同履行造成实质性影响的，但尚未构成不可抗力事件的恶劣气候条件。合同当事人可以在专用合同条款中约定异常恶劣的气候条件的具体情形。</w:t>
      </w:r>
    </w:p>
    <w:p w14:paraId="668299E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应采取克服异常恶劣的气候条件的合理措施继续施工，并及时通知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和监理人。监理人经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同意后应当及时发出指示，指示构成变更的，按第10条〔变更〕约定办理。</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因采取合理措施而增加的费用和（或）延误的工期由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bookmarkStart w:id="1204" w:name="_Toc351203550"/>
    </w:p>
    <w:p w14:paraId="72D3305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outlineLvl w:val="3"/>
        <w:rPr>
          <w:rFonts w:hint="eastAsia" w:ascii="仿宋" w:hAnsi="仿宋" w:eastAsia="仿宋" w:cs="仿宋"/>
          <w:bCs/>
          <w:color w:val="auto"/>
          <w:sz w:val="24"/>
          <w:szCs w:val="24"/>
        </w:rPr>
      </w:pPr>
      <w:bookmarkStart w:id="1205" w:name="_Toc15959"/>
      <w:r>
        <w:rPr>
          <w:rFonts w:hint="eastAsia" w:ascii="仿宋" w:hAnsi="仿宋" w:eastAsia="仿宋" w:cs="仿宋"/>
          <w:bCs/>
          <w:color w:val="auto"/>
          <w:sz w:val="24"/>
          <w:szCs w:val="24"/>
        </w:rPr>
        <w:t>7</w:t>
      </w:r>
      <w:bookmarkStart w:id="1206" w:name="_Toc337558775"/>
      <w:r>
        <w:rPr>
          <w:rFonts w:hint="eastAsia" w:ascii="仿宋" w:hAnsi="仿宋" w:eastAsia="仿宋" w:cs="仿宋"/>
          <w:bCs/>
          <w:color w:val="auto"/>
          <w:sz w:val="24"/>
          <w:szCs w:val="24"/>
        </w:rPr>
        <w:t>.8 暂停施工</w:t>
      </w:r>
      <w:bookmarkEnd w:id="1204"/>
      <w:bookmarkEnd w:id="1205"/>
    </w:p>
    <w:bookmarkEnd w:id="1198"/>
    <w:bookmarkEnd w:id="1199"/>
    <w:bookmarkEnd w:id="1206"/>
    <w:p w14:paraId="70D7BFF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7.8.1</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原因引起的暂停施工</w:t>
      </w:r>
    </w:p>
    <w:p w14:paraId="7CF9CBF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原因引起暂停施工的，监理人经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同意后，应及时下达暂停施工指示。情况紧急且监理人未及时下达暂停施工指示的，按照第7.8.4项〔紧急情况下的暂停施工〕执行。</w:t>
      </w:r>
    </w:p>
    <w:p w14:paraId="4CDF1A0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原因引起的暂停施工，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应承担由此增加的费用和（或）延误的工期，并支付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w:t>
      </w:r>
    </w:p>
    <w:p w14:paraId="266A072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7.8.2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原因引起的暂停施工</w:t>
      </w:r>
    </w:p>
    <w:p w14:paraId="75E4C3B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原因引起的暂停施工，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应承担由此增加的费用和（或）延误的工期，且</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在收到监理人复工指示后84天内仍未复工的，视为第16.2.1项〔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违约的情形〕第（7）目约定的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无法继续履行合同的情形。</w:t>
      </w:r>
    </w:p>
    <w:p w14:paraId="405D563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7.8.3 指示暂停施工</w:t>
      </w:r>
    </w:p>
    <w:p w14:paraId="24ACC3B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监理人认为有必要时，并经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批准后，可向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作出暂停施工的指示，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应按监理人指示暂停施工。</w:t>
      </w:r>
    </w:p>
    <w:p w14:paraId="4F332A9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7.8.4 紧急情况下的暂停施工</w:t>
      </w:r>
    </w:p>
    <w:p w14:paraId="1667234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因紧急情况需暂停施工，且监理人未及时下达暂停施工指示的，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可先暂停施工，并及时通知监理人。监理人应在接到通知后24小时内发出指示，逾期未发出指示，视为同意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暂停施工。监理人不同意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暂停施工的，应说明理由，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对监理人的答复有异议，按照第20条〔争议解决〕约定处理。</w:t>
      </w:r>
    </w:p>
    <w:p w14:paraId="1669277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7.8.5 暂停施工后的复工</w:t>
      </w:r>
    </w:p>
    <w:p w14:paraId="37B03BC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暂停施工后，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应采取有效措施积极消除暂停施工的影响。在工程复工前，监理人会同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确定因暂停施工造成的损失，并确定工程复工条件。当工程具备复工条件时，监理人应经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批准后向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发出复工通知，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应按照复工通知要求复工。</w:t>
      </w:r>
    </w:p>
    <w:p w14:paraId="274F33E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无故拖延和拒绝复工的，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承担由此增加的费用和（或）延误的工期；因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原因无法按时复工的，按照第7.5.1项〔因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原因导致工期延误〕约定办理。</w:t>
      </w:r>
    </w:p>
    <w:p w14:paraId="4E23A99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7.8.6 暂停施工持续56天以上</w:t>
      </w:r>
    </w:p>
    <w:p w14:paraId="394E0AC3">
      <w:pPr>
        <w:pageBreakBefore w:val="0"/>
        <w:widowControl w:val="0"/>
        <w:kinsoku/>
        <w:wordWrap/>
        <w:overflowPunct/>
        <w:topLinePunct w:val="0"/>
        <w:bidi w:val="0"/>
        <w:snapToGrid/>
        <w:spacing w:line="440" w:lineRule="exact"/>
        <w:ind w:firstLine="468" w:firstLineChars="195"/>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监理人发出暂停施工指示后56天内未向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发出复工通知，除该项停工属于第7.8.2项〔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原因引起的暂停施工〕及第17条〔不可抗力〕约定的情形外，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提交书面通知，要求</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在收到书面通知后28天内准许已暂停施工的部分或全部工程继续施工。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逾期不予批准的，则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可以通知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，将工程受影响的部分视为按第10.1款〔变更的范围〕第（2）项的可取消工作。</w:t>
      </w:r>
    </w:p>
    <w:p w14:paraId="15CBFCFE">
      <w:pPr>
        <w:pageBreakBefore w:val="0"/>
        <w:widowControl w:val="0"/>
        <w:kinsoku/>
        <w:wordWrap/>
        <w:overflowPunct/>
        <w:topLinePunct w:val="0"/>
        <w:bidi w:val="0"/>
        <w:snapToGrid/>
        <w:spacing w:line="440" w:lineRule="exact"/>
        <w:ind w:firstLine="468" w:firstLineChars="195"/>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暂停施工持续84天以上不复工的，且不属于第7.8.2项〔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原因引起的暂停施工〕及第17条〔不可抗力〕约定的情形，并影响到整个工程以及合同目的实现的，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有权提出价格调整要求，或者解除合同。解除合同的，按照第16.1.3项〔因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违约解除合同〕执行。</w:t>
      </w:r>
    </w:p>
    <w:p w14:paraId="62D66D2B">
      <w:pPr>
        <w:pageBreakBefore w:val="0"/>
        <w:widowControl w:val="0"/>
        <w:kinsoku/>
        <w:wordWrap/>
        <w:overflowPunct/>
        <w:topLinePunct w:val="0"/>
        <w:bidi w:val="0"/>
        <w:snapToGrid/>
        <w:spacing w:line="440" w:lineRule="exact"/>
        <w:ind w:left="16" w:firstLine="468" w:firstLineChars="195"/>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7.8.7 暂停施工期间的工程照管</w:t>
      </w:r>
    </w:p>
    <w:p w14:paraId="294AEF6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暂停施工期间，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应负责妥善照管工程并提供安全保障，由此增加的费用由责任方承担。</w:t>
      </w:r>
    </w:p>
    <w:p w14:paraId="3FBACF2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7.8.8 暂停施工的措施</w:t>
      </w:r>
    </w:p>
    <w:p w14:paraId="453B02E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暂停施工期间，</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均应采取必要的措施确保工程质量及安全，防止因暂停施工扩大损失。</w:t>
      </w:r>
    </w:p>
    <w:p w14:paraId="48C3BD35">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07" w:name="_Toc351203551"/>
      <w:r>
        <w:rPr>
          <w:rFonts w:hint="eastAsia" w:ascii="仿宋" w:hAnsi="仿宋" w:eastAsia="仿宋" w:cs="仿宋"/>
          <w:b w:val="0"/>
          <w:color w:val="auto"/>
          <w:sz w:val="24"/>
          <w:szCs w:val="24"/>
        </w:rPr>
        <w:t>7.9提前竣工</w:t>
      </w:r>
      <w:bookmarkEnd w:id="1207"/>
    </w:p>
    <w:p w14:paraId="638F550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7.9.1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提前竣工的，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应通过监理人向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下达提前竣工指示，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和监理人提交提前竣工建议书，提前竣工建议书应包括实施的方案、缩短的时间、增加的合同价格等内容。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接受该提前竣工建议书的，监理人应与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协商采取加快工程进度的措施，并修订施工进度计划，由此增加的费用由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认为提前竣工指示无法执行的，应向监理人和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提出书面异议，</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和监理人应在收到异议后7天内予以答复。任何情况下，</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不得压缩合理工期。</w:t>
      </w:r>
    </w:p>
    <w:p w14:paraId="286BE3F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7.9.2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提前竣工，或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提出提前竣工的建议能够给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带来效益的，合同当事人可以在专用合同条款中约定提前竣工的奖励。</w:t>
      </w:r>
    </w:p>
    <w:p w14:paraId="04018BE9">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208" w:name="_Toc351203552"/>
      <w:r>
        <w:rPr>
          <w:rFonts w:hint="eastAsia" w:ascii="仿宋" w:hAnsi="仿宋" w:eastAsia="仿宋" w:cs="仿宋"/>
          <w:b w:val="0"/>
          <w:color w:val="auto"/>
          <w:sz w:val="24"/>
          <w:szCs w:val="24"/>
        </w:rPr>
        <w:t>8</w:t>
      </w:r>
      <w:bookmarkStart w:id="1209" w:name="_Toc296346559"/>
      <w:bookmarkStart w:id="1210" w:name="_Toc337558776"/>
      <w:bookmarkStart w:id="1211" w:name="_Toc296503058"/>
      <w:r>
        <w:rPr>
          <w:rFonts w:hint="eastAsia" w:ascii="仿宋" w:hAnsi="仿宋" w:eastAsia="仿宋" w:cs="仿宋"/>
          <w:b w:val="0"/>
          <w:color w:val="auto"/>
          <w:sz w:val="24"/>
          <w:szCs w:val="24"/>
        </w:rPr>
        <w:t>. 材料与设备</w:t>
      </w:r>
      <w:bookmarkEnd w:id="1208"/>
    </w:p>
    <w:bookmarkEnd w:id="1209"/>
    <w:bookmarkEnd w:id="1210"/>
    <w:bookmarkEnd w:id="1211"/>
    <w:p w14:paraId="51A54118">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12" w:name="_Toc351203553"/>
      <w:r>
        <w:rPr>
          <w:rFonts w:hint="eastAsia" w:ascii="仿宋" w:hAnsi="仿宋" w:eastAsia="仿宋" w:cs="仿宋"/>
          <w:b w:val="0"/>
          <w:color w:val="auto"/>
          <w:sz w:val="24"/>
          <w:szCs w:val="24"/>
        </w:rPr>
        <w:t>8</w:t>
      </w:r>
      <w:bookmarkStart w:id="1213" w:name="_Toc337558777"/>
      <w:bookmarkStart w:id="1214" w:name="_Toc296346560"/>
      <w:bookmarkStart w:id="1215" w:name="_Toc296503059"/>
      <w:bookmarkStart w:id="1216" w:name="_Toc468936960"/>
      <w:r>
        <w:rPr>
          <w:rFonts w:hint="eastAsia" w:ascii="仿宋" w:hAnsi="仿宋" w:eastAsia="仿宋" w:cs="仿宋"/>
          <w:b w:val="0"/>
          <w:color w:val="auto"/>
          <w:sz w:val="24"/>
          <w:szCs w:val="24"/>
        </w:rPr>
        <w:t>.1</w:t>
      </w:r>
      <w:r>
        <w:rPr>
          <w:rFonts w:hint="eastAsia" w:ascii="仿宋" w:hAnsi="仿宋" w:eastAsia="仿宋" w:cs="仿宋"/>
          <w:b w:val="0"/>
          <w:color w:val="auto"/>
          <w:sz w:val="24"/>
          <w:szCs w:val="24"/>
          <w:lang w:eastAsia="zh-CN"/>
        </w:rPr>
        <w:t>发包人</w:t>
      </w:r>
      <w:r>
        <w:rPr>
          <w:rFonts w:hint="eastAsia" w:ascii="仿宋" w:hAnsi="仿宋" w:eastAsia="仿宋" w:cs="仿宋"/>
          <w:b w:val="0"/>
          <w:color w:val="auto"/>
          <w:sz w:val="24"/>
          <w:szCs w:val="24"/>
        </w:rPr>
        <w:t>供应材料与工程设备</w:t>
      </w:r>
      <w:bookmarkEnd w:id="1212"/>
    </w:p>
    <w:bookmarkEnd w:id="1213"/>
    <w:bookmarkEnd w:id="1214"/>
    <w:bookmarkEnd w:id="1215"/>
    <w:p w14:paraId="4B480F2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自行供应材料、工程设备的，应在签订合同时在专用合同条款的附件《</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供应材料设备一览表》中明确材料、工程设备的品种、规格、型号、数量、单价、质量等级和送达地点。</w:t>
      </w:r>
    </w:p>
    <w:p w14:paraId="5D5A53B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应提前30天通过监理人以书面形式通知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供应材料与工程设备进场。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按照第7.2.2项〔施工进度计划的修订〕约定修订施工进度计划时，需同时提交经修订后的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供应材料与工程设备的进场计划。</w:t>
      </w:r>
    </w:p>
    <w:p w14:paraId="01C8CD1C">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color w:val="auto"/>
          <w:sz w:val="24"/>
          <w:szCs w:val="24"/>
        </w:rPr>
      </w:pPr>
      <w:bookmarkStart w:id="1217" w:name="_Toc351203554"/>
      <w:r>
        <w:rPr>
          <w:rFonts w:hint="eastAsia" w:ascii="仿宋" w:hAnsi="仿宋" w:eastAsia="仿宋" w:cs="仿宋"/>
          <w:b w:val="0"/>
          <w:color w:val="auto"/>
          <w:sz w:val="24"/>
          <w:szCs w:val="24"/>
        </w:rPr>
        <w:t>8</w:t>
      </w:r>
      <w:bookmarkStart w:id="1218" w:name="_Toc296346561"/>
      <w:bookmarkStart w:id="1219" w:name="_Toc337558778"/>
      <w:bookmarkStart w:id="1220" w:name="_Toc296503060"/>
      <w:r>
        <w:rPr>
          <w:rFonts w:hint="eastAsia" w:ascii="仿宋" w:hAnsi="仿宋" w:eastAsia="仿宋" w:cs="仿宋"/>
          <w:b w:val="0"/>
          <w:color w:val="auto"/>
          <w:sz w:val="24"/>
          <w:szCs w:val="24"/>
        </w:rPr>
        <w:t>.2</w:t>
      </w:r>
      <w:r>
        <w:rPr>
          <w:rFonts w:hint="eastAsia" w:ascii="仿宋" w:hAnsi="仿宋" w:eastAsia="仿宋" w:cs="仿宋"/>
          <w:b w:val="0"/>
          <w:color w:val="auto"/>
          <w:sz w:val="24"/>
          <w:szCs w:val="24"/>
          <w:lang w:eastAsia="zh-CN"/>
        </w:rPr>
        <w:t>承包人</w:t>
      </w:r>
      <w:r>
        <w:rPr>
          <w:rFonts w:hint="eastAsia" w:ascii="仿宋" w:hAnsi="仿宋" w:eastAsia="仿宋" w:cs="仿宋"/>
          <w:b w:val="0"/>
          <w:color w:val="auto"/>
          <w:sz w:val="24"/>
          <w:szCs w:val="24"/>
        </w:rPr>
        <w:t>采购材料与工程设备</w:t>
      </w:r>
      <w:bookmarkEnd w:id="1217"/>
    </w:p>
    <w:bookmarkEnd w:id="1218"/>
    <w:bookmarkEnd w:id="1219"/>
    <w:bookmarkEnd w:id="1220"/>
    <w:p w14:paraId="6430CD5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负责采购材料、工程设备的，应按照设计和有关标准要求采购，并提供产品合格证明及出厂证明，对材料、工程设备质量负责。合同约定由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采购的材料、工程设备，</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不得指定生产厂家或供应商，</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违反本款约定指定生产厂家或供应商的，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有权拒绝，并由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承担相应责任。</w:t>
      </w:r>
    </w:p>
    <w:p w14:paraId="3DF6A5C3">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21" w:name="_Toc351203555"/>
      <w:r>
        <w:rPr>
          <w:rFonts w:hint="eastAsia" w:ascii="仿宋" w:hAnsi="仿宋" w:eastAsia="仿宋" w:cs="仿宋"/>
          <w:b w:val="0"/>
          <w:color w:val="auto"/>
          <w:sz w:val="24"/>
          <w:szCs w:val="24"/>
        </w:rPr>
        <w:t>8</w:t>
      </w:r>
      <w:bookmarkStart w:id="1222" w:name="_Toc296503061"/>
      <w:bookmarkStart w:id="1223" w:name="_Toc296346562"/>
      <w:bookmarkStart w:id="1224" w:name="_Toc337558779"/>
      <w:r>
        <w:rPr>
          <w:rFonts w:hint="eastAsia" w:ascii="仿宋" w:hAnsi="仿宋" w:eastAsia="仿宋" w:cs="仿宋"/>
          <w:b w:val="0"/>
          <w:color w:val="auto"/>
          <w:sz w:val="24"/>
          <w:szCs w:val="24"/>
        </w:rPr>
        <w:t>.3材料与工程设备的接收与拒收</w:t>
      </w:r>
      <w:bookmarkEnd w:id="1221"/>
    </w:p>
    <w:bookmarkEnd w:id="1222"/>
    <w:bookmarkEnd w:id="1223"/>
    <w:bookmarkEnd w:id="1224"/>
    <w:p w14:paraId="34B647A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8.3.1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应按《</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供应材料设备一览表》约定的内容提供材料和工程设备，并向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提供产品合格证明及出厂证明，对其质量负责。</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应提前24小时以书面形式通知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、监理人材料和工程设备到货时间，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负责材料和工程设备的清点、检验和接收。</w:t>
      </w:r>
    </w:p>
    <w:p w14:paraId="3FB021C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提供的材料和工程设备的规格、数量或质量不符合合同约定的，或因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原因导致交货日期延误或交货地点变更等情况的，按照第16.1款〔</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违约〕约定办理。</w:t>
      </w:r>
    </w:p>
    <w:p w14:paraId="3900450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8.3.2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采购的材料和工程设备，应保证产品质量合格，</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应在材料和工程设备到货前24小时通知监理人检验。</w:t>
      </w:r>
      <w:bookmarkStart w:id="1225" w:name="_Toc250655469"/>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进行永久设备、材料的制造和生产的，应符合相关质量标准，并向监理人提交材料的样本以及有关资料，并应在使用该材料或工程设备之前获得监理人同意。</w:t>
      </w:r>
    </w:p>
    <w:bookmarkEnd w:id="1225"/>
    <w:p w14:paraId="464A98C7">
      <w:pPr>
        <w:pageBreakBefore w:val="0"/>
        <w:widowControl w:val="0"/>
        <w:kinsoku/>
        <w:wordWrap/>
        <w:overflowPunct/>
        <w:topLinePunct w:val="0"/>
        <w:autoSpaceDE w:val="0"/>
        <w:autoSpaceDN w:val="0"/>
        <w:bidi w:val="0"/>
        <w:adjustRightInd w:val="0"/>
        <w:snapToGrid/>
        <w:spacing w:line="440" w:lineRule="exact"/>
        <w:ind w:firstLine="360" w:firstLineChars="1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采购的材料和工程设备不符合设计或有关标准要求时，</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应在监理人要求的合理期限内将不符合设计或有关标准要求的材料、工程设备运出施工现场，并重新采购符合要求的材料、工程设备，由此增加的费用和（或）延误的工期，由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095EB069">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26" w:name="_Toc351203556"/>
      <w:r>
        <w:rPr>
          <w:rFonts w:hint="eastAsia" w:ascii="仿宋" w:hAnsi="仿宋" w:eastAsia="仿宋" w:cs="仿宋"/>
          <w:b w:val="0"/>
          <w:color w:val="auto"/>
          <w:sz w:val="24"/>
          <w:szCs w:val="24"/>
        </w:rPr>
        <w:t>8</w:t>
      </w:r>
      <w:bookmarkStart w:id="1227" w:name="_Toc296346563"/>
      <w:bookmarkStart w:id="1228" w:name="_Toc337558780"/>
      <w:bookmarkStart w:id="1229" w:name="_Toc296503062"/>
      <w:r>
        <w:rPr>
          <w:rFonts w:hint="eastAsia" w:ascii="仿宋" w:hAnsi="仿宋" w:eastAsia="仿宋" w:cs="仿宋"/>
          <w:b w:val="0"/>
          <w:color w:val="auto"/>
          <w:sz w:val="24"/>
          <w:szCs w:val="24"/>
        </w:rPr>
        <w:t>.4材料与工程设备的保管与使用</w:t>
      </w:r>
      <w:bookmarkEnd w:id="1226"/>
    </w:p>
    <w:bookmarkEnd w:id="1227"/>
    <w:bookmarkEnd w:id="1228"/>
    <w:bookmarkEnd w:id="1229"/>
    <w:p w14:paraId="19C7A89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8.4.1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供应</w:t>
      </w:r>
      <w:r>
        <w:rPr>
          <w:rFonts w:hint="eastAsia" w:ascii="仿宋" w:hAnsi="仿宋" w:eastAsia="仿宋" w:cs="仿宋"/>
          <w:color w:val="auto"/>
          <w:sz w:val="24"/>
          <w:szCs w:val="24"/>
        </w:rPr>
        <w:t>材料与</w:t>
      </w:r>
      <w:r>
        <w:rPr>
          <w:rFonts w:hint="eastAsia" w:ascii="仿宋" w:hAnsi="仿宋" w:eastAsia="仿宋" w:cs="仿宋"/>
          <w:color w:val="auto"/>
          <w:kern w:val="0"/>
          <w:sz w:val="24"/>
          <w:szCs w:val="24"/>
        </w:rPr>
        <w:t>工程</w:t>
      </w:r>
      <w:r>
        <w:rPr>
          <w:rFonts w:hint="eastAsia" w:ascii="仿宋" w:hAnsi="仿宋" w:eastAsia="仿宋" w:cs="仿宋"/>
          <w:color w:val="auto"/>
          <w:sz w:val="24"/>
          <w:szCs w:val="24"/>
        </w:rPr>
        <w:t>设备的保管与使用</w:t>
      </w:r>
    </w:p>
    <w:p w14:paraId="00E5560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供应的材料和工程设备，</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清点后由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妥善保管，保管费用由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承担，但已标价工程量清单或预算书已经列支或专用合同条款另有约定除外。因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原因发生丢失毁损的，由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负责赔偿；监理人未通知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清点的，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不负责材料和工程设备的保管，由此导致丢失毁损的由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负责。</w:t>
      </w:r>
    </w:p>
    <w:p w14:paraId="605880B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供应的材料和工程设备使用前，由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负责检验，检验费用由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承担，不合格的不得使用。</w:t>
      </w:r>
    </w:p>
    <w:p w14:paraId="42AA84D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8.4.2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采购</w:t>
      </w:r>
      <w:r>
        <w:rPr>
          <w:rFonts w:hint="eastAsia" w:ascii="仿宋" w:hAnsi="仿宋" w:eastAsia="仿宋" w:cs="仿宋"/>
          <w:color w:val="auto"/>
          <w:sz w:val="24"/>
          <w:szCs w:val="24"/>
        </w:rPr>
        <w:t>材料与</w:t>
      </w:r>
      <w:r>
        <w:rPr>
          <w:rFonts w:hint="eastAsia" w:ascii="仿宋" w:hAnsi="仿宋" w:eastAsia="仿宋" w:cs="仿宋"/>
          <w:color w:val="auto"/>
          <w:kern w:val="0"/>
          <w:sz w:val="24"/>
          <w:szCs w:val="24"/>
        </w:rPr>
        <w:t>工程</w:t>
      </w:r>
      <w:r>
        <w:rPr>
          <w:rFonts w:hint="eastAsia" w:ascii="仿宋" w:hAnsi="仿宋" w:eastAsia="仿宋" w:cs="仿宋"/>
          <w:color w:val="auto"/>
          <w:sz w:val="24"/>
          <w:szCs w:val="24"/>
        </w:rPr>
        <w:t>设备的保管与使用</w:t>
      </w:r>
    </w:p>
    <w:p w14:paraId="6456745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采购的材料和工程设备由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妥善保管，保管费用由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承担。法律规定材料和工程设备使用前必须进行检验或试验的，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应按监理人的要求进行检验或试验，检验或试验费用由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承担，不合格的不得使用。</w:t>
      </w:r>
    </w:p>
    <w:p w14:paraId="40080FC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或监理人发现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使用不符合设计或有关标准要求的材料和工程设备时，有权要求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进行修复、拆除或重新采购，由此增加的费用和（或）延误的工期，由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0CD068EF">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30" w:name="_Toc351203557"/>
      <w:r>
        <w:rPr>
          <w:rFonts w:hint="eastAsia" w:ascii="仿宋" w:hAnsi="仿宋" w:eastAsia="仿宋" w:cs="仿宋"/>
          <w:b w:val="0"/>
          <w:color w:val="auto"/>
          <w:sz w:val="24"/>
          <w:szCs w:val="24"/>
        </w:rPr>
        <w:t>8.5禁止使用不合格的材料和工程设备</w:t>
      </w:r>
      <w:bookmarkEnd w:id="1230"/>
    </w:p>
    <w:p w14:paraId="5FFB3C3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8.5.1 监理人有权拒绝</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提供的不合格材料或工程设备，并要求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立即进行更换。监理人应在更换后再次进行检查和检验，由此增加的费用和（或）延误的工期由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43B70AB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8.5.2 监理人发现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使用了不合格的材料和工程设备，</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应按照监理人的指示立即改正，并禁止在工程中继续使用不合格的材料和工程设备。</w:t>
      </w:r>
    </w:p>
    <w:p w14:paraId="1FA7B8E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8.5.3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提供的材料或工程设备不符合合同要求的，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有权拒绝，并可要求</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更换，由此增加的费用和（或）延误的工期由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w:t>
      </w:r>
    </w:p>
    <w:p w14:paraId="641EDEEA">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31" w:name="_Toc351203558"/>
      <w:r>
        <w:rPr>
          <w:rFonts w:hint="eastAsia" w:ascii="仿宋" w:hAnsi="仿宋" w:eastAsia="仿宋" w:cs="仿宋"/>
          <w:b w:val="0"/>
          <w:color w:val="auto"/>
          <w:sz w:val="24"/>
          <w:szCs w:val="24"/>
        </w:rPr>
        <w:t>8.6 样品</w:t>
      </w:r>
      <w:bookmarkEnd w:id="1231"/>
    </w:p>
    <w:p w14:paraId="369B397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8.6.1</w:t>
      </w:r>
      <w:r>
        <w:rPr>
          <w:rFonts w:hint="eastAsia" w:ascii="仿宋" w:hAnsi="仿宋" w:eastAsia="仿宋" w:cs="仿宋"/>
          <w:color w:val="auto"/>
          <w:kern w:val="0"/>
          <w:sz w:val="24"/>
          <w:szCs w:val="24"/>
        </w:rPr>
        <w:tab/>
      </w:r>
      <w:r>
        <w:rPr>
          <w:rFonts w:hint="eastAsia" w:ascii="仿宋" w:hAnsi="仿宋" w:eastAsia="仿宋" w:cs="仿宋"/>
          <w:color w:val="auto"/>
          <w:kern w:val="0"/>
          <w:sz w:val="24"/>
          <w:szCs w:val="24"/>
        </w:rPr>
        <w:t>样品的报送与封存</w:t>
      </w:r>
    </w:p>
    <w:p w14:paraId="63026C2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需要</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报送样品的材料或工程设备，样品的种类、名称、规格、数量等要求均应在专用合同条款中约定。样品的报送程序如下：</w:t>
      </w:r>
    </w:p>
    <w:p w14:paraId="0055F65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应在计划采购前28天向监理人报送样品。</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报送的样品均应来自供应材料的实际生产地，且提供的样品的规格、数量足以表明材料或工程设备的质量、型号、颜色、表面处理、质地、误差和其他要求的特征。</w:t>
      </w:r>
    </w:p>
    <w:p w14:paraId="28AC26C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每次报送样品时应随附申报单，申报单应载明报送样品的相关数据和资料，预留监理人批复意见栏。监理人应在收到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报送的样品后7天向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回复经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签认的样品审批意见。</w:t>
      </w:r>
    </w:p>
    <w:p w14:paraId="40D624E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和监理人审批确认的样品应按约定的方法封样，封存的样品作为检验工程相关部分的标准之一。</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在施工过程中不得使用与样品不符的材料或工程设备。</w:t>
      </w:r>
    </w:p>
    <w:p w14:paraId="1A83419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和监理人对样品的审批确认仅为确认相关材料或工程设备的特征或用途，不得被理解为对合同的修改或改变，也并不减轻或免除</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任何的责任和义务。如果封存的样品修改或改变了合同约定，合同当事人应当以书面协议予以确认。</w:t>
      </w:r>
    </w:p>
    <w:p w14:paraId="5E1AC2D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8.6.2 样品的保管</w:t>
      </w:r>
    </w:p>
    <w:p w14:paraId="5A206B4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经批准的样品应由监理人负责封存于现场，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应在现场为保存样品提供适当和固定的场所并保持适当和良好的存储环境条件。</w:t>
      </w:r>
    </w:p>
    <w:p w14:paraId="51C089C8">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32" w:name="_Toc351203559"/>
      <w:r>
        <w:rPr>
          <w:rFonts w:hint="eastAsia" w:ascii="仿宋" w:hAnsi="仿宋" w:eastAsia="仿宋" w:cs="仿宋"/>
          <w:b w:val="0"/>
          <w:color w:val="auto"/>
          <w:sz w:val="24"/>
          <w:szCs w:val="24"/>
        </w:rPr>
        <w:t>8.7材料与工程设备的替代</w:t>
      </w:r>
      <w:bookmarkEnd w:id="1232"/>
    </w:p>
    <w:p w14:paraId="0F08ABC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8.7.1 出现下列情况需要使用替代材料和工程设备的，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应按照第8.7.2项约定的程序执行：</w:t>
      </w:r>
    </w:p>
    <w:p w14:paraId="6999547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（1）基准日期后生效的法律规定禁止使用的；</w:t>
      </w:r>
    </w:p>
    <w:p w14:paraId="4187805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要求使用替代品的；</w:t>
      </w:r>
    </w:p>
    <w:p w14:paraId="5A1C2BB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（3）因其他原因必须使用替代品的。</w:t>
      </w:r>
    </w:p>
    <w:p w14:paraId="6CBA115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8.7.2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应在使用替代材料和工程设备28天前书面通知监理人，并附下列文件：</w:t>
      </w:r>
    </w:p>
    <w:p w14:paraId="677CA58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（1）被替代的材料和工程设备的名称、数量、规格、型号、品牌、性能、价格及其他相关资料；</w:t>
      </w:r>
    </w:p>
    <w:p w14:paraId="5342000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（2）替代品的名称、数量、规格、型号、品牌、性能、价格及其他相关资料；</w:t>
      </w:r>
    </w:p>
    <w:p w14:paraId="2CCD908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（3）替代品与被替代产品之间的差异以及使用替代品可能对工程产生的影响；</w:t>
      </w:r>
    </w:p>
    <w:p w14:paraId="77EFB98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（4）替代品与被替代产品的价格差异；</w:t>
      </w:r>
    </w:p>
    <w:p w14:paraId="56D0451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（5）使用替代品的理由和原因说明；</w:t>
      </w:r>
    </w:p>
    <w:p w14:paraId="1B89149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（6）监理人要求的其他文件。</w:t>
      </w:r>
    </w:p>
    <w:p w14:paraId="2167EF4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监理人应在收到通知后14天内向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发出经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签认的书面指示；监理人逾期发出书面指示的，视为</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和监理人同意使用替代品。</w:t>
      </w:r>
    </w:p>
    <w:p w14:paraId="5D91FD0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8.7.3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07D30CFF">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33" w:name="_Toc351203560"/>
      <w:r>
        <w:rPr>
          <w:rFonts w:hint="eastAsia" w:ascii="仿宋" w:hAnsi="仿宋" w:eastAsia="仿宋" w:cs="仿宋"/>
          <w:b w:val="0"/>
          <w:color w:val="auto"/>
          <w:sz w:val="24"/>
          <w:szCs w:val="24"/>
        </w:rPr>
        <w:t>8.8施工设备和临时设施</w:t>
      </w:r>
      <w:bookmarkEnd w:id="1233"/>
    </w:p>
    <w:p w14:paraId="61BACFC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8.8.1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提供的施工设备和临时设施</w:t>
      </w:r>
    </w:p>
    <w:p w14:paraId="5F4944D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应按合同进度计划的要求，及时配置施工设备和修建临时设施。进入施工场地的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设备需经监理人核查后才能投入使用。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更换合同约定的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设备的，应报监理人批准。</w:t>
      </w:r>
    </w:p>
    <w:p w14:paraId="416CC32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应自行承担修建临时设施的费用，需要临时占地的，应由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办理申请手续并承担相应费用。</w:t>
      </w:r>
    </w:p>
    <w:p w14:paraId="1D51BCE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8.8.2</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提供的施工设备和临时设施</w:t>
      </w:r>
    </w:p>
    <w:p w14:paraId="4351372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提供的施工设备或临时设施在专用合同条款中约定。</w:t>
      </w:r>
    </w:p>
    <w:p w14:paraId="468F9A3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8.8.3要求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增加或更换施工设备</w:t>
      </w:r>
    </w:p>
    <w:p w14:paraId="5FE2E4B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使用的施工设备不能满足合同进度计划和（或）质量要求时，监理人有权要求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增加或更换施工设备，</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应及时增加或更换，由此增加的费用和（或）延误的工期由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3136EED5">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34" w:name="_Toc351203561"/>
      <w:r>
        <w:rPr>
          <w:rFonts w:hint="eastAsia" w:ascii="仿宋" w:hAnsi="仿宋" w:eastAsia="仿宋" w:cs="仿宋"/>
          <w:b w:val="0"/>
          <w:color w:val="auto"/>
          <w:sz w:val="24"/>
          <w:szCs w:val="24"/>
        </w:rPr>
        <w:t>8</w:t>
      </w:r>
      <w:bookmarkStart w:id="1235" w:name="_Toc337558781"/>
      <w:bookmarkStart w:id="1236" w:name="_Toc296503063"/>
      <w:bookmarkStart w:id="1237" w:name="_Toc296346564"/>
      <w:r>
        <w:rPr>
          <w:rFonts w:hint="eastAsia" w:ascii="仿宋" w:hAnsi="仿宋" w:eastAsia="仿宋" w:cs="仿宋"/>
          <w:b w:val="0"/>
          <w:color w:val="auto"/>
          <w:sz w:val="24"/>
          <w:szCs w:val="24"/>
        </w:rPr>
        <w:t>.9材料与设备专用</w:t>
      </w:r>
      <w:bookmarkEnd w:id="1234"/>
      <w:r>
        <w:rPr>
          <w:rFonts w:hint="eastAsia" w:ascii="仿宋" w:hAnsi="仿宋" w:eastAsia="仿宋" w:cs="仿宋"/>
          <w:b w:val="0"/>
          <w:color w:val="auto"/>
          <w:sz w:val="24"/>
          <w:szCs w:val="24"/>
        </w:rPr>
        <w:t>要求</w:t>
      </w:r>
    </w:p>
    <w:bookmarkEnd w:id="1235"/>
    <w:bookmarkEnd w:id="1236"/>
    <w:bookmarkEnd w:id="1237"/>
    <w:p w14:paraId="41EEECF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运入施工现场的材料、工程设备、施工设备以及在施工场地建设的临时设施，包括备品备件、安装工具与资料，必须专用于工程。未经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不得运出施工现场或挪作他用；</w:t>
      </w:r>
      <w:bookmarkEnd w:id="1216"/>
      <w:r>
        <w:rPr>
          <w:rFonts w:hint="eastAsia" w:ascii="仿宋" w:hAnsi="仿宋" w:eastAsia="仿宋" w:cs="仿宋"/>
          <w:color w:val="auto"/>
          <w:kern w:val="0"/>
          <w:sz w:val="24"/>
          <w:szCs w:val="24"/>
        </w:rPr>
        <w:t>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可以根据施工进度计划撤走闲置的施工设备和其他物品。</w:t>
      </w:r>
    </w:p>
    <w:p w14:paraId="3CF3AC7E">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238" w:name="_Toc351203562"/>
      <w:r>
        <w:rPr>
          <w:rFonts w:hint="eastAsia" w:ascii="仿宋" w:hAnsi="仿宋" w:eastAsia="仿宋" w:cs="仿宋"/>
          <w:b w:val="0"/>
          <w:color w:val="auto"/>
          <w:sz w:val="24"/>
          <w:szCs w:val="24"/>
        </w:rPr>
        <w:t>9</w:t>
      </w:r>
      <w:bookmarkStart w:id="1239" w:name="_Toc337558782"/>
      <w:bookmarkStart w:id="1240" w:name="_Toc296503083"/>
      <w:bookmarkStart w:id="1241" w:name="_Toc296346584"/>
      <w:r>
        <w:rPr>
          <w:rFonts w:hint="eastAsia" w:ascii="仿宋" w:hAnsi="仿宋" w:eastAsia="仿宋" w:cs="仿宋"/>
          <w:b w:val="0"/>
          <w:color w:val="auto"/>
          <w:sz w:val="24"/>
          <w:szCs w:val="24"/>
        </w:rPr>
        <w:t>. 试验与检验</w:t>
      </w:r>
      <w:bookmarkEnd w:id="1238"/>
    </w:p>
    <w:bookmarkEnd w:id="1239"/>
    <w:p w14:paraId="1CFCA3A7">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42" w:name="_Toc351203563"/>
      <w:r>
        <w:rPr>
          <w:rFonts w:hint="eastAsia" w:ascii="仿宋" w:hAnsi="仿宋" w:eastAsia="仿宋" w:cs="仿宋"/>
          <w:b w:val="0"/>
          <w:color w:val="auto"/>
          <w:sz w:val="24"/>
          <w:szCs w:val="24"/>
        </w:rPr>
        <w:t>9</w:t>
      </w:r>
      <w:bookmarkStart w:id="1243" w:name="_Toc337558783"/>
      <w:r>
        <w:rPr>
          <w:rFonts w:hint="eastAsia" w:ascii="仿宋" w:hAnsi="仿宋" w:eastAsia="仿宋" w:cs="仿宋"/>
          <w:b w:val="0"/>
          <w:color w:val="auto"/>
          <w:sz w:val="24"/>
          <w:szCs w:val="24"/>
        </w:rPr>
        <w:t>.1试验设备与试验人员</w:t>
      </w:r>
      <w:bookmarkEnd w:id="1242"/>
    </w:p>
    <w:bookmarkEnd w:id="1243"/>
    <w:p w14:paraId="057FD6A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9.1.1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根据合同约定或监理人指示进行的现场材料试验，应由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提供试验场所、试验人员、试验设备以及其他必要的试验条件。监理人在必要时可以使用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提供的试验场所、试验设备以及其他试验条件，进行以工程质量检查为目的的材料复核试验，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应予以协助。</w:t>
      </w:r>
    </w:p>
    <w:p w14:paraId="32646A8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9.1.2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应按专用合同条款的约定提供试验设备、取样装置、试验场所和试验条件，并向监理人提交相应进场计划表。</w:t>
      </w:r>
    </w:p>
    <w:p w14:paraId="76DB044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配置的试验设备要符合相应试验规程的要求并经过具有资质的检测单位检测，且在正式使用该试验设备前，需要经过监理人与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共同校定。</w:t>
      </w:r>
    </w:p>
    <w:p w14:paraId="002596D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9.1.3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应向监理人提交试验人员的名单及其岗位、资格等证明资料，试验人员必须能够熟练进行相应的检测试验，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对试验人员的试验程序和试验结果的正确性负责。</w:t>
      </w:r>
    </w:p>
    <w:p w14:paraId="15FF065E">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44" w:name="_Toc351203564"/>
      <w:r>
        <w:rPr>
          <w:rFonts w:hint="eastAsia" w:ascii="仿宋" w:hAnsi="仿宋" w:eastAsia="仿宋" w:cs="仿宋"/>
          <w:b w:val="0"/>
          <w:color w:val="auto"/>
          <w:sz w:val="24"/>
          <w:szCs w:val="24"/>
        </w:rPr>
        <w:t>9</w:t>
      </w:r>
      <w:bookmarkStart w:id="1245" w:name="_Toc337558784"/>
      <w:r>
        <w:rPr>
          <w:rFonts w:hint="eastAsia" w:ascii="仿宋" w:hAnsi="仿宋" w:eastAsia="仿宋" w:cs="仿宋"/>
          <w:b w:val="0"/>
          <w:color w:val="auto"/>
          <w:sz w:val="24"/>
          <w:szCs w:val="24"/>
        </w:rPr>
        <w:t>.2取样</w:t>
      </w:r>
      <w:bookmarkEnd w:id="1244"/>
    </w:p>
    <w:bookmarkEnd w:id="1245"/>
    <w:p w14:paraId="74A0A3A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试验属于自检性质的，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可以单独取样。试验属于监理人抽检性质的，可由监理人取样，也可由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的试验人员在监理人的监督下取样。</w:t>
      </w:r>
    </w:p>
    <w:p w14:paraId="321463C1">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46" w:name="_Toc351203565"/>
      <w:r>
        <w:rPr>
          <w:rFonts w:hint="eastAsia" w:ascii="仿宋" w:hAnsi="仿宋" w:eastAsia="仿宋" w:cs="仿宋"/>
          <w:b w:val="0"/>
          <w:color w:val="auto"/>
          <w:sz w:val="24"/>
          <w:szCs w:val="24"/>
        </w:rPr>
        <w:t>9</w:t>
      </w:r>
      <w:bookmarkStart w:id="1247" w:name="_Toc337558785"/>
      <w:r>
        <w:rPr>
          <w:rFonts w:hint="eastAsia" w:ascii="仿宋" w:hAnsi="仿宋" w:eastAsia="仿宋" w:cs="仿宋"/>
          <w:b w:val="0"/>
          <w:color w:val="auto"/>
          <w:sz w:val="24"/>
          <w:szCs w:val="24"/>
        </w:rPr>
        <w:t>.3材料、工程设备和工程的试验和检验</w:t>
      </w:r>
      <w:bookmarkEnd w:id="1246"/>
    </w:p>
    <w:bookmarkEnd w:id="1247"/>
    <w:p w14:paraId="353B3D7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9.3.1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应按合同约定进行材料、工程设备和工程的试验和检验，并为监理人对上述材料、工程设备和工程的质量检查提供必要的试验资料和原始记录。按合同约定应由监理人与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共同进行试验和检验的，由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负责提供必要的试验资料和原始记录。</w:t>
      </w:r>
    </w:p>
    <w:p w14:paraId="7A97845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9.3.2试验属于自检性质的，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可以单独进行试验。试验属于监理人抽检性质的，监理人可以单独进行试验，也可由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与监理人共同进行。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对由监理人单独进行的试验结果有异议的，可以申请重新共同进行试验。约定共同进行试验的，监理人未按照约定参加试验的，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可自行试验，并将试验结果报送监理人，监理人应承认该试验结果。</w:t>
      </w:r>
    </w:p>
    <w:p w14:paraId="16601C9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9.3.3监理人对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的试验和检验结果有异议的，或为查清</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试验和检验成果的可靠性要求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重新试验和检验的，可由监理人与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共同进行。重新试验和检验的结果证明该项材料、工程设备或工程的质量不符合合同要求的，由此增加的费用和（或）延误的工期由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承担；重新试验和检验结果证明该项材料、工程设备和工程符合合同要求的，由此增加的费用和（或）延误的工期由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337AC786">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48" w:name="_Toc351203566"/>
      <w:r>
        <w:rPr>
          <w:rFonts w:hint="eastAsia" w:ascii="仿宋" w:hAnsi="仿宋" w:eastAsia="仿宋" w:cs="仿宋"/>
          <w:b w:val="0"/>
          <w:color w:val="auto"/>
          <w:sz w:val="24"/>
          <w:szCs w:val="24"/>
        </w:rPr>
        <w:t>9</w:t>
      </w:r>
      <w:bookmarkStart w:id="1249" w:name="_Toc337558786"/>
      <w:r>
        <w:rPr>
          <w:rFonts w:hint="eastAsia" w:ascii="仿宋" w:hAnsi="仿宋" w:eastAsia="仿宋" w:cs="仿宋"/>
          <w:b w:val="0"/>
          <w:color w:val="auto"/>
          <w:sz w:val="24"/>
          <w:szCs w:val="24"/>
        </w:rPr>
        <w:t>.4现场工艺试验</w:t>
      </w:r>
      <w:bookmarkEnd w:id="1248"/>
    </w:p>
    <w:bookmarkEnd w:id="1249"/>
    <w:p w14:paraId="6FC4335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应按合同约定或监理人指示进行现场工艺试验。对大型的现场工艺试验，监理人认为必要时，</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应根据监理人提出的工艺试验要求，编制工艺试验措施计划，报送监理人审查。</w:t>
      </w:r>
    </w:p>
    <w:p w14:paraId="698F6FD7">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250" w:name="_Toc351203567"/>
      <w:r>
        <w:rPr>
          <w:rFonts w:hint="eastAsia" w:ascii="仿宋" w:hAnsi="仿宋" w:eastAsia="仿宋" w:cs="仿宋"/>
          <w:b w:val="0"/>
          <w:color w:val="auto"/>
          <w:sz w:val="24"/>
          <w:szCs w:val="24"/>
        </w:rPr>
        <w:t>1</w:t>
      </w:r>
      <w:bookmarkStart w:id="1251" w:name="_Toc337558787"/>
      <w:r>
        <w:rPr>
          <w:rFonts w:hint="eastAsia" w:ascii="仿宋" w:hAnsi="仿宋" w:eastAsia="仿宋" w:cs="仿宋"/>
          <w:b w:val="0"/>
          <w:color w:val="auto"/>
          <w:sz w:val="24"/>
          <w:szCs w:val="24"/>
        </w:rPr>
        <w:t>0. 变更</w:t>
      </w:r>
      <w:bookmarkEnd w:id="1240"/>
      <w:bookmarkEnd w:id="1241"/>
      <w:bookmarkEnd w:id="1250"/>
    </w:p>
    <w:bookmarkEnd w:id="1251"/>
    <w:p w14:paraId="593A8F6A">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52" w:name="_Toc351203568"/>
      <w:r>
        <w:rPr>
          <w:rFonts w:hint="eastAsia" w:ascii="仿宋" w:hAnsi="仿宋" w:eastAsia="仿宋" w:cs="仿宋"/>
          <w:b w:val="0"/>
          <w:color w:val="auto"/>
          <w:sz w:val="24"/>
          <w:szCs w:val="24"/>
        </w:rPr>
        <w:t>1</w:t>
      </w:r>
      <w:bookmarkStart w:id="1253" w:name="_Toc296503084"/>
      <w:bookmarkStart w:id="1254" w:name="_Toc296346585"/>
      <w:bookmarkStart w:id="1255" w:name="_Toc337558788"/>
      <w:r>
        <w:rPr>
          <w:rFonts w:hint="eastAsia" w:ascii="仿宋" w:hAnsi="仿宋" w:eastAsia="仿宋" w:cs="仿宋"/>
          <w:b w:val="0"/>
          <w:color w:val="auto"/>
          <w:sz w:val="24"/>
          <w:szCs w:val="24"/>
        </w:rPr>
        <w:t>0.1变更的范围</w:t>
      </w:r>
      <w:bookmarkEnd w:id="1252"/>
    </w:p>
    <w:bookmarkEnd w:id="1253"/>
    <w:bookmarkEnd w:id="1254"/>
    <w:bookmarkEnd w:id="1255"/>
    <w:p w14:paraId="559C652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除专用合同条款另有约定外，合同履行过程中发生以下情形的，应按照本条约定进行变更：</w:t>
      </w:r>
    </w:p>
    <w:p w14:paraId="5277136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（1）增加或减少合同中任何工作，或追加额外的工作；</w:t>
      </w:r>
    </w:p>
    <w:p w14:paraId="6449D55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（2）取消合同中任何工作，但转由他人实施的工作除外；</w:t>
      </w:r>
    </w:p>
    <w:p w14:paraId="18FED8E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（3）改变合同中任何工作的质量标准或其他特性；</w:t>
      </w:r>
    </w:p>
    <w:p w14:paraId="122CDB9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（4）改变工程的基线、标高、位置和尺寸；</w:t>
      </w:r>
    </w:p>
    <w:p w14:paraId="79B4F05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（5）改变工程的时间安排或实施顺序。</w:t>
      </w:r>
    </w:p>
    <w:p w14:paraId="6801B966">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56" w:name="_Toc351203569"/>
      <w:r>
        <w:rPr>
          <w:rFonts w:hint="eastAsia" w:ascii="仿宋" w:hAnsi="仿宋" w:eastAsia="仿宋" w:cs="仿宋"/>
          <w:b w:val="0"/>
          <w:color w:val="auto"/>
          <w:sz w:val="24"/>
          <w:szCs w:val="24"/>
        </w:rPr>
        <w:t>1</w:t>
      </w:r>
      <w:bookmarkStart w:id="1257" w:name="_Toc296503085"/>
      <w:bookmarkStart w:id="1258" w:name="_Toc337558789"/>
      <w:bookmarkStart w:id="1259" w:name="_Toc296346586"/>
      <w:r>
        <w:rPr>
          <w:rFonts w:hint="eastAsia" w:ascii="仿宋" w:hAnsi="仿宋" w:eastAsia="仿宋" w:cs="仿宋"/>
          <w:b w:val="0"/>
          <w:color w:val="auto"/>
          <w:sz w:val="24"/>
          <w:szCs w:val="24"/>
        </w:rPr>
        <w:t>0.2变更权</w:t>
      </w:r>
      <w:bookmarkEnd w:id="1256"/>
    </w:p>
    <w:bookmarkEnd w:id="1257"/>
    <w:bookmarkEnd w:id="1258"/>
    <w:bookmarkEnd w:id="1259"/>
    <w:p w14:paraId="2F9B3DE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和监理人均可以提出变更。变更指示均通过监理人发出，监理人发出变更指示前应征得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收到经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签认的变更指示后，方可实施变更。未经许可，</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不得擅自对工程的任何部分进行变更。</w:t>
      </w:r>
    </w:p>
    <w:p w14:paraId="0A5579C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涉及设计变更的，应由设计人提供变更后的说明。如变更超过原设计标准或批准的建设规模时，</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应及时办理规划、设计变更等审批手续。</w:t>
      </w:r>
    </w:p>
    <w:p w14:paraId="09299157">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60" w:name="_Toc351203570"/>
      <w:r>
        <w:rPr>
          <w:rFonts w:hint="eastAsia" w:ascii="仿宋" w:hAnsi="仿宋" w:eastAsia="仿宋" w:cs="仿宋"/>
          <w:b w:val="0"/>
          <w:color w:val="auto"/>
          <w:sz w:val="24"/>
          <w:szCs w:val="24"/>
        </w:rPr>
        <w:t>1</w:t>
      </w:r>
      <w:bookmarkStart w:id="1261" w:name="_Toc296346587"/>
      <w:bookmarkStart w:id="1262" w:name="_Toc296503086"/>
      <w:bookmarkStart w:id="1263" w:name="_Toc337558790"/>
      <w:r>
        <w:rPr>
          <w:rFonts w:hint="eastAsia" w:ascii="仿宋" w:hAnsi="仿宋" w:eastAsia="仿宋" w:cs="仿宋"/>
          <w:b w:val="0"/>
          <w:color w:val="auto"/>
          <w:sz w:val="24"/>
          <w:szCs w:val="24"/>
        </w:rPr>
        <w:t>0.3变更程序</w:t>
      </w:r>
      <w:bookmarkEnd w:id="1260"/>
    </w:p>
    <w:bookmarkEnd w:id="1261"/>
    <w:bookmarkEnd w:id="1262"/>
    <w:bookmarkEnd w:id="1263"/>
    <w:p w14:paraId="7012319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10</w:t>
      </w:r>
      <w:r>
        <w:rPr>
          <w:rFonts w:hint="eastAsia" w:ascii="仿宋" w:hAnsi="仿宋" w:eastAsia="仿宋" w:cs="仿宋"/>
          <w:color w:val="auto"/>
          <w:kern w:val="0"/>
          <w:sz w:val="24"/>
          <w:szCs w:val="24"/>
        </w:rPr>
        <w:t xml:space="preserve">.3.1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提出变更</w:t>
      </w:r>
    </w:p>
    <w:p w14:paraId="0513E60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提出变更的，应通过监理人向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发出变更指示，变更指示应说明计划变更的工程范围和变更的内容。</w:t>
      </w:r>
    </w:p>
    <w:p w14:paraId="6F6BBF8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10</w:t>
      </w:r>
      <w:r>
        <w:rPr>
          <w:rFonts w:hint="eastAsia" w:ascii="仿宋" w:hAnsi="仿宋" w:eastAsia="仿宋" w:cs="仿宋"/>
          <w:color w:val="auto"/>
          <w:kern w:val="0"/>
          <w:sz w:val="24"/>
          <w:szCs w:val="24"/>
        </w:rPr>
        <w:t>.3.2 监理人提出变更建议</w:t>
      </w:r>
    </w:p>
    <w:p w14:paraId="2F90FF1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监理人提出变更建议的，需要向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以书面形式提出变更计划，说明计划变更工程范围和变更的内容、理由，以及实施该变更对合同价格和工期的影响。</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同意变更的，由监理人向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发出变更指示。</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不同意变更的，监理人无权擅自发出变更指示。</w:t>
      </w:r>
    </w:p>
    <w:p w14:paraId="6FDB8A5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10.3.3 变更执行</w:t>
      </w:r>
    </w:p>
    <w:p w14:paraId="2FEFC84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收到监理人下达的变更指示后，认为不能执行，应立即提出不能执行该变更指示的理由。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认为可以执行变更的，应当书面说明实施该变更指示对合同价格和工期的影响，且合同当事人应当按照第10.4款〔变更估价〕约定确定变更估价。</w:t>
      </w:r>
    </w:p>
    <w:p w14:paraId="25F74021">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64" w:name="_Toc351203571"/>
      <w:r>
        <w:rPr>
          <w:rFonts w:hint="eastAsia" w:ascii="仿宋" w:hAnsi="仿宋" w:eastAsia="仿宋" w:cs="仿宋"/>
          <w:b w:val="0"/>
          <w:color w:val="auto"/>
          <w:sz w:val="24"/>
          <w:szCs w:val="24"/>
        </w:rPr>
        <w:t>1</w:t>
      </w:r>
      <w:bookmarkStart w:id="1265" w:name="_Toc296503087"/>
      <w:bookmarkStart w:id="1266" w:name="_Toc296346588"/>
      <w:bookmarkStart w:id="1267" w:name="_Toc337558791"/>
      <w:r>
        <w:rPr>
          <w:rFonts w:hint="eastAsia" w:ascii="仿宋" w:hAnsi="仿宋" w:eastAsia="仿宋" w:cs="仿宋"/>
          <w:b w:val="0"/>
          <w:color w:val="auto"/>
          <w:sz w:val="24"/>
          <w:szCs w:val="24"/>
        </w:rPr>
        <w:t>0.4变更估价</w:t>
      </w:r>
      <w:bookmarkEnd w:id="1264"/>
    </w:p>
    <w:bookmarkEnd w:id="1265"/>
    <w:bookmarkEnd w:id="1266"/>
    <w:bookmarkEnd w:id="1267"/>
    <w:p w14:paraId="408149F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10.4.1 变更估价原则</w:t>
      </w:r>
    </w:p>
    <w:p w14:paraId="3DCC82C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除专用合同条款另有约定外，变更估价按照本款约定处理：</w:t>
      </w:r>
    </w:p>
    <w:p w14:paraId="32BFA68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（1）已标价工程量清单或预算书有相同项目的，按照相同项目单价认定；</w:t>
      </w:r>
    </w:p>
    <w:p w14:paraId="39B4E03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（2）已标价工程量清单或预算书中无相同项目，但有类似项目的，参照类似项目的单价认定；</w:t>
      </w:r>
    </w:p>
    <w:p w14:paraId="15C9F90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22EDC1A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10.4.2 变更估价程序</w:t>
      </w:r>
    </w:p>
    <w:p w14:paraId="209A465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应在收到变更指示后14天内，向监理人提交变更估价申请。监理人应在收到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提交的变更估价申请后7天内审查完毕并报送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，监理人对变更估价申请有异议，通知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修改后重新提交。</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提交变更估价申请后14天内审批完毕。</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逾期未完成审批或未提出异议的，视为认可</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提交的变更估价申请。</w:t>
      </w:r>
    </w:p>
    <w:p w14:paraId="55AE586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因变更引起的价格调整应计入最近一期的进度款中支付。</w:t>
      </w:r>
    </w:p>
    <w:p w14:paraId="143577AE">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68" w:name="_Toc351203572"/>
      <w:r>
        <w:rPr>
          <w:rFonts w:hint="eastAsia" w:ascii="仿宋" w:hAnsi="仿宋" w:eastAsia="仿宋" w:cs="仿宋"/>
          <w:b w:val="0"/>
          <w:color w:val="auto"/>
          <w:sz w:val="24"/>
          <w:szCs w:val="24"/>
        </w:rPr>
        <w:t>1</w:t>
      </w:r>
      <w:bookmarkStart w:id="1269" w:name="_Toc337558792"/>
      <w:bookmarkStart w:id="1270" w:name="_Toc296503094"/>
      <w:bookmarkStart w:id="1271" w:name="_Toc296346595"/>
      <w:r>
        <w:rPr>
          <w:rFonts w:hint="eastAsia" w:ascii="仿宋" w:hAnsi="仿宋" w:eastAsia="仿宋" w:cs="仿宋"/>
          <w:b w:val="0"/>
          <w:color w:val="auto"/>
          <w:sz w:val="24"/>
          <w:szCs w:val="24"/>
        </w:rPr>
        <w:t>0.5</w:t>
      </w:r>
      <w:r>
        <w:rPr>
          <w:rFonts w:hint="eastAsia" w:ascii="仿宋" w:hAnsi="仿宋" w:eastAsia="仿宋" w:cs="仿宋"/>
          <w:b w:val="0"/>
          <w:color w:val="auto"/>
          <w:sz w:val="24"/>
          <w:szCs w:val="24"/>
          <w:lang w:eastAsia="zh-CN"/>
        </w:rPr>
        <w:t>承包人</w:t>
      </w:r>
      <w:r>
        <w:rPr>
          <w:rFonts w:hint="eastAsia" w:ascii="仿宋" w:hAnsi="仿宋" w:eastAsia="仿宋" w:cs="仿宋"/>
          <w:b w:val="0"/>
          <w:color w:val="auto"/>
          <w:sz w:val="24"/>
          <w:szCs w:val="24"/>
        </w:rPr>
        <w:t>的合理化建议</w:t>
      </w:r>
      <w:bookmarkEnd w:id="1268"/>
    </w:p>
    <w:bookmarkEnd w:id="1269"/>
    <w:bookmarkEnd w:id="1270"/>
    <w:bookmarkEnd w:id="1271"/>
    <w:p w14:paraId="62B0E08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提出合理化建议的，应向监理人提交合理化建议说明，说明建议的内容和理由，以及实施该建议对合同价格和工期的影响。</w:t>
      </w:r>
    </w:p>
    <w:p w14:paraId="179BA96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除专用合同条款另有约定外，监理人应在收到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提交的合理化建议后7天内审查完毕并报送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，发现其中存在技术上的缺陷，应通知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修改。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应在收到监理人报送的合理化建议后7天内审批完毕。合理化建议经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批准的，监理人应及时发出变更指示，由此引起的合同价格调整按照第10.4款〔变更估价〕约定执行。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不同意变更的，监理人应书面通知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w:t>
      </w:r>
    </w:p>
    <w:p w14:paraId="3F59728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合理化建议降低了合同价格或者提高了工程经济效益的，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可对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给予奖励，奖励的方法和金额在专用合同条款中约定。</w:t>
      </w:r>
    </w:p>
    <w:p w14:paraId="79E96BBB">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color w:val="auto"/>
          <w:sz w:val="24"/>
          <w:szCs w:val="24"/>
        </w:rPr>
      </w:pPr>
      <w:bookmarkStart w:id="1272" w:name="_Toc351203573"/>
      <w:r>
        <w:rPr>
          <w:rFonts w:hint="eastAsia" w:ascii="仿宋" w:hAnsi="仿宋" w:eastAsia="仿宋" w:cs="仿宋"/>
          <w:b w:val="0"/>
          <w:color w:val="auto"/>
          <w:sz w:val="24"/>
          <w:szCs w:val="24"/>
        </w:rPr>
        <w:t>1</w:t>
      </w:r>
      <w:bookmarkStart w:id="1273" w:name="_Toc337558793"/>
      <w:r>
        <w:rPr>
          <w:rFonts w:hint="eastAsia" w:ascii="仿宋" w:hAnsi="仿宋" w:eastAsia="仿宋" w:cs="仿宋"/>
          <w:b w:val="0"/>
          <w:color w:val="auto"/>
          <w:sz w:val="24"/>
          <w:szCs w:val="24"/>
        </w:rPr>
        <w:t>0.6变更引起的工期调整</w:t>
      </w:r>
      <w:bookmarkEnd w:id="1272"/>
      <w:r>
        <w:rPr>
          <w:rFonts w:hint="eastAsia" w:ascii="仿宋" w:hAnsi="仿宋" w:eastAsia="仿宋" w:cs="仿宋"/>
          <w:b w:val="0"/>
          <w:color w:val="auto"/>
          <w:sz w:val="24"/>
          <w:szCs w:val="24"/>
        </w:rPr>
        <w:t xml:space="preserve"> </w:t>
      </w:r>
      <w:bookmarkEnd w:id="1273"/>
      <w:r>
        <w:rPr>
          <w:rFonts w:hint="eastAsia" w:ascii="仿宋" w:hAnsi="仿宋" w:eastAsia="仿宋" w:cs="仿宋"/>
          <w:b w:val="0"/>
          <w:color w:val="auto"/>
          <w:sz w:val="24"/>
          <w:szCs w:val="24"/>
        </w:rPr>
        <w:t xml:space="preserve"> </w:t>
      </w:r>
      <w:r>
        <w:rPr>
          <w:rFonts w:hint="eastAsia" w:ascii="仿宋" w:hAnsi="仿宋" w:eastAsia="仿宋" w:cs="仿宋"/>
          <w:color w:val="auto"/>
          <w:sz w:val="24"/>
          <w:szCs w:val="24"/>
        </w:rPr>
        <w:t xml:space="preserve"> </w:t>
      </w:r>
    </w:p>
    <w:p w14:paraId="3AF6F59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因变更引起工期变化的，合同当事人均可要求调整合同工期，由合同当事人按照第4.4款〔商定或确定〕并参考工程所在地的工期定额标准确定增减工期天数。</w:t>
      </w:r>
    </w:p>
    <w:p w14:paraId="004C0B85">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74" w:name="_Toc351203574"/>
      <w:r>
        <w:rPr>
          <w:rFonts w:hint="eastAsia" w:ascii="仿宋" w:hAnsi="仿宋" w:eastAsia="仿宋" w:cs="仿宋"/>
          <w:b w:val="0"/>
          <w:color w:val="auto"/>
          <w:sz w:val="24"/>
          <w:szCs w:val="24"/>
        </w:rPr>
        <w:t>10.7暂估价</w:t>
      </w:r>
      <w:bookmarkEnd w:id="1274"/>
    </w:p>
    <w:p w14:paraId="2527706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暂估价专业分包工程、服务、材料和工程设备的明细由合同当事人在专用合同条款中约定。</w:t>
      </w:r>
    </w:p>
    <w:p w14:paraId="5634085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10.7.1</w:t>
      </w:r>
      <w:r>
        <w:rPr>
          <w:rFonts w:hint="eastAsia" w:ascii="仿宋" w:hAnsi="仿宋" w:eastAsia="仿宋" w:cs="仿宋"/>
          <w:color w:val="auto"/>
          <w:kern w:val="0"/>
          <w:sz w:val="24"/>
          <w:szCs w:val="24"/>
        </w:rPr>
        <w:t xml:space="preserve"> 依法必须招标的暂估价项目</w:t>
      </w:r>
    </w:p>
    <w:p w14:paraId="52A5889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对于依法必须招标的暂估价项目，采取以下第1种方式确定。合同当事人也可以在专用合同条款中选择其他招标方式。</w:t>
      </w:r>
    </w:p>
    <w:p w14:paraId="57E2F86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第1种方式：对于依法必须招标的暂估价项目，由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招标，对该暂估价项目的确认和批准按照以下约定执行：</w:t>
      </w:r>
    </w:p>
    <w:p w14:paraId="5943910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应当根据施工进度计划，在招标工作启动前14天将招标方案通过监理人报送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审查，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应当在收到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报送的招标方案后7天内批准或提出修改意见。</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应当按照经过</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批准的招标方案开展招标工作；</w:t>
      </w:r>
    </w:p>
    <w:p w14:paraId="19BF6D7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应当根据施工进度计划，提前14天将招标文件通过监理人报送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审批，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应当在收到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报送的相关文件后7天内完成审批或提出修改意见；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有权确定招标控制价并按照法律规定参加评标；</w:t>
      </w:r>
    </w:p>
    <w:p w14:paraId="51F7FA4F">
      <w:pPr>
        <w:pageBreakBefore w:val="0"/>
        <w:widowControl w:val="0"/>
        <w:kinsoku/>
        <w:wordWrap/>
        <w:overflowPunct/>
        <w:topLinePunct w:val="0"/>
        <w:bidi w:val="0"/>
        <w:snapToGrid/>
        <w:spacing w:line="44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（3）</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与供应商、分包人在签订暂估价合同前，应当提前7天将确定的中标候选供应商或中标候选分包人的资料报送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应在收到资料后3天内与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共同确定中标人；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应当在签订合同后7天内，将暂估价合同副本报送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留存。</w:t>
      </w:r>
    </w:p>
    <w:p w14:paraId="3FEE596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第2种方式：对于依法必须招标的暂估价项目，由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共同招标确定暂估价供应商或分包人的，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应按照施工进度计划，在招标工作启动前14天通知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，并提交暂估价招标方案和工作分工。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应在收到后7天内确认。确定中标人后，由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与中标人共同签订暂估价合同。</w:t>
      </w:r>
    </w:p>
    <w:p w14:paraId="6932B5D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10.7.2</w:t>
      </w:r>
      <w:r>
        <w:rPr>
          <w:rFonts w:hint="eastAsia" w:ascii="仿宋" w:hAnsi="仿宋" w:eastAsia="仿宋" w:cs="仿宋"/>
          <w:color w:val="auto"/>
          <w:kern w:val="0"/>
          <w:sz w:val="24"/>
          <w:szCs w:val="24"/>
        </w:rPr>
        <w:t>不属于依法必须招标的暂估价项目</w:t>
      </w:r>
    </w:p>
    <w:p w14:paraId="13BF4EE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除专用合同条款另有约定外，对于不属于依法必须招标的暂估价项目，采取以下第1种方式确定： </w:t>
      </w:r>
    </w:p>
    <w:p w14:paraId="07BD23D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第1种方式：对于不属于依法必须招标的暂估价项目，按本项约定确认和批准：</w:t>
      </w:r>
    </w:p>
    <w:p w14:paraId="49D10E1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应根据施工进度计划，在签订暂估价项目的采购合同、分包合同前28天向监理人提出书面申请。监理人应当在收到申请后3天内报送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应当在收到申请后14天内给予批准或提出修改意见，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逾期未予批准或提出修改意见的，视为该书面申请已获得同意；</w:t>
      </w:r>
    </w:p>
    <w:p w14:paraId="6F683F8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认为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确定的供应商、分包人无法满足工程质量或合同要求的，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可以要求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重新确定暂估价项目的供应商、分包人;</w:t>
      </w:r>
    </w:p>
    <w:p w14:paraId="7205137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应当在签订暂估价合同后7天内，将暂估价合同副本报送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留存。</w:t>
      </w:r>
    </w:p>
    <w:p w14:paraId="7036912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第2种方式：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按照第10.7.1项〔依法必须招标的暂估价项目〕约定的第1种方式确定暂估价项目。</w:t>
      </w:r>
    </w:p>
    <w:p w14:paraId="2DDA819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第3种方式：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直接实施的暂估价项目</w:t>
      </w:r>
    </w:p>
    <w:p w14:paraId="524950D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具备实施暂估价项目的资格和条件的，经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协商一致后，可由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自行实施暂估价项目，合同当事人可以在专用合同条款约定具体事项。</w:t>
      </w:r>
    </w:p>
    <w:p w14:paraId="1CD8BF6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10.7.3 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原因导致暂估价合同订立和履行迟延的，由此增加的费用和（或）延误的工期由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原因导致暂估价合同订立和履行迟延的，由此增加的费用和（或）延误的工期由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44B0E096">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75" w:name="_Toc351203575"/>
      <w:r>
        <w:rPr>
          <w:rFonts w:hint="eastAsia" w:ascii="仿宋" w:hAnsi="仿宋" w:eastAsia="仿宋" w:cs="仿宋"/>
          <w:b w:val="0"/>
          <w:color w:val="auto"/>
          <w:sz w:val="24"/>
          <w:szCs w:val="24"/>
        </w:rPr>
        <w:t>1</w:t>
      </w:r>
      <w:bookmarkStart w:id="1276" w:name="_Toc337558794"/>
      <w:bookmarkStart w:id="1277" w:name="_Toc322522561"/>
      <w:bookmarkStart w:id="1278" w:name="_Toc296346591"/>
      <w:bookmarkStart w:id="1279" w:name="_Toc296503090"/>
      <w:r>
        <w:rPr>
          <w:rFonts w:hint="eastAsia" w:ascii="仿宋" w:hAnsi="仿宋" w:eastAsia="仿宋" w:cs="仿宋"/>
          <w:b w:val="0"/>
          <w:color w:val="auto"/>
          <w:sz w:val="24"/>
          <w:szCs w:val="24"/>
        </w:rPr>
        <w:t>0.8暂列金额</w:t>
      </w:r>
      <w:bookmarkEnd w:id="1275"/>
    </w:p>
    <w:bookmarkEnd w:id="1276"/>
    <w:p w14:paraId="6F1EA9B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暂列金额应按照</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的要求使用，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的要求应通过监理人发出。合同当事人可以在专用合同条款中协商确定有关事项。</w:t>
      </w:r>
    </w:p>
    <w:bookmarkEnd w:id="1277"/>
    <w:bookmarkEnd w:id="1278"/>
    <w:bookmarkEnd w:id="1279"/>
    <w:p w14:paraId="03DAAAC7">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80" w:name="_Toc351203576"/>
      <w:r>
        <w:rPr>
          <w:rFonts w:hint="eastAsia" w:ascii="仿宋" w:hAnsi="仿宋" w:eastAsia="仿宋" w:cs="仿宋"/>
          <w:b w:val="0"/>
          <w:color w:val="auto"/>
          <w:sz w:val="24"/>
          <w:szCs w:val="24"/>
        </w:rPr>
        <w:t>1</w:t>
      </w:r>
      <w:bookmarkStart w:id="1281" w:name="_Toc337558796"/>
      <w:bookmarkStart w:id="1282" w:name="_Toc296503091"/>
      <w:bookmarkStart w:id="1283" w:name="_Toc296346592"/>
      <w:r>
        <w:rPr>
          <w:rFonts w:hint="eastAsia" w:ascii="仿宋" w:hAnsi="仿宋" w:eastAsia="仿宋" w:cs="仿宋"/>
          <w:b w:val="0"/>
          <w:color w:val="auto"/>
          <w:sz w:val="24"/>
          <w:szCs w:val="24"/>
        </w:rPr>
        <w:t>0.9计日工</w:t>
      </w:r>
      <w:bookmarkEnd w:id="1280"/>
      <w:r>
        <w:rPr>
          <w:rFonts w:hint="eastAsia" w:ascii="仿宋" w:hAnsi="仿宋" w:eastAsia="仿宋" w:cs="仿宋"/>
          <w:b w:val="0"/>
          <w:color w:val="auto"/>
          <w:sz w:val="24"/>
          <w:szCs w:val="24"/>
        </w:rPr>
        <w:t xml:space="preserve"> </w:t>
      </w:r>
      <w:bookmarkEnd w:id="1281"/>
      <w:bookmarkEnd w:id="1282"/>
      <w:bookmarkEnd w:id="1283"/>
    </w:p>
    <w:p w14:paraId="3B26BB0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需要采用计日工方式的，经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同意后，由监理人通知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63AC33A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采用计日工计价的任何一项工作，</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应在该项工作实施过程中，每天提交以下报表和有关凭证报送监理人审查：</w:t>
      </w:r>
    </w:p>
    <w:p w14:paraId="075F0E79">
      <w:pPr>
        <w:pageBreakBefore w:val="0"/>
        <w:widowControl w:val="0"/>
        <w:kinsoku/>
        <w:wordWrap/>
        <w:overflowPunct/>
        <w:topLinePunct w:val="0"/>
        <w:bidi w:val="0"/>
        <w:snapToGrid/>
        <w:spacing w:line="440" w:lineRule="exact"/>
        <w:ind w:firstLine="360" w:firstLineChars="1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（1）工作名称、内容和数量；</w:t>
      </w:r>
    </w:p>
    <w:p w14:paraId="3FEBCC95">
      <w:pPr>
        <w:pageBreakBefore w:val="0"/>
        <w:widowControl w:val="0"/>
        <w:kinsoku/>
        <w:wordWrap/>
        <w:overflowPunct/>
        <w:topLinePunct w:val="0"/>
        <w:bidi w:val="0"/>
        <w:snapToGrid/>
        <w:spacing w:line="440" w:lineRule="exact"/>
        <w:ind w:firstLine="360" w:firstLineChars="1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（2）投入该工作的所有人员的姓名、专业、工种、级别和耗用工时；</w:t>
      </w:r>
    </w:p>
    <w:p w14:paraId="6EC91984">
      <w:pPr>
        <w:pageBreakBefore w:val="0"/>
        <w:widowControl w:val="0"/>
        <w:kinsoku/>
        <w:wordWrap/>
        <w:overflowPunct/>
        <w:topLinePunct w:val="0"/>
        <w:bidi w:val="0"/>
        <w:snapToGrid/>
        <w:spacing w:line="440" w:lineRule="exact"/>
        <w:ind w:firstLine="360" w:firstLineChars="1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（3）投入该工作的材料类别和数量；</w:t>
      </w:r>
    </w:p>
    <w:p w14:paraId="21504889">
      <w:pPr>
        <w:pageBreakBefore w:val="0"/>
        <w:widowControl w:val="0"/>
        <w:kinsoku/>
        <w:wordWrap/>
        <w:overflowPunct/>
        <w:topLinePunct w:val="0"/>
        <w:bidi w:val="0"/>
        <w:snapToGrid/>
        <w:spacing w:line="440" w:lineRule="exact"/>
        <w:ind w:firstLine="360" w:firstLineChars="1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（4）投入该工作的施工设备型号、台数和耗用台时；</w:t>
      </w:r>
    </w:p>
    <w:p w14:paraId="50F9EE22">
      <w:pPr>
        <w:pageBreakBefore w:val="0"/>
        <w:widowControl w:val="0"/>
        <w:kinsoku/>
        <w:wordWrap/>
        <w:overflowPunct/>
        <w:topLinePunct w:val="0"/>
        <w:bidi w:val="0"/>
        <w:snapToGrid/>
        <w:spacing w:line="440" w:lineRule="exact"/>
        <w:ind w:firstLine="360" w:firstLineChars="1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（5）其他有关资料和凭证。</w:t>
      </w:r>
    </w:p>
    <w:p w14:paraId="1D0ADD88">
      <w:pPr>
        <w:pageBreakBefore w:val="0"/>
        <w:widowControl w:val="0"/>
        <w:kinsoku/>
        <w:wordWrap/>
        <w:overflowPunct/>
        <w:topLinePunct w:val="0"/>
        <w:bidi w:val="0"/>
        <w:snapToGrid/>
        <w:spacing w:line="440" w:lineRule="exact"/>
        <w:ind w:firstLine="360" w:firstLineChars="1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计日工由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汇总后，列入最近一期进度付款申请单，由监理人审查并经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批准后列入进度付款。</w:t>
      </w:r>
    </w:p>
    <w:p w14:paraId="40B4F2E4">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284" w:name="_Toc351203577"/>
      <w:r>
        <w:rPr>
          <w:rFonts w:hint="eastAsia" w:ascii="仿宋" w:hAnsi="仿宋" w:eastAsia="仿宋" w:cs="仿宋"/>
          <w:b w:val="0"/>
          <w:color w:val="auto"/>
          <w:sz w:val="24"/>
          <w:szCs w:val="24"/>
        </w:rPr>
        <w:t>11. 价格调整</w:t>
      </w:r>
      <w:bookmarkEnd w:id="1284"/>
    </w:p>
    <w:p w14:paraId="3B7DB026">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85" w:name="_Toc351203578"/>
      <w:bookmarkStart w:id="1286" w:name="_Toc337558797"/>
      <w:bookmarkStart w:id="1287" w:name="_Toc296503092"/>
      <w:bookmarkStart w:id="1288" w:name="_Toc296346593"/>
      <w:r>
        <w:rPr>
          <w:rFonts w:hint="eastAsia" w:ascii="仿宋" w:hAnsi="仿宋" w:eastAsia="仿宋" w:cs="仿宋"/>
          <w:b w:val="0"/>
          <w:color w:val="auto"/>
          <w:sz w:val="24"/>
          <w:szCs w:val="24"/>
        </w:rPr>
        <w:t>11.1市场价格波动引起的调整</w:t>
      </w:r>
      <w:bookmarkEnd w:id="1285"/>
    </w:p>
    <w:bookmarkEnd w:id="1286"/>
    <w:bookmarkEnd w:id="1287"/>
    <w:bookmarkEnd w:id="1288"/>
    <w:p w14:paraId="6A34898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除专用合同条款另有约定外，市场价格波动超过合同当事人约定的范围，合同价格应当调整。合同当事人可以在专用合同条款中约定选择以下一种方式对合同价格进行调整：</w:t>
      </w:r>
    </w:p>
    <w:p w14:paraId="70679760">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第1种方式：采用价格指数进行价格调整。</w:t>
      </w:r>
    </w:p>
    <w:p w14:paraId="3C17A102">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（1）价格调整公式</w:t>
      </w:r>
    </w:p>
    <w:p w14:paraId="6F3C34ED">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因人工、材料和设备等价格波动影响合同价格时，根据专用合同条款中约定的数据，按以下公式计算差额并调整合同价格：</w:t>
      </w:r>
    </w:p>
    <w:p w14:paraId="6FAD238E">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position w:val="-30"/>
          <w:sz w:val="24"/>
          <w:szCs w:val="24"/>
        </w:rPr>
        <w:object>
          <v:shape id="_x0000_i1025" o:spt="75" type="#_x0000_t75" style="height:43.9pt;width:359.85pt;" o:ole="t" filled="f" stroked="f" coordsize="21600,21600">
            <v:path/>
            <v:fill on="f" focussize="0,0"/>
            <v:stroke on="f"/>
            <v:imagedata r:id="rId15" o:title=""/>
            <o:lock v:ext="edit" grouping="f" rotation="f" text="f" aspectratio="t"/>
            <w10:wrap type="none"/>
            <w10:anchorlock/>
          </v:shape>
          <o:OLEObject Type="Embed" ProgID="Equation.KSEE3" ShapeID="_x0000_i1025" DrawAspect="Content" ObjectID="_1468075725" r:id="rId14">
            <o:LockedField>false</o:LockedField>
          </o:OLEObject>
        </w:object>
      </w:r>
    </w:p>
    <w:p w14:paraId="4EA036AD">
      <w:pPr>
        <w:pageBreakBefore w:val="0"/>
        <w:widowControl w:val="0"/>
        <w:tabs>
          <w:tab w:val="left" w:pos="0"/>
          <w:tab w:val="left" w:pos="360"/>
          <w:tab w:val="left" w:pos="540"/>
        </w:tabs>
        <w:kinsoku/>
        <w:wordWrap/>
        <w:overflowPunct/>
        <w:topLinePunct w:val="0"/>
        <w:bidi w:val="0"/>
        <w:snapToGrid/>
        <w:spacing w:line="440" w:lineRule="exact"/>
        <w:ind w:firstLine="64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公式中：ΔP——需调整的价格差额；</w:t>
      </w:r>
    </w:p>
    <w:p w14:paraId="5A9CCE3F">
      <w:pPr>
        <w:pageBreakBefore w:val="0"/>
        <w:widowControl w:val="0"/>
        <w:tabs>
          <w:tab w:val="left" w:pos="0"/>
          <w:tab w:val="left" w:pos="360"/>
          <w:tab w:val="left" w:pos="540"/>
        </w:tabs>
        <w:kinsoku/>
        <w:wordWrap/>
        <w:overflowPunct/>
        <w:topLinePunct w:val="0"/>
        <w:bidi w:val="0"/>
        <w:snapToGrid/>
        <w:spacing w:line="440" w:lineRule="exact"/>
        <w:ind w:firstLine="1440" w:firstLineChars="600"/>
        <w:textAlignment w:val="auto"/>
        <w:rPr>
          <w:rFonts w:hint="eastAsia" w:ascii="仿宋" w:hAnsi="仿宋" w:eastAsia="仿宋" w:cs="仿宋"/>
          <w:color w:val="auto"/>
          <w:sz w:val="24"/>
          <w:szCs w:val="24"/>
        </w:rPr>
      </w:pPr>
      <w:r>
        <w:rPr>
          <w:rFonts w:hint="eastAsia" w:ascii="仿宋" w:hAnsi="仿宋" w:eastAsia="仿宋" w:cs="仿宋"/>
          <w:color w:val="auto"/>
          <w:position w:val="-6"/>
          <w:sz w:val="24"/>
          <w:szCs w:val="24"/>
        </w:rPr>
        <w:object>
          <v:shape id="_x0000_i1026" o:spt="75" type="#_x0000_t75" style="height:17.95pt;width:17.95pt;" o:ole="t" filled="f" stroked="f" coordsize="21600,21600">
            <v:path/>
            <v:fill on="f" focussize="0,0"/>
            <v:stroke on="f"/>
            <v:imagedata r:id="rId17" o:title=""/>
            <o:lock v:ext="edit" grouping="f" rotation="f" text="f" aspectratio="t"/>
            <w10:wrap type="none"/>
            <w10:anchorlock/>
          </v:shape>
          <o:OLEObject Type="Embed" ProgID="Equation.KSEE3" ShapeID="_x0000_i1026" DrawAspect="Content" ObjectID="_1468075726" r:id="rId16">
            <o:LockedField>false</o:LockedField>
          </o:OLEObject>
        </w:object>
      </w:r>
      <w:r>
        <w:rPr>
          <w:rFonts w:hint="eastAsia" w:ascii="仿宋" w:hAnsi="仿宋" w:eastAsia="仿宋" w:cs="仿宋"/>
          <w:color w:val="auto"/>
          <w:sz w:val="24"/>
          <w:szCs w:val="24"/>
        </w:rPr>
        <w:t>——约定的付款证书中</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应得到的已完成工程量的金额。此项金额应不包括价格调整、不计质量保证金的扣留和支付、预付款的支付和扣回。约定的变更及其他金额已按现行价格计价的，也不计在内；</w:t>
      </w:r>
    </w:p>
    <w:p w14:paraId="7A8ECF26">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A——定值权重（即不调部分的权重）；</w:t>
      </w:r>
    </w:p>
    <w:p w14:paraId="64AA5436">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position w:val="-10"/>
          <w:sz w:val="24"/>
          <w:szCs w:val="24"/>
        </w:rPr>
        <w:object>
          <v:shape id="_x0000_i1027" o:spt="75" type="#_x0000_t75" style="height:21.05pt;width:101pt;" o:ole="t" filled="f" stroked="f" coordsize="21600,21600">
            <v:path/>
            <v:fill on="f" focussize="0,0"/>
            <v:stroke on="f"/>
            <v:imagedata r:id="rId19" o:title=""/>
            <o:lock v:ext="edit" grouping="f" rotation="f" text="f" aspectratio="t"/>
            <w10:wrap type="none"/>
            <w10:anchorlock/>
          </v:shape>
          <o:OLEObject Type="Embed" ProgID="Equation.KSEE3" ShapeID="_x0000_i1027" DrawAspect="Content" ObjectID="_1468075727" r:id="rId18">
            <o:LockedField>false</o:LockedField>
          </o:OLEObject>
        </w:object>
      </w:r>
      <w:r>
        <w:rPr>
          <w:rFonts w:hint="eastAsia" w:ascii="仿宋" w:hAnsi="仿宋" w:eastAsia="仿宋" w:cs="仿宋"/>
          <w:color w:val="auto"/>
          <w:sz w:val="24"/>
          <w:szCs w:val="24"/>
        </w:rPr>
        <w:t>——各可调因子的变值权重（即可调部分的权重），为各可调因子在签约合同价中所占的比例；</w:t>
      </w:r>
    </w:p>
    <w:p w14:paraId="1CA5CCDD">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position w:val="-10"/>
          <w:sz w:val="24"/>
          <w:szCs w:val="24"/>
        </w:rPr>
        <w:object>
          <v:shape id="_x0000_i1028" o:spt="75" type="#_x0000_t75" style="height:20.6pt;width:102.05pt;" o:ole="t" filled="f" stroked="f" coordsize="21600,21600">
            <v:path/>
            <v:fill on="f" focussize="0,0"/>
            <v:stroke on="f"/>
            <v:imagedata r:id="rId21" o:title=""/>
            <o:lock v:ext="edit" grouping="f" rotation="f" text="f" aspectratio="t"/>
            <w10:wrap type="none"/>
            <w10:anchorlock/>
          </v:shape>
          <o:OLEObject Type="Embed" ProgID="Equation.KSEE3" ShapeID="_x0000_i1028" DrawAspect="Content" ObjectID="_1468075728" r:id="rId20">
            <o:LockedField>false</o:LockedField>
          </o:OLEObject>
        </w:object>
      </w:r>
      <w:r>
        <w:rPr>
          <w:rFonts w:hint="eastAsia" w:ascii="仿宋" w:hAnsi="仿宋" w:eastAsia="仿宋" w:cs="仿宋"/>
          <w:color w:val="auto"/>
          <w:sz w:val="24"/>
          <w:szCs w:val="24"/>
        </w:rPr>
        <w:t>——各可调因子的现行价格指数，指约定的付款证书相关周期最后一天的前42天的各可调因子的价格指数；</w:t>
      </w:r>
    </w:p>
    <w:p w14:paraId="38B834EE">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position w:val="-10"/>
          <w:sz w:val="24"/>
          <w:szCs w:val="24"/>
        </w:rPr>
        <w:object>
          <v:shape id="_x0000_i1029" o:spt="75" type="#_x0000_t75" style="height:20.2pt;width:108pt;" o:ole="t" filled="f" stroked="f" coordsize="21600,21600">
            <v:path/>
            <v:fill on="f" focussize="0,0"/>
            <v:stroke on="f"/>
            <v:imagedata r:id="rId23" o:title=""/>
            <o:lock v:ext="edit" grouping="f" rotation="f" text="f" aspectratio="t"/>
            <w10:wrap type="none"/>
            <w10:anchorlock/>
          </v:shape>
          <o:OLEObject Type="Embed" ProgID="Equation.KSEE3" ShapeID="_x0000_i1029" DrawAspect="Content" ObjectID="_1468075729" r:id="rId22">
            <o:LockedField>false</o:LockedField>
          </o:OLEObject>
        </w:object>
      </w:r>
      <w:r>
        <w:rPr>
          <w:rFonts w:hint="eastAsia" w:ascii="仿宋" w:hAnsi="仿宋" w:eastAsia="仿宋" w:cs="仿宋"/>
          <w:color w:val="auto"/>
          <w:sz w:val="24"/>
          <w:szCs w:val="24"/>
        </w:rPr>
        <w:t>——各可调因子的基本价格指数，指基准日期的各可调因子的价格指数。</w:t>
      </w:r>
    </w:p>
    <w:p w14:paraId="357F397F">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0F046FD4">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（2）暂时确定调整差额</w:t>
      </w:r>
    </w:p>
    <w:p w14:paraId="55EFBEF0">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在计算调整差额时无现行价格指数的，合同当事人同意暂用前次价格指数计算。实际价格指数有调整的，合同当事人进行相应调整。</w:t>
      </w:r>
    </w:p>
    <w:p w14:paraId="6441C31D">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（3）权重的调整</w:t>
      </w:r>
    </w:p>
    <w:p w14:paraId="4240229C">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因变更导致合同约定的权重不合理时，按照第4.4款〔商定或确定〕执行。</w:t>
      </w:r>
    </w:p>
    <w:p w14:paraId="30D6A772">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（4）因</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原因工期延误后的价格调整</w:t>
      </w:r>
    </w:p>
    <w:p w14:paraId="2B7776BD">
      <w:pPr>
        <w:pageBreakBefore w:val="0"/>
        <w:widowControl w:val="0"/>
        <w:tabs>
          <w:tab w:val="left" w:pos="0"/>
          <w:tab w:val="left" w:pos="360"/>
          <w:tab w:val="left" w:pos="540"/>
        </w:tabs>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因</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原因未按期竣工的，对合同约定的竣工日期后继续施工的工程，在使用价格调整公式时，应采用计划竣工日期与实际竣工日期的两个价格指数中较低的一个作为现行价格指数。</w:t>
      </w:r>
    </w:p>
    <w:p w14:paraId="6E482693">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第2种方式：采用造价信息进行价格调整。</w:t>
      </w:r>
    </w:p>
    <w:p w14:paraId="3E0E855F">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审批，</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确认需调整的材料单价及数量，作为调整合同价格的依据。</w:t>
      </w:r>
    </w:p>
    <w:p w14:paraId="555FAB58">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（1）人工单价发生变化且符合省级或行业建设主管部门发布的人工费调整规定，合同当事人应按省级或行业建设主管部门或其授权的工程造价管理机构发布的人工费等文件调整合同价格，但</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对人工费或人工单价的报价高于发布价格的除外。</w:t>
      </w:r>
    </w:p>
    <w:p w14:paraId="3714B1BF">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（2）材料、工程设备价格变化的价款调整按照</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提供的基准价格，按以下风险范围规定执行:</w:t>
      </w:r>
    </w:p>
    <w:p w14:paraId="43BE1261">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①</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4C2BB574">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②</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4168F902">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③</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在已标价工程量清单或预算书中载明材料单价等于基准价格的：除专用合同条款另有约定外，合同履行期间材料单价涨跌幅以基准价格为基础超过±5%时，其超过部分据实调整。</w:t>
      </w:r>
    </w:p>
    <w:p w14:paraId="3C90BF3D">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④</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应在采购材料前将采购数量和新的材料单价报</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核对，</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确认用于工程时，</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应确认采购材料的数量和单价。</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在收到</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报送的确认资料后5天内不予答复的视为认可，作为调整合同价格的依据。未经</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事先核对，</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自行采购材料的，</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有权不予调整合同价格。</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同意的，可以调整合同价格。</w:t>
      </w:r>
    </w:p>
    <w:p w14:paraId="3EB16631">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bookmarkStart w:id="1289" w:name="OLE_LINK3"/>
      <w:r>
        <w:rPr>
          <w:rFonts w:hint="eastAsia" w:ascii="仿宋" w:hAnsi="仿宋" w:eastAsia="仿宋" w:cs="仿宋"/>
          <w:color w:val="auto"/>
          <w:sz w:val="24"/>
          <w:szCs w:val="24"/>
        </w:rPr>
        <w:t>前述基准价格是指由</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在招标文件或专用合同条款中给定的材料、工程设备的价格，该价格原则上应当按照省级或行业建设主管部门或其授权的工程造价管理机构发布的信息价编制。</w:t>
      </w:r>
    </w:p>
    <w:p w14:paraId="337F90B8">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（3）施工机械台班单价或施工机械使用费发生变化超过省级或行业建设主管部门或其授权的工程造价管理机构规定的范围时，按规定调整合同价格。</w:t>
      </w:r>
    </w:p>
    <w:p w14:paraId="63584AC1">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第3种方式：专用合同条款约定的其他方式。</w:t>
      </w:r>
    </w:p>
    <w:p w14:paraId="7FA917B5">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90" w:name="_Toc351203579"/>
      <w:bookmarkStart w:id="1291" w:name="_Toc296346594"/>
      <w:bookmarkStart w:id="1292" w:name="_Toc296503093"/>
      <w:bookmarkStart w:id="1293" w:name="_Toc337558798"/>
      <w:r>
        <w:rPr>
          <w:rFonts w:hint="eastAsia" w:ascii="仿宋" w:hAnsi="仿宋" w:eastAsia="仿宋" w:cs="仿宋"/>
          <w:b w:val="0"/>
          <w:color w:val="auto"/>
          <w:sz w:val="24"/>
          <w:szCs w:val="24"/>
        </w:rPr>
        <w:t>11.2法律变化引起的调整</w:t>
      </w:r>
      <w:bookmarkEnd w:id="1290"/>
    </w:p>
    <w:bookmarkEnd w:id="1291"/>
    <w:bookmarkEnd w:id="1292"/>
    <w:bookmarkEnd w:id="1293"/>
    <w:p w14:paraId="0063B20A">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基准日期后，法律变化导致</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在合同履行过程中所需要的费用发生除第11.1款〔市场价格波动引起的调整〕约定以外的增加时，由</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承担由此增加的费用；减少时，应从合同价格中予以扣减。基准日期后，因法律变化造成工期延误时，工期应予以顺延。</w:t>
      </w:r>
    </w:p>
    <w:p w14:paraId="572596EA">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因法律变化引起的合同价格和工期调整，合同当事人无法达成一致的，由总监理工程师按第4.4款〔商定或确定〕的约定处理。</w:t>
      </w:r>
    </w:p>
    <w:p w14:paraId="784F7793">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原因造成工期延误，在工期延误期间出现法律变化的，由此增加的费用和（或）延误的工期由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1876A390">
      <w:pPr>
        <w:pStyle w:val="4"/>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294" w:name="_Toc351203580"/>
      <w:bookmarkStart w:id="1295" w:name="_Toc337558799"/>
      <w:bookmarkStart w:id="1296" w:name="_Toc296503096"/>
      <w:bookmarkStart w:id="1297" w:name="_Toc296346597"/>
      <w:r>
        <w:rPr>
          <w:rFonts w:hint="eastAsia" w:ascii="仿宋" w:hAnsi="仿宋" w:eastAsia="仿宋" w:cs="仿宋"/>
          <w:b w:val="0"/>
          <w:color w:val="auto"/>
          <w:sz w:val="24"/>
          <w:szCs w:val="24"/>
        </w:rPr>
        <w:t>12. 合同价格、计量与支付</w:t>
      </w:r>
      <w:bookmarkEnd w:id="1294"/>
    </w:p>
    <w:bookmarkEnd w:id="1295"/>
    <w:p w14:paraId="0E997C1F">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298" w:name="_Toc351203581"/>
      <w:bookmarkStart w:id="1299" w:name="_Toc337558800"/>
      <w:r>
        <w:rPr>
          <w:rFonts w:hint="eastAsia" w:ascii="仿宋" w:hAnsi="仿宋" w:eastAsia="仿宋" w:cs="仿宋"/>
          <w:b w:val="0"/>
          <w:color w:val="auto"/>
          <w:sz w:val="24"/>
          <w:szCs w:val="24"/>
        </w:rPr>
        <w:t>12.1 合同价</w:t>
      </w:r>
      <w:bookmarkEnd w:id="1296"/>
      <w:bookmarkEnd w:id="1297"/>
      <w:r>
        <w:rPr>
          <w:rFonts w:hint="eastAsia" w:ascii="仿宋" w:hAnsi="仿宋" w:eastAsia="仿宋" w:cs="仿宋"/>
          <w:b w:val="0"/>
          <w:color w:val="auto"/>
          <w:sz w:val="24"/>
          <w:szCs w:val="24"/>
        </w:rPr>
        <w:t>格形式</w:t>
      </w:r>
      <w:bookmarkEnd w:id="1298"/>
    </w:p>
    <w:bookmarkEnd w:id="1299"/>
    <w:p w14:paraId="71C5D35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 xml:space="preserve">应在合同协议书中选择下列一种合同价格形式： </w:t>
      </w:r>
    </w:p>
    <w:p w14:paraId="6AC8FB2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单价合同</w:t>
      </w:r>
    </w:p>
    <w:p w14:paraId="3720511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单价合同是指合同当事人约定以工程量清单及其综合单价进行合同价格计算、调整和确认的建设工程施工合同，</w:t>
      </w:r>
      <w:r>
        <w:rPr>
          <w:rFonts w:hint="eastAsia" w:ascii="仿宋" w:hAnsi="仿宋" w:eastAsia="仿宋" w:cs="仿宋"/>
          <w:color w:val="auto"/>
          <w:sz w:val="24"/>
          <w:szCs w:val="24"/>
        </w:rPr>
        <w:t>在约定的范围内合同单价不作调整</w:t>
      </w:r>
      <w:r>
        <w:rPr>
          <w:rFonts w:hint="eastAsia" w:ascii="仿宋" w:hAnsi="仿宋" w:eastAsia="仿宋" w:cs="仿宋"/>
          <w:color w:val="auto"/>
          <w:kern w:val="0"/>
          <w:sz w:val="24"/>
          <w:szCs w:val="24"/>
        </w:rPr>
        <w:t>。合同当事人应在专用合同条款中约定综合单价包含的风险范围和风险费用的计算方法</w:t>
      </w:r>
      <w:r>
        <w:rPr>
          <w:rFonts w:hint="eastAsia" w:ascii="仿宋" w:hAnsi="仿宋" w:eastAsia="仿宋" w:cs="仿宋"/>
          <w:color w:val="auto"/>
          <w:sz w:val="24"/>
          <w:szCs w:val="24"/>
        </w:rPr>
        <w:t>，</w:t>
      </w:r>
      <w:r>
        <w:rPr>
          <w:rFonts w:hint="eastAsia" w:ascii="仿宋" w:hAnsi="仿宋" w:eastAsia="仿宋" w:cs="仿宋"/>
          <w:color w:val="auto"/>
          <w:kern w:val="0"/>
          <w:sz w:val="24"/>
          <w:szCs w:val="24"/>
        </w:rPr>
        <w:t>并约定风险范围以外的合同价格的调整方法，其中因市场价格波动引起的调整按第11.1款〔市场价格波动引起的调整〕约定执行。</w:t>
      </w:r>
    </w:p>
    <w:p w14:paraId="1C9FE8F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总价合同</w:t>
      </w:r>
    </w:p>
    <w:p w14:paraId="4494BBF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总价合同是指合同当事人约定以已标价工程量清单或预算书及有关条件进行合同价格计算、调整和确认的建设工程施工合同，</w:t>
      </w:r>
      <w:r>
        <w:rPr>
          <w:rFonts w:hint="eastAsia" w:ascii="仿宋" w:hAnsi="仿宋" w:eastAsia="仿宋" w:cs="仿宋"/>
          <w:color w:val="auto"/>
          <w:sz w:val="24"/>
          <w:szCs w:val="24"/>
        </w:rPr>
        <w:t>在约定的范围内合同总价不作调整</w:t>
      </w:r>
      <w:r>
        <w:rPr>
          <w:rFonts w:hint="eastAsia" w:ascii="仿宋" w:hAnsi="仿宋" w:eastAsia="仿宋" w:cs="仿宋"/>
          <w:color w:val="auto"/>
          <w:kern w:val="0"/>
          <w:sz w:val="24"/>
          <w:szCs w:val="24"/>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77645C1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其它价格形式</w:t>
      </w:r>
    </w:p>
    <w:p w14:paraId="160BD8C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合同当事人可在专用合同条款中约定其他合同价格形式。</w:t>
      </w:r>
    </w:p>
    <w:p w14:paraId="7F763991">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00" w:name="_Toc296503097"/>
      <w:bookmarkStart w:id="1301" w:name="_Toc296346598"/>
      <w:bookmarkStart w:id="1302" w:name="_Toc351203582"/>
      <w:bookmarkStart w:id="1303" w:name="_Toc337558801"/>
      <w:r>
        <w:rPr>
          <w:rFonts w:hint="eastAsia" w:ascii="仿宋" w:hAnsi="仿宋" w:eastAsia="仿宋" w:cs="仿宋"/>
          <w:b w:val="0"/>
          <w:color w:val="auto"/>
          <w:sz w:val="24"/>
          <w:szCs w:val="24"/>
        </w:rPr>
        <w:t>12.2预</w:t>
      </w:r>
      <w:bookmarkEnd w:id="1300"/>
      <w:bookmarkEnd w:id="1301"/>
      <w:bookmarkStart w:id="1304" w:name="_Toc296503100"/>
      <w:bookmarkStart w:id="1305" w:name="_Toc296346601"/>
      <w:r>
        <w:rPr>
          <w:rFonts w:hint="eastAsia" w:ascii="仿宋" w:hAnsi="仿宋" w:eastAsia="仿宋" w:cs="仿宋"/>
          <w:b w:val="0"/>
          <w:color w:val="auto"/>
          <w:sz w:val="24"/>
          <w:szCs w:val="24"/>
        </w:rPr>
        <w:t>付款</w:t>
      </w:r>
      <w:bookmarkEnd w:id="1302"/>
    </w:p>
    <w:bookmarkEnd w:id="1303"/>
    <w:bookmarkEnd w:id="1304"/>
    <w:bookmarkEnd w:id="1305"/>
    <w:p w14:paraId="79DB73A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12.2.</w:t>
      </w:r>
      <w:r>
        <w:rPr>
          <w:rFonts w:hint="eastAsia" w:ascii="仿宋" w:hAnsi="仿宋" w:eastAsia="仿宋" w:cs="仿宋"/>
          <w:color w:val="auto"/>
          <w:kern w:val="0"/>
          <w:sz w:val="24"/>
          <w:szCs w:val="24"/>
        </w:rPr>
        <w:t>1预付款的支付</w:t>
      </w:r>
    </w:p>
    <w:p w14:paraId="60A17C2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预付款的支付按照专用合同条款约定执行，但至迟应在开工通知载明的开工日期7天前支付。预付款应当用于材料、工程设备、施工设备的采购及修建临时工程、组织施工队伍进场等。</w:t>
      </w:r>
    </w:p>
    <w:p w14:paraId="29E1945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除专用合同条款另有约定外，预付款在进度付款中同比例扣回。</w:t>
      </w:r>
      <w:bookmarkEnd w:id="1289"/>
      <w:r>
        <w:rPr>
          <w:rFonts w:hint="eastAsia" w:ascii="仿宋" w:hAnsi="仿宋" w:eastAsia="仿宋" w:cs="仿宋"/>
          <w:color w:val="auto"/>
          <w:kern w:val="0"/>
          <w:sz w:val="24"/>
          <w:szCs w:val="24"/>
        </w:rPr>
        <w:t>在颁发工程接收证书前，提前解除合同的，尚未扣完的预付款应与合同价款一并结算。</w:t>
      </w:r>
    </w:p>
    <w:p w14:paraId="101FDC5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逾期支付预付款超过7天的，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发出要求预付的催告通知，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收到通知后7天内仍未支付的，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有权暂停施工，并按第16.1.1项〔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违约的情形〕执行。</w:t>
      </w:r>
    </w:p>
    <w:p w14:paraId="0759842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12.2.2 预付款担保</w:t>
      </w:r>
    </w:p>
    <w:p w14:paraId="37DF9C2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提供预付款担保的，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支付预付款7天前提供预付款担保，专用合同条款另有约定除外。预付款担保可采用银行保函、担保公司担保等形式，具体由合同当事人在专用合同条款中约定。在预付款完全扣回之前，</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应保证预付款担保持续有效。</w:t>
      </w:r>
    </w:p>
    <w:p w14:paraId="117E9D5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在工程款中逐期扣回预付款后，预付款担保额度应相应减少，但剩余的预付款担保金额不得低于未被扣回的预付款金额。</w:t>
      </w:r>
    </w:p>
    <w:p w14:paraId="009448A3">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06" w:name="_Toc351203583"/>
      <w:bookmarkStart w:id="1307" w:name="_Toc337558802"/>
      <w:r>
        <w:rPr>
          <w:rFonts w:hint="eastAsia" w:ascii="仿宋" w:hAnsi="仿宋" w:eastAsia="仿宋" w:cs="仿宋"/>
          <w:b w:val="0"/>
          <w:color w:val="auto"/>
          <w:sz w:val="24"/>
          <w:szCs w:val="24"/>
        </w:rPr>
        <w:t>12.3计量</w:t>
      </w:r>
      <w:bookmarkEnd w:id="1306"/>
    </w:p>
    <w:bookmarkEnd w:id="1307"/>
    <w:p w14:paraId="7C6224F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12.3.1 计量原则</w:t>
      </w:r>
    </w:p>
    <w:p w14:paraId="5502E27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工程量计量按照合同约定的工程量计算规则、变更指示等进行计量。工程量计算规则应以相关的国家标准、行业标准等为依据，由合同当事人在专用合同条款中约定。</w:t>
      </w:r>
    </w:p>
    <w:p w14:paraId="576C4E8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12.3.2 计量周期</w:t>
      </w:r>
    </w:p>
    <w:p w14:paraId="3D366CC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除专用合同条款另有约定外，工程量的计量按月进行。</w:t>
      </w:r>
    </w:p>
    <w:p w14:paraId="43FA7D5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12.3.3 单价合同的计量</w:t>
      </w:r>
    </w:p>
    <w:p w14:paraId="6DD0183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除专用合同条款另有约定外，单价合同的计量按照本项约定执行：</w:t>
      </w:r>
    </w:p>
    <w:p w14:paraId="61645AC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应于每月25日向监理人报送上月20日至当月19日已完成的工程量报告，并附具进度付款申请单、已完成工程量报表和有关资料。</w:t>
      </w:r>
    </w:p>
    <w:p w14:paraId="14A5A40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（2）监理人应在收到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提交的工程量报告后7天内完成对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提交的工程量报表的审核并报送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，以确定当月实际完成的工程量。监理人对工程量有异议的，有权要求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进行共同复核或抽样复测。</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应协助监理人进行复核或抽样复测，并按监理人要求提供补充计量资料。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未按监理人要求参加复核或抽样复测的，监理人复核或修正的工程量视为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实际完成的工程量。</w:t>
      </w:r>
    </w:p>
    <w:p w14:paraId="33340DC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（3）监理人未在收到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提交的工程量报表后的7天内完成审核的，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报送的工程量报告中的工程量视为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实际完成的工程量，据此计算工程价款。</w:t>
      </w:r>
    </w:p>
    <w:p w14:paraId="37AD681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12.3.4 总价合同的计量</w:t>
      </w:r>
    </w:p>
    <w:p w14:paraId="2FA26D2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除专用合同条款另有约定外，按月计量支付的总价合同，按照本项约定执行：</w:t>
      </w:r>
    </w:p>
    <w:p w14:paraId="16672C9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应于每月25日向监理人报送上月20日至当月19日已完成的工程量报告，并附具进度付款申请单、已完成工程量报表和有关资料。</w:t>
      </w:r>
    </w:p>
    <w:p w14:paraId="0F4E960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（2）监理人应在收到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提交的工程量报告后7天内完成对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提交的工程量报表的审核并报送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，以确定当月实际完成的工程量。监理人对工程量有异议的，有权要求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进行共同复核或抽样复测。</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应协助监理人进行复核或抽样复测并按监理人要求提供补充计量资料。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未按监理人要求参加复核或抽样复测的，监理人审核或修正的工程量视为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实际完成的工程量。</w:t>
      </w:r>
    </w:p>
    <w:p w14:paraId="2F60A19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（3）监理人未在收到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提交的工程量报表后的7天内完成复核的，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提交的工程量报告中的工程量视为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实际完成的工程量。</w:t>
      </w:r>
    </w:p>
    <w:p w14:paraId="37B870A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12.3.5 总价合同采用支付分解表计量支付的，可以按照第12.3.4项〔总价合同的计量〕约定进行计量，但合同价款按照支付分解表进行支付。</w:t>
      </w:r>
    </w:p>
    <w:p w14:paraId="2DB6A62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12.3.6 其他价格形式合同的计量</w:t>
      </w:r>
    </w:p>
    <w:p w14:paraId="0D88F1C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合同当事人可在专用合同条款中约定其他价格形式合同的计量方式和程序。</w:t>
      </w:r>
    </w:p>
    <w:p w14:paraId="5F731664">
      <w:pPr>
        <w:pStyle w:val="5"/>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08" w:name="_Toc296503101"/>
      <w:bookmarkStart w:id="1309" w:name="_Toc296346602"/>
      <w:bookmarkStart w:id="1310" w:name="_Toc351203584"/>
      <w:bookmarkStart w:id="1311" w:name="_Toc337558803"/>
      <w:r>
        <w:rPr>
          <w:rFonts w:hint="eastAsia" w:ascii="仿宋" w:hAnsi="仿宋" w:eastAsia="仿宋" w:cs="仿宋"/>
          <w:b w:val="0"/>
          <w:color w:val="auto"/>
          <w:sz w:val="24"/>
          <w:szCs w:val="24"/>
        </w:rPr>
        <w:t>12.4工程进度款支</w:t>
      </w:r>
      <w:bookmarkEnd w:id="1308"/>
      <w:bookmarkEnd w:id="1309"/>
      <w:r>
        <w:rPr>
          <w:rFonts w:hint="eastAsia" w:ascii="仿宋" w:hAnsi="仿宋" w:eastAsia="仿宋" w:cs="仿宋"/>
          <w:b w:val="0"/>
          <w:color w:val="auto"/>
          <w:sz w:val="24"/>
          <w:szCs w:val="24"/>
        </w:rPr>
        <w:t>付</w:t>
      </w:r>
      <w:bookmarkEnd w:id="1310"/>
    </w:p>
    <w:bookmarkEnd w:id="1311"/>
    <w:p w14:paraId="7B5E20D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outlineLvl w:val="3"/>
        <w:rPr>
          <w:rFonts w:hint="eastAsia" w:ascii="仿宋" w:hAnsi="仿宋" w:eastAsia="仿宋" w:cs="仿宋"/>
          <w:color w:val="auto"/>
          <w:kern w:val="0"/>
          <w:sz w:val="24"/>
          <w:szCs w:val="24"/>
        </w:rPr>
      </w:pPr>
      <w:bookmarkStart w:id="1312" w:name="_Toc7641"/>
      <w:r>
        <w:rPr>
          <w:rFonts w:hint="eastAsia" w:ascii="仿宋" w:hAnsi="仿宋" w:eastAsia="仿宋" w:cs="仿宋"/>
          <w:color w:val="auto"/>
          <w:sz w:val="24"/>
          <w:szCs w:val="24"/>
        </w:rPr>
        <w:t>12.4</w:t>
      </w:r>
      <w:r>
        <w:rPr>
          <w:rFonts w:hint="eastAsia" w:ascii="仿宋" w:hAnsi="仿宋" w:eastAsia="仿宋" w:cs="仿宋"/>
          <w:color w:val="auto"/>
          <w:kern w:val="0"/>
          <w:sz w:val="24"/>
          <w:szCs w:val="24"/>
        </w:rPr>
        <w:t>.1 付款周期</w:t>
      </w:r>
      <w:bookmarkEnd w:id="1312"/>
    </w:p>
    <w:p w14:paraId="17EFEC9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除专用合同条款另有约定外，付款周期应按照第12.3.2项〔计量周期〕的约定与计量周期保持一致。</w:t>
      </w:r>
    </w:p>
    <w:p w14:paraId="7D4E914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12.4</w:t>
      </w:r>
      <w:r>
        <w:rPr>
          <w:rFonts w:hint="eastAsia" w:ascii="仿宋" w:hAnsi="仿宋" w:eastAsia="仿宋" w:cs="仿宋"/>
          <w:color w:val="auto"/>
          <w:kern w:val="0"/>
          <w:sz w:val="24"/>
          <w:szCs w:val="24"/>
        </w:rPr>
        <w:t>.2 进度付款申请单的编制</w:t>
      </w:r>
    </w:p>
    <w:p w14:paraId="5026150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除专用合同条款另有约定外，进度付款申请单应包括下列内容：</w:t>
      </w:r>
    </w:p>
    <w:p w14:paraId="36713D5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（1）截至本次付款周期已完成工作对应的金额；</w:t>
      </w:r>
    </w:p>
    <w:p w14:paraId="2B4FA30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（2）根据第10条〔变更〕应增加和扣减的变更金额；</w:t>
      </w:r>
    </w:p>
    <w:p w14:paraId="344442F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（3）根据第12.2款〔预付款〕约定应支付的预付款和扣减的返还预付款；</w:t>
      </w:r>
    </w:p>
    <w:p w14:paraId="75B7124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（4）根据第15.3款〔质量保证金〕约定应扣减的质量保证金；</w:t>
      </w:r>
    </w:p>
    <w:p w14:paraId="05264E2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（5）根据第19条〔索赔〕应增加和扣减的索赔金额；</w:t>
      </w:r>
    </w:p>
    <w:p w14:paraId="1C9F0DC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（6）对已签发的进度款支付证书中出现错误的修正，应在本次进度付款中支付或扣除的金额；</w:t>
      </w:r>
    </w:p>
    <w:p w14:paraId="0F342A7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（7）根据合同约定应增加和扣减的其他金额。</w:t>
      </w:r>
    </w:p>
    <w:p w14:paraId="11318FB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outlineLvl w:val="2"/>
        <w:rPr>
          <w:rFonts w:hint="eastAsia" w:ascii="仿宋" w:hAnsi="仿宋" w:eastAsia="仿宋" w:cs="仿宋"/>
          <w:color w:val="auto"/>
          <w:kern w:val="0"/>
          <w:sz w:val="24"/>
          <w:szCs w:val="24"/>
        </w:rPr>
      </w:pPr>
      <w:bookmarkStart w:id="1313" w:name="_Toc29650"/>
      <w:r>
        <w:rPr>
          <w:rFonts w:hint="eastAsia" w:ascii="仿宋" w:hAnsi="仿宋" w:eastAsia="仿宋" w:cs="仿宋"/>
          <w:color w:val="auto"/>
          <w:kern w:val="0"/>
          <w:sz w:val="24"/>
          <w:szCs w:val="24"/>
        </w:rPr>
        <w:t>12.4.3 进度付款申请单的提交</w:t>
      </w:r>
      <w:bookmarkEnd w:id="1313"/>
    </w:p>
    <w:p w14:paraId="26EAF72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（1）单价合同进度付款申请单的提交</w:t>
      </w:r>
    </w:p>
    <w:p w14:paraId="2B0DD66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0E3C6D9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（2）总价合同进度付款申请单的提交</w:t>
      </w:r>
    </w:p>
    <w:p w14:paraId="5076223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总价合同按月计量支付的，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按照第12.3.4项〔总价合同的计量〕约定的时间按月向监理人提交进度付款申请单，并附上已完成工程量报表和有关资料。</w:t>
      </w:r>
    </w:p>
    <w:p w14:paraId="1A125F4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总价合同按支付分解表支付的，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应按照第12.4.6项〔支付分解表〕及第12.4.2项〔进度付款申请单的编制〕的约定向监理人提交进度付款申请单。</w:t>
      </w:r>
    </w:p>
    <w:p w14:paraId="693CEEB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（3）其他价格形式合同的进度付款申请单的提交</w:t>
      </w:r>
    </w:p>
    <w:p w14:paraId="38E1018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合同当事人可在专用合同条款中约定其他价格形式合同的进度付款申请单的编制和提交程序。</w:t>
      </w:r>
    </w:p>
    <w:p w14:paraId="19D3963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rPr>
        <w:t>12.4</w:t>
      </w:r>
      <w:r>
        <w:rPr>
          <w:rFonts w:hint="eastAsia" w:ascii="仿宋" w:hAnsi="仿宋" w:eastAsia="仿宋" w:cs="仿宋"/>
          <w:color w:val="auto"/>
          <w:kern w:val="0"/>
          <w:sz w:val="24"/>
          <w:szCs w:val="24"/>
        </w:rPr>
        <w:t>.4 进度款审核和支付</w:t>
      </w:r>
    </w:p>
    <w:p w14:paraId="71FE62D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（1）除专用合同条款另有约定外，监理人应在收到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进度付款申请单以及相关资料后7天内完成审查并报送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应在收到后7天内完成审批并签发进度款支付证书。</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逾期未完成审批且未提出异议的，视为已签发进度款支付证书。</w:t>
      </w:r>
    </w:p>
    <w:p w14:paraId="48C2D22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的进度付款申请单有异议的，有权要求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修正和提供补充资料，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应提交修正后的进度付款申请单。监理人应在收到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修正后的进度付款申请单及相关资料后7天内完成审查并报送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应在收到监理人报送的进度付款申请单及相关资料后7天内，向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签发无异议部分的临时进度款支付证书。存在争议的部分，按照第20条〔争议解决〕的约定处理。</w:t>
      </w:r>
    </w:p>
    <w:p w14:paraId="43466DA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应在进度款支付证书或临时进度款支付证书签发后14天内完成支付，</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逾期支付进度款的，应按照中国人民银行发布的同期同类贷款基准利率支付违约金。</w:t>
      </w:r>
    </w:p>
    <w:p w14:paraId="3A97B53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签发进度款支付证书或临时进度款支付证书，不表明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已同意、批准或接受了</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完成的相应部分的工作。</w:t>
      </w:r>
    </w:p>
    <w:p w14:paraId="6091CB7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12.4.5 进度付款的修正</w:t>
      </w:r>
    </w:p>
    <w:p w14:paraId="703B69A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在对已签发的进度款支付证书进行阶段汇总和复核中发现错误、遗漏或重复的，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均有权提出修正申请。经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同意的修正，应在下期进度付款中支付或扣除。</w:t>
      </w:r>
    </w:p>
    <w:p w14:paraId="7194AB4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12.4.6 支付分解表</w:t>
      </w:r>
    </w:p>
    <w:p w14:paraId="6F72078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支付分解表的编制要求</w:t>
      </w:r>
    </w:p>
    <w:p w14:paraId="650C4A5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（1）支付分解表中所列的每期付款金额，应为第12.4.2项〔进度付款申请单的编制〕第（1）目的估算金额；</w:t>
      </w:r>
    </w:p>
    <w:p w14:paraId="0D95213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（2）实际进度与施工进度计划不一致的，合同当事人可按照第4.4款〔商定或确定〕修改支付分解表；</w:t>
      </w:r>
    </w:p>
    <w:p w14:paraId="2960DBB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（3）不采用支付分解表的，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和监理人提交按季度编制的支付估算分解表，用于支付参考。</w:t>
      </w:r>
    </w:p>
    <w:p w14:paraId="0F47E83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总价合同支付分解表的编制与审批</w:t>
      </w:r>
    </w:p>
    <w:p w14:paraId="1CCF39E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应根据第7.2款〔施工进度计划〕约定的施工进度计划、签约合同价和工程量等因素对总价合同按月进行分解，编制支付分解表。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应当在收到监理人和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批准的施工进度计划后7天内，将支付分解表及编制支付分解表的支持性资料报送监理人。</w:t>
      </w:r>
    </w:p>
    <w:p w14:paraId="410F40A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（2）监理人应在收到支付分解表后7天内完成审核并报送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应在收到经监理人审核的支付分解表后7天内完成审批，经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批准的支付分解表为有约束力的支付分解表。</w:t>
      </w:r>
    </w:p>
    <w:p w14:paraId="18C54A45">
      <w:pPr>
        <w:pageBreakBefore w:val="0"/>
        <w:widowControl w:val="0"/>
        <w:kinsoku/>
        <w:wordWrap/>
        <w:overflowPunct/>
        <w:topLinePunct w:val="0"/>
        <w:bidi w:val="0"/>
        <w:snapToGrid/>
        <w:spacing w:line="44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（3）</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逾期未完成支付分解表审批的，也未及时要求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进行修正和提供补充资料的，则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提交的支付分解表视为已经获得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批准。</w:t>
      </w:r>
    </w:p>
    <w:p w14:paraId="6060D97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单价合同的总价项目支付分解表的编制与审批</w:t>
      </w:r>
    </w:p>
    <w:p w14:paraId="3DD7449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除专用合同条款另有约定外，单价合同的总价项目，由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根据施工进度计划和总价项目的总价构成、费用性质、计划发生时间和相应工程量等因素按月进行分解，形成支付分解表，其编制与审批参照总价合同支付分解表的编制与审批执行。</w:t>
      </w:r>
    </w:p>
    <w:p w14:paraId="0D82F4F2">
      <w:pPr>
        <w:pStyle w:val="8"/>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14" w:name="_Toc351203585"/>
      <w:r>
        <w:rPr>
          <w:rFonts w:hint="eastAsia" w:ascii="仿宋" w:hAnsi="仿宋" w:eastAsia="仿宋" w:cs="仿宋"/>
          <w:b w:val="0"/>
          <w:color w:val="auto"/>
          <w:sz w:val="24"/>
          <w:szCs w:val="24"/>
        </w:rPr>
        <w:t>12.5支付账户</w:t>
      </w:r>
      <w:bookmarkEnd w:id="1314"/>
    </w:p>
    <w:p w14:paraId="093B2CD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应将合同价款支付至合同协议书中约定的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账户。</w:t>
      </w:r>
    </w:p>
    <w:p w14:paraId="0AEA1497">
      <w:pPr>
        <w:pStyle w:val="7"/>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315" w:name="_Toc351203586"/>
      <w:bookmarkStart w:id="1316" w:name="_Toc322522574"/>
      <w:bookmarkStart w:id="1317" w:name="_Toc296346607"/>
      <w:bookmarkStart w:id="1318" w:name="_Toc337558804"/>
      <w:bookmarkStart w:id="1319" w:name="_Toc296503106"/>
      <w:r>
        <w:rPr>
          <w:rFonts w:hint="eastAsia" w:ascii="仿宋" w:hAnsi="仿宋" w:eastAsia="仿宋" w:cs="仿宋"/>
          <w:b w:val="0"/>
          <w:color w:val="auto"/>
          <w:sz w:val="24"/>
          <w:szCs w:val="24"/>
        </w:rPr>
        <w:t>13. 验收和工程试车</w:t>
      </w:r>
      <w:bookmarkEnd w:id="1315"/>
    </w:p>
    <w:bookmarkEnd w:id="1316"/>
    <w:bookmarkEnd w:id="1317"/>
    <w:bookmarkEnd w:id="1318"/>
    <w:bookmarkEnd w:id="1319"/>
    <w:p w14:paraId="251832FC">
      <w:pPr>
        <w:pStyle w:val="8"/>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20" w:name="_Toc351203587"/>
      <w:bookmarkStart w:id="1321" w:name="_Toc337558805"/>
      <w:bookmarkStart w:id="1322" w:name="_Toc296503110"/>
      <w:bookmarkStart w:id="1323" w:name="_Toc296346611"/>
      <w:r>
        <w:rPr>
          <w:rFonts w:hint="eastAsia" w:ascii="仿宋" w:hAnsi="仿宋" w:eastAsia="仿宋" w:cs="仿宋"/>
          <w:b w:val="0"/>
          <w:color w:val="auto"/>
          <w:sz w:val="24"/>
          <w:szCs w:val="24"/>
        </w:rPr>
        <w:t>13.1分部分项工程验收</w:t>
      </w:r>
      <w:bookmarkEnd w:id="1320"/>
    </w:p>
    <w:bookmarkEnd w:id="1321"/>
    <w:p w14:paraId="5C062DDA">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13.1.1 分部分项工程质量应符合国家有关工程施工验收规范、标准及合同约定，</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应按照施工组织设计的要求完成分部分项工程施工。</w:t>
      </w:r>
    </w:p>
    <w:p w14:paraId="51E8BBFA">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13.1.2 除专用合同条款另有约定外，分部分项工程经</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自检合格并具备验收条件的，</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应提前48小时通知监理人进行验收。</w:t>
      </w:r>
      <w:r>
        <w:rPr>
          <w:rFonts w:hint="eastAsia" w:ascii="仿宋" w:hAnsi="仿宋" w:eastAsia="仿宋" w:cs="仿宋"/>
          <w:color w:val="auto"/>
          <w:kern w:val="0"/>
          <w:sz w:val="24"/>
          <w:szCs w:val="24"/>
        </w:rPr>
        <w:t>监理人不能按时进行验收的，应在验收前24小时向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提交书面延期要求，但延期不能超过48小时。监理人未按时进行验收，也未提出延期要求的，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有权自行验收，监理人应认可验收结果。</w:t>
      </w:r>
      <w:r>
        <w:rPr>
          <w:rFonts w:hint="eastAsia" w:ascii="仿宋" w:hAnsi="仿宋" w:eastAsia="仿宋" w:cs="仿宋"/>
          <w:color w:val="auto"/>
          <w:sz w:val="24"/>
          <w:szCs w:val="24"/>
        </w:rPr>
        <w:t>分部分项工程未经验收的，不得进入下一道工序施工。</w:t>
      </w:r>
    </w:p>
    <w:p w14:paraId="18F42518">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分部分项工程的验收资料应当作为竣工资料的组成部分。</w:t>
      </w:r>
    </w:p>
    <w:p w14:paraId="07BBEE51">
      <w:pPr>
        <w:pStyle w:val="8"/>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24" w:name="_Toc351203588"/>
      <w:bookmarkStart w:id="1325" w:name="_Toc337558806"/>
      <w:r>
        <w:rPr>
          <w:rFonts w:hint="eastAsia" w:ascii="仿宋" w:hAnsi="仿宋" w:eastAsia="仿宋" w:cs="仿宋"/>
          <w:b w:val="0"/>
          <w:color w:val="auto"/>
          <w:sz w:val="24"/>
          <w:szCs w:val="24"/>
        </w:rPr>
        <w:t>13.2竣工验收</w:t>
      </w:r>
      <w:bookmarkEnd w:id="1324"/>
    </w:p>
    <w:bookmarkEnd w:id="1322"/>
    <w:bookmarkEnd w:id="1323"/>
    <w:bookmarkEnd w:id="1325"/>
    <w:p w14:paraId="4E07902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13.2.1竣工验收条件</w:t>
      </w:r>
    </w:p>
    <w:p w14:paraId="17EB372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工程具备以下条件的，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可以申请竣工验收：</w:t>
      </w:r>
    </w:p>
    <w:p w14:paraId="0E40293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（1）除</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同意的甩项工作和缺陷修补工作外，合同范围内的全部工程以及有关工作，包括合同要求的试验、试运行以及检验均已完成，并符合合同要求；</w:t>
      </w:r>
    </w:p>
    <w:p w14:paraId="32FB73E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（2）已按合同约定编制了甩项工作和缺陷修补工作清单以及相应的施工计划；</w:t>
      </w:r>
    </w:p>
    <w:p w14:paraId="4B98493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（3）已按合同约定的内容和份数备齐竣工资料。</w:t>
      </w:r>
    </w:p>
    <w:p w14:paraId="575BD8C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13.2.2竣工验收程序</w:t>
      </w:r>
    </w:p>
    <w:p w14:paraId="5692ECA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申请竣工验收的，应当按照以下程序进行：</w:t>
      </w:r>
    </w:p>
    <w:p w14:paraId="2A376B9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向监理人报送竣工验收申请报告，监理人应在收到竣工验收申请报告后14天内完成审查并报送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。监理人审查后认为尚不具备验收条件的，应通知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在竣工验收前</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还需完成的工作内容，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应在完成监理人通知的全部工作内容后，再次提交竣工验收申请报告。</w:t>
      </w:r>
    </w:p>
    <w:p w14:paraId="52EC3A3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（2）监理人审查后认为已具备竣工验收条件的，应将竣工验收申请报告提交</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应在收到经监理人审核的竣工验收申请报告后28天内审批完毕并组织监理人、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、设计人等相关单位完成竣工验收。</w:t>
      </w:r>
    </w:p>
    <w:p w14:paraId="32A0C45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（3）竣工验收合格的，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应在验收合格后14天内向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签发工程接收证书。</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无正当理由逾期不颁发工程接收证书的，自验收合格后第15天起视为已颁发工程接收证书。</w:t>
      </w:r>
    </w:p>
    <w:p w14:paraId="2107520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（4）竣工验收不合格的，监理人应按照验收意见发出指示，要求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对不合格工程返工、修复或采取其他补救措施，由此增加的费用和（或）延误的工期由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在完成不合格工程的返工、修复或采取其他补救措施后，应重新提交竣工验收申请报告，并按本项约定的程序重新进行验收。</w:t>
      </w:r>
    </w:p>
    <w:p w14:paraId="00536FA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（5）工程未经验收或验收不合格，</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擅自使用的，应在转移占有工程后7天内向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颁发工程接收证书；</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无正当理由逾期不颁发工程接收证书的，自转移占有后第15天起视为已颁发工程接收证书。</w:t>
      </w:r>
    </w:p>
    <w:p w14:paraId="23D643A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不按照本项约定组织竣工验收、颁发工程接收证书的，每逾期一天，应以签约合同价为基数，按照中国人民银行发布的同期同类贷款基准利率支付违约金。</w:t>
      </w:r>
    </w:p>
    <w:p w14:paraId="4A77A07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13.2.3竣工日期</w:t>
      </w:r>
    </w:p>
    <w:p w14:paraId="7DBAA18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工程经竣工验收合格的，以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提交竣工验收申请报告之日为实际竣工日期，并在工程接收证书中载明；因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原因，未在监理人收到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提交的竣工验收申请报告42天内完成竣工验收，或完成竣工验收不予签发工程接收证书的，以提交竣工验</w:t>
      </w:r>
      <w:bookmarkStart w:id="1326" w:name="#go14"/>
      <w:bookmarkEnd w:id="1326"/>
      <w:r>
        <w:rPr>
          <w:rFonts w:hint="eastAsia" w:ascii="仿宋" w:hAnsi="仿宋" w:eastAsia="仿宋" w:cs="仿宋"/>
          <w:color w:val="auto"/>
          <w:kern w:val="0"/>
          <w:sz w:val="24"/>
          <w:szCs w:val="24"/>
        </w:rPr>
        <w:t>收申请报告的日期为实际竣工日期；工程未经竣工验收，</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擅自使用的，以转移占有工程之日为实际竣工日期。</w:t>
      </w:r>
    </w:p>
    <w:p w14:paraId="4C29B446">
      <w:pPr>
        <w:pageBreakBefore w:val="0"/>
        <w:widowControl w:val="0"/>
        <w:kinsoku/>
        <w:wordWrap/>
        <w:overflowPunct/>
        <w:topLinePunct w:val="0"/>
        <w:bidi w:val="0"/>
        <w:snapToGrid/>
        <w:spacing w:line="440" w:lineRule="exact"/>
        <w:ind w:firstLine="480" w:firstLineChars="200"/>
        <w:jc w:val="left"/>
        <w:textAlignment w:val="auto"/>
        <w:outlineLvl w:val="1"/>
        <w:rPr>
          <w:rFonts w:hint="eastAsia" w:ascii="仿宋" w:hAnsi="仿宋" w:eastAsia="仿宋" w:cs="仿宋"/>
          <w:color w:val="auto"/>
          <w:kern w:val="0"/>
          <w:sz w:val="24"/>
          <w:szCs w:val="24"/>
        </w:rPr>
      </w:pPr>
      <w:bookmarkStart w:id="1327" w:name="_Toc23259"/>
      <w:r>
        <w:rPr>
          <w:rFonts w:hint="eastAsia" w:ascii="仿宋" w:hAnsi="仿宋" w:eastAsia="仿宋" w:cs="仿宋"/>
          <w:color w:val="auto"/>
          <w:kern w:val="0"/>
          <w:sz w:val="24"/>
          <w:szCs w:val="24"/>
        </w:rPr>
        <w:t>13.2.4 拒绝接收全部或部分工程</w:t>
      </w:r>
      <w:bookmarkEnd w:id="1327"/>
    </w:p>
    <w:p w14:paraId="78F7142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对于竣工验收不合格的工程，</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完成整改后，应当重新进行竣工验收，经重新组织验收仍不合格的且无法采取措施补救的，则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可以拒绝接收不合格工程，因不合格工程导致其他工程不能正常使用的，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应采取措施确保相关工程的正常使用，由此增加的费用和（或）延误的工期由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16D2D8B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13.2.5 移交、接收全部与部分工程</w:t>
      </w:r>
    </w:p>
    <w:p w14:paraId="6E5E502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除专用合同条款另有约定外，合同当事人应当在颁发工程接收证书后7天内完成工程的移交。</w:t>
      </w:r>
    </w:p>
    <w:p w14:paraId="75B64FE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无正当理由不接收工程的，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自应当接收工程之日起，承担工程照管、成品保护、保管等与工程有关的各项费用，合同当事人可以在专用合同条款中另行约定</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逾期接收工程的违约责任。</w:t>
      </w:r>
    </w:p>
    <w:p w14:paraId="5ED2246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无正当理由不移交工程的，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应承担工程照管、成品保护、保管等与工程有关的各项费用，合同当事人可以在专用合同条款中另行约定</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无正当理由不移交工程的违约责任。</w:t>
      </w:r>
    </w:p>
    <w:p w14:paraId="758B39B2">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28" w:name="_Toc351203589"/>
      <w:bookmarkStart w:id="1329" w:name="_Toc296503111"/>
      <w:bookmarkStart w:id="1330" w:name="_Toc296346612"/>
      <w:bookmarkStart w:id="1331" w:name="_Toc337558807"/>
      <w:r>
        <w:rPr>
          <w:rFonts w:hint="eastAsia" w:ascii="仿宋" w:hAnsi="仿宋" w:eastAsia="仿宋" w:cs="仿宋"/>
          <w:b w:val="0"/>
          <w:color w:val="auto"/>
          <w:sz w:val="24"/>
          <w:szCs w:val="24"/>
        </w:rPr>
        <w:t>13.3工程试车</w:t>
      </w:r>
      <w:bookmarkEnd w:id="1328"/>
    </w:p>
    <w:bookmarkEnd w:id="1329"/>
    <w:bookmarkEnd w:id="1330"/>
    <w:bookmarkEnd w:id="1331"/>
    <w:p w14:paraId="030E342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13.3.1试车程序</w:t>
      </w:r>
    </w:p>
    <w:p w14:paraId="27314AD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工程需要试车的，除专用合同条款另有约定外，试车内容应与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承包范围相一致，试车费用由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承担。工程试车应按如下程序进行：</w:t>
      </w:r>
    </w:p>
    <w:p w14:paraId="177899E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（1）具备单机无负荷试车条件，</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组织试车，并在试车前48小时书面通知监理人，通知中应载明试车内容、时间、地点。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准备试车记录，</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根据</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要求为试车提供必要条件。试车合格的，监理人在试车记录上签字。监理人在试车合格后不在试车记录上签字，自试车结束满24小时后视为监理人已经认可试车记录，</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可继续施工或办理竣工验收手续。</w:t>
      </w:r>
    </w:p>
    <w:p w14:paraId="352FC7E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监理人不能按时参加试车，应在试车前24小时以书面形式向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提出延期要求，但延期不能超过48小时，由此导致工期延误的，工期应予以顺延。监理人未能在前述期限内提出延期要求，又不参加试车的，视为认可试车记录。</w:t>
      </w:r>
    </w:p>
    <w:p w14:paraId="43F6A29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（2）具备无负荷联动试车条件，</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组织试车，并在试车前48小时以书面形式通知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。通知中应载明试车内容、时间、地点和对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按要求做好准备工作。试车合格，合同当事人在试车记录上签字。</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无正当理由不参加试车的，视为认可试车记录。</w:t>
      </w:r>
    </w:p>
    <w:p w14:paraId="7179438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13.3.2 试车中的责任</w:t>
      </w:r>
    </w:p>
    <w:p w14:paraId="4308B9E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因设计原因导致试车达不到验收要求，</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应要求设计人修改设计，</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按修改后的设计重新安装。</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承担修改设计、拆除及重新安装的全部费用，工期相应顺延。因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原因导致试车达不到验收要求，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按监理人要求重新安装和试车，并承担重新安装和试车的费用，工期不予顺延。</w:t>
      </w:r>
    </w:p>
    <w:p w14:paraId="2315AEB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因工程设备制造原因导致试车达不到验收要求的，由采购该工程设备的合同当事人负责重新购置或修理，</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负责拆除和重新安装，由此增加的修理、重新购置、拆除及重新安装的费用及延误的工期由采购该工程设备的合同当事人承担。</w:t>
      </w:r>
    </w:p>
    <w:p w14:paraId="14A21D3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13.3.3 投料试车</w:t>
      </w:r>
    </w:p>
    <w:p w14:paraId="00EAEE5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如需进行投料试车的，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应在工程竣工验收后组织投料试车。</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要求在工程竣工验收前进行或需要</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配合时，应征得</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同意，并在专用合同条款中约定有关事项。</w:t>
      </w:r>
    </w:p>
    <w:p w14:paraId="68BF6C6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投料试车合格的，费用由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原因造成投料试车不合格的，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要求进行整改，由此产生的整改费用由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承担；非因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原因导致投料试车不合格的，如</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进行整改的，由此产生的费用由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66544985">
      <w:pPr>
        <w:pStyle w:val="7"/>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332" w:name="_Toc337558808"/>
      <w:r>
        <w:rPr>
          <w:rFonts w:hint="eastAsia" w:ascii="仿宋" w:hAnsi="仿宋" w:eastAsia="仿宋" w:cs="仿宋"/>
          <w:b w:val="0"/>
          <w:color w:val="auto"/>
          <w:sz w:val="24"/>
          <w:szCs w:val="24"/>
        </w:rPr>
        <w:t xml:space="preserve">    </w:t>
      </w:r>
      <w:bookmarkStart w:id="1333" w:name="_Toc351203590"/>
      <w:r>
        <w:rPr>
          <w:rFonts w:hint="eastAsia" w:ascii="仿宋" w:hAnsi="仿宋" w:eastAsia="仿宋" w:cs="仿宋"/>
          <w:b w:val="0"/>
          <w:color w:val="auto"/>
          <w:sz w:val="24"/>
          <w:szCs w:val="24"/>
        </w:rPr>
        <w:t>13.4提前交付单位工程的验收</w:t>
      </w:r>
      <w:bookmarkEnd w:id="1333"/>
    </w:p>
    <w:bookmarkEnd w:id="1332"/>
    <w:p w14:paraId="287A41F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13.4.1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需要在工程竣工前使用单位工程的，或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提出提前交付已经竣工的单位工程且经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同意的，可进行单位工程验收，验收的程序按照第13.2款〔竣工验收〕的约定进行。</w:t>
      </w:r>
    </w:p>
    <w:p w14:paraId="2D0EB6B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验收合格后，由监理人向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出具经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签认的单位工程接收证书。已签发单位工程接收证书的单位工程由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负责照管。单位工程的验收成果和结论作为整体工程竣工验收申请报告的附件。</w:t>
      </w:r>
    </w:p>
    <w:p w14:paraId="4F633D1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13.4.2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要求在工程竣工前交付单位工程，由此导致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费用增加和（或）工期延误的，由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承担由此增加的费用和（或）延误的工期，并支付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w:t>
      </w:r>
    </w:p>
    <w:p w14:paraId="03FF6AE2">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34" w:name="_Toc351203591"/>
      <w:r>
        <w:rPr>
          <w:rFonts w:hint="eastAsia" w:ascii="仿宋" w:hAnsi="仿宋" w:eastAsia="仿宋" w:cs="仿宋"/>
          <w:b w:val="0"/>
          <w:color w:val="auto"/>
          <w:sz w:val="24"/>
          <w:szCs w:val="24"/>
        </w:rPr>
        <w:t>13.5 施工期运行</w:t>
      </w:r>
      <w:bookmarkEnd w:id="1334"/>
    </w:p>
    <w:p w14:paraId="7DD43EB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13.5.1 施工期运行是指合同工程尚未全部竣工，其中某项或某几项单位工程或工程设备安装已竣工，根据专用合同条款约定，需要投入施工期运行的，经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按第13.4款〔提前交付单位工程的验收〕的约定验收合格，证明能确保安全后，才能在施工期投入运行。</w:t>
      </w:r>
    </w:p>
    <w:p w14:paraId="206A71A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13.5.2 在施工期运行中发现工程或工程设备损坏或存在缺陷的，由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按第15.2款〔缺陷责任期〕约定进行修复。</w:t>
      </w:r>
    </w:p>
    <w:p w14:paraId="5D9E62CB">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35" w:name="_Toc296346613"/>
      <w:bookmarkStart w:id="1336" w:name="_Toc296503112"/>
      <w:bookmarkStart w:id="1337" w:name="_Toc351203592"/>
      <w:bookmarkStart w:id="1338" w:name="_Toc337558809"/>
      <w:r>
        <w:rPr>
          <w:rFonts w:hint="eastAsia" w:ascii="仿宋" w:hAnsi="仿宋" w:eastAsia="仿宋" w:cs="仿宋"/>
          <w:b w:val="0"/>
          <w:color w:val="auto"/>
          <w:sz w:val="24"/>
          <w:szCs w:val="24"/>
        </w:rPr>
        <w:t>13.6 竣工退</w:t>
      </w:r>
      <w:bookmarkEnd w:id="1335"/>
      <w:bookmarkEnd w:id="1336"/>
      <w:r>
        <w:rPr>
          <w:rFonts w:hint="eastAsia" w:ascii="仿宋" w:hAnsi="仿宋" w:eastAsia="仿宋" w:cs="仿宋"/>
          <w:b w:val="0"/>
          <w:color w:val="auto"/>
          <w:sz w:val="24"/>
          <w:szCs w:val="24"/>
        </w:rPr>
        <w:t>场</w:t>
      </w:r>
      <w:bookmarkEnd w:id="1337"/>
    </w:p>
    <w:bookmarkEnd w:id="1338"/>
    <w:p w14:paraId="738CBB5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13.6.1 竣工退场</w:t>
      </w:r>
    </w:p>
    <w:p w14:paraId="626C34E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颁发工程接收证书后，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应按以下要求对施工现场进行清理：</w:t>
      </w:r>
    </w:p>
    <w:p w14:paraId="6C1268D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（1）施工现场内残留的垃圾已全部清除出场；</w:t>
      </w:r>
    </w:p>
    <w:p w14:paraId="5343D3A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（2）临时工程已拆除，场地已进行清理、平整或复原；</w:t>
      </w:r>
    </w:p>
    <w:p w14:paraId="18A303C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（3）按合同约定应撤离的人员、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施工设备和剩余的材料，包括废弃的施工设备和材料，已按计划撤离施工现场；</w:t>
      </w:r>
    </w:p>
    <w:p w14:paraId="2206B248">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（4）施工现场周边及其附近道路、河道的施工堆积物，已全部清理；</w:t>
      </w:r>
    </w:p>
    <w:p w14:paraId="0ECA692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（5）施工现场其他场地清理工作已全部完成。</w:t>
      </w:r>
    </w:p>
    <w:p w14:paraId="15E9750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施工现场的竣工退场费用由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应在专用合同条款约定的期限内完成竣工退场，逾期未完成的，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有权出售或另行处理</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遗留的物品，由此支出的费用由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出售</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遗留物品所得款项在扣除必要费用后应返还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w:t>
      </w:r>
    </w:p>
    <w:p w14:paraId="0E2FDBD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13.6.2 地表还原</w:t>
      </w:r>
    </w:p>
    <w:p w14:paraId="6BAD611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要求恢复临时占地及清理场地，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未按</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的要求恢复临时占地，或者场地清理未达到合同约定要求的，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有权委托其他人恢复或清理，所发生的费用由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3AE21499">
      <w:pPr>
        <w:pStyle w:val="6"/>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339" w:name="_Toc351203593"/>
      <w:bookmarkStart w:id="1340" w:name="_Toc337558810"/>
      <w:bookmarkStart w:id="1341" w:name="_Toc296503113"/>
      <w:bookmarkStart w:id="1342" w:name="_Toc296346614"/>
      <w:r>
        <w:rPr>
          <w:rFonts w:hint="eastAsia" w:ascii="仿宋" w:hAnsi="仿宋" w:eastAsia="仿宋" w:cs="仿宋"/>
          <w:b w:val="0"/>
          <w:color w:val="auto"/>
          <w:sz w:val="24"/>
          <w:szCs w:val="24"/>
        </w:rPr>
        <w:t>14. 竣工结算</w:t>
      </w:r>
      <w:bookmarkEnd w:id="1339"/>
    </w:p>
    <w:bookmarkEnd w:id="1340"/>
    <w:p w14:paraId="580A9008">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43" w:name="_Toc351203594"/>
      <w:bookmarkStart w:id="1344" w:name="_Toc337558811"/>
      <w:r>
        <w:rPr>
          <w:rFonts w:hint="eastAsia" w:ascii="仿宋" w:hAnsi="仿宋" w:eastAsia="仿宋" w:cs="仿宋"/>
          <w:b w:val="0"/>
          <w:color w:val="auto"/>
          <w:sz w:val="24"/>
          <w:szCs w:val="24"/>
        </w:rPr>
        <w:t>14.1 竣工结算申请</w:t>
      </w:r>
      <w:bookmarkEnd w:id="1343"/>
    </w:p>
    <w:bookmarkEnd w:id="1344"/>
    <w:p w14:paraId="03AED5F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应在工程竣工验收合格后28天内向</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和监理人提交竣工结算申请单，并提交完整的结算资料，有关竣工结算申请单的资料清单和份数等要求由合同当事人在专用合同条款中约定。</w:t>
      </w:r>
    </w:p>
    <w:p w14:paraId="7B2B6E0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除专用合同条款另有约定外，竣工结算申请单应包括以下内容：</w:t>
      </w:r>
    </w:p>
    <w:p w14:paraId="46558EA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（1）竣工结算合同价格；</w:t>
      </w:r>
    </w:p>
    <w:p w14:paraId="096FCB5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已支付</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的款项；</w:t>
      </w:r>
    </w:p>
    <w:p w14:paraId="1408613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（3）应扣留的质量保证金。已缴纳履约保证金的或提供其他工程质量担保方式的除外； </w:t>
      </w:r>
    </w:p>
    <w:p w14:paraId="7F5F585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应支付</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的合同价款。</w:t>
      </w:r>
    </w:p>
    <w:p w14:paraId="278150D4">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45" w:name="_Toc351203595"/>
      <w:bookmarkStart w:id="1346" w:name="_Toc337558812"/>
      <w:r>
        <w:rPr>
          <w:rFonts w:hint="eastAsia" w:ascii="仿宋" w:hAnsi="仿宋" w:eastAsia="仿宋" w:cs="仿宋"/>
          <w:b w:val="0"/>
          <w:color w:val="auto"/>
          <w:sz w:val="24"/>
          <w:szCs w:val="24"/>
        </w:rPr>
        <w:t>14.2 竣工结算审核</w:t>
      </w:r>
      <w:bookmarkEnd w:id="1345"/>
    </w:p>
    <w:bookmarkEnd w:id="1346"/>
    <w:p w14:paraId="7EC4B80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（1）除专用合同条款另有约定外，监理人应在收到竣工结算申请单后14天内完成核查并报送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应在收到监理人提交的经审核的竣工结算申请单后14天内完成审批，并由监理人向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签发经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签认的竣工付款证书。监理人或</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对竣工</w:t>
      </w:r>
      <w:r>
        <w:rPr>
          <w:rFonts w:hint="eastAsia" w:ascii="仿宋" w:hAnsi="仿宋" w:eastAsia="仿宋" w:cs="仿宋"/>
          <w:color w:val="auto"/>
          <w:kern w:val="0"/>
          <w:sz w:val="24"/>
          <w:szCs w:val="24"/>
        </w:rPr>
        <w:t>结算</w:t>
      </w:r>
      <w:r>
        <w:rPr>
          <w:rFonts w:hint="eastAsia" w:ascii="仿宋" w:hAnsi="仿宋" w:eastAsia="仿宋" w:cs="仿宋"/>
          <w:color w:val="auto"/>
          <w:sz w:val="24"/>
          <w:szCs w:val="24"/>
        </w:rPr>
        <w:t>申请单有异议的，有权要求</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进行修正和提供补充资料，</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应提交修正后的竣工</w:t>
      </w:r>
      <w:r>
        <w:rPr>
          <w:rFonts w:hint="eastAsia" w:ascii="仿宋" w:hAnsi="仿宋" w:eastAsia="仿宋" w:cs="仿宋"/>
          <w:color w:val="auto"/>
          <w:kern w:val="0"/>
          <w:sz w:val="24"/>
          <w:szCs w:val="24"/>
        </w:rPr>
        <w:t>结算</w:t>
      </w:r>
      <w:r>
        <w:rPr>
          <w:rFonts w:hint="eastAsia" w:ascii="仿宋" w:hAnsi="仿宋" w:eastAsia="仿宋" w:cs="仿宋"/>
          <w:color w:val="auto"/>
          <w:sz w:val="24"/>
          <w:szCs w:val="24"/>
        </w:rPr>
        <w:t>申请单。</w:t>
      </w:r>
    </w:p>
    <w:p w14:paraId="2D3F70F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提交竣工结算申请书后28天内未完成审批且未提出异议的，视为</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认可</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提交的竣工结算申请单，并自</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提交的竣工结算申请单后第29天起视为已签发竣工付款证书。</w:t>
      </w:r>
    </w:p>
    <w:p w14:paraId="444FFEC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应在签发竣工付款证书后的14 天内，完成对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的竣工付款。</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逾期支付的，按照中国人民银行发布的同期同类贷款基准利率支付违约金；逾期支付超过56天的，按照中国人民银行发布的同期同类贷款基准利率的两倍支付违约金。</w:t>
      </w:r>
    </w:p>
    <w:p w14:paraId="65D41F4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签认的竣工付款证书有异议的，对于有异议部分应在收到</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签认的竣工付款证书后7天内提出异议，并由合同当事人按照专用合同条款约定的方式和程序进行复核，或按照第20条〔争议解决〕约定处理。对于无异议部分，</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应签发临时竣工付款证书，并按本款第（2）项完成付款。</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逾期未提出异议的，视为认可</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的审批结果。</w:t>
      </w:r>
    </w:p>
    <w:p w14:paraId="5DC3FDFF">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47" w:name="_Toc351203596"/>
      <w:bookmarkStart w:id="1348" w:name="_Toc337558813"/>
      <w:r>
        <w:rPr>
          <w:rFonts w:hint="eastAsia" w:ascii="仿宋" w:hAnsi="仿宋" w:eastAsia="仿宋" w:cs="仿宋"/>
          <w:b w:val="0"/>
          <w:color w:val="auto"/>
          <w:sz w:val="24"/>
          <w:szCs w:val="24"/>
        </w:rPr>
        <w:t>14.3 甩项竣工协议</w:t>
      </w:r>
      <w:bookmarkEnd w:id="1347"/>
    </w:p>
    <w:bookmarkEnd w:id="1348"/>
    <w:p w14:paraId="3A7BF5AB">
      <w:pPr>
        <w:pageBreakBefore w:val="0"/>
        <w:widowControl w:val="0"/>
        <w:kinsoku/>
        <w:wordWrap/>
        <w:overflowPunct/>
        <w:topLinePunct w:val="0"/>
        <w:autoSpaceDE w:val="0"/>
        <w:autoSpaceDN w:val="0"/>
        <w:bidi w:val="0"/>
        <w:adjustRightInd w:val="0"/>
        <w:snapToGrid/>
        <w:spacing w:line="440" w:lineRule="exact"/>
        <w:ind w:firstLine="470" w:firstLineChars="196"/>
        <w:jc w:val="left"/>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要求甩项竣工的，合同当事人应签订甩项竣工协议。在甩项竣工协议中应明确，合同当事人按照第14.1款〔竣工结算申请〕及14.2款〔竣工结算审核〕的约定，对已完合格工程进行结算，并支付相应合同价款。</w:t>
      </w:r>
    </w:p>
    <w:p w14:paraId="1BB8BF47">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49" w:name="_Toc351203597"/>
      <w:bookmarkStart w:id="1350" w:name="_Toc337558814"/>
      <w:r>
        <w:rPr>
          <w:rFonts w:hint="eastAsia" w:ascii="仿宋" w:hAnsi="仿宋" w:eastAsia="仿宋" w:cs="仿宋"/>
          <w:b w:val="0"/>
          <w:color w:val="auto"/>
          <w:sz w:val="24"/>
          <w:szCs w:val="24"/>
        </w:rPr>
        <w:t>14.4 最终结清</w:t>
      </w:r>
      <w:bookmarkEnd w:id="1349"/>
    </w:p>
    <w:bookmarkEnd w:id="1350"/>
    <w:p w14:paraId="2AB0085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14.4.1 最终结清申请单</w:t>
      </w:r>
    </w:p>
    <w:p w14:paraId="0320C37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应在缺陷责任期终止证书颁发后7天内，按专用合同条款约定的份数向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提交最终结清申请单，并提供相关证明材料。</w:t>
      </w:r>
    </w:p>
    <w:p w14:paraId="25254AB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除专用合同条款另有约定外，</w:t>
      </w:r>
      <w:r>
        <w:rPr>
          <w:rFonts w:hint="eastAsia" w:ascii="仿宋" w:hAnsi="仿宋" w:eastAsia="仿宋" w:cs="仿宋"/>
          <w:color w:val="auto"/>
          <w:kern w:val="0"/>
          <w:sz w:val="24"/>
          <w:szCs w:val="24"/>
        </w:rPr>
        <w:t>最终结清申请单</w:t>
      </w:r>
      <w:r>
        <w:rPr>
          <w:rFonts w:hint="eastAsia" w:ascii="仿宋" w:hAnsi="仿宋" w:eastAsia="仿宋" w:cs="仿宋"/>
          <w:color w:val="auto"/>
          <w:sz w:val="24"/>
          <w:szCs w:val="24"/>
        </w:rPr>
        <w:t>应列明质量保证金、应扣除的质量保证金、缺陷责任期内发生的增减费用。</w:t>
      </w:r>
    </w:p>
    <w:p w14:paraId="2E21F2A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对最终结清申请单内容有异议的，有权要求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进行修正和提供补充资料，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提交修正后的最终结清申请单。</w:t>
      </w:r>
    </w:p>
    <w:p w14:paraId="39A99CA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14.4.2 最终结清证书和支付</w:t>
      </w:r>
    </w:p>
    <w:p w14:paraId="2FEE44F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提交的最终结清申请单后14天内完成审批并向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颁发最终结清证书。</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逾期未完成审批，又未提出修改意见的，视为</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提交的最终结清申请单，且自</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提交的最终结清申请单后15天起视为已颁发最终结清证书。</w:t>
      </w:r>
    </w:p>
    <w:p w14:paraId="1A49434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应在颁发最终结清证书后7天内完成支付。</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逾期支付的，按照中国人民银行发布的同期同类贷款基准利率支付违约金；逾期支付超过56天的，按照中国人民银行发布的同期同类贷款基准利率的两倍支付违约金。</w:t>
      </w:r>
    </w:p>
    <w:p w14:paraId="53FEE9E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颁发的最终结清证书有异议的，按第20条〔争议解决〕的约定办理。</w:t>
      </w:r>
    </w:p>
    <w:p w14:paraId="677CE8F8">
      <w:pPr>
        <w:pStyle w:val="6"/>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351" w:name="_Toc351203598"/>
      <w:bookmarkStart w:id="1352" w:name="_Toc337558815"/>
      <w:r>
        <w:rPr>
          <w:rFonts w:hint="eastAsia" w:ascii="仿宋" w:hAnsi="仿宋" w:eastAsia="仿宋" w:cs="仿宋"/>
          <w:b w:val="0"/>
          <w:color w:val="auto"/>
          <w:sz w:val="24"/>
          <w:szCs w:val="24"/>
        </w:rPr>
        <w:t>15. 缺陷责任与保修</w:t>
      </w:r>
      <w:bookmarkEnd w:id="1351"/>
    </w:p>
    <w:bookmarkEnd w:id="1341"/>
    <w:bookmarkEnd w:id="1342"/>
    <w:bookmarkEnd w:id="1352"/>
    <w:p w14:paraId="3746F241">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53" w:name="_Toc351203599"/>
      <w:bookmarkStart w:id="1354" w:name="_Toc337558816"/>
      <w:bookmarkStart w:id="1355" w:name="_Toc296503114"/>
      <w:bookmarkStart w:id="1356" w:name="_Toc296346615"/>
      <w:r>
        <w:rPr>
          <w:rFonts w:hint="eastAsia" w:ascii="仿宋" w:hAnsi="仿宋" w:eastAsia="仿宋" w:cs="仿宋"/>
          <w:b w:val="0"/>
          <w:color w:val="auto"/>
          <w:sz w:val="24"/>
          <w:szCs w:val="24"/>
        </w:rPr>
        <w:t>15.1 工程保修的原则</w:t>
      </w:r>
      <w:bookmarkEnd w:id="1353"/>
    </w:p>
    <w:bookmarkEnd w:id="1354"/>
    <w:p w14:paraId="156DA0E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在工程移交</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后，因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原因产生的质量缺陷，</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应承担质量缺陷责任和保修义务。缺陷责任期届满，</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仍应按合同约定的工程各部位保修年限承担保修义务。</w:t>
      </w:r>
    </w:p>
    <w:p w14:paraId="73B3D6DE">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57" w:name="_Toc351203600"/>
      <w:bookmarkStart w:id="1358" w:name="_Toc337558817"/>
      <w:r>
        <w:rPr>
          <w:rFonts w:hint="eastAsia" w:ascii="仿宋" w:hAnsi="仿宋" w:eastAsia="仿宋" w:cs="仿宋"/>
          <w:b w:val="0"/>
          <w:color w:val="auto"/>
          <w:sz w:val="24"/>
          <w:szCs w:val="24"/>
        </w:rPr>
        <w:t>15.2 缺陷责任期</w:t>
      </w:r>
      <w:bookmarkEnd w:id="1355"/>
      <w:bookmarkEnd w:id="1356"/>
      <w:bookmarkEnd w:id="1357"/>
    </w:p>
    <w:bookmarkEnd w:id="1358"/>
    <w:p w14:paraId="7CEA870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15.2.1 缺陷责任期从工程通过竣工验收之日起计算，合同当事人应在专用合同条款约定缺陷责任期的具体期限，但该期限最长不超过24个月。</w:t>
      </w:r>
    </w:p>
    <w:p w14:paraId="02EA11D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单位工程先于全部工程进行验收，经验收合格并交付使用的，该单位工程缺陷责任期自单位工程验收合格之日起算。因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原因导致工程无法按合同约定期限进行竣工验收的，缺陷责任期从实际通过竣工验收之日起计算。因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原因导致工程无法按合同约定期限进行竣工验收的，在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提交竣工验收报告90天后，工程自动进入缺陷责任期；</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未经竣工验收擅自使用工程的，缺陷责任期自工程转移占有之日起开始计算。</w:t>
      </w:r>
    </w:p>
    <w:p w14:paraId="45489FC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15.2.2缺陷责任期内，由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原因造成的缺陷，</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应负责维修，并承担鉴定及维修费用。如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不维修也不承担费用，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可按合同约定从保证金或银行保函中扣除，费用超出保证金额的，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可按合同约定向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进行索赔。</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维修并承担相应费用后，不免除对工程的损失赔偿责任。</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有权要求</w:t>
      </w:r>
      <w:r>
        <w:rPr>
          <w:rFonts w:hint="eastAsia" w:ascii="仿宋" w:hAnsi="仿宋" w:eastAsia="仿宋" w:cs="仿宋"/>
          <w:color w:val="auto"/>
          <w:kern w:val="0"/>
          <w:sz w:val="24"/>
          <w:szCs w:val="24"/>
          <w:lang w:eastAsia="zh-CN"/>
        </w:rPr>
        <w:t>承包人</w:t>
      </w:r>
      <w:r>
        <w:rPr>
          <w:rFonts w:hint="eastAsia" w:ascii="仿宋" w:hAnsi="仿宋" w:eastAsia="仿宋" w:cs="仿宋"/>
          <w:bCs/>
          <w:color w:val="auto"/>
          <w:sz w:val="24"/>
          <w:szCs w:val="24"/>
        </w:rPr>
        <w:t>延长缺陷责任期，</w:t>
      </w:r>
      <w:r>
        <w:rPr>
          <w:rFonts w:hint="eastAsia" w:ascii="仿宋" w:hAnsi="仿宋" w:eastAsia="仿宋" w:cs="仿宋"/>
          <w:color w:val="auto"/>
          <w:kern w:val="0"/>
          <w:sz w:val="24"/>
          <w:szCs w:val="24"/>
        </w:rPr>
        <w:t>并应在原缺陷责任期届满前发出延长通知</w:t>
      </w:r>
      <w:r>
        <w:rPr>
          <w:rFonts w:hint="eastAsia" w:ascii="仿宋" w:hAnsi="仿宋" w:eastAsia="仿宋" w:cs="仿宋"/>
          <w:color w:val="auto"/>
          <w:kern w:val="0"/>
          <w:sz w:val="24"/>
          <w:szCs w:val="24"/>
          <w:lang w:eastAsia="zh-CN"/>
        </w:rPr>
        <w:t>。</w:t>
      </w:r>
      <w:r>
        <w:rPr>
          <w:rFonts w:hint="eastAsia" w:ascii="仿宋" w:hAnsi="仿宋" w:eastAsia="仿宋" w:cs="仿宋"/>
          <w:bCs/>
          <w:color w:val="auto"/>
          <w:sz w:val="24"/>
          <w:szCs w:val="24"/>
        </w:rPr>
        <w:t>但缺陷责任期</w:t>
      </w:r>
      <w:r>
        <w:rPr>
          <w:rFonts w:hint="eastAsia" w:ascii="仿宋" w:hAnsi="仿宋" w:eastAsia="仿宋" w:cs="仿宋"/>
          <w:bCs/>
          <w:color w:val="auto"/>
          <w:sz w:val="24"/>
          <w:szCs w:val="24"/>
          <w:lang w:eastAsia="zh-CN"/>
        </w:rPr>
        <w:t>（含延长部分）</w:t>
      </w:r>
      <w:r>
        <w:rPr>
          <w:rFonts w:hint="eastAsia" w:ascii="仿宋" w:hAnsi="仿宋" w:eastAsia="仿宋" w:cs="仿宋"/>
          <w:bCs/>
          <w:color w:val="auto"/>
          <w:sz w:val="24"/>
          <w:szCs w:val="24"/>
        </w:rPr>
        <w:t>最长</w:t>
      </w:r>
      <w:r>
        <w:rPr>
          <w:rFonts w:hint="eastAsia" w:ascii="仿宋" w:hAnsi="仿宋" w:eastAsia="仿宋" w:cs="仿宋"/>
          <w:color w:val="auto"/>
          <w:kern w:val="0"/>
          <w:sz w:val="24"/>
          <w:szCs w:val="24"/>
        </w:rPr>
        <w:t>不能超过24个月。</w:t>
      </w:r>
    </w:p>
    <w:p w14:paraId="6EFB4C3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由他人原因造成的缺陷，</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负责组织维修，</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不承担费用，且</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不得从保证金中扣除费用。</w:t>
      </w:r>
    </w:p>
    <w:p w14:paraId="03840D4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15.2.3 任何一项缺陷或损坏修复后，经检查证明其影响了工程或工程设备的使用性能，</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应重新进行合同约定的试验和试运行，试验和试运行的全部费用应由责任方承担。</w:t>
      </w:r>
    </w:p>
    <w:p w14:paraId="18D0A6B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15.2.4 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应于缺陷责任期届满后7天内向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发出缺陷责任期届满通知，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应在收到缺陷责任期满通知后14天内核实</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是否履行缺陷修复义务，</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未能履行缺陷修复义务的，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有权扣除相应金额的维修费用。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应在收到缺陷责任期届满通知后14天内，向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颁发缺陷责任期终止证书。</w:t>
      </w:r>
    </w:p>
    <w:p w14:paraId="37407253">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59" w:name="_Toc351203601"/>
      <w:bookmarkStart w:id="1360" w:name="_Toc337558818"/>
      <w:bookmarkStart w:id="1361" w:name="_Toc296346616"/>
      <w:bookmarkStart w:id="1362" w:name="_Toc296503115"/>
      <w:r>
        <w:rPr>
          <w:rFonts w:hint="eastAsia" w:ascii="仿宋" w:hAnsi="仿宋" w:eastAsia="仿宋" w:cs="仿宋"/>
          <w:b w:val="0"/>
          <w:color w:val="auto"/>
          <w:sz w:val="24"/>
          <w:szCs w:val="24"/>
        </w:rPr>
        <w:t>15.3 质量保证金</w:t>
      </w:r>
      <w:bookmarkEnd w:id="1359"/>
    </w:p>
    <w:bookmarkEnd w:id="1360"/>
    <w:p w14:paraId="3BDBCC3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经合同当事人协商一致扣留质量保证金的，应在专用合同条款中予以明确。</w:t>
      </w:r>
    </w:p>
    <w:p w14:paraId="6623313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在工程项目竣工前，</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已经提供履约担保的，</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不得同时预留工程质量保证金。</w:t>
      </w:r>
    </w:p>
    <w:p w14:paraId="6DA3CBE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p>
    <w:p w14:paraId="2A83CEC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15.3.1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提供质量保证金的方式</w:t>
      </w:r>
    </w:p>
    <w:p w14:paraId="3D66808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提供质量保证金有以下三种方式：</w:t>
      </w:r>
    </w:p>
    <w:p w14:paraId="1D47BE3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（1）质量保证金保函； </w:t>
      </w:r>
    </w:p>
    <w:p w14:paraId="2390FA6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（2）相应比例的工程款；</w:t>
      </w:r>
    </w:p>
    <w:p w14:paraId="413D49E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（3）双方约定的其他方式。</w:t>
      </w:r>
    </w:p>
    <w:p w14:paraId="37096FB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除专用合同条款另有约定外，质量保证金原则上采用上述第（1）种方式。</w:t>
      </w:r>
    </w:p>
    <w:p w14:paraId="014564E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15.3.2 质量保证金的扣留</w:t>
      </w:r>
    </w:p>
    <w:p w14:paraId="7A256D0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质量保证金的扣留有以下三种方式：</w:t>
      </w:r>
    </w:p>
    <w:p w14:paraId="0666688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（1）在支付工程进度款时逐次扣留，在此情形下，质量保证金的计算基数不包括预付款的支付、扣回以及价格调整的金额；</w:t>
      </w:r>
    </w:p>
    <w:p w14:paraId="7B75DB8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（2）工</w:t>
      </w:r>
      <w:bookmarkStart w:id="1363" w:name="#go6"/>
      <w:bookmarkEnd w:id="1363"/>
      <w:r>
        <w:rPr>
          <w:rFonts w:hint="eastAsia" w:ascii="仿宋" w:hAnsi="仿宋" w:eastAsia="仿宋" w:cs="仿宋"/>
          <w:color w:val="auto"/>
          <w:kern w:val="0"/>
          <w:sz w:val="24"/>
          <w:szCs w:val="24"/>
        </w:rPr>
        <w:t>程竣工结算时一次性扣留质量保证金；</w:t>
      </w:r>
    </w:p>
    <w:p w14:paraId="30B37E3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（3）双方约定的其他扣留方式。</w:t>
      </w:r>
    </w:p>
    <w:p w14:paraId="6637F9B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除专用合同条款另有约定外，质量保证金的扣留原则上采用上述第（1）种方式。</w:t>
      </w:r>
    </w:p>
    <w:p w14:paraId="66C249F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累计扣留的质量保证金不得超过工程价款结算总额的3%。如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签发竣工付款证书后28天内提交质量保证金保函，</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应同时退还扣留的作为质量保证金的工程价款；保函金额不得超过工程价款结算总额的3%。</w:t>
      </w:r>
    </w:p>
    <w:p w14:paraId="51763D0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在退还质量保证金的同时按照中国人民银行发布的同期同类贷款基准利率支付利息。</w:t>
      </w:r>
    </w:p>
    <w:p w14:paraId="409839B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15.3.3 </w:t>
      </w:r>
      <w:r>
        <w:rPr>
          <w:rFonts w:hint="eastAsia" w:ascii="仿宋" w:hAnsi="仿宋" w:eastAsia="仿宋" w:cs="仿宋"/>
          <w:color w:val="auto"/>
          <w:sz w:val="24"/>
          <w:szCs w:val="24"/>
        </w:rPr>
        <w:t>质量保证金</w:t>
      </w:r>
      <w:r>
        <w:rPr>
          <w:rFonts w:hint="eastAsia" w:ascii="仿宋" w:hAnsi="仿宋" w:eastAsia="仿宋" w:cs="仿宋"/>
          <w:color w:val="auto"/>
          <w:kern w:val="0"/>
          <w:sz w:val="24"/>
          <w:szCs w:val="24"/>
        </w:rPr>
        <w:t>的退还</w:t>
      </w:r>
    </w:p>
    <w:p w14:paraId="4A5886A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缺陷责任期内，</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认真履行合同约定的责任，到期后，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申请返还保证金。</w:t>
      </w:r>
    </w:p>
    <w:p w14:paraId="1BA89AB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在接到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返还保证金申请后，应于14天内会同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按照合同约定的内容进行核实。如无异议，</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应当按照约定将保证金返还给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。对返还期限没有约定或者约定不明确的，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应当在核实后14天内将保证金返还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，逾期未返还的，依法承担违约责任。</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在接到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返还保证金申请后14天内不予答复，经催告后14天内仍不予答复，视同认可</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的返还保证金申请。</w:t>
      </w:r>
    </w:p>
    <w:p w14:paraId="0654614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对保证金预留、返还以及工程维修质量、费用有争议的，按本合同第20条约定的争议和纠纷解决程序处理。</w:t>
      </w:r>
    </w:p>
    <w:p w14:paraId="4A6E9909">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64" w:name="_Toc351203602"/>
      <w:bookmarkStart w:id="1365" w:name="_Toc337558819"/>
      <w:r>
        <w:rPr>
          <w:rFonts w:hint="eastAsia" w:ascii="仿宋" w:hAnsi="仿宋" w:eastAsia="仿宋" w:cs="仿宋"/>
          <w:b w:val="0"/>
          <w:color w:val="auto"/>
          <w:sz w:val="24"/>
          <w:szCs w:val="24"/>
        </w:rPr>
        <w:t>15.4 保修</w:t>
      </w:r>
      <w:bookmarkEnd w:id="1364"/>
    </w:p>
    <w:bookmarkEnd w:id="1361"/>
    <w:bookmarkEnd w:id="1362"/>
    <w:bookmarkEnd w:id="1365"/>
    <w:p w14:paraId="278B8FB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15.4.1保修责任</w:t>
      </w:r>
    </w:p>
    <w:p w14:paraId="4BCDF79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工程保修期从工程竣工验收合格之日起算，具体分部分项工程的保修期由合同当事人在专用合同条款中约定，但不得低于法定最低保修年限。在工程保修期内，</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应当根据有关法律规定以及合同约定承担保修责任。</w:t>
      </w:r>
    </w:p>
    <w:p w14:paraId="707648E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未经竣工验收擅自使用工程的，保修期自</w:t>
      </w:r>
      <w:r>
        <w:rPr>
          <w:rFonts w:hint="eastAsia" w:ascii="仿宋" w:hAnsi="仿宋" w:eastAsia="仿宋" w:cs="仿宋"/>
          <w:color w:val="auto"/>
          <w:kern w:val="0"/>
          <w:sz w:val="24"/>
          <w:szCs w:val="24"/>
        </w:rPr>
        <w:t>转移占有之日起算</w:t>
      </w:r>
      <w:r>
        <w:rPr>
          <w:rFonts w:hint="eastAsia" w:ascii="仿宋" w:hAnsi="仿宋" w:eastAsia="仿宋" w:cs="仿宋"/>
          <w:color w:val="auto"/>
          <w:sz w:val="24"/>
          <w:szCs w:val="24"/>
        </w:rPr>
        <w:t>。</w:t>
      </w:r>
    </w:p>
    <w:p w14:paraId="5A2A045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15.4.2 修复费用</w:t>
      </w:r>
    </w:p>
    <w:p w14:paraId="3A637BA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保修期内，修复的费用按照以下约定处理：</w:t>
      </w:r>
    </w:p>
    <w:p w14:paraId="5C90DCB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（1）保修期内，因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原因造成工程的缺陷、损坏，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应负责修复，并承担修复的费用以及因工程的缺陷、损坏造成的人身伤害和财产损失；</w:t>
      </w:r>
    </w:p>
    <w:p w14:paraId="79890D7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（2）保修期内，因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使用不当造成工程的缺陷、损坏，可以委托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修复，但</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应承担修复的费用，并支付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合理利润；</w:t>
      </w:r>
    </w:p>
    <w:p w14:paraId="21F7303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（3）因其他原因造成工程的缺陷、损坏，可以委托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修复，</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应承担修复的费用，并支付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合理的利润，因工程的缺陷、损坏造成的人身伤害和财产损失由责任方承担。</w:t>
      </w:r>
    </w:p>
    <w:p w14:paraId="747B14C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15.4.3 修复通知</w:t>
      </w:r>
    </w:p>
    <w:p w14:paraId="7CB5636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在保修期内，</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在使用过程中，发现已接收的工程存在缺陷或损坏的，应书面通知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予以修复，但情况紧急必须立即修复缺陷或损坏的，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可以口头通知</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并在口头通知后48小时内书面确认，</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应在专用合同条款约定的合理期限内到达工程现场并修复缺陷或损坏。</w:t>
      </w:r>
    </w:p>
    <w:p w14:paraId="6142C6A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15.4.4 未能修复</w:t>
      </w:r>
    </w:p>
    <w:p w14:paraId="133E585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原因造成工程的缺陷或损坏，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拒绝维修或未能在合理期限内修复缺陷或损坏，且经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书面催告后仍未修复的，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有权自行修复或委托第三方修复，所需费用由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承担。但修复范围超出缺陷或损坏范围的，超出范围部分的修复费用由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04C2C11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15.4.5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出入权</w:t>
      </w:r>
    </w:p>
    <w:p w14:paraId="00EE427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在保修期内，为了修复缺陷或损坏，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有权出入工程现场，除情况紧急必须立即修复缺陷或损坏外，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应提前24小时通知</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进场修复的时间。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进入工程现场前应获得</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同意，且不应影响</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正常的生产经营，并应遵守</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有关保安和保密等规定。</w:t>
      </w:r>
    </w:p>
    <w:p w14:paraId="158D50B0">
      <w:pPr>
        <w:pStyle w:val="6"/>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366" w:name="_Toc351203603"/>
      <w:bookmarkStart w:id="1367" w:name="_Toc337558820"/>
      <w:r>
        <w:rPr>
          <w:rFonts w:hint="eastAsia" w:ascii="仿宋" w:hAnsi="仿宋" w:eastAsia="仿宋" w:cs="仿宋"/>
          <w:b w:val="0"/>
          <w:color w:val="auto"/>
          <w:sz w:val="24"/>
          <w:szCs w:val="24"/>
        </w:rPr>
        <w:t>16. 违约</w:t>
      </w:r>
      <w:bookmarkEnd w:id="1366"/>
    </w:p>
    <w:bookmarkEnd w:id="1367"/>
    <w:p w14:paraId="65180CE5">
      <w:pPr>
        <w:pStyle w:val="7"/>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68" w:name="_Toc296346630"/>
      <w:bookmarkStart w:id="1369" w:name="_Toc296503129"/>
      <w:bookmarkStart w:id="1370" w:name="_Toc351203604"/>
      <w:bookmarkStart w:id="1371" w:name="_Toc337558821"/>
      <w:r>
        <w:rPr>
          <w:rFonts w:hint="eastAsia" w:ascii="仿宋" w:hAnsi="仿宋" w:eastAsia="仿宋" w:cs="仿宋"/>
          <w:b w:val="0"/>
          <w:color w:val="auto"/>
          <w:sz w:val="24"/>
          <w:szCs w:val="24"/>
        </w:rPr>
        <w:t xml:space="preserve">16.1 </w:t>
      </w:r>
      <w:bookmarkEnd w:id="1368"/>
      <w:bookmarkEnd w:id="1369"/>
      <w:r>
        <w:rPr>
          <w:rFonts w:hint="eastAsia" w:ascii="仿宋" w:hAnsi="仿宋" w:eastAsia="仿宋" w:cs="仿宋"/>
          <w:b w:val="0"/>
          <w:color w:val="auto"/>
          <w:sz w:val="24"/>
          <w:szCs w:val="24"/>
          <w:lang w:eastAsia="zh-CN"/>
        </w:rPr>
        <w:t>发包人</w:t>
      </w:r>
      <w:r>
        <w:rPr>
          <w:rFonts w:hint="eastAsia" w:ascii="仿宋" w:hAnsi="仿宋" w:eastAsia="仿宋" w:cs="仿宋"/>
          <w:b w:val="0"/>
          <w:color w:val="auto"/>
          <w:sz w:val="24"/>
          <w:szCs w:val="24"/>
        </w:rPr>
        <w:t>违约</w:t>
      </w:r>
      <w:bookmarkEnd w:id="1370"/>
    </w:p>
    <w:bookmarkEnd w:id="1371"/>
    <w:p w14:paraId="5A0AFDF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16.1.1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违约的情形</w:t>
      </w:r>
    </w:p>
    <w:p w14:paraId="16AECA3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在合同履行过程中发生的下列情形，属于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w:t>
      </w:r>
    </w:p>
    <w:p w14:paraId="58B363F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原因未能在计划开工日期前7天内下达开工通知的；</w:t>
      </w:r>
    </w:p>
    <w:p w14:paraId="35A3DF9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原因未能按合同约定支付合同价款的；</w:t>
      </w:r>
    </w:p>
    <w:p w14:paraId="5BEF5A0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违反第10.1款〔变更的范围〕第（2）项约定，自行实施被取消的工作或转由他人实施的；</w:t>
      </w:r>
    </w:p>
    <w:p w14:paraId="1019EA1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提供的材料、工程设备的规格、数量或质量不符合合同约定，或因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原因导致交货日期延误或交货地点变更等情况的；</w:t>
      </w:r>
    </w:p>
    <w:p w14:paraId="144F41D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违反合同约定造成暂停施工的；</w:t>
      </w:r>
    </w:p>
    <w:p w14:paraId="17DEC6B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无正当理由没有在约定期限内发出复工指示，导致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无法复工的；</w:t>
      </w:r>
    </w:p>
    <w:p w14:paraId="36444BF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明确表示或者以其行为表明不履行合同主要义务的；</w:t>
      </w:r>
    </w:p>
    <w:p w14:paraId="115B263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未能按照合同约定履行其他义务的。</w:t>
      </w:r>
    </w:p>
    <w:p w14:paraId="72D24E3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发生除本项第（7）目以外的违约情况时，</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可向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发出通知，要求</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采取有效措施纠正违约行为。</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收到</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通知后28天内仍不纠正违约行为的，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有权暂停相应部位工程施工，并通知监理人。</w:t>
      </w:r>
    </w:p>
    <w:p w14:paraId="0A30182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16.1.2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违约的责任</w:t>
      </w:r>
    </w:p>
    <w:p w14:paraId="20D4260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应承担因其违约给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增加的费用和（或）延误的工期，并支付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合理的利润。此外，合同当事人可在专用合同条款中另行约定</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违约责任的承担方式和计算方法。</w:t>
      </w:r>
    </w:p>
    <w:p w14:paraId="04E1C9C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16.1.3 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违约解除合同</w:t>
      </w:r>
    </w:p>
    <w:p w14:paraId="09C925E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按第16.1.1项〔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违约的情形〕约定暂停施工满28天后，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仍不纠正其违约行为并致使合同目的不能实现的，或出现第16.1.1项〔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违约的情形〕第（7）目约定的违约情况，</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有权解除合同，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应承担由此增加的费用，并支付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合理的利润。</w:t>
      </w:r>
    </w:p>
    <w:p w14:paraId="0D7E6AF4">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16.1.4 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违约解除合同后的付款</w:t>
      </w:r>
    </w:p>
    <w:p w14:paraId="5ADE16C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按照本款约定解除合同的，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应在解除合同后28天内支付下列款项，并解除履约担保：</w:t>
      </w:r>
    </w:p>
    <w:p w14:paraId="1CAB0C1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（1）合同解除前所完成工作的价款；</w:t>
      </w:r>
    </w:p>
    <w:p w14:paraId="49C63D87">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为工程施工订购并已付款的材料、工程设备和其他物品的价款；</w:t>
      </w:r>
    </w:p>
    <w:p w14:paraId="059873D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撤离施工现场以及遣散</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人员的款项；</w:t>
      </w:r>
    </w:p>
    <w:p w14:paraId="26D3EE1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（4）按照合同约定在合同解除前应支付的违约金；</w:t>
      </w:r>
    </w:p>
    <w:p w14:paraId="35BDF71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（5）按照合同约定应当支付给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的其他款项；</w:t>
      </w:r>
    </w:p>
    <w:p w14:paraId="52AB215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（6）按照合同约定应退还的质量保证金；</w:t>
      </w:r>
    </w:p>
    <w:p w14:paraId="20E191D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（7）因解除合同给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造成的损失。</w:t>
      </w:r>
    </w:p>
    <w:p w14:paraId="7A1F4A0B">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合同当事人未能就解除合同后的结清达成一致的，按照第20条〔争议解决〕的约定处理。</w:t>
      </w:r>
    </w:p>
    <w:p w14:paraId="36AEE4E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应妥善做好已完工程和与工程有关的已购材料、工程设备的保护和移交工作，并将施工设备和人员撤出施工现场，</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应为</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撤出提供必要条件。</w:t>
      </w:r>
    </w:p>
    <w:p w14:paraId="6BE71FF4">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72" w:name="_Toc351203605"/>
      <w:bookmarkStart w:id="1373" w:name="_Toc296346632"/>
      <w:bookmarkStart w:id="1374" w:name="_Toc337558822"/>
      <w:bookmarkStart w:id="1375" w:name="_Toc296503131"/>
      <w:r>
        <w:rPr>
          <w:rFonts w:hint="eastAsia" w:ascii="仿宋" w:hAnsi="仿宋" w:eastAsia="仿宋" w:cs="仿宋"/>
          <w:b w:val="0"/>
          <w:color w:val="auto"/>
          <w:sz w:val="24"/>
          <w:szCs w:val="24"/>
        </w:rPr>
        <w:t xml:space="preserve">16.2 </w:t>
      </w:r>
      <w:r>
        <w:rPr>
          <w:rFonts w:hint="eastAsia" w:ascii="仿宋" w:hAnsi="仿宋" w:eastAsia="仿宋" w:cs="仿宋"/>
          <w:b w:val="0"/>
          <w:color w:val="auto"/>
          <w:sz w:val="24"/>
          <w:szCs w:val="24"/>
          <w:lang w:eastAsia="zh-CN"/>
        </w:rPr>
        <w:t>承包人</w:t>
      </w:r>
      <w:r>
        <w:rPr>
          <w:rFonts w:hint="eastAsia" w:ascii="仿宋" w:hAnsi="仿宋" w:eastAsia="仿宋" w:cs="仿宋"/>
          <w:b w:val="0"/>
          <w:color w:val="auto"/>
          <w:sz w:val="24"/>
          <w:szCs w:val="24"/>
        </w:rPr>
        <w:t>违约</w:t>
      </w:r>
      <w:bookmarkEnd w:id="1372"/>
    </w:p>
    <w:bookmarkEnd w:id="1373"/>
    <w:bookmarkEnd w:id="1374"/>
    <w:bookmarkEnd w:id="1375"/>
    <w:p w14:paraId="6658E57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16.2.1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违约的情形</w:t>
      </w:r>
    </w:p>
    <w:p w14:paraId="6C41C41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在合同履行过程中发生的下列情形，属于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w:t>
      </w:r>
    </w:p>
    <w:p w14:paraId="08C5644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违反合同约定进行转包或违法分包的；</w:t>
      </w:r>
    </w:p>
    <w:p w14:paraId="11E0204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违反合同约定采购和使用不合格的材料和工程设备的；</w:t>
      </w:r>
    </w:p>
    <w:p w14:paraId="517BC3D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 xml:space="preserve">原因导致工程质量不符合合同要求的； </w:t>
      </w:r>
    </w:p>
    <w:p w14:paraId="1CD4585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违反第8.9款〔材料与设备专用要求〕的约定，未经批准，私自将已按照合同约定进入施工现场的材料或设备撤离施工现场的；</w:t>
      </w:r>
    </w:p>
    <w:p w14:paraId="531F258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未能按施工进度计划及时完成合同约定的工作，造成工期延误的；</w:t>
      </w:r>
    </w:p>
    <w:p w14:paraId="55563AB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在缺陷责任期及保修期内，未能在合理期限对工程缺陷进行修复，或拒绝按</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要求进行修复的；</w:t>
      </w:r>
    </w:p>
    <w:p w14:paraId="0305B51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明确表示或者以其行为表明不履行合同主要义务的；</w:t>
      </w:r>
    </w:p>
    <w:p w14:paraId="7981DD3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未能按照合同约定履行其他义务的。</w:t>
      </w:r>
    </w:p>
    <w:p w14:paraId="476C23A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发生除本项第（7）目约定以外的其他违约情况时，监理人可向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发出整改通知，要求其在指定的期限内改正。</w:t>
      </w:r>
    </w:p>
    <w:p w14:paraId="03D1861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16.2.2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违约的责任</w:t>
      </w:r>
    </w:p>
    <w:p w14:paraId="75F61DD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应承担因其违约行为而增加的费用和（或）延误的工期。此外，合同当事人可在专用合同条款中另行约定</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违约责任的承担方式和计算方法。</w:t>
      </w:r>
    </w:p>
    <w:p w14:paraId="65C8F68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16.2.3 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违约解除合同</w:t>
      </w:r>
    </w:p>
    <w:p w14:paraId="5C105CB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除专用合同条款另有约定外，出现第16.2.1项〔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违约的情形〕第（7）目约定的违约情况时，或监理人发出整改通知后，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在指定的合理期限内仍不纠正违约行为并致使合同目的不能实现的，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有权解除合同。合同解除后，因继续完成工程的需要，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有权使用</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在施工现场的材料、设备、临时工程、</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文件和由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或以其名义编制的其他文件，合同当事人应在专用合同条款约定相应费用的承担方式。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继续使用的行为不免除或减轻</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应承担的违约责任。</w:t>
      </w:r>
    </w:p>
    <w:p w14:paraId="3D15B53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16.2.4因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违约解除合同后的处理</w:t>
      </w:r>
    </w:p>
    <w:p w14:paraId="1FC9F260">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原因导致合同解除的，则合同当事人应在合同解除后28天内完成估价、付款和清算，并按以下约定执行：</w:t>
      </w:r>
    </w:p>
    <w:p w14:paraId="22A95F7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（1）合同解除后，按第4.4款〔商定或确定〕商定或确定</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实际完成工作对应的合同价款，以及</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已提供的材料、工程设备、施工设备和临时工程等的价值；</w:t>
      </w:r>
    </w:p>
    <w:p w14:paraId="2B6F3A8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（2）合同解除后，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应支付的违约金；</w:t>
      </w:r>
    </w:p>
    <w:p w14:paraId="74499A7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（3）合同解除后，因解除合同给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造成的损失；</w:t>
      </w:r>
    </w:p>
    <w:p w14:paraId="62CEB119">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（4）合同解除后，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应按照</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要求和监理人的指示完成现场的清理和撤离；</w:t>
      </w:r>
    </w:p>
    <w:p w14:paraId="79EE430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应在合同解除后进行清算，出具最终结清付款证书，结清全部款项。</w:t>
      </w:r>
    </w:p>
    <w:p w14:paraId="6242E9C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违约解除合同的，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有权暂停对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的付款，查清各项付款和已扣款项。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未能就合同解除后的清算和款项支付达成一致的，按照第20条〔争议解决〕的约定处理。</w:t>
      </w:r>
    </w:p>
    <w:p w14:paraId="0B91EAC6">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16.2.5采购合同权益转让</w:t>
      </w:r>
    </w:p>
    <w:p w14:paraId="1A75AD1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违约解除合同的，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有权要求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将其为实施合同而签订的材料和设备的采购合同的权益转让给</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应在收到解除合同通知后14天内，协助</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与采购合同的供应商达成相关的转让协议。</w:t>
      </w:r>
    </w:p>
    <w:p w14:paraId="63C59DEA">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76" w:name="_Toc351203606"/>
      <w:r>
        <w:rPr>
          <w:rFonts w:hint="eastAsia" w:ascii="仿宋" w:hAnsi="仿宋" w:eastAsia="仿宋" w:cs="仿宋"/>
          <w:b w:val="0"/>
          <w:color w:val="auto"/>
          <w:sz w:val="24"/>
          <w:szCs w:val="24"/>
        </w:rPr>
        <w:t>16.3 第三人造成的违约</w:t>
      </w:r>
      <w:bookmarkEnd w:id="1376"/>
    </w:p>
    <w:p w14:paraId="3A92EE9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在履行合同过程中，一方当事人因第三人的原因造成违约的，应当向对方当事人承担违约责任。一方当事人和第三人之间的纠纷，依照法律规定或者按照约定解决。</w:t>
      </w:r>
    </w:p>
    <w:p w14:paraId="55455171">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377" w:name="_Toc351203607"/>
      <w:bookmarkStart w:id="1378" w:name="_Toc337558823"/>
      <w:bookmarkStart w:id="1379" w:name="_Toc296346617"/>
      <w:bookmarkStart w:id="1380" w:name="_Toc296503116"/>
      <w:r>
        <w:rPr>
          <w:rFonts w:hint="eastAsia" w:ascii="仿宋" w:hAnsi="仿宋" w:eastAsia="仿宋" w:cs="仿宋"/>
          <w:b w:val="0"/>
          <w:color w:val="auto"/>
          <w:sz w:val="24"/>
          <w:szCs w:val="24"/>
        </w:rPr>
        <w:t>17. 不可抗力</w:t>
      </w:r>
      <w:bookmarkEnd w:id="1377"/>
      <w:r>
        <w:rPr>
          <w:rFonts w:hint="eastAsia" w:ascii="仿宋" w:hAnsi="仿宋" w:eastAsia="仿宋" w:cs="仿宋"/>
          <w:b w:val="0"/>
          <w:color w:val="auto"/>
          <w:sz w:val="24"/>
          <w:szCs w:val="24"/>
        </w:rPr>
        <w:t xml:space="preserve"> </w:t>
      </w:r>
      <w:bookmarkEnd w:id="1378"/>
      <w:bookmarkEnd w:id="1379"/>
      <w:bookmarkEnd w:id="1380"/>
    </w:p>
    <w:p w14:paraId="4EBC6FFD">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81" w:name="_Toc351203608"/>
      <w:bookmarkStart w:id="1382" w:name="_Toc296503117"/>
      <w:bookmarkStart w:id="1383" w:name="_Toc296346618"/>
      <w:bookmarkStart w:id="1384" w:name="_Toc337558824"/>
      <w:r>
        <w:rPr>
          <w:rFonts w:hint="eastAsia" w:ascii="仿宋" w:hAnsi="仿宋" w:eastAsia="仿宋" w:cs="仿宋"/>
          <w:b w:val="0"/>
          <w:color w:val="auto"/>
          <w:sz w:val="24"/>
          <w:szCs w:val="24"/>
        </w:rPr>
        <w:t>17.1 不可抗力的确认</w:t>
      </w:r>
      <w:bookmarkEnd w:id="1381"/>
    </w:p>
    <w:bookmarkEnd w:id="1382"/>
    <w:bookmarkEnd w:id="1383"/>
    <w:bookmarkEnd w:id="1384"/>
    <w:p w14:paraId="34D5F7D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不可抗力是指合同当事人在签订合同时不可预见，在合同履行过程中不可避免且不能克服的自然灾害和社会性突发事件，如地震、海啸、瘟疫、骚乱、戒严、暴动、战争和专用合同条款中约定的其他情形。</w:t>
      </w:r>
    </w:p>
    <w:p w14:paraId="306238C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不可抗力发生后，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2BFE341B">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85" w:name="_Toc351203609"/>
      <w:bookmarkStart w:id="1386" w:name="_Toc337558825"/>
      <w:bookmarkStart w:id="1387" w:name="_Toc296503118"/>
      <w:bookmarkStart w:id="1388" w:name="_Toc296346619"/>
      <w:r>
        <w:rPr>
          <w:rFonts w:hint="eastAsia" w:ascii="仿宋" w:hAnsi="仿宋" w:eastAsia="仿宋" w:cs="仿宋"/>
          <w:b w:val="0"/>
          <w:color w:val="auto"/>
          <w:sz w:val="24"/>
          <w:szCs w:val="24"/>
        </w:rPr>
        <w:t>17.2 不可抗力的通知</w:t>
      </w:r>
      <w:bookmarkEnd w:id="1385"/>
    </w:p>
    <w:bookmarkEnd w:id="1386"/>
    <w:bookmarkEnd w:id="1387"/>
    <w:bookmarkEnd w:id="1388"/>
    <w:p w14:paraId="6F9FDDC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合同一方当事人遇到不可抗力事件，使其履行合同义务受到阻碍时，应立即通知合同另一方当事人和监理人，书面说明不可抗力和受阻碍的详细情况，并提供必要的证明。</w:t>
      </w:r>
    </w:p>
    <w:p w14:paraId="6A997E8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不可抗力持续发生的，合同一方当事人应及时向合同另一方当事人和监理人提交中间报告，说明不可抗力和履行合同受阻的情况，并于不可抗力事件结束后28天内提交最终报告及有关资料。</w:t>
      </w:r>
    </w:p>
    <w:p w14:paraId="376A175B">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89" w:name="_Toc351203610"/>
      <w:bookmarkStart w:id="1390" w:name="_Toc296503119"/>
      <w:bookmarkStart w:id="1391" w:name="_Toc337558826"/>
      <w:bookmarkStart w:id="1392" w:name="_Toc296346620"/>
      <w:r>
        <w:rPr>
          <w:rFonts w:hint="eastAsia" w:ascii="仿宋" w:hAnsi="仿宋" w:eastAsia="仿宋" w:cs="仿宋"/>
          <w:b w:val="0"/>
          <w:color w:val="auto"/>
          <w:sz w:val="24"/>
          <w:szCs w:val="24"/>
        </w:rPr>
        <w:t>17.3 不可抗力后果的承担</w:t>
      </w:r>
      <w:bookmarkEnd w:id="1389"/>
    </w:p>
    <w:bookmarkEnd w:id="1390"/>
    <w:bookmarkEnd w:id="1391"/>
    <w:bookmarkEnd w:id="1392"/>
    <w:p w14:paraId="27E6F5E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17.3.1 不可抗力引起的后果及造成的损失由合同当事人按照法律规定及合同约定各自承担。不可抗力发生前已完成的工程应当按照合同约定进行计量支付。</w:t>
      </w:r>
    </w:p>
    <w:p w14:paraId="2C0D806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17.3.2 不可抗力导致的人员伤亡、财产损失、费用增加和（或）工期延误等后果，由合同当事人按以下原则承担：</w:t>
      </w:r>
    </w:p>
    <w:p w14:paraId="2562EB7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（1）永久工程、已运至施工现场的材料和工程设备的损坏，以及因工程损坏造成的第三人人员伤亡和财产损失由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77C2875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施工设备的损坏由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w:t>
      </w:r>
    </w:p>
    <w:p w14:paraId="55D0406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承担各自人员伤亡和财产的损失；</w:t>
      </w:r>
    </w:p>
    <w:p w14:paraId="72425912">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（4）因不可抗力影响</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履行合同约定的义务，已经引起或将引起工期延误的，应当顺延工期，由此导致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停工的费用损失由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合理分担，停工期间必须支付的工人工资由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4A24CD1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（5）因不可抗力引起或将引起工期延误，</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要求赶工的，由此增加的赶工费用由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271BC6F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在停工期间按照</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要求照管、清理和修复工程的费用由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665BED4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不可抗力发生后，合同当事人均应采取措施尽量避免和减少损失的扩大，任何一方当事人没有采取有效措施导致损失扩大的，应对扩大的损失承担责任。</w:t>
      </w:r>
    </w:p>
    <w:p w14:paraId="7461FD0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因合同一方迟延履行合同义务，在迟延履行期间遭遇不可抗力的，不免除其违约责任。</w:t>
      </w:r>
    </w:p>
    <w:p w14:paraId="645541EB">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93" w:name="_Toc351203611"/>
      <w:bookmarkStart w:id="1394" w:name="_Toc337558827"/>
      <w:r>
        <w:rPr>
          <w:rFonts w:hint="eastAsia" w:ascii="仿宋" w:hAnsi="仿宋" w:eastAsia="仿宋" w:cs="仿宋"/>
          <w:b w:val="0"/>
          <w:color w:val="auto"/>
          <w:sz w:val="24"/>
          <w:szCs w:val="24"/>
        </w:rPr>
        <w:t>17.4 因不可抗力解除合同</w:t>
      </w:r>
      <w:bookmarkEnd w:id="1393"/>
    </w:p>
    <w:bookmarkEnd w:id="1394"/>
    <w:p w14:paraId="52213532">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因不可抗力导致合同无法履行连续超过84天或累计超过140天的，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均有权解除合同。合同解除后，由双方当事人按照第4.4款〔商定或确定〕商定或确定</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应支付的款项，该款项包括：</w:t>
      </w:r>
    </w:p>
    <w:p w14:paraId="383244E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（1）合同解除前</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已完成工作的价款；</w:t>
      </w:r>
    </w:p>
    <w:p w14:paraId="552D68D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为工程订购的并已交付给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，或</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有责任接受交付的材料、工程设备和其他物品的价款；</w:t>
      </w:r>
    </w:p>
    <w:p w14:paraId="76AB919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退货或解除订货合同而产生的费用，或因不能退货或解除合同而产生的损失；</w:t>
      </w:r>
    </w:p>
    <w:p w14:paraId="09BC35E5">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撤离施工现场以及遣散</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人员的费用；</w:t>
      </w:r>
    </w:p>
    <w:p w14:paraId="1B218993">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（5）按照合同约定在合同解除前应支付给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的其他款项；</w:t>
      </w:r>
    </w:p>
    <w:p w14:paraId="23D205E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（6）扣减</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按照合同约定应向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支付的款项；</w:t>
      </w:r>
    </w:p>
    <w:p w14:paraId="7D3D9D4C">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（7）双方商定或确定的其他款项。</w:t>
      </w:r>
    </w:p>
    <w:p w14:paraId="55DEDA6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除专用合同条款另有约定外，合同解除后，</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应在商定或确定上述款项后28天内完成上述款项的支付。</w:t>
      </w:r>
    </w:p>
    <w:p w14:paraId="439C0A7F">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395" w:name="_Toc351203612"/>
      <w:bookmarkStart w:id="1396" w:name="_Toc337558828"/>
      <w:bookmarkStart w:id="1397" w:name="_Toc296503120"/>
      <w:bookmarkStart w:id="1398" w:name="_Toc296346621"/>
      <w:r>
        <w:rPr>
          <w:rFonts w:hint="eastAsia" w:ascii="仿宋" w:hAnsi="仿宋" w:eastAsia="仿宋" w:cs="仿宋"/>
          <w:b w:val="0"/>
          <w:color w:val="auto"/>
          <w:sz w:val="24"/>
          <w:szCs w:val="24"/>
        </w:rPr>
        <w:t>18. 保险</w:t>
      </w:r>
      <w:bookmarkEnd w:id="1395"/>
    </w:p>
    <w:bookmarkEnd w:id="1396"/>
    <w:bookmarkEnd w:id="1397"/>
    <w:bookmarkEnd w:id="1398"/>
    <w:p w14:paraId="395A614B">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399" w:name="_Toc351203613"/>
      <w:bookmarkStart w:id="1400" w:name="_Toc296503121"/>
      <w:bookmarkStart w:id="1401" w:name="_Toc337558829"/>
      <w:bookmarkStart w:id="1402" w:name="_Toc296346622"/>
      <w:r>
        <w:rPr>
          <w:rFonts w:hint="eastAsia" w:ascii="仿宋" w:hAnsi="仿宋" w:eastAsia="仿宋" w:cs="仿宋"/>
          <w:b w:val="0"/>
          <w:color w:val="auto"/>
          <w:sz w:val="24"/>
          <w:szCs w:val="24"/>
        </w:rPr>
        <w:t>18.1 工程保险</w:t>
      </w:r>
      <w:bookmarkEnd w:id="1399"/>
    </w:p>
    <w:bookmarkEnd w:id="1400"/>
    <w:bookmarkEnd w:id="1401"/>
    <w:bookmarkEnd w:id="1402"/>
    <w:p w14:paraId="455258B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应投保建筑工程一切险或安装工程一切险；</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委托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投保的，因投保产生的保险费和其他相关费用由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承担。</w:t>
      </w:r>
    </w:p>
    <w:p w14:paraId="49E1C536">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03" w:name="_Toc351203614"/>
      <w:bookmarkStart w:id="1404" w:name="_Toc296346623"/>
      <w:bookmarkStart w:id="1405" w:name="_Toc337558830"/>
      <w:bookmarkStart w:id="1406" w:name="_Toc296503122"/>
      <w:r>
        <w:rPr>
          <w:rFonts w:hint="eastAsia" w:ascii="仿宋" w:hAnsi="仿宋" w:eastAsia="仿宋" w:cs="仿宋"/>
          <w:b w:val="0"/>
          <w:color w:val="auto"/>
          <w:sz w:val="24"/>
          <w:szCs w:val="24"/>
        </w:rPr>
        <w:t>18.2 工伤保险</w:t>
      </w:r>
      <w:bookmarkEnd w:id="1403"/>
    </w:p>
    <w:bookmarkEnd w:id="1404"/>
    <w:bookmarkEnd w:id="1405"/>
    <w:bookmarkEnd w:id="1406"/>
    <w:p w14:paraId="355F5CD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18.2.1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应依照法律规定参加工伤保险，并为在施工现场的全部员工办理工伤保险，缴纳工伤保险费，并要求监理人及由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为履行合同聘请的第三方依法参加工伤保险。</w:t>
      </w:r>
    </w:p>
    <w:p w14:paraId="111A0E6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18.2.2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应依照法律规定参加工伤保险，并为其履行合同的全部员工办理工伤保险，缴纳工伤保险费，并要求分包人及由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为履行合同聘请的第三方依法参加工伤保险。</w:t>
      </w:r>
    </w:p>
    <w:p w14:paraId="0DC4A244">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07" w:name="_Toc351203615"/>
      <w:bookmarkStart w:id="1408" w:name="_Toc296503125"/>
      <w:bookmarkStart w:id="1409" w:name="_Toc296346626"/>
      <w:bookmarkStart w:id="1410" w:name="_Toc337558831"/>
      <w:r>
        <w:rPr>
          <w:rFonts w:hint="eastAsia" w:ascii="仿宋" w:hAnsi="仿宋" w:eastAsia="仿宋" w:cs="仿宋"/>
          <w:b w:val="0"/>
          <w:color w:val="auto"/>
          <w:sz w:val="24"/>
          <w:szCs w:val="24"/>
        </w:rPr>
        <w:t>18.3其他保险</w:t>
      </w:r>
      <w:bookmarkEnd w:id="1407"/>
    </w:p>
    <w:bookmarkEnd w:id="1408"/>
    <w:bookmarkEnd w:id="1409"/>
    <w:bookmarkEnd w:id="1410"/>
    <w:p w14:paraId="03B00991">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可以为其施工现场的全部人员办理意外伤害保险并支付保险费，包括其员工及为履行合同聘请的第三方的人员，具体事项由合同当事人在专用合同条款约定。</w:t>
      </w:r>
    </w:p>
    <w:p w14:paraId="231688ED">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除专用合同条款另有约定外，</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应为其施工设备等办理财产保险。</w:t>
      </w:r>
    </w:p>
    <w:p w14:paraId="181C7527">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11" w:name="_Toc351203616"/>
      <w:r>
        <w:rPr>
          <w:rFonts w:hint="eastAsia" w:ascii="仿宋" w:hAnsi="仿宋" w:eastAsia="仿宋" w:cs="仿宋"/>
          <w:b w:val="0"/>
          <w:color w:val="auto"/>
          <w:sz w:val="24"/>
          <w:szCs w:val="24"/>
        </w:rPr>
        <w:t>18.4持续保险</w:t>
      </w:r>
      <w:bookmarkEnd w:id="1411"/>
    </w:p>
    <w:p w14:paraId="0A437A2A">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合同当事人应与保险人保持联系，使保险人能够随时了解工程实施中的变动，并确保按保险合同条款要求持续保险。</w:t>
      </w:r>
    </w:p>
    <w:p w14:paraId="0D9C9AA5">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12" w:name="_Toc351203617"/>
      <w:bookmarkStart w:id="1413" w:name="_Toc337558832"/>
      <w:bookmarkStart w:id="1414" w:name="_Toc296346627"/>
      <w:bookmarkStart w:id="1415" w:name="_Toc296503126"/>
      <w:r>
        <w:rPr>
          <w:rFonts w:hint="eastAsia" w:ascii="仿宋" w:hAnsi="仿宋" w:eastAsia="仿宋" w:cs="仿宋"/>
          <w:b w:val="0"/>
          <w:color w:val="auto"/>
          <w:sz w:val="24"/>
          <w:szCs w:val="24"/>
        </w:rPr>
        <w:t>18.5 保险凭证</w:t>
      </w:r>
      <w:bookmarkEnd w:id="1412"/>
    </w:p>
    <w:bookmarkEnd w:id="1413"/>
    <w:bookmarkEnd w:id="1414"/>
    <w:bookmarkEnd w:id="1415"/>
    <w:p w14:paraId="341D65A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合同当事人应及时向另一方当事人提交其已投保的各项保险的凭证和保险单复印件。</w:t>
      </w:r>
    </w:p>
    <w:p w14:paraId="785A8AA3">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16" w:name="_Toc351203618"/>
      <w:bookmarkStart w:id="1417" w:name="_Toc337558833"/>
      <w:bookmarkStart w:id="1418" w:name="_Toc296503127"/>
      <w:bookmarkStart w:id="1419" w:name="_Toc296346628"/>
      <w:r>
        <w:rPr>
          <w:rFonts w:hint="eastAsia" w:ascii="仿宋" w:hAnsi="仿宋" w:eastAsia="仿宋" w:cs="仿宋"/>
          <w:b w:val="0"/>
          <w:color w:val="auto"/>
          <w:sz w:val="24"/>
          <w:szCs w:val="24"/>
        </w:rPr>
        <w:t>18.6 未按约定投保的补救</w:t>
      </w:r>
      <w:bookmarkEnd w:id="1416"/>
    </w:p>
    <w:bookmarkEnd w:id="1417"/>
    <w:bookmarkEnd w:id="1418"/>
    <w:bookmarkEnd w:id="1419"/>
    <w:p w14:paraId="45D796E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18.6.1</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未按合同约定办理保险，或未能使保险持续有效的，则</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可代为办理，所需费用由</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承担。</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未按合同约定办理保险，导致未能得到足额赔偿的，由</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负责补足。</w:t>
      </w:r>
    </w:p>
    <w:p w14:paraId="4F9337DE">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18.6.2</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未按合同约定办理保险，或未能使保险持续有效的，则</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可代为办理，所需费用由</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承担。</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未按合同约定办理保险，导致未能得到足额赔偿的，由</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负责补足。</w:t>
      </w:r>
    </w:p>
    <w:p w14:paraId="59329119">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20" w:name="_Toc351203619"/>
      <w:bookmarkStart w:id="1421" w:name="_Toc337558834"/>
      <w:r>
        <w:rPr>
          <w:rFonts w:hint="eastAsia" w:ascii="仿宋" w:hAnsi="仿宋" w:eastAsia="仿宋" w:cs="仿宋"/>
          <w:b w:val="0"/>
          <w:color w:val="auto"/>
          <w:sz w:val="24"/>
          <w:szCs w:val="24"/>
        </w:rPr>
        <w:t>18.7 通知义务</w:t>
      </w:r>
      <w:bookmarkEnd w:id="1420"/>
    </w:p>
    <w:bookmarkEnd w:id="1421"/>
    <w:p w14:paraId="2931281F">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除专用合同条款另有约定外，</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变更除工伤保险之外的保险合同时，应事先征得</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同意，并通知监理人；</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变更除工伤保险之外的保险合同时，应事先征得</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同意，并通知监理人。</w:t>
      </w:r>
    </w:p>
    <w:p w14:paraId="6F2C42E4">
      <w:pPr>
        <w:pageBreakBefore w:val="0"/>
        <w:widowControl w:val="0"/>
        <w:kinsoku/>
        <w:wordWrap/>
        <w:overflowPunct/>
        <w:topLinePunct w:val="0"/>
        <w:bidi w:val="0"/>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保险事故发生时，投保人应按照保险合同规定的条件和期限及时向保险人报告。</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应当在知道保险事故发生后及时通知对方。</w:t>
      </w:r>
    </w:p>
    <w:p w14:paraId="764DCDB1">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422" w:name="_Toc351203620"/>
      <w:bookmarkStart w:id="1423" w:name="_Toc337558835"/>
      <w:bookmarkStart w:id="1424" w:name="_Toc296503140"/>
      <w:bookmarkStart w:id="1425" w:name="_Toc296346641"/>
      <w:r>
        <w:rPr>
          <w:rFonts w:hint="eastAsia" w:ascii="仿宋" w:hAnsi="仿宋" w:eastAsia="仿宋" w:cs="仿宋"/>
          <w:b w:val="0"/>
          <w:color w:val="auto"/>
          <w:sz w:val="24"/>
          <w:szCs w:val="24"/>
        </w:rPr>
        <w:t>19. 索赔</w:t>
      </w:r>
      <w:bookmarkEnd w:id="1422"/>
    </w:p>
    <w:bookmarkEnd w:id="1423"/>
    <w:bookmarkEnd w:id="1424"/>
    <w:bookmarkEnd w:id="1425"/>
    <w:p w14:paraId="2CB4144B">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26" w:name="_Toc351203621"/>
      <w:bookmarkStart w:id="1427" w:name="_Toc296503141"/>
      <w:bookmarkStart w:id="1428" w:name="_Toc337558836"/>
      <w:bookmarkStart w:id="1429" w:name="_Toc296346642"/>
      <w:r>
        <w:rPr>
          <w:rFonts w:hint="eastAsia" w:ascii="仿宋" w:hAnsi="仿宋" w:eastAsia="仿宋" w:cs="仿宋"/>
          <w:b w:val="0"/>
          <w:color w:val="auto"/>
          <w:sz w:val="24"/>
          <w:szCs w:val="24"/>
        </w:rPr>
        <w:t>19.1</w:t>
      </w:r>
      <w:r>
        <w:rPr>
          <w:rFonts w:hint="eastAsia" w:ascii="仿宋" w:hAnsi="仿宋" w:eastAsia="仿宋" w:cs="仿宋"/>
          <w:b w:val="0"/>
          <w:color w:val="auto"/>
          <w:sz w:val="24"/>
          <w:szCs w:val="24"/>
          <w:lang w:eastAsia="zh-CN"/>
        </w:rPr>
        <w:t>承包人</w:t>
      </w:r>
      <w:r>
        <w:rPr>
          <w:rFonts w:hint="eastAsia" w:ascii="仿宋" w:hAnsi="仿宋" w:eastAsia="仿宋" w:cs="仿宋"/>
          <w:b w:val="0"/>
          <w:color w:val="auto"/>
          <w:sz w:val="24"/>
          <w:szCs w:val="24"/>
        </w:rPr>
        <w:t>的索赔</w:t>
      </w:r>
      <w:bookmarkEnd w:id="1426"/>
    </w:p>
    <w:bookmarkEnd w:id="1427"/>
    <w:bookmarkEnd w:id="1428"/>
    <w:bookmarkEnd w:id="1429"/>
    <w:p w14:paraId="7C25E2F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根据合同约定，</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认为有权得到追加付款和（或）延长工期的，应按以下程序向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提出索赔：</w:t>
      </w:r>
    </w:p>
    <w:p w14:paraId="5CCFF94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应在知道或应当知道索赔事件发生后28天内，向监理人递交索赔意向通知书，并说明发生索赔事件的事由；</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未在前述28天内发出索赔意向通知书的，丧失要求追加付款和（或）延长工期的权利；</w:t>
      </w:r>
    </w:p>
    <w:p w14:paraId="54953AF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应在发出索赔意向通知书后28天内，向监理人正式递交索赔报告；索赔报告应详细说明索赔理由以及要求追加的付款金额和（或）延长的工期，并附必要的记录和证明材料；</w:t>
      </w:r>
    </w:p>
    <w:p w14:paraId="098CE4A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（3）索赔事件具有持续影响的，</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应按合理时间间隔继续递交延续索赔通知，说明持续影响的实际情况和记录，列出累计的追加付款金额和（或）工期延长天数；</w:t>
      </w:r>
    </w:p>
    <w:p w14:paraId="425E0FD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（4）在索赔事件影响结束后28天内，</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应向监理人递交最终索赔报告，说明最终要求索赔的追加付款金额和（或）延长的工期，并附必要的记录和证明材料。</w:t>
      </w:r>
    </w:p>
    <w:p w14:paraId="33ED147C">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30" w:name="_Toc351203622"/>
      <w:bookmarkStart w:id="1431" w:name="_Toc296346643"/>
      <w:bookmarkStart w:id="1432" w:name="_Toc296503142"/>
      <w:bookmarkStart w:id="1433" w:name="_Toc337558837"/>
      <w:r>
        <w:rPr>
          <w:rFonts w:hint="eastAsia" w:ascii="仿宋" w:hAnsi="仿宋" w:eastAsia="仿宋" w:cs="仿宋"/>
          <w:b w:val="0"/>
          <w:color w:val="auto"/>
          <w:sz w:val="24"/>
          <w:szCs w:val="24"/>
        </w:rPr>
        <w:t>19.2 对</w:t>
      </w:r>
      <w:r>
        <w:rPr>
          <w:rFonts w:hint="eastAsia" w:ascii="仿宋" w:hAnsi="仿宋" w:eastAsia="仿宋" w:cs="仿宋"/>
          <w:b w:val="0"/>
          <w:color w:val="auto"/>
          <w:sz w:val="24"/>
          <w:szCs w:val="24"/>
          <w:lang w:eastAsia="zh-CN"/>
        </w:rPr>
        <w:t>承包人</w:t>
      </w:r>
      <w:r>
        <w:rPr>
          <w:rFonts w:hint="eastAsia" w:ascii="仿宋" w:hAnsi="仿宋" w:eastAsia="仿宋" w:cs="仿宋"/>
          <w:b w:val="0"/>
          <w:color w:val="auto"/>
          <w:sz w:val="24"/>
          <w:szCs w:val="24"/>
        </w:rPr>
        <w:t>索赔的处理</w:t>
      </w:r>
      <w:bookmarkEnd w:id="1430"/>
    </w:p>
    <w:bookmarkEnd w:id="1431"/>
    <w:bookmarkEnd w:id="1432"/>
    <w:bookmarkEnd w:id="1433"/>
    <w:p w14:paraId="7A35CF9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对</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索赔的处理如下：</w:t>
      </w:r>
    </w:p>
    <w:p w14:paraId="0F05FA5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（1）监理人应在收到索赔报告后14天内完成审查并报送</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。监理人对索赔报告存在异议的，有权要求</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提交全部原始记录副本；</w:t>
      </w:r>
    </w:p>
    <w:p w14:paraId="6F177B68">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应在监理人收到索赔报告或有关索赔的进一步证明材料后的28天内，由监理人向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出具经</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签认的索赔处理结果。</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逾期答复的，则视为认可</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的索赔要求；</w:t>
      </w:r>
    </w:p>
    <w:p w14:paraId="1E451917">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接受索赔处理结果的，索赔款项在当期进度款中进行支付；</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不接受索赔处理结果的，按照第20条〔争议解决〕约定处理。</w:t>
      </w:r>
    </w:p>
    <w:p w14:paraId="1DB43F66">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34" w:name="_Toc351203623"/>
      <w:bookmarkStart w:id="1435" w:name="_Toc296503143"/>
      <w:bookmarkStart w:id="1436" w:name="_Toc337558838"/>
      <w:bookmarkStart w:id="1437" w:name="_Toc296346644"/>
      <w:r>
        <w:rPr>
          <w:rFonts w:hint="eastAsia" w:ascii="仿宋" w:hAnsi="仿宋" w:eastAsia="仿宋" w:cs="仿宋"/>
          <w:b w:val="0"/>
          <w:color w:val="auto"/>
          <w:sz w:val="24"/>
          <w:szCs w:val="24"/>
        </w:rPr>
        <w:t>19.3</w:t>
      </w:r>
      <w:r>
        <w:rPr>
          <w:rFonts w:hint="eastAsia" w:ascii="仿宋" w:hAnsi="仿宋" w:eastAsia="仿宋" w:cs="仿宋"/>
          <w:b w:val="0"/>
          <w:color w:val="auto"/>
          <w:sz w:val="24"/>
          <w:szCs w:val="24"/>
          <w:lang w:eastAsia="zh-CN"/>
        </w:rPr>
        <w:t>发包人</w:t>
      </w:r>
      <w:r>
        <w:rPr>
          <w:rFonts w:hint="eastAsia" w:ascii="仿宋" w:hAnsi="仿宋" w:eastAsia="仿宋" w:cs="仿宋"/>
          <w:b w:val="0"/>
          <w:color w:val="auto"/>
          <w:sz w:val="24"/>
          <w:szCs w:val="24"/>
        </w:rPr>
        <w:t>的索赔</w:t>
      </w:r>
      <w:bookmarkEnd w:id="1434"/>
    </w:p>
    <w:bookmarkEnd w:id="1435"/>
    <w:bookmarkEnd w:id="1436"/>
    <w:bookmarkEnd w:id="1437"/>
    <w:p w14:paraId="166C1B3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根据合同约定，</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认为有权得到赔付金额和（或）延长缺陷责任期的，监理人应向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发出通知并附有详细的证明。</w:t>
      </w:r>
    </w:p>
    <w:p w14:paraId="593E8425">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应在知道或应当知道索赔事件发生后28天内通过监理人向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提出索赔意向通知书，</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未在前述28天内发出索赔意向通知书的，丧失要求赔付金额和（或）延长缺陷责任期的权利。</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应在发出索赔意向通知书后28天内，通过监理人向</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正式递交索赔报告。</w:t>
      </w:r>
    </w:p>
    <w:p w14:paraId="70784876">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38" w:name="_Toc351203624"/>
      <w:bookmarkStart w:id="1439" w:name="_Toc337558839"/>
      <w:bookmarkStart w:id="1440" w:name="_Toc296503144"/>
      <w:bookmarkStart w:id="1441" w:name="_Toc296346645"/>
      <w:r>
        <w:rPr>
          <w:rFonts w:hint="eastAsia" w:ascii="仿宋" w:hAnsi="仿宋" w:eastAsia="仿宋" w:cs="仿宋"/>
          <w:b w:val="0"/>
          <w:color w:val="auto"/>
          <w:sz w:val="24"/>
          <w:szCs w:val="24"/>
        </w:rPr>
        <w:t>19.4 对</w:t>
      </w:r>
      <w:r>
        <w:rPr>
          <w:rFonts w:hint="eastAsia" w:ascii="仿宋" w:hAnsi="仿宋" w:eastAsia="仿宋" w:cs="仿宋"/>
          <w:b w:val="0"/>
          <w:color w:val="auto"/>
          <w:sz w:val="24"/>
          <w:szCs w:val="24"/>
          <w:lang w:eastAsia="zh-CN"/>
        </w:rPr>
        <w:t>发包人</w:t>
      </w:r>
      <w:r>
        <w:rPr>
          <w:rFonts w:hint="eastAsia" w:ascii="仿宋" w:hAnsi="仿宋" w:eastAsia="仿宋" w:cs="仿宋"/>
          <w:b w:val="0"/>
          <w:color w:val="auto"/>
          <w:sz w:val="24"/>
          <w:szCs w:val="24"/>
        </w:rPr>
        <w:t>索赔的处理</w:t>
      </w:r>
      <w:bookmarkEnd w:id="1438"/>
    </w:p>
    <w:bookmarkEnd w:id="1439"/>
    <w:bookmarkEnd w:id="1440"/>
    <w:bookmarkEnd w:id="1441"/>
    <w:p w14:paraId="0AE56FF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索赔的处理如下：</w:t>
      </w:r>
    </w:p>
    <w:p w14:paraId="06C4F53A">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收到</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提交的索赔报告后，应及时审查索赔报告的内容、查验</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证明材料；</w:t>
      </w:r>
    </w:p>
    <w:p w14:paraId="72AB5C8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应在收到索赔报告或有关索赔的进一步证明材料后28天内，将索赔处理结果答复</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。如果</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未在上述期限内作出答复的，则视为对</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索赔要求的认可；</w:t>
      </w:r>
    </w:p>
    <w:p w14:paraId="331E13F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接受索赔处理结果的，</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可从应支付给</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的合同价款中扣除赔付的金额或延长缺陷责任期；</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不接受索赔处理结果的，按第20条〔争议解决〕约定处理。</w:t>
      </w:r>
    </w:p>
    <w:p w14:paraId="0F37194E">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42" w:name="_Toc351203625"/>
      <w:r>
        <w:rPr>
          <w:rFonts w:hint="eastAsia" w:ascii="仿宋" w:hAnsi="仿宋" w:eastAsia="仿宋" w:cs="仿宋"/>
          <w:b w:val="0"/>
          <w:color w:val="auto"/>
          <w:sz w:val="24"/>
          <w:szCs w:val="24"/>
        </w:rPr>
        <w:t>19.5 提出索赔的期限</w:t>
      </w:r>
      <w:bookmarkEnd w:id="1442"/>
    </w:p>
    <w:p w14:paraId="407B0211">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按第14.2款〔竣工结算审核〕约定接收竣工付款证书后，应被视为已无权再提出在工程接收证书颁发前所发生的任何索赔。</w:t>
      </w:r>
    </w:p>
    <w:p w14:paraId="2693820C">
      <w:pPr>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按第14.4款〔最终结清〕提交的最终结清申请单中，只限于提出工程接收证书颁发后发生的索赔。提出索赔的期限自接受最终结清证书时终止。</w:t>
      </w:r>
    </w:p>
    <w:p w14:paraId="07D9FF23">
      <w:pPr>
        <w:pStyle w:val="5"/>
        <w:pageBreakBefore w:val="0"/>
        <w:widowControl w:val="0"/>
        <w:kinsoku/>
        <w:wordWrap/>
        <w:overflowPunct/>
        <w:topLinePunct w:val="0"/>
        <w:bidi w:val="0"/>
        <w:snapToGrid/>
        <w:spacing w:before="120" w:after="120" w:line="440" w:lineRule="exact"/>
        <w:textAlignment w:val="auto"/>
        <w:rPr>
          <w:rFonts w:hint="eastAsia" w:ascii="仿宋" w:hAnsi="仿宋" w:eastAsia="仿宋" w:cs="仿宋"/>
          <w:b w:val="0"/>
          <w:color w:val="auto"/>
          <w:sz w:val="24"/>
          <w:szCs w:val="24"/>
        </w:rPr>
      </w:pPr>
      <w:bookmarkStart w:id="1443" w:name="_Toc351203626"/>
      <w:r>
        <w:rPr>
          <w:rFonts w:hint="eastAsia" w:ascii="仿宋" w:hAnsi="仿宋" w:eastAsia="仿宋" w:cs="仿宋"/>
          <w:b w:val="0"/>
          <w:color w:val="auto"/>
          <w:sz w:val="24"/>
          <w:szCs w:val="24"/>
        </w:rPr>
        <w:t>20</w:t>
      </w:r>
      <w:bookmarkStart w:id="1444" w:name="_Toc296503146"/>
      <w:bookmarkStart w:id="1445" w:name="_Toc337558840"/>
      <w:bookmarkStart w:id="1446" w:name="_Toc296346647"/>
      <w:r>
        <w:rPr>
          <w:rFonts w:hint="eastAsia" w:ascii="仿宋" w:hAnsi="仿宋" w:eastAsia="仿宋" w:cs="仿宋"/>
          <w:b w:val="0"/>
          <w:color w:val="auto"/>
          <w:sz w:val="24"/>
          <w:szCs w:val="24"/>
        </w:rPr>
        <w:t>. 争议解决</w:t>
      </w:r>
      <w:bookmarkEnd w:id="1443"/>
    </w:p>
    <w:bookmarkEnd w:id="1444"/>
    <w:bookmarkEnd w:id="1445"/>
    <w:bookmarkEnd w:id="1446"/>
    <w:p w14:paraId="630D8205">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47" w:name="_Toc351203627"/>
      <w:bookmarkStart w:id="1448" w:name="_Toc296503147"/>
      <w:bookmarkStart w:id="1449" w:name="_Toc337558841"/>
      <w:bookmarkStart w:id="1450" w:name="_Toc296346648"/>
      <w:r>
        <w:rPr>
          <w:rFonts w:hint="eastAsia" w:ascii="仿宋" w:hAnsi="仿宋" w:eastAsia="仿宋" w:cs="仿宋"/>
          <w:b w:val="0"/>
          <w:color w:val="auto"/>
          <w:sz w:val="24"/>
          <w:szCs w:val="24"/>
        </w:rPr>
        <w:t>20.1和解</w:t>
      </w:r>
      <w:bookmarkEnd w:id="1447"/>
    </w:p>
    <w:bookmarkEnd w:id="1448"/>
    <w:bookmarkEnd w:id="1449"/>
    <w:bookmarkEnd w:id="1450"/>
    <w:p w14:paraId="575CE95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合同当事人可以就争议自行和解，自行和解达成协议的经双方签字并盖章后作为合同补充文件，双方均应遵照执行。</w:t>
      </w:r>
    </w:p>
    <w:p w14:paraId="042F5D5B">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51" w:name="_Toc351203628"/>
      <w:r>
        <w:rPr>
          <w:rFonts w:hint="eastAsia" w:ascii="仿宋" w:hAnsi="仿宋" w:eastAsia="仿宋" w:cs="仿宋"/>
          <w:b w:val="0"/>
          <w:color w:val="auto"/>
          <w:sz w:val="24"/>
          <w:szCs w:val="24"/>
        </w:rPr>
        <w:t>20</w:t>
      </w:r>
      <w:bookmarkStart w:id="1452" w:name="_Toc296346649"/>
      <w:bookmarkStart w:id="1453" w:name="_Toc296503148"/>
      <w:bookmarkStart w:id="1454" w:name="_Toc337558842"/>
      <w:r>
        <w:rPr>
          <w:rFonts w:hint="eastAsia" w:ascii="仿宋" w:hAnsi="仿宋" w:eastAsia="仿宋" w:cs="仿宋"/>
          <w:b w:val="0"/>
          <w:color w:val="auto"/>
          <w:sz w:val="24"/>
          <w:szCs w:val="24"/>
        </w:rPr>
        <w:t>.2调解</w:t>
      </w:r>
      <w:bookmarkEnd w:id="1451"/>
    </w:p>
    <w:bookmarkEnd w:id="1452"/>
    <w:bookmarkEnd w:id="1453"/>
    <w:bookmarkEnd w:id="1454"/>
    <w:p w14:paraId="127B1341">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合同当事人可以就争议请求建设行政主管部门、行业协会或其他第三方进行调解，调解达成协议的，经双方签字并盖章后作为合同补充文件，双方均应遵照执行。</w:t>
      </w:r>
    </w:p>
    <w:p w14:paraId="668C90D4">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55" w:name="_Toc351203629"/>
      <w:bookmarkStart w:id="1456" w:name="_Toc296503149"/>
      <w:bookmarkStart w:id="1457" w:name="_Toc337558843"/>
      <w:bookmarkStart w:id="1458" w:name="_Toc296346650"/>
      <w:r>
        <w:rPr>
          <w:rFonts w:hint="eastAsia" w:ascii="仿宋" w:hAnsi="仿宋" w:eastAsia="仿宋" w:cs="仿宋"/>
          <w:b w:val="0"/>
          <w:color w:val="auto"/>
          <w:sz w:val="24"/>
          <w:szCs w:val="24"/>
        </w:rPr>
        <w:t>20.3争议评审</w:t>
      </w:r>
      <w:bookmarkEnd w:id="1455"/>
    </w:p>
    <w:bookmarkEnd w:id="1456"/>
    <w:bookmarkEnd w:id="1457"/>
    <w:bookmarkEnd w:id="1458"/>
    <w:p w14:paraId="10CD9D7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合同当事人在专用合同条款中约定采取争议评审方式解决争议以及评审规则，并按下列约定执行： </w:t>
      </w:r>
    </w:p>
    <w:p w14:paraId="5246F1A9">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20.3.1 争议评审小组的确定</w:t>
      </w:r>
    </w:p>
    <w:p w14:paraId="5B8663B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合同当事人可以共同选择一名或三名争议评审员，组成争议评审小组。除专用合同条款另有约定外，合同当事人应当自合同签订后28天内，或者争议发生后14天内，选定争议评审员。</w:t>
      </w:r>
    </w:p>
    <w:p w14:paraId="73A486A0">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0384A5D6">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除专用合同条款另有约定外，评审员报酬由</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各承担一半。</w:t>
      </w:r>
    </w:p>
    <w:p w14:paraId="13DD1B3C">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20.3.2 争议评审小组的决定</w:t>
      </w:r>
    </w:p>
    <w:p w14:paraId="5A2B8CE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76393E9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20.3.3 争议评审小组决定的效力</w:t>
      </w:r>
    </w:p>
    <w:p w14:paraId="1EF3618D">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争议评审小组作出的书面决定经合同当事人签字确认后，对双方具有约束力，双方应遵照执行。</w:t>
      </w:r>
    </w:p>
    <w:p w14:paraId="272DBC23">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任何一方当事人不接受争议评审小组决定或不履行争议评审小组决定的，双方可选择采用其他争议解决方式。</w:t>
      </w:r>
    </w:p>
    <w:p w14:paraId="346DA475">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59" w:name="_Toc351203630"/>
      <w:bookmarkStart w:id="1460" w:name="_Toc337558844"/>
      <w:bookmarkStart w:id="1461" w:name="_Toc296346651"/>
      <w:bookmarkStart w:id="1462" w:name="_Toc296503150"/>
      <w:r>
        <w:rPr>
          <w:rFonts w:hint="eastAsia" w:ascii="仿宋" w:hAnsi="仿宋" w:eastAsia="仿宋" w:cs="仿宋"/>
          <w:b w:val="0"/>
          <w:color w:val="auto"/>
          <w:sz w:val="24"/>
          <w:szCs w:val="24"/>
        </w:rPr>
        <w:t>20.4仲裁或诉讼</w:t>
      </w:r>
      <w:bookmarkEnd w:id="1459"/>
    </w:p>
    <w:bookmarkEnd w:id="1460"/>
    <w:bookmarkEnd w:id="1461"/>
    <w:bookmarkEnd w:id="1462"/>
    <w:p w14:paraId="1A1F308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因合同及合同有关事项产生的争议，合同当事人可以在专用合同条款中约定以下一种方式解决争议：</w:t>
      </w:r>
    </w:p>
    <w:p w14:paraId="39DEF69B">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（1）向约定的仲裁委员会申请仲裁；</w:t>
      </w:r>
    </w:p>
    <w:p w14:paraId="2AA886AE">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（2）向有管辖权的人民法院起诉。</w:t>
      </w:r>
    </w:p>
    <w:p w14:paraId="280FEFB2">
      <w:pPr>
        <w:pStyle w:val="6"/>
        <w:pageBreakBefore w:val="0"/>
        <w:widowControl w:val="0"/>
        <w:kinsoku/>
        <w:wordWrap/>
        <w:overflowPunct/>
        <w:topLinePunct w:val="0"/>
        <w:bidi w:val="0"/>
        <w:snapToGrid/>
        <w:spacing w:before="120" w:after="120" w:line="440" w:lineRule="exact"/>
        <w:ind w:firstLine="480" w:firstLineChars="200"/>
        <w:textAlignment w:val="auto"/>
        <w:rPr>
          <w:rFonts w:hint="eastAsia" w:ascii="仿宋" w:hAnsi="仿宋" w:eastAsia="仿宋" w:cs="仿宋"/>
          <w:b w:val="0"/>
          <w:color w:val="auto"/>
          <w:sz w:val="24"/>
          <w:szCs w:val="24"/>
        </w:rPr>
      </w:pPr>
      <w:bookmarkStart w:id="1463" w:name="_Toc351203631"/>
      <w:bookmarkStart w:id="1464" w:name="_Toc296346653"/>
      <w:bookmarkStart w:id="1465" w:name="_Toc337558845"/>
      <w:bookmarkStart w:id="1466" w:name="_Toc296503152"/>
      <w:r>
        <w:rPr>
          <w:rFonts w:hint="eastAsia" w:ascii="仿宋" w:hAnsi="仿宋" w:eastAsia="仿宋" w:cs="仿宋"/>
          <w:b w:val="0"/>
          <w:color w:val="auto"/>
          <w:sz w:val="24"/>
          <w:szCs w:val="24"/>
        </w:rPr>
        <w:t>20.5争议解决条款效力</w:t>
      </w:r>
      <w:bookmarkEnd w:id="1463"/>
    </w:p>
    <w:bookmarkEnd w:id="1464"/>
    <w:bookmarkEnd w:id="1465"/>
    <w:bookmarkEnd w:id="1466"/>
    <w:p w14:paraId="5792A86F">
      <w:pPr>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合同有关争议解决的条款独立存在，合同的变更、解除、终止、无效或者被撤销均不影响其效力。 </w:t>
      </w:r>
    </w:p>
    <w:p w14:paraId="0116B2F5">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14:paraId="469F9E2D">
      <w:pPr>
        <w:pStyle w:val="4"/>
        <w:pageBreakBefore w:val="0"/>
        <w:widowControl w:val="0"/>
        <w:kinsoku/>
        <w:wordWrap/>
        <w:overflowPunct/>
        <w:topLinePunct w:val="0"/>
        <w:bidi w:val="0"/>
        <w:snapToGrid/>
        <w:spacing w:line="44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第三部分 专用合同条款</w:t>
      </w:r>
      <w:bookmarkEnd w:id="1031"/>
    </w:p>
    <w:p w14:paraId="26C80C66">
      <w:pPr>
        <w:pStyle w:val="5"/>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467" w:name="_Toc351203633"/>
      <w:r>
        <w:rPr>
          <w:rFonts w:hint="eastAsia" w:ascii="仿宋" w:hAnsi="仿宋" w:eastAsia="仿宋" w:cs="仿宋"/>
          <w:b w:val="0"/>
          <w:color w:val="auto"/>
          <w:sz w:val="24"/>
          <w:szCs w:val="24"/>
        </w:rPr>
        <w:t>1</w:t>
      </w:r>
      <w:bookmarkStart w:id="1468" w:name="_Toc297120456"/>
      <w:bookmarkStart w:id="1469" w:name="_Toc296347155"/>
      <w:bookmarkStart w:id="1470" w:name="_Toc296503156"/>
      <w:bookmarkStart w:id="1471" w:name="_Toc296891196"/>
      <w:bookmarkStart w:id="1472" w:name="_Toc297048342"/>
      <w:bookmarkStart w:id="1473" w:name="_Toc292559866"/>
      <w:bookmarkStart w:id="1474" w:name="_Toc296890984"/>
      <w:bookmarkStart w:id="1475" w:name="_Toc292559361"/>
      <w:bookmarkStart w:id="1476" w:name="_Toc296346657"/>
      <w:bookmarkStart w:id="1477" w:name="_Toc296944495"/>
      <w:r>
        <w:rPr>
          <w:rFonts w:hint="eastAsia" w:ascii="仿宋" w:hAnsi="仿宋" w:eastAsia="仿宋" w:cs="仿宋"/>
          <w:b w:val="0"/>
          <w:color w:val="auto"/>
          <w:sz w:val="24"/>
          <w:szCs w:val="24"/>
        </w:rPr>
        <w:t>. 一般约定</w:t>
      </w:r>
      <w:bookmarkEnd w:id="1467"/>
    </w:p>
    <w:bookmarkEnd w:id="1468"/>
    <w:bookmarkEnd w:id="1469"/>
    <w:bookmarkEnd w:id="1470"/>
    <w:bookmarkEnd w:id="1471"/>
    <w:bookmarkEnd w:id="1472"/>
    <w:bookmarkEnd w:id="1473"/>
    <w:bookmarkEnd w:id="1474"/>
    <w:bookmarkEnd w:id="1475"/>
    <w:bookmarkEnd w:id="1476"/>
    <w:bookmarkEnd w:id="1477"/>
    <w:p w14:paraId="2657D7C1">
      <w:pPr>
        <w:pageBreakBefore w:val="0"/>
        <w:widowControl w:val="0"/>
        <w:kinsoku/>
        <w:wordWrap/>
        <w:overflowPunct/>
        <w:topLinePunct w:val="0"/>
        <w:bidi w:val="0"/>
        <w:snapToGrid/>
        <w:spacing w:after="120" w:line="440" w:lineRule="exact"/>
        <w:ind w:firstLine="480" w:firstLineChars="200"/>
        <w:outlineLvl w:val="1"/>
        <w:rPr>
          <w:rFonts w:hint="eastAsia" w:ascii="仿宋" w:hAnsi="仿宋" w:eastAsia="仿宋" w:cs="仿宋"/>
          <w:color w:val="auto"/>
          <w:sz w:val="24"/>
          <w:szCs w:val="24"/>
        </w:rPr>
      </w:pPr>
      <w:bookmarkStart w:id="1478" w:name="_Toc22422"/>
      <w:r>
        <w:rPr>
          <w:rFonts w:hint="eastAsia" w:ascii="仿宋" w:hAnsi="仿宋" w:eastAsia="仿宋" w:cs="仿宋"/>
          <w:color w:val="auto"/>
          <w:sz w:val="24"/>
          <w:szCs w:val="24"/>
        </w:rPr>
        <w:t>1.1 词语定义</w:t>
      </w:r>
      <w:bookmarkEnd w:id="1478"/>
    </w:p>
    <w:p w14:paraId="559168CD">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1.1.1</w:t>
      </w:r>
      <w:r>
        <w:rPr>
          <w:rFonts w:hint="eastAsia" w:ascii="仿宋" w:hAnsi="仿宋" w:eastAsia="仿宋" w:cs="仿宋"/>
          <w:color w:val="auto"/>
          <w:kern w:val="0"/>
          <w:sz w:val="24"/>
          <w:szCs w:val="24"/>
        </w:rPr>
        <w:t>合同</w:t>
      </w:r>
    </w:p>
    <w:p w14:paraId="66001C47">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1.1.1.10</w:t>
      </w:r>
      <w:r>
        <w:rPr>
          <w:rFonts w:hint="eastAsia" w:ascii="仿宋" w:hAnsi="仿宋" w:eastAsia="仿宋" w:cs="仿宋"/>
          <w:color w:val="auto"/>
          <w:kern w:val="0"/>
          <w:sz w:val="24"/>
          <w:szCs w:val="24"/>
        </w:rPr>
        <w:t>其他合同文件包括：</w:t>
      </w:r>
      <w:r>
        <w:rPr>
          <w:rFonts w:hint="eastAsia" w:ascii="仿宋" w:hAnsi="仿宋" w:eastAsia="仿宋" w:cs="仿宋"/>
          <w:color w:val="auto"/>
          <w:sz w:val="24"/>
          <w:szCs w:val="24"/>
          <w:u w:val="single"/>
        </w:rPr>
        <w:t>1、磋商文件；2、响应文件；3、合同履行中</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签订的有关工程的洽商、变更等书面协议或文件</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、现场发包方所下发的通知、现场管理细则、例会纪要等文件</w:t>
      </w:r>
      <w:r>
        <w:rPr>
          <w:rFonts w:hint="eastAsia" w:ascii="仿宋" w:hAnsi="仿宋" w:eastAsia="仿宋" w:cs="仿宋"/>
          <w:color w:val="auto"/>
          <w:sz w:val="24"/>
          <w:szCs w:val="24"/>
        </w:rPr>
        <w:t>。</w:t>
      </w:r>
    </w:p>
    <w:p w14:paraId="61454E62">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1.1.3</w:t>
      </w:r>
      <w:r>
        <w:rPr>
          <w:rFonts w:hint="eastAsia" w:ascii="仿宋" w:hAnsi="仿宋" w:eastAsia="仿宋" w:cs="仿宋"/>
          <w:color w:val="auto"/>
          <w:sz w:val="24"/>
          <w:szCs w:val="24"/>
        </w:rPr>
        <w:t>工程和设备</w:t>
      </w:r>
    </w:p>
    <w:p w14:paraId="3F33E613">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1.1.3.7</w:t>
      </w:r>
      <w:r>
        <w:rPr>
          <w:rFonts w:hint="eastAsia" w:ascii="仿宋" w:hAnsi="仿宋" w:eastAsia="仿宋" w:cs="仿宋"/>
          <w:color w:val="auto"/>
          <w:sz w:val="24"/>
          <w:szCs w:val="24"/>
        </w:rPr>
        <w:t>作为施工现场组成部分的其他场所包括：</w:t>
      </w:r>
      <w:r>
        <w:rPr>
          <w:rFonts w:hint="eastAsia" w:ascii="仿宋" w:hAnsi="仿宋" w:eastAsia="仿宋" w:cs="仿宋"/>
          <w:color w:val="auto"/>
          <w:sz w:val="24"/>
          <w:szCs w:val="24"/>
          <w:u w:val="single"/>
        </w:rPr>
        <w:t xml:space="preserve"> 为完成本合同约定的永久工程所修建的施工用地、临时道路、供水、供电、生活用房、生产用房、办公用房及设施等临时性工程</w:t>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lang w:eastAsia="zh-CN"/>
        </w:rPr>
        <w:t>。</w:t>
      </w:r>
    </w:p>
    <w:p w14:paraId="6204667E">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1.3法律 </w:t>
      </w:r>
    </w:p>
    <w:p w14:paraId="6311E524">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left"/>
        <w:rPr>
          <w:rFonts w:hint="eastAsia" w:ascii="仿宋" w:hAnsi="仿宋" w:eastAsia="仿宋" w:cs="仿宋"/>
          <w:color w:val="auto"/>
          <w:sz w:val="24"/>
          <w:szCs w:val="24"/>
        </w:rPr>
      </w:pPr>
      <w:r>
        <w:rPr>
          <w:rFonts w:hint="eastAsia" w:ascii="仿宋" w:hAnsi="仿宋" w:eastAsia="仿宋" w:cs="仿宋"/>
          <w:color w:val="auto"/>
          <w:sz w:val="24"/>
          <w:szCs w:val="24"/>
        </w:rPr>
        <w:t>适用于合同的其他规范性文件：</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与本合同工程项目相关的法律、行政法规、部门规章和地方法规、规章及规范性文件均对本合同有约束力 </w:t>
      </w:r>
      <w:r>
        <w:rPr>
          <w:rFonts w:hint="eastAsia" w:ascii="仿宋" w:hAnsi="仿宋" w:eastAsia="仿宋" w:cs="仿宋"/>
          <w:color w:val="auto"/>
          <w:sz w:val="24"/>
          <w:szCs w:val="24"/>
        </w:rPr>
        <w:t>。</w:t>
      </w:r>
    </w:p>
    <w:p w14:paraId="62E1BFF8">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 标准和规范</w:t>
      </w:r>
    </w:p>
    <w:p w14:paraId="4F3399B8">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rPr>
      </w:pPr>
      <w:r>
        <w:rPr>
          <w:rFonts w:hint="eastAsia" w:ascii="仿宋" w:hAnsi="仿宋" w:eastAsia="仿宋" w:cs="仿宋"/>
          <w:color w:val="auto"/>
          <w:sz w:val="24"/>
          <w:szCs w:val="24"/>
        </w:rPr>
        <w:t>1.4.1适用于工程的标准规范包括：</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国家和行业现行的与本工程相关的标准、规程、规范、标准图集等</w:t>
      </w:r>
      <w:r>
        <w:rPr>
          <w:rFonts w:hint="eastAsia" w:ascii="仿宋" w:hAnsi="仿宋" w:eastAsia="仿宋" w:cs="仿宋"/>
          <w:color w:val="auto"/>
          <w:sz w:val="24"/>
          <w:szCs w:val="24"/>
        </w:rPr>
        <w:t>。</w:t>
      </w:r>
    </w:p>
    <w:p w14:paraId="5B4615DD">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lang w:eastAsia="zh-CN"/>
        </w:rPr>
      </w:pPr>
      <w:r>
        <w:rPr>
          <w:rFonts w:hint="eastAsia" w:ascii="仿宋" w:hAnsi="仿宋" w:eastAsia="仿宋" w:cs="仿宋"/>
          <w:color w:val="auto"/>
          <w:sz w:val="24"/>
          <w:szCs w:val="24"/>
        </w:rPr>
        <w:t>合同通用条款与《建设工程工程量清单计价标准》（GB/T 50500-2024）不一致时，以GB/T50500-2024为准</w:t>
      </w:r>
      <w:r>
        <w:rPr>
          <w:rFonts w:hint="eastAsia" w:ascii="仿宋" w:hAnsi="仿宋" w:eastAsia="仿宋" w:cs="仿宋"/>
          <w:color w:val="auto"/>
          <w:sz w:val="24"/>
          <w:szCs w:val="24"/>
          <w:lang w:eastAsia="zh-CN"/>
        </w:rPr>
        <w:t>。</w:t>
      </w:r>
    </w:p>
    <w:p w14:paraId="28EA63BC">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1.4.3</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对工程的技术标准和功能要求的特殊要求:</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按照本磋商文件规定执行    </w:t>
      </w:r>
      <w:r>
        <w:rPr>
          <w:rFonts w:hint="eastAsia" w:ascii="仿宋" w:hAnsi="仿宋" w:eastAsia="仿宋" w:cs="仿宋"/>
          <w:color w:val="auto"/>
          <w:sz w:val="24"/>
          <w:szCs w:val="24"/>
        </w:rPr>
        <w:t>。</w:t>
      </w:r>
    </w:p>
    <w:p w14:paraId="05DB8005">
      <w:pPr>
        <w:pageBreakBefore w:val="0"/>
        <w:widowControl w:val="0"/>
        <w:kinsoku/>
        <w:wordWrap/>
        <w:overflowPunct/>
        <w:topLinePunct w:val="0"/>
        <w:bidi w:val="0"/>
        <w:snapToGrid/>
        <w:spacing w:after="120" w:line="440" w:lineRule="exact"/>
        <w:ind w:firstLine="480" w:firstLineChars="200"/>
        <w:outlineLvl w:val="1"/>
        <w:rPr>
          <w:rFonts w:hint="eastAsia" w:ascii="仿宋" w:hAnsi="仿宋" w:eastAsia="仿宋" w:cs="仿宋"/>
          <w:color w:val="auto"/>
          <w:sz w:val="24"/>
          <w:szCs w:val="24"/>
        </w:rPr>
      </w:pPr>
      <w:bookmarkStart w:id="1479" w:name="_Toc17874"/>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合同文件的优先顺序</w:t>
      </w:r>
      <w:bookmarkEnd w:id="1479"/>
    </w:p>
    <w:p w14:paraId="6F84C0BE">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u w:val="single"/>
        </w:rPr>
      </w:pPr>
      <w:r>
        <w:rPr>
          <w:rFonts w:hint="eastAsia" w:ascii="仿宋" w:hAnsi="仿宋" w:eastAsia="仿宋" w:cs="仿宋"/>
          <w:b w:val="0"/>
          <w:bCs w:val="0"/>
          <w:color w:val="auto"/>
          <w:sz w:val="24"/>
          <w:szCs w:val="24"/>
          <w:u w:val="single"/>
        </w:rPr>
        <w:t>(1)合同协议书；</w:t>
      </w:r>
    </w:p>
    <w:p w14:paraId="1D96C7EE">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u w:val="single"/>
        </w:rPr>
      </w:pPr>
      <w:r>
        <w:rPr>
          <w:rFonts w:hint="eastAsia" w:ascii="仿宋" w:hAnsi="仿宋" w:eastAsia="仿宋" w:cs="仿宋"/>
          <w:b w:val="0"/>
          <w:bCs w:val="0"/>
          <w:color w:val="auto"/>
          <w:sz w:val="24"/>
          <w:szCs w:val="24"/>
          <w:u w:val="single"/>
        </w:rPr>
        <w:t>(2)成交通知书;</w:t>
      </w:r>
    </w:p>
    <w:p w14:paraId="7CC07B0E">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u w:val="single"/>
        </w:rPr>
      </w:pPr>
      <w:r>
        <w:rPr>
          <w:rFonts w:hint="eastAsia" w:ascii="仿宋" w:hAnsi="仿宋" w:eastAsia="仿宋" w:cs="仿宋"/>
          <w:b w:val="0"/>
          <w:bCs w:val="0"/>
          <w:color w:val="auto"/>
          <w:sz w:val="24"/>
          <w:szCs w:val="24"/>
          <w:u w:val="single"/>
        </w:rPr>
        <w:t>(3)磋商文件(含采购工程量清单)及招标答疑澄清;</w:t>
      </w:r>
    </w:p>
    <w:p w14:paraId="70BD84F2">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u w:val="single"/>
        </w:rPr>
      </w:pPr>
      <w:r>
        <w:rPr>
          <w:rFonts w:hint="eastAsia" w:ascii="仿宋" w:hAnsi="仿宋" w:eastAsia="仿宋" w:cs="仿宋"/>
          <w:b w:val="0"/>
          <w:bCs w:val="0"/>
          <w:color w:val="auto"/>
          <w:sz w:val="24"/>
          <w:szCs w:val="24"/>
          <w:u w:val="single"/>
        </w:rPr>
        <w:t>(4)磋商响应及其磋商报价一览表;</w:t>
      </w:r>
    </w:p>
    <w:p w14:paraId="7EA3EC6A">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u w:val="single"/>
        </w:rPr>
      </w:pPr>
      <w:r>
        <w:rPr>
          <w:rFonts w:hint="eastAsia" w:ascii="仿宋" w:hAnsi="仿宋" w:eastAsia="仿宋" w:cs="仿宋"/>
          <w:b w:val="0"/>
          <w:bCs w:val="0"/>
          <w:color w:val="auto"/>
          <w:sz w:val="24"/>
          <w:szCs w:val="24"/>
          <w:u w:val="single"/>
        </w:rPr>
        <w:t>(5)专用合同条款及其附件;</w:t>
      </w:r>
    </w:p>
    <w:p w14:paraId="32ED1644">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u w:val="single"/>
        </w:rPr>
      </w:pPr>
      <w:r>
        <w:rPr>
          <w:rFonts w:hint="eastAsia" w:ascii="仿宋" w:hAnsi="仿宋" w:eastAsia="仿宋" w:cs="仿宋"/>
          <w:b w:val="0"/>
          <w:bCs w:val="0"/>
          <w:color w:val="auto"/>
          <w:sz w:val="24"/>
          <w:szCs w:val="24"/>
          <w:u w:val="single"/>
        </w:rPr>
        <w:t>(6)通用合同条款;</w:t>
      </w:r>
    </w:p>
    <w:p w14:paraId="6D97153C">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u w:val="single"/>
        </w:rPr>
      </w:pPr>
      <w:r>
        <w:rPr>
          <w:rFonts w:hint="eastAsia" w:ascii="仿宋" w:hAnsi="仿宋" w:eastAsia="仿宋" w:cs="仿宋"/>
          <w:b w:val="0"/>
          <w:bCs w:val="0"/>
          <w:color w:val="auto"/>
          <w:sz w:val="24"/>
          <w:szCs w:val="24"/>
          <w:u w:val="single"/>
        </w:rPr>
        <w:t>(7)技术标准和要求:</w:t>
      </w:r>
    </w:p>
    <w:p w14:paraId="18A36C02">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u w:val="single"/>
        </w:rPr>
      </w:pPr>
      <w:r>
        <w:rPr>
          <w:rFonts w:hint="eastAsia" w:ascii="仿宋" w:hAnsi="仿宋" w:eastAsia="仿宋" w:cs="仿宋"/>
          <w:b w:val="0"/>
          <w:bCs w:val="0"/>
          <w:color w:val="auto"/>
          <w:sz w:val="24"/>
          <w:szCs w:val="24"/>
          <w:u w:val="single"/>
        </w:rPr>
        <w:t>(8)工程质量保证书;</w:t>
      </w:r>
    </w:p>
    <w:p w14:paraId="3237F305">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u w:val="single"/>
        </w:rPr>
      </w:pPr>
      <w:r>
        <w:rPr>
          <w:rFonts w:hint="eastAsia" w:ascii="仿宋" w:hAnsi="仿宋" w:eastAsia="仿宋" w:cs="仿宋"/>
          <w:b w:val="0"/>
          <w:bCs w:val="0"/>
          <w:color w:val="auto"/>
          <w:sz w:val="24"/>
          <w:szCs w:val="24"/>
          <w:u w:val="single"/>
        </w:rPr>
        <w:t>(9)响应文件及已标价工程量清单;</w:t>
      </w:r>
    </w:p>
    <w:p w14:paraId="5F6C11AD">
      <w:pPr>
        <w:pageBreakBefore w:val="0"/>
        <w:widowControl w:val="0"/>
        <w:kinsoku/>
        <w:wordWrap/>
        <w:overflowPunct/>
        <w:topLinePunct w:val="0"/>
        <w:bidi w:val="0"/>
        <w:snapToGrid/>
        <w:spacing w:line="440" w:lineRule="exact"/>
        <w:ind w:firstLine="48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u w:val="single"/>
        </w:rPr>
        <w:t>(1</w:t>
      </w:r>
      <w:r>
        <w:rPr>
          <w:rFonts w:hint="eastAsia" w:ascii="仿宋" w:hAnsi="仿宋" w:eastAsia="仿宋" w:cs="仿宋"/>
          <w:b w:val="0"/>
          <w:bCs w:val="0"/>
          <w:color w:val="auto"/>
          <w:sz w:val="24"/>
          <w:szCs w:val="24"/>
          <w:u w:val="single"/>
          <w:lang w:val="en-US" w:eastAsia="zh-CN"/>
        </w:rPr>
        <w:t>0</w:t>
      </w:r>
      <w:r>
        <w:rPr>
          <w:rFonts w:hint="eastAsia" w:ascii="仿宋" w:hAnsi="仿宋" w:eastAsia="仿宋" w:cs="仿宋"/>
          <w:b w:val="0"/>
          <w:bCs w:val="0"/>
          <w:color w:val="auto"/>
          <w:sz w:val="24"/>
          <w:szCs w:val="24"/>
          <w:u w:val="single"/>
        </w:rPr>
        <w:t>)其他合同文件。</w:t>
      </w:r>
    </w:p>
    <w:p w14:paraId="392ED9E4">
      <w:pPr>
        <w:pageBreakBefore w:val="0"/>
        <w:widowControl w:val="0"/>
        <w:kinsoku/>
        <w:wordWrap/>
        <w:overflowPunct/>
        <w:topLinePunct w:val="0"/>
        <w:bidi w:val="0"/>
        <w:snapToGrid/>
        <w:spacing w:after="120" w:line="440" w:lineRule="exact"/>
        <w:ind w:firstLine="480" w:firstLineChars="200"/>
        <w:outlineLvl w:val="1"/>
        <w:rPr>
          <w:rFonts w:hint="eastAsia" w:ascii="仿宋" w:hAnsi="仿宋" w:eastAsia="仿宋" w:cs="仿宋"/>
          <w:color w:val="auto"/>
          <w:sz w:val="24"/>
          <w:szCs w:val="24"/>
        </w:rPr>
      </w:pPr>
      <w:bookmarkStart w:id="1480" w:name="_Toc8195"/>
      <w:r>
        <w:rPr>
          <w:rFonts w:hint="eastAsia" w:ascii="仿宋" w:hAnsi="仿宋" w:eastAsia="仿宋" w:cs="仿宋"/>
          <w:color w:val="auto"/>
          <w:sz w:val="24"/>
          <w:szCs w:val="24"/>
        </w:rPr>
        <w:t>1.6 设计说明清单和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文件</w:t>
      </w:r>
      <w:bookmarkEnd w:id="1480"/>
      <w:r>
        <w:rPr>
          <w:rFonts w:hint="eastAsia" w:ascii="仿宋" w:hAnsi="仿宋" w:eastAsia="仿宋" w:cs="仿宋"/>
          <w:color w:val="auto"/>
          <w:sz w:val="24"/>
          <w:szCs w:val="24"/>
        </w:rPr>
        <w:tab/>
      </w:r>
    </w:p>
    <w:p w14:paraId="4E7C6F59">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1.6.1 设计说明清单的提供</w:t>
      </w:r>
    </w:p>
    <w:p w14:paraId="1AA5A494">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向</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提供设计说明清单的期限：</w:t>
      </w:r>
      <w:r>
        <w:rPr>
          <w:rFonts w:hint="eastAsia" w:ascii="仿宋" w:hAnsi="仿宋" w:eastAsia="仿宋" w:cs="仿宋"/>
          <w:color w:val="auto"/>
          <w:sz w:val="24"/>
          <w:szCs w:val="24"/>
          <w:u w:val="single"/>
        </w:rPr>
        <w:t>开工日期前14天；</w:t>
      </w:r>
    </w:p>
    <w:p w14:paraId="0FD3132E">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向</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提供设计说明清单的数量：</w:t>
      </w:r>
      <w:r>
        <w:rPr>
          <w:rFonts w:hint="eastAsia" w:ascii="仿宋" w:hAnsi="仿宋" w:eastAsia="仿宋" w:cs="仿宋"/>
          <w:color w:val="auto"/>
          <w:sz w:val="24"/>
          <w:szCs w:val="24"/>
          <w:u w:val="single"/>
        </w:rPr>
        <w:t>电子版；</w:t>
      </w:r>
    </w:p>
    <w:p w14:paraId="71C0E124">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向</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提供设计说明清单的内容：</w:t>
      </w:r>
      <w:r>
        <w:rPr>
          <w:rFonts w:hint="eastAsia" w:ascii="仿宋" w:hAnsi="仿宋" w:eastAsia="仿宋" w:cs="仿宋"/>
          <w:color w:val="auto"/>
          <w:sz w:val="24"/>
          <w:szCs w:val="24"/>
          <w:u w:val="single"/>
        </w:rPr>
        <w:t>设计说明清单。</w:t>
      </w:r>
    </w:p>
    <w:p w14:paraId="5DC06467">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1.6.4</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文件</w:t>
      </w:r>
    </w:p>
    <w:p w14:paraId="5B2E6FDE">
      <w:pPr>
        <w:pageBreakBefore w:val="0"/>
        <w:widowControl w:val="0"/>
        <w:kinsoku/>
        <w:wordWrap/>
        <w:overflowPunct/>
        <w:topLinePunct w:val="0"/>
        <w:bidi w:val="0"/>
        <w:snapToGrid/>
        <w:spacing w:line="440" w:lineRule="exact"/>
        <w:ind w:left="15" w:leftChars="7" w:firstLine="463" w:firstLineChars="193"/>
        <w:jc w:val="left"/>
        <w:rPr>
          <w:rFonts w:hint="eastAsia" w:ascii="仿宋" w:hAnsi="仿宋" w:eastAsia="仿宋" w:cs="仿宋"/>
          <w:color w:val="auto"/>
          <w:sz w:val="24"/>
          <w:szCs w:val="24"/>
        </w:rPr>
      </w:pPr>
      <w:r>
        <w:rPr>
          <w:rFonts w:hint="eastAsia" w:ascii="仿宋" w:hAnsi="仿宋" w:eastAsia="仿宋" w:cs="仿宋"/>
          <w:color w:val="auto"/>
          <w:sz w:val="24"/>
          <w:szCs w:val="24"/>
        </w:rPr>
        <w:t>需要由</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提供的文件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包括：</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施工组织设计及正式的施工总进度计划表;详细的分部工程施工计划表;正式的人员、机械计划;详细的资金使用计划表；</w:t>
      </w:r>
    </w:p>
    <w:p w14:paraId="39265980">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承包人提供的文件的期限为：</w:t>
      </w:r>
      <w:r>
        <w:rPr>
          <w:rFonts w:hint="eastAsia" w:ascii="仿宋" w:hAnsi="仿宋" w:eastAsia="仿宋" w:cs="仿宋"/>
          <w:color w:val="auto"/>
          <w:sz w:val="24"/>
          <w:szCs w:val="24"/>
          <w:u w:val="single"/>
          <w:lang w:eastAsia="zh-CN"/>
        </w:rPr>
        <w:t>开工后15天内</w:t>
      </w:r>
      <w:r>
        <w:rPr>
          <w:rFonts w:hint="eastAsia" w:ascii="仿宋" w:hAnsi="仿宋" w:eastAsia="仿宋" w:cs="仿宋"/>
          <w:color w:val="auto"/>
          <w:sz w:val="24"/>
          <w:szCs w:val="24"/>
          <w:lang w:eastAsia="zh-CN"/>
        </w:rPr>
        <w:t>；</w:t>
      </w:r>
    </w:p>
    <w:p w14:paraId="2837D96E">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承包人提供的文件的数量为：</w:t>
      </w:r>
      <w:r>
        <w:rPr>
          <w:rFonts w:hint="eastAsia" w:ascii="仿宋" w:hAnsi="仿宋" w:eastAsia="仿宋" w:cs="仿宋"/>
          <w:color w:val="auto"/>
          <w:sz w:val="24"/>
          <w:szCs w:val="24"/>
          <w:u w:val="single"/>
          <w:lang w:eastAsia="zh-CN"/>
        </w:rPr>
        <w:t>一式六份；</w:t>
      </w:r>
    </w:p>
    <w:p w14:paraId="1CACDDED">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承包人提供的文件的形式为：</w:t>
      </w:r>
      <w:r>
        <w:rPr>
          <w:rFonts w:hint="eastAsia" w:ascii="仿宋" w:hAnsi="仿宋" w:eastAsia="仿宋" w:cs="仿宋"/>
          <w:color w:val="auto"/>
          <w:sz w:val="24"/>
          <w:szCs w:val="24"/>
          <w:u w:val="single"/>
          <w:lang w:eastAsia="zh-CN"/>
        </w:rPr>
        <w:t>纸质文件六份，电子文件一份；</w:t>
      </w:r>
    </w:p>
    <w:p w14:paraId="091D812B">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发包人审批承包人文件的期限：</w:t>
      </w:r>
      <w:r>
        <w:rPr>
          <w:rFonts w:hint="eastAsia" w:ascii="仿宋" w:hAnsi="仿宋" w:eastAsia="仿宋" w:cs="仿宋"/>
          <w:color w:val="auto"/>
          <w:sz w:val="24"/>
          <w:szCs w:val="24"/>
          <w:u w:val="single"/>
          <w:lang w:eastAsia="zh-CN"/>
        </w:rPr>
        <w:t>收到承包人文件后七天内。发包人审核批准后承包人才能作为施工的依据。</w:t>
      </w:r>
    </w:p>
    <w:p w14:paraId="2C3C5581">
      <w:pPr>
        <w:pageBreakBefore w:val="0"/>
        <w:widowControl w:val="0"/>
        <w:kinsoku/>
        <w:wordWrap/>
        <w:overflowPunct/>
        <w:topLinePunct w:val="0"/>
        <w:bidi w:val="0"/>
        <w:snapToGrid/>
        <w:spacing w:after="120" w:line="440" w:lineRule="exact"/>
        <w:ind w:firstLine="480" w:firstLineChars="200"/>
        <w:outlineLvl w:val="1"/>
        <w:rPr>
          <w:rFonts w:hint="eastAsia" w:ascii="仿宋" w:hAnsi="仿宋" w:eastAsia="仿宋" w:cs="仿宋"/>
          <w:color w:val="auto"/>
          <w:sz w:val="24"/>
          <w:szCs w:val="24"/>
        </w:rPr>
      </w:pPr>
      <w:bookmarkStart w:id="1481" w:name="_Toc27699"/>
      <w:r>
        <w:rPr>
          <w:rFonts w:hint="eastAsia" w:ascii="仿宋" w:hAnsi="仿宋" w:eastAsia="仿宋" w:cs="仿宋"/>
          <w:color w:val="auto"/>
          <w:sz w:val="24"/>
          <w:szCs w:val="24"/>
        </w:rPr>
        <w:t>1.7 联络</w:t>
      </w:r>
      <w:bookmarkEnd w:id="1481"/>
    </w:p>
    <w:p w14:paraId="732ED7E9">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7.1</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和</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应当在</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七</w:t>
      </w:r>
      <w:r>
        <w:rPr>
          <w:rFonts w:hint="eastAsia" w:ascii="仿宋" w:hAnsi="仿宋" w:eastAsia="仿宋" w:cs="仿宋"/>
          <w:color w:val="auto"/>
          <w:sz w:val="24"/>
          <w:szCs w:val="24"/>
          <w:u w:val="single"/>
        </w:rPr>
        <w:t xml:space="preserve">  </w:t>
      </w:r>
      <w:r>
        <w:rPr>
          <w:rFonts w:hint="eastAsia" w:ascii="仿宋" w:hAnsi="仿宋" w:eastAsia="仿宋" w:cs="仿宋"/>
          <w:color w:val="auto"/>
          <w:kern w:val="0"/>
          <w:sz w:val="24"/>
          <w:szCs w:val="24"/>
        </w:rPr>
        <w:t>天内将与合同有关的通知、批准、证明、证书、指示、指令、要求、请求、同意、意见、确定和决定等书面函件送达对方当事人。</w:t>
      </w:r>
    </w:p>
    <w:p w14:paraId="1741C92B">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7.2</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接收文件的地点:</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发包人办公地点</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kern w:val="0"/>
          <w:sz w:val="24"/>
          <w:szCs w:val="24"/>
        </w:rPr>
        <w:t>；</w:t>
      </w:r>
    </w:p>
    <w:p w14:paraId="4041F2E1">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u w:val="none"/>
          <w:lang w:eastAsia="zh-CN"/>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指定的接收人为：</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none"/>
          <w:lang w:eastAsia="zh-CN"/>
        </w:rPr>
        <w:t>。</w:t>
      </w:r>
    </w:p>
    <w:p w14:paraId="75935846">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接收文件的地点：</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t>施工现场</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办公地点</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kern w:val="0"/>
          <w:sz w:val="24"/>
          <w:szCs w:val="24"/>
          <w:lang w:eastAsia="zh-CN"/>
        </w:rPr>
        <w:t>；</w:t>
      </w:r>
    </w:p>
    <w:p w14:paraId="470E9DD5">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指定的接收人为：</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kern w:val="0"/>
          <w:sz w:val="24"/>
          <w:szCs w:val="24"/>
        </w:rPr>
        <w:t>。</w:t>
      </w:r>
    </w:p>
    <w:p w14:paraId="631F1A55">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监理人接收文件的地点：</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施工现场</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 xml:space="preserve">办公地点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kern w:val="0"/>
          <w:sz w:val="24"/>
          <w:szCs w:val="24"/>
        </w:rPr>
        <w:t>；</w:t>
      </w:r>
    </w:p>
    <w:p w14:paraId="41E7E7BD">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监理人指定的接收人为：</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none"/>
          <w:lang w:eastAsia="zh-CN"/>
        </w:rPr>
        <w:t>。</w:t>
      </w:r>
    </w:p>
    <w:p w14:paraId="268FF171">
      <w:pPr>
        <w:pageBreakBefore w:val="0"/>
        <w:widowControl w:val="0"/>
        <w:kinsoku/>
        <w:wordWrap/>
        <w:overflowPunct/>
        <w:topLinePunct w:val="0"/>
        <w:bidi w:val="0"/>
        <w:snapToGrid/>
        <w:spacing w:after="120" w:line="440" w:lineRule="exact"/>
        <w:ind w:firstLine="480" w:firstLineChars="200"/>
        <w:outlineLvl w:val="1"/>
        <w:rPr>
          <w:rFonts w:hint="eastAsia" w:ascii="仿宋" w:hAnsi="仿宋" w:eastAsia="仿宋" w:cs="仿宋"/>
          <w:color w:val="auto"/>
          <w:sz w:val="24"/>
          <w:szCs w:val="24"/>
        </w:rPr>
      </w:pPr>
      <w:bookmarkStart w:id="1482" w:name="_Toc23300"/>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10 交通运输</w:t>
      </w:r>
      <w:bookmarkEnd w:id="1482"/>
    </w:p>
    <w:p w14:paraId="0AE373E7">
      <w:pPr>
        <w:pageBreakBefore w:val="0"/>
        <w:widowControl w:val="0"/>
        <w:kinsoku/>
        <w:wordWrap/>
        <w:overflowPunct/>
        <w:topLinePunct w:val="0"/>
        <w:bidi w:val="0"/>
        <w:snapToGrid/>
        <w:spacing w:line="440" w:lineRule="exact"/>
        <w:ind w:firstLine="480" w:firstLineChars="200"/>
        <w:jc w:val="left"/>
        <w:outlineLvl w:val="1"/>
        <w:rPr>
          <w:rFonts w:hint="eastAsia" w:ascii="仿宋" w:hAnsi="仿宋" w:eastAsia="仿宋" w:cs="仿宋"/>
          <w:color w:val="auto"/>
          <w:sz w:val="24"/>
          <w:szCs w:val="24"/>
        </w:rPr>
      </w:pPr>
      <w:bookmarkStart w:id="1483" w:name="_Toc10593"/>
      <w:r>
        <w:rPr>
          <w:rFonts w:hint="eastAsia" w:ascii="仿宋" w:hAnsi="仿宋" w:eastAsia="仿宋" w:cs="仿宋"/>
          <w:color w:val="auto"/>
          <w:sz w:val="24"/>
          <w:szCs w:val="24"/>
        </w:rPr>
        <w:t>1</w:t>
      </w:r>
      <w:bookmarkStart w:id="1484" w:name="_Toc318581156"/>
      <w:bookmarkStart w:id="1485" w:name="_Toc303539101"/>
      <w:bookmarkStart w:id="1486" w:name="_Toc300934944"/>
      <w:bookmarkStart w:id="1487" w:name="_Toc312677987"/>
      <w:bookmarkStart w:id="1488" w:name="_Toc304295522"/>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10</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3场内交通</w:t>
      </w:r>
      <w:bookmarkEnd w:id="1483"/>
    </w:p>
    <w:p w14:paraId="3B30B052">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关于场外交通和场内交通的边界的约定：</w:t>
      </w:r>
      <w:r>
        <w:rPr>
          <w:rFonts w:hint="eastAsia" w:ascii="仿宋" w:hAnsi="仿宋" w:eastAsia="仿宋" w:cs="仿宋"/>
          <w:color w:val="auto"/>
          <w:sz w:val="24"/>
          <w:szCs w:val="24"/>
          <w:u w:val="single"/>
        </w:rPr>
        <w:t>关于场外交通和场内交通的边界的约定：以施工现场封闭围挡为界。</w:t>
      </w:r>
    </w:p>
    <w:bookmarkEnd w:id="1484"/>
    <w:bookmarkEnd w:id="1485"/>
    <w:bookmarkEnd w:id="1486"/>
    <w:bookmarkEnd w:id="1487"/>
    <w:bookmarkEnd w:id="1488"/>
    <w:p w14:paraId="0DC9A8EB">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bookmarkStart w:id="1489" w:name="_Toc318581157"/>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10.4超大件和超重件的运输</w:t>
      </w:r>
    </w:p>
    <w:p w14:paraId="7BE3F2C3">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运输超大件或超重件所需的道路和桥梁临时加固改造费用和其他有关费用由</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承包人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承担。</w:t>
      </w:r>
    </w:p>
    <w:bookmarkEnd w:id="1489"/>
    <w:p w14:paraId="6E2C96E3">
      <w:pPr>
        <w:pageBreakBefore w:val="0"/>
        <w:widowControl w:val="0"/>
        <w:kinsoku/>
        <w:wordWrap/>
        <w:overflowPunct/>
        <w:topLinePunct w:val="0"/>
        <w:bidi w:val="0"/>
        <w:snapToGrid/>
        <w:spacing w:after="120" w:line="440" w:lineRule="exact"/>
        <w:ind w:firstLine="480" w:firstLineChars="200"/>
        <w:outlineLvl w:val="1"/>
        <w:rPr>
          <w:rFonts w:hint="eastAsia" w:ascii="仿宋" w:hAnsi="仿宋" w:eastAsia="仿宋" w:cs="仿宋"/>
          <w:color w:val="auto"/>
          <w:sz w:val="24"/>
          <w:szCs w:val="24"/>
        </w:rPr>
      </w:pPr>
      <w:bookmarkStart w:id="1490" w:name="_Toc28430"/>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11知识产权</w:t>
      </w:r>
      <w:bookmarkEnd w:id="1490"/>
    </w:p>
    <w:p w14:paraId="2801FD2D">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rPr>
      </w:pPr>
      <w:r>
        <w:rPr>
          <w:rFonts w:hint="eastAsia" w:ascii="仿宋" w:hAnsi="仿宋" w:eastAsia="仿宋" w:cs="仿宋"/>
          <w:color w:val="auto"/>
          <w:sz w:val="24"/>
          <w:szCs w:val="24"/>
        </w:rPr>
        <w:t>1.11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1关于</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为实施工程自行编制或委托编制的技术规范以及反映</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关于合同要求或其他类似性质的文件的著作权的归属：</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归发包人</w:t>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rPr>
        <w:t>。</w:t>
      </w:r>
    </w:p>
    <w:p w14:paraId="2800671F">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rPr>
      </w:pPr>
      <w:r>
        <w:rPr>
          <w:rFonts w:hint="eastAsia" w:ascii="仿宋" w:hAnsi="仿宋" w:eastAsia="仿宋" w:cs="仿宋"/>
          <w:color w:val="auto"/>
          <w:sz w:val="24"/>
          <w:szCs w:val="24"/>
        </w:rPr>
        <w:t>关于</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提供的上述文件的使用限制的要求：</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除用于本工程外，未经</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 xml:space="preserve">书面同意，不得使用上述文件申报奖项、不得公开推广宣传或向第三人泄漏该等文件 </w:t>
      </w:r>
      <w:r>
        <w:rPr>
          <w:rFonts w:hint="eastAsia" w:ascii="仿宋" w:hAnsi="仿宋" w:eastAsia="仿宋" w:cs="仿宋"/>
          <w:color w:val="auto"/>
          <w:sz w:val="24"/>
          <w:szCs w:val="24"/>
        </w:rPr>
        <w:t>。</w:t>
      </w:r>
    </w:p>
    <w:p w14:paraId="68D22549">
      <w:pPr>
        <w:pageBreakBefore w:val="0"/>
        <w:widowControl w:val="0"/>
        <w:kinsoku/>
        <w:wordWrap/>
        <w:overflowPunct/>
        <w:topLinePunct w:val="0"/>
        <w:bidi w:val="0"/>
        <w:snapToGrid/>
        <w:spacing w:line="440" w:lineRule="exact"/>
        <w:ind w:left="0" w:leftChars="0" w:firstLine="511" w:firstLineChars="213"/>
        <w:outlineLvl w:val="1"/>
        <w:rPr>
          <w:rFonts w:hint="eastAsia" w:ascii="仿宋" w:hAnsi="仿宋" w:eastAsia="仿宋" w:cs="仿宋"/>
          <w:color w:val="auto"/>
          <w:sz w:val="24"/>
          <w:szCs w:val="24"/>
        </w:rPr>
      </w:pPr>
      <w:bookmarkStart w:id="1491" w:name="_Toc18475"/>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11.2关于</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为实施工程所编制文件的著作权的归属:</w:t>
      </w:r>
      <w:r>
        <w:rPr>
          <w:rFonts w:hint="eastAsia" w:ascii="仿宋" w:hAnsi="仿宋" w:eastAsia="仿宋" w:cs="仿宋"/>
          <w:color w:val="auto"/>
          <w:sz w:val="24"/>
          <w:szCs w:val="24"/>
          <w:u w:val="single"/>
        </w:rPr>
        <w:t xml:space="preserve"> 著作权归属</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lang w:val="en-US" w:eastAsia="zh-CN"/>
        </w:rPr>
        <w:t>在本工程期限内</w:t>
      </w:r>
      <w:r>
        <w:rPr>
          <w:rFonts w:hint="eastAsia" w:ascii="仿宋" w:hAnsi="仿宋" w:eastAsia="仿宋" w:cs="仿宋"/>
          <w:color w:val="auto"/>
          <w:sz w:val="24"/>
          <w:szCs w:val="24"/>
          <w:u w:val="single"/>
        </w:rPr>
        <w:t>对于上述文件享有免费使用权、修改权和保护作品完整的权利</w:t>
      </w:r>
      <w:r>
        <w:rPr>
          <w:rFonts w:hint="eastAsia" w:ascii="仿宋" w:hAnsi="仿宋" w:eastAsia="仿宋" w:cs="仿宋"/>
          <w:color w:val="auto"/>
          <w:sz w:val="24"/>
          <w:szCs w:val="24"/>
        </w:rPr>
        <w:t>。</w:t>
      </w:r>
      <w:bookmarkEnd w:id="1491"/>
    </w:p>
    <w:p w14:paraId="3BEDC561">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rPr>
      </w:pPr>
      <w:r>
        <w:rPr>
          <w:rFonts w:hint="eastAsia" w:ascii="仿宋" w:hAnsi="仿宋" w:eastAsia="仿宋" w:cs="仿宋"/>
          <w:color w:val="auto"/>
          <w:sz w:val="24"/>
          <w:szCs w:val="24"/>
        </w:rPr>
        <w:t>关于</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提供的上述文件的使用限制的要求：</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不得向第三方泄露关于本项目的资料</w:t>
      </w:r>
      <w:r>
        <w:rPr>
          <w:rFonts w:hint="eastAsia" w:ascii="仿宋" w:hAnsi="仿宋" w:eastAsia="仿宋" w:cs="仿宋"/>
          <w:color w:val="auto"/>
          <w:sz w:val="24"/>
          <w:szCs w:val="24"/>
        </w:rPr>
        <w:t>。</w:t>
      </w:r>
    </w:p>
    <w:p w14:paraId="6AEDF6FB">
      <w:pPr>
        <w:pageBreakBefore w:val="0"/>
        <w:widowControl w:val="0"/>
        <w:kinsoku/>
        <w:wordWrap/>
        <w:overflowPunct/>
        <w:topLinePunct w:val="0"/>
        <w:bidi w:val="0"/>
        <w:snapToGrid/>
        <w:spacing w:line="440" w:lineRule="exact"/>
        <w:ind w:left="0" w:leftChars="0" w:firstLine="511" w:firstLineChars="213"/>
        <w:outlineLvl w:val="1"/>
        <w:rPr>
          <w:rFonts w:hint="eastAsia" w:ascii="仿宋" w:hAnsi="仿宋" w:eastAsia="仿宋" w:cs="仿宋"/>
          <w:color w:val="auto"/>
          <w:kern w:val="0"/>
          <w:sz w:val="24"/>
          <w:szCs w:val="24"/>
          <w:lang w:val="en-US" w:eastAsia="zh-CN"/>
        </w:rPr>
      </w:pPr>
      <w:bookmarkStart w:id="1492" w:name="_Toc18714"/>
      <w:r>
        <w:rPr>
          <w:rFonts w:hint="eastAsia" w:ascii="仿宋" w:hAnsi="仿宋" w:eastAsia="仿宋" w:cs="仿宋"/>
          <w:color w:val="auto"/>
          <w:sz w:val="24"/>
          <w:szCs w:val="24"/>
        </w:rPr>
        <w:t>1.11</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在施工过程中所采用的专利、专有技术、技术秘密的使用费的承担方式：</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承担，包含在签约合同价中</w:t>
      </w:r>
      <w:r>
        <w:rPr>
          <w:rFonts w:hint="eastAsia" w:ascii="仿宋" w:hAnsi="仿宋" w:eastAsia="仿宋" w:cs="仿宋"/>
          <w:color w:val="auto"/>
          <w:sz w:val="24"/>
          <w:szCs w:val="24"/>
          <w:u w:val="single"/>
          <w:lang w:eastAsia="zh-CN"/>
        </w:rPr>
        <w:t>。</w:t>
      </w:r>
      <w:bookmarkEnd w:id="1492"/>
    </w:p>
    <w:p w14:paraId="4ECD86E5">
      <w:pPr>
        <w:pStyle w:val="4"/>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lang w:eastAsia="zh-CN"/>
        </w:rPr>
      </w:pPr>
      <w:bookmarkStart w:id="1493" w:name="_Toc351203634"/>
      <w:r>
        <w:rPr>
          <w:rFonts w:hint="eastAsia" w:ascii="仿宋" w:hAnsi="仿宋" w:eastAsia="仿宋" w:cs="仿宋"/>
          <w:b w:val="0"/>
          <w:color w:val="auto"/>
          <w:sz w:val="24"/>
          <w:szCs w:val="24"/>
        </w:rPr>
        <w:t>2</w:t>
      </w:r>
      <w:bookmarkStart w:id="1494" w:name="_Toc296891197"/>
      <w:bookmarkStart w:id="1495" w:name="_Toc296347156"/>
      <w:bookmarkStart w:id="1496" w:name="_Toc296944496"/>
      <w:bookmarkStart w:id="1497" w:name="_Toc296890985"/>
      <w:bookmarkStart w:id="1498" w:name="_Toc297120457"/>
      <w:bookmarkStart w:id="1499" w:name="_Toc292559867"/>
      <w:bookmarkStart w:id="1500" w:name="_Toc292559362"/>
      <w:bookmarkStart w:id="1501" w:name="_Toc297048343"/>
      <w:bookmarkStart w:id="1502" w:name="_Toc296503157"/>
      <w:bookmarkStart w:id="1503" w:name="_Toc296346658"/>
      <w:r>
        <w:rPr>
          <w:rFonts w:hint="eastAsia" w:ascii="仿宋" w:hAnsi="仿宋" w:eastAsia="仿宋" w:cs="仿宋"/>
          <w:b w:val="0"/>
          <w:color w:val="auto"/>
          <w:sz w:val="24"/>
          <w:szCs w:val="24"/>
        </w:rPr>
        <w:t xml:space="preserve">. </w:t>
      </w:r>
      <w:bookmarkEnd w:id="1493"/>
      <w:r>
        <w:rPr>
          <w:rFonts w:hint="eastAsia" w:ascii="仿宋" w:hAnsi="仿宋" w:eastAsia="仿宋" w:cs="仿宋"/>
          <w:b w:val="0"/>
          <w:color w:val="auto"/>
          <w:sz w:val="24"/>
          <w:szCs w:val="24"/>
          <w:lang w:eastAsia="zh-CN"/>
        </w:rPr>
        <w:t>发包人</w:t>
      </w:r>
    </w:p>
    <w:bookmarkEnd w:id="1494"/>
    <w:bookmarkEnd w:id="1495"/>
    <w:bookmarkEnd w:id="1496"/>
    <w:bookmarkEnd w:id="1497"/>
    <w:bookmarkEnd w:id="1498"/>
    <w:bookmarkEnd w:id="1499"/>
    <w:bookmarkEnd w:id="1500"/>
    <w:bookmarkEnd w:id="1501"/>
    <w:bookmarkEnd w:id="1502"/>
    <w:bookmarkEnd w:id="1503"/>
    <w:p w14:paraId="1163D913">
      <w:pPr>
        <w:pageBreakBefore w:val="0"/>
        <w:widowControl w:val="0"/>
        <w:kinsoku/>
        <w:wordWrap/>
        <w:overflowPunct/>
        <w:topLinePunct w:val="0"/>
        <w:bidi w:val="0"/>
        <w:snapToGrid/>
        <w:spacing w:after="120" w:line="440" w:lineRule="exact"/>
        <w:ind w:firstLine="480" w:firstLineChars="200"/>
        <w:outlineLvl w:val="0"/>
        <w:rPr>
          <w:rFonts w:hint="eastAsia" w:ascii="仿宋" w:hAnsi="仿宋" w:eastAsia="仿宋" w:cs="仿宋"/>
          <w:color w:val="auto"/>
          <w:sz w:val="24"/>
          <w:szCs w:val="24"/>
        </w:rPr>
      </w:pPr>
      <w:bookmarkStart w:id="1504" w:name="_Toc16744"/>
      <w:r>
        <w:rPr>
          <w:rFonts w:hint="eastAsia" w:ascii="仿宋" w:hAnsi="仿宋" w:eastAsia="仿宋" w:cs="仿宋"/>
          <w:color w:val="auto"/>
          <w:sz w:val="24"/>
          <w:szCs w:val="24"/>
        </w:rPr>
        <w:t xml:space="preserve">2.2 </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代表</w:t>
      </w:r>
      <w:bookmarkEnd w:id="1504"/>
    </w:p>
    <w:p w14:paraId="02858DAD">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发包人代表：</w:t>
      </w:r>
    </w:p>
    <w:p w14:paraId="2245DCE6">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姓    名：</w:t>
      </w:r>
      <w:r>
        <w:rPr>
          <w:rFonts w:hint="eastAsia" w:ascii="仿宋" w:hAnsi="仿宋" w:eastAsia="仿宋" w:cs="仿宋"/>
          <w:color w:val="auto"/>
          <w:sz w:val="24"/>
          <w:szCs w:val="24"/>
          <w:u w:val="single"/>
          <w:lang w:eastAsia="zh-CN"/>
        </w:rPr>
        <w:t>  </w:t>
      </w:r>
      <w:r>
        <w:rPr>
          <w:rFonts w:hint="eastAsia" w:ascii="仿宋" w:hAnsi="仿宋" w:eastAsia="仿宋" w:cs="仿宋"/>
          <w:color w:val="auto"/>
          <w:sz w:val="24"/>
          <w:szCs w:val="24"/>
          <w:lang w:eastAsia="zh-CN"/>
        </w:rPr>
        <w:t>；</w:t>
      </w:r>
    </w:p>
    <w:p w14:paraId="4D2C7055">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职    务：</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lang w:eastAsia="zh-CN"/>
        </w:rPr>
        <w:t>；</w:t>
      </w:r>
    </w:p>
    <w:p w14:paraId="7560E955">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联系电话：</w:t>
      </w:r>
      <w:r>
        <w:rPr>
          <w:rFonts w:hint="eastAsia" w:ascii="仿宋" w:hAnsi="仿宋" w:eastAsia="仿宋" w:cs="仿宋"/>
          <w:color w:val="auto"/>
          <w:sz w:val="24"/>
          <w:szCs w:val="24"/>
          <w:u w:val="single"/>
          <w:lang w:eastAsia="zh-CN"/>
        </w:rPr>
        <w:t>        </w:t>
      </w:r>
      <w:r>
        <w:rPr>
          <w:rFonts w:hint="eastAsia" w:ascii="仿宋" w:hAnsi="仿宋" w:eastAsia="仿宋" w:cs="仿宋"/>
          <w:color w:val="auto"/>
          <w:sz w:val="24"/>
          <w:szCs w:val="24"/>
          <w:lang w:eastAsia="zh-CN"/>
        </w:rPr>
        <w:t>；</w:t>
      </w:r>
    </w:p>
    <w:p w14:paraId="4EC29E0B">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对</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代表的授权范围如下：</w:t>
      </w:r>
    </w:p>
    <w:p w14:paraId="207C90D1">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1</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负责合同约定施工范围的工程管理，监督施工工序及验收；</w:t>
      </w:r>
    </w:p>
    <w:p w14:paraId="2571F91E">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2</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负责工程进度与工程量的审核，负责工程设计变更、现场签证审批及与本工程建设相关的事宜，参与本建设项目的日常管理；</w:t>
      </w:r>
    </w:p>
    <w:p w14:paraId="4A0E2DB5">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3</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合同的履行，代表</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处理与本工程建设相关的事宜，对施工组织设计、质量监督、工程量签认、进出厂材料、设备检验和使用、工程变更、工程量确认、工期顺延等事项的最终审核权，审核结果由</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以书面方式盖章确认。</w:t>
      </w:r>
    </w:p>
    <w:p w14:paraId="033DF6CD">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b/>
          <w:color w:val="auto"/>
          <w:sz w:val="24"/>
          <w:szCs w:val="24"/>
        </w:rPr>
      </w:pP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结合工程实际需要保留随时修改上述授权范围或授权他人的权利。</w:t>
      </w:r>
    </w:p>
    <w:p w14:paraId="2741285D">
      <w:pPr>
        <w:pageBreakBefore w:val="0"/>
        <w:widowControl w:val="0"/>
        <w:kinsoku/>
        <w:wordWrap/>
        <w:overflowPunct/>
        <w:topLinePunct w:val="0"/>
        <w:bidi w:val="0"/>
        <w:snapToGrid/>
        <w:spacing w:after="120" w:line="440" w:lineRule="exact"/>
        <w:ind w:firstLine="480" w:firstLineChars="200"/>
        <w:outlineLvl w:val="0"/>
        <w:rPr>
          <w:rFonts w:hint="eastAsia" w:ascii="仿宋" w:hAnsi="仿宋" w:eastAsia="仿宋" w:cs="仿宋"/>
          <w:color w:val="auto"/>
          <w:sz w:val="24"/>
          <w:szCs w:val="24"/>
        </w:rPr>
      </w:pPr>
      <w:bookmarkStart w:id="1505" w:name="_Toc18269"/>
      <w:r>
        <w:rPr>
          <w:rFonts w:hint="eastAsia" w:ascii="仿宋" w:hAnsi="仿宋" w:eastAsia="仿宋" w:cs="仿宋"/>
          <w:color w:val="auto"/>
          <w:sz w:val="24"/>
          <w:szCs w:val="24"/>
        </w:rPr>
        <w:t>2.4施工现场、施工条件和基础资料的提供</w:t>
      </w:r>
      <w:bookmarkEnd w:id="1505"/>
    </w:p>
    <w:p w14:paraId="26D60321">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 提供施工现场</w:t>
      </w:r>
    </w:p>
    <w:p w14:paraId="5926DCCE">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移交施工现场的期限要求:</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开工日期7天前 </w:t>
      </w:r>
      <w:r>
        <w:rPr>
          <w:rFonts w:hint="eastAsia" w:ascii="仿宋" w:hAnsi="仿宋" w:eastAsia="仿宋" w:cs="仿宋"/>
          <w:color w:val="auto"/>
          <w:sz w:val="24"/>
          <w:szCs w:val="24"/>
        </w:rPr>
        <w:t>。</w:t>
      </w:r>
    </w:p>
    <w:p w14:paraId="1F0EAAA6">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2提供施工条件</w:t>
      </w:r>
    </w:p>
    <w:p w14:paraId="7FA0418B">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关于</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应负责提供施工所需要的条件，包括：</w:t>
      </w:r>
      <w:r>
        <w:rPr>
          <w:rFonts w:hint="eastAsia" w:ascii="仿宋" w:hAnsi="仿宋" w:eastAsia="仿宋" w:cs="仿宋"/>
          <w:color w:val="auto"/>
          <w:sz w:val="24"/>
          <w:szCs w:val="24"/>
          <w:u w:val="single"/>
        </w:rPr>
        <w:t xml:space="preserve"> 施工用水电由</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提供驳接点，并满足施工要求，驳接点至施工现场管、线、计量设备等费用由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自行承担。</w:t>
      </w:r>
    </w:p>
    <w:p w14:paraId="4F0A0CDC">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水、电费由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承担，按</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要求由</w:t>
      </w:r>
      <w:r>
        <w:rPr>
          <w:rFonts w:hint="eastAsia" w:ascii="仿宋" w:hAnsi="仿宋" w:eastAsia="仿宋" w:cs="仿宋"/>
          <w:color w:val="auto"/>
          <w:sz w:val="24"/>
          <w:szCs w:val="24"/>
          <w:u w:val="single"/>
          <w:lang w:val="en-US" w:eastAsia="zh-CN"/>
        </w:rPr>
        <w:t>发包人</w:t>
      </w:r>
      <w:r>
        <w:rPr>
          <w:rFonts w:hint="eastAsia" w:ascii="仿宋" w:hAnsi="仿宋" w:eastAsia="仿宋" w:cs="仿宋"/>
          <w:color w:val="auto"/>
          <w:sz w:val="24"/>
          <w:szCs w:val="24"/>
          <w:u w:val="single"/>
        </w:rPr>
        <w:t>水电管理部门办理相关手续</w:t>
      </w:r>
      <w:r>
        <w:rPr>
          <w:rFonts w:hint="eastAsia" w:ascii="仿宋" w:hAnsi="仿宋" w:eastAsia="仿宋" w:cs="仿宋"/>
          <w:color w:val="auto"/>
          <w:sz w:val="24"/>
          <w:szCs w:val="24"/>
          <w:u w:val="single"/>
          <w:lang w:val="en-US" w:eastAsia="zh-CN"/>
        </w:rPr>
        <w:t>并</w:t>
      </w:r>
      <w:r>
        <w:rPr>
          <w:rFonts w:hint="eastAsia" w:ascii="仿宋" w:hAnsi="仿宋" w:eastAsia="仿宋" w:cs="仿宋"/>
          <w:color w:val="auto"/>
          <w:sz w:val="24"/>
          <w:szCs w:val="24"/>
          <w:u w:val="single"/>
        </w:rPr>
        <w:t>按时缴纳水、电费(按供电收费部门的实际收费，且包含损耗及公摊)。竣工验收后</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水电费递交结算审计申请前缴纳到学校账户，如承包人不按时缴纳，由此造成的全部责任和费用由承包人承担。承包人如不缴纳水电费，发包人有权从工程款中直接扣除。</w:t>
      </w:r>
    </w:p>
    <w:p w14:paraId="737FB984">
      <w:pPr>
        <w:pStyle w:val="5"/>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highlight w:val="none"/>
          <w:lang w:eastAsia="zh-CN"/>
        </w:rPr>
      </w:pPr>
      <w:bookmarkStart w:id="1506" w:name="_Toc351203635"/>
      <w:r>
        <w:rPr>
          <w:rFonts w:hint="eastAsia" w:ascii="仿宋" w:hAnsi="仿宋" w:eastAsia="仿宋" w:cs="仿宋"/>
          <w:b w:val="0"/>
          <w:color w:val="auto"/>
          <w:sz w:val="24"/>
          <w:szCs w:val="24"/>
          <w:highlight w:val="none"/>
        </w:rPr>
        <w:t>3</w:t>
      </w:r>
      <w:bookmarkStart w:id="1507" w:name="_Toc296347157"/>
      <w:bookmarkStart w:id="1508" w:name="_Toc292559868"/>
      <w:bookmarkStart w:id="1509" w:name="_Toc296503158"/>
      <w:bookmarkStart w:id="1510" w:name="_Toc296890986"/>
      <w:bookmarkStart w:id="1511" w:name="_Toc297048344"/>
      <w:bookmarkStart w:id="1512" w:name="_Toc297120458"/>
      <w:bookmarkStart w:id="1513" w:name="_Toc292559363"/>
      <w:bookmarkStart w:id="1514" w:name="_Toc296944497"/>
      <w:bookmarkStart w:id="1515" w:name="_Toc296891198"/>
      <w:bookmarkStart w:id="1516" w:name="_Toc296346659"/>
      <w:r>
        <w:rPr>
          <w:rFonts w:hint="eastAsia" w:ascii="仿宋" w:hAnsi="仿宋" w:eastAsia="仿宋" w:cs="仿宋"/>
          <w:b w:val="0"/>
          <w:color w:val="auto"/>
          <w:sz w:val="24"/>
          <w:szCs w:val="24"/>
          <w:highlight w:val="none"/>
        </w:rPr>
        <w:t xml:space="preserve">. </w:t>
      </w:r>
      <w:bookmarkEnd w:id="1506"/>
      <w:r>
        <w:rPr>
          <w:rFonts w:hint="eastAsia" w:ascii="仿宋" w:hAnsi="仿宋" w:eastAsia="仿宋" w:cs="仿宋"/>
          <w:b w:val="0"/>
          <w:color w:val="auto"/>
          <w:sz w:val="24"/>
          <w:szCs w:val="24"/>
          <w:highlight w:val="none"/>
          <w:lang w:eastAsia="zh-CN"/>
        </w:rPr>
        <w:t>承包人</w:t>
      </w:r>
    </w:p>
    <w:bookmarkEnd w:id="1507"/>
    <w:bookmarkEnd w:id="1508"/>
    <w:bookmarkEnd w:id="1509"/>
    <w:bookmarkEnd w:id="1510"/>
    <w:bookmarkEnd w:id="1511"/>
    <w:bookmarkEnd w:id="1512"/>
    <w:bookmarkEnd w:id="1513"/>
    <w:bookmarkEnd w:id="1514"/>
    <w:bookmarkEnd w:id="1515"/>
    <w:bookmarkEnd w:id="1516"/>
    <w:p w14:paraId="67167A8A">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1 </w:t>
      </w:r>
      <w:r>
        <w:rPr>
          <w:rFonts w:hint="eastAsia" w:ascii="仿宋" w:hAnsi="仿宋" w:eastAsia="仿宋" w:cs="仿宋"/>
          <w:color w:val="auto"/>
          <w:sz w:val="24"/>
          <w:szCs w:val="24"/>
          <w:highlight w:val="none"/>
          <w:lang w:eastAsia="zh-CN"/>
        </w:rPr>
        <w:t>承包人</w:t>
      </w:r>
      <w:r>
        <w:rPr>
          <w:rFonts w:hint="eastAsia" w:ascii="仿宋" w:hAnsi="仿宋" w:eastAsia="仿宋" w:cs="仿宋"/>
          <w:color w:val="auto"/>
          <w:sz w:val="24"/>
          <w:szCs w:val="24"/>
          <w:highlight w:val="none"/>
        </w:rPr>
        <w:t>的一般义务</w:t>
      </w:r>
    </w:p>
    <w:p w14:paraId="6426DFE7">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（9）</w:t>
      </w:r>
      <w:r>
        <w:rPr>
          <w:rFonts w:hint="eastAsia" w:ascii="仿宋" w:hAnsi="仿宋" w:eastAsia="仿宋" w:cs="仿宋"/>
          <w:color w:val="auto"/>
          <w:sz w:val="24"/>
          <w:szCs w:val="24"/>
          <w:highlight w:val="none"/>
          <w:lang w:eastAsia="zh-CN"/>
        </w:rPr>
        <w:t>承包人</w:t>
      </w:r>
      <w:r>
        <w:rPr>
          <w:rFonts w:hint="eastAsia" w:ascii="仿宋" w:hAnsi="仿宋" w:eastAsia="仿宋" w:cs="仿宋"/>
          <w:color w:val="auto"/>
          <w:sz w:val="24"/>
          <w:szCs w:val="24"/>
          <w:highlight w:val="none"/>
        </w:rPr>
        <w:t>提交的竣工资料的内容：</w:t>
      </w:r>
      <w:r>
        <w:rPr>
          <w:rFonts w:hint="eastAsia" w:ascii="仿宋" w:hAnsi="仿宋" w:eastAsia="仿宋" w:cs="仿宋"/>
          <w:color w:val="auto"/>
          <w:sz w:val="24"/>
          <w:szCs w:val="24"/>
          <w:highlight w:val="none"/>
          <w:u w:val="single"/>
        </w:rPr>
        <w:t xml:space="preserve"> 按国家、省、市相关规定、监理单位和</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要求</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包含但不限于竣工图、结算报告、竣工报告</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080A51AE">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承包人</w:t>
      </w:r>
      <w:r>
        <w:rPr>
          <w:rFonts w:hint="eastAsia" w:ascii="仿宋" w:hAnsi="仿宋" w:eastAsia="仿宋" w:cs="仿宋"/>
          <w:color w:val="auto"/>
          <w:sz w:val="24"/>
          <w:szCs w:val="24"/>
          <w:highlight w:val="none"/>
        </w:rPr>
        <w:t>需要提交的竣工资料套数：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6套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F2C23D7">
      <w:pPr>
        <w:pageBreakBefore w:val="0"/>
        <w:widowControl w:val="0"/>
        <w:kinsoku/>
        <w:wordWrap/>
        <w:overflowPunct/>
        <w:topLinePunct w:val="0"/>
        <w:bidi w:val="0"/>
        <w:snapToGrid/>
        <w:spacing w:line="440" w:lineRule="exact"/>
        <w:ind w:left="638" w:leftChars="304"/>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承包人</w:t>
      </w:r>
      <w:r>
        <w:rPr>
          <w:rFonts w:hint="eastAsia" w:ascii="仿宋" w:hAnsi="仿宋" w:eastAsia="仿宋" w:cs="仿宋"/>
          <w:color w:val="auto"/>
          <w:sz w:val="24"/>
          <w:szCs w:val="24"/>
          <w:highlight w:val="none"/>
        </w:rPr>
        <w:t>提交的竣工资料的费用承担：</w:t>
      </w:r>
      <w:r>
        <w:rPr>
          <w:rFonts w:hint="eastAsia" w:ascii="仿宋" w:hAnsi="仿宋" w:eastAsia="仿宋" w:cs="仿宋"/>
          <w:color w:val="auto"/>
          <w:sz w:val="24"/>
          <w:szCs w:val="24"/>
          <w:highlight w:val="none"/>
          <w:u w:val="single"/>
        </w:rPr>
        <w:t xml:space="preserve"> 由</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 xml:space="preserve">承担 </w:t>
      </w:r>
      <w:r>
        <w:rPr>
          <w:rFonts w:hint="eastAsia" w:ascii="仿宋" w:hAnsi="仿宋" w:eastAsia="仿宋" w:cs="仿宋"/>
          <w:color w:val="auto"/>
          <w:sz w:val="24"/>
          <w:szCs w:val="24"/>
          <w:highlight w:val="none"/>
        </w:rPr>
        <w:t>。</w:t>
      </w:r>
    </w:p>
    <w:p w14:paraId="7BA69326">
      <w:pPr>
        <w:pageBreakBefore w:val="0"/>
        <w:widowControl w:val="0"/>
        <w:kinsoku/>
        <w:wordWrap/>
        <w:overflowPunct/>
        <w:topLinePunct w:val="0"/>
        <w:bidi w:val="0"/>
        <w:snapToGrid/>
        <w:spacing w:line="440" w:lineRule="exact"/>
        <w:ind w:left="638" w:leftChars="304"/>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提交的竣工资料移交时间：</w:t>
      </w:r>
      <w:r>
        <w:rPr>
          <w:rFonts w:hint="eastAsia" w:ascii="仿宋" w:hAnsi="仿宋" w:eastAsia="仿宋" w:cs="仿宋"/>
          <w:color w:val="auto"/>
          <w:sz w:val="24"/>
          <w:szCs w:val="24"/>
          <w:u w:val="single"/>
        </w:rPr>
        <w:t>工程竣工验收合格后28日内</w:t>
      </w:r>
      <w:r>
        <w:rPr>
          <w:rFonts w:hint="eastAsia" w:ascii="仿宋" w:hAnsi="仿宋" w:eastAsia="仿宋" w:cs="仿宋"/>
          <w:color w:val="auto"/>
          <w:sz w:val="24"/>
          <w:szCs w:val="24"/>
        </w:rPr>
        <w:t>。</w:t>
      </w:r>
    </w:p>
    <w:p w14:paraId="63189434">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提交的竣工资料形式要求:</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纸质6套，电子文档1套</w:t>
      </w:r>
      <w:r>
        <w:rPr>
          <w:rFonts w:hint="eastAsia" w:ascii="仿宋" w:hAnsi="仿宋" w:eastAsia="仿宋" w:cs="仿宋"/>
          <w:color w:val="auto"/>
          <w:sz w:val="24"/>
          <w:szCs w:val="24"/>
        </w:rPr>
        <w:t>。</w:t>
      </w:r>
    </w:p>
    <w:p w14:paraId="53CF686B">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（10）</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应履行的其他义务：</w:t>
      </w:r>
    </w:p>
    <w:p w14:paraId="1F393F38">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①本工程在施工过程中如存在多个单位同时作业，</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必须顾全大局，相互协作，密切配合，严格服从</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的协调指挥。</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应处理好与相邻施工单位的施工接口关系并承担由此发生的一切费用。否则，</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有权要求</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整改或另行指定其他单位来完成相关配合工作，由此发生的费用从</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的工程进度款中扣除，且并不需要</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同意</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应始终采取各种合理的预防措施，保证正常的施工秩序，保证现场及第三人的财产和人身安全。</w:t>
      </w:r>
    </w:p>
    <w:p w14:paraId="09D0A19A">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②施工现场安全文明施工要求:扬尘污染防治需达到《河南省建筑施工现场扬尘防治管理暂行规定的通知》、《郑州市控制扬尘污染工作方案》、《郑州市建筑工地扬尘污染综合治理标准》及郑东新区相关规定和要求。保持施工场地清洁卫生，施工过程中产生的建筑垃圾（包含施工过程中发包人确认的签证变更引起的建筑垃圾）、生活垃圾等，</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应及时运出施工现场做到工完场清，并承担其费用</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如不能按时清理出场，</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有权指定第三方处理，费用由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承担，该费用在工程款中扣除。</w:t>
      </w:r>
    </w:p>
    <w:p w14:paraId="3FE3A7AF">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③</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必须负责协调处理周围地方关系，处理好与邻里及村民等的关系，由此产生的费用由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承担，确保工程顺利完成。</w:t>
      </w:r>
      <w:r>
        <w:rPr>
          <w:rFonts w:hint="eastAsia" w:ascii="仿宋" w:hAnsi="仿宋" w:eastAsia="仿宋" w:cs="仿宋"/>
          <w:color w:val="auto"/>
          <w:sz w:val="24"/>
          <w:szCs w:val="24"/>
          <w:u w:val="single"/>
          <w:lang w:val="en-US" w:eastAsia="zh-CN"/>
        </w:rPr>
        <w:t>并</w:t>
      </w:r>
      <w:r>
        <w:rPr>
          <w:rFonts w:hint="eastAsia" w:ascii="仿宋" w:hAnsi="仿宋" w:eastAsia="仿宋" w:cs="仿宋"/>
          <w:color w:val="auto"/>
          <w:sz w:val="24"/>
          <w:szCs w:val="24"/>
          <w:u w:val="single"/>
        </w:rPr>
        <w:t>协助</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办理施工相关的手续，</w:t>
      </w:r>
    </w:p>
    <w:p w14:paraId="063EF77C">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④</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应严格服从</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的协调指挥，对在施工场地或者附近实施与合同工程有关的其他工作的独立</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履行管理、协调、配合义务</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并应处理好与相邻施工单位的施工接口关系。</w:t>
      </w:r>
    </w:p>
    <w:p w14:paraId="3CE3FE5A">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⑤</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要保证所有材料为正规厂家生产的合格产品。所有施工材料进场前须将材料的品牌、规格、型号、合格证明及样品，报</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lang w:val="en-US" w:eastAsia="zh-CN"/>
        </w:rPr>
        <w:t>及监理单位</w:t>
      </w:r>
      <w:r>
        <w:rPr>
          <w:rFonts w:hint="eastAsia" w:ascii="仿宋" w:hAnsi="仿宋" w:eastAsia="仿宋" w:cs="仿宋"/>
          <w:color w:val="auto"/>
          <w:sz w:val="24"/>
          <w:szCs w:val="24"/>
          <w:u w:val="single"/>
        </w:rPr>
        <w:t>确认，经</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lang w:val="en-US" w:eastAsia="zh-CN"/>
        </w:rPr>
        <w:t>及监理单位</w:t>
      </w:r>
      <w:r>
        <w:rPr>
          <w:rFonts w:hint="eastAsia" w:ascii="仿宋" w:hAnsi="仿宋" w:eastAsia="仿宋" w:cs="仿宋"/>
          <w:color w:val="auto"/>
          <w:sz w:val="24"/>
          <w:szCs w:val="24"/>
          <w:u w:val="single"/>
        </w:rPr>
        <w:t>审核通过的材料方可进场。未经审核通过的材料不得进场，如审核未通过或是与样品不一致的材料进入施工现场，</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要无条件的清退，造成的一切责任和损失由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w:t>
      </w:r>
    </w:p>
    <w:p w14:paraId="33FE6A31">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(11)</w:t>
      </w:r>
      <w:r>
        <w:rPr>
          <w:rFonts w:hint="eastAsia" w:ascii="仿宋" w:hAnsi="仿宋" w:eastAsia="仿宋" w:cs="仿宋"/>
          <w:color w:val="auto"/>
          <w:sz w:val="24"/>
          <w:szCs w:val="24"/>
          <w:u w:val="none"/>
          <w:lang w:eastAsia="zh-CN"/>
        </w:rPr>
        <w:t>承包人</w:t>
      </w:r>
      <w:r>
        <w:rPr>
          <w:rFonts w:hint="eastAsia" w:ascii="仿宋" w:hAnsi="仿宋" w:eastAsia="仿宋" w:cs="仿宋"/>
          <w:color w:val="auto"/>
          <w:sz w:val="24"/>
          <w:szCs w:val="24"/>
          <w:u w:val="none"/>
        </w:rPr>
        <w:t>应按约定时间和要求，完成以下工作:</w:t>
      </w:r>
    </w:p>
    <w:p w14:paraId="372EC0B8">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①</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自行办理有关施工场地交通、环卫和施工噪音管理等手续，费用已包含在签约合同价中。</w:t>
      </w:r>
    </w:p>
    <w:p w14:paraId="274D03E6">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②施工现场清洁卫生的要求</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及时做好施工场地的清洁卫生，符合文明施工环境卫生管理，标准化工地的要求，不得污染环境。若因施工现场的卫生或环境保护问题而引起的政府执法部门的罚款由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由此导致</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受处罚的，</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应当向</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支付该等额款项。</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还应赔偿因施工现场管理不善给</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或第三方造成的一切损失。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尤其要做到以下几点:</w:t>
      </w:r>
    </w:p>
    <w:p w14:paraId="6880DF90">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a.做到工完场清，场地恢复到占用前的状态。</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应在交工前自行清运、清理完毕施工承包范围内所有机械、建筑垃圾、生活设施等所有</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认为应清理、清运的物品</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须在工程验收合格后7天内清退场地内所有临时设施，并恢复到占用前的状态。否则每逾期一天</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向</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支付违约金2000元</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且</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有权另行委托他人清理及外运，发生的费用由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从</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工程结算款中扣除。</w:t>
      </w:r>
    </w:p>
    <w:p w14:paraId="2CC1CB70">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b.</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应在施工场地内设置垃圾集中堆放场地(具体位置由</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认可)</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包含施工过程中</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确认的签证变更所发生的垃圾等，</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施工完成后统一运出校外，所需费用（包含清理、下楼、外运、消纳费用等）已包含在投标报价中，结算不再调整。</w:t>
      </w:r>
    </w:p>
    <w:p w14:paraId="2FC65A53">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c.对施工场地及生活区内产生的所有污废水，</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应提交经</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认可的处理方案，并按此方案执行。</w:t>
      </w:r>
    </w:p>
    <w:p w14:paraId="30A280DB">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(12)双方约定</w:t>
      </w:r>
      <w:r>
        <w:rPr>
          <w:rFonts w:hint="eastAsia" w:ascii="仿宋" w:hAnsi="仿宋" w:eastAsia="仿宋" w:cs="仿宋"/>
          <w:color w:val="auto"/>
          <w:sz w:val="24"/>
          <w:szCs w:val="24"/>
          <w:u w:val="none"/>
          <w:lang w:eastAsia="zh-CN"/>
        </w:rPr>
        <w:t>承包人</w:t>
      </w:r>
      <w:r>
        <w:rPr>
          <w:rFonts w:hint="eastAsia" w:ascii="仿宋" w:hAnsi="仿宋" w:eastAsia="仿宋" w:cs="仿宋"/>
          <w:color w:val="auto"/>
          <w:sz w:val="24"/>
          <w:szCs w:val="24"/>
          <w:u w:val="none"/>
        </w:rPr>
        <w:t>应做的其他工作:</w:t>
      </w:r>
    </w:p>
    <w:p w14:paraId="6659EF39">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①在施工区域内做好各项安全保卫工作</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自觉处理好与学校师生和睦相处的关系。</w:t>
      </w:r>
    </w:p>
    <w:p w14:paraId="7C14E845">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②承包人应积极配合发包人的验收及交工验收。保修期内，属于保修范围、内容的项目，承包人应当在接到保修通知之时起派人保修；根据故障紧急程度及对办公的影响范围，明确分级现场处置时限，确保快速响应、高效处置，精准解决：一般故障(如防水</w:t>
      </w:r>
      <w:r>
        <w:rPr>
          <w:rFonts w:hint="eastAsia" w:ascii="仿宋" w:hAnsi="仿宋" w:eastAsia="仿宋" w:cs="仿宋"/>
          <w:color w:val="auto"/>
          <w:sz w:val="24"/>
          <w:szCs w:val="24"/>
          <w:u w:val="single"/>
          <w:lang w:eastAsia="zh-CN"/>
        </w:rPr>
        <w:t>轻微渗水</w:t>
      </w:r>
      <w:r>
        <w:rPr>
          <w:rFonts w:hint="eastAsia" w:ascii="仿宋" w:hAnsi="仿宋" w:eastAsia="仿宋" w:cs="仿宋"/>
          <w:color w:val="auto"/>
          <w:sz w:val="24"/>
          <w:szCs w:val="24"/>
          <w:u w:val="single"/>
        </w:rPr>
        <w:t>不影响正常办公的故障</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,接到报修后6小时内安排具备相应专业资质的技术人员到场处置；重大故障(如防水漏</w:t>
      </w:r>
      <w:r>
        <w:rPr>
          <w:rFonts w:hint="eastAsia" w:ascii="仿宋" w:hAnsi="仿宋" w:eastAsia="仿宋" w:cs="仿宋"/>
          <w:color w:val="auto"/>
          <w:sz w:val="24"/>
          <w:szCs w:val="24"/>
          <w:u w:val="single"/>
          <w:lang w:eastAsia="zh-CN"/>
        </w:rPr>
        <w:t>水</w:t>
      </w:r>
      <w:r>
        <w:rPr>
          <w:rFonts w:hint="eastAsia" w:ascii="仿宋" w:hAnsi="仿宋" w:eastAsia="仿宋" w:cs="仿宋"/>
          <w:color w:val="auto"/>
          <w:sz w:val="24"/>
          <w:szCs w:val="24"/>
          <w:u w:val="single"/>
        </w:rPr>
        <w:t>等影响办公正常开展、存在安全隐患的</w:t>
      </w:r>
      <w:r>
        <w:rPr>
          <w:rFonts w:hint="eastAsia" w:ascii="仿宋" w:hAnsi="仿宋" w:eastAsia="仿宋" w:cs="仿宋"/>
          <w:color w:val="auto"/>
          <w:sz w:val="24"/>
          <w:szCs w:val="24"/>
          <w:u w:val="single"/>
          <w:lang w:eastAsia="zh-CN"/>
        </w:rPr>
        <w:t>故障</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接到报修后2小时内到场处置。</w:t>
      </w:r>
    </w:p>
    <w:p w14:paraId="44F23A8D">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如在规定时间内未到场进行维修，发包人有权委托其他单位进行维修保修的，所发生的费用由承包人承担</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并</w:t>
      </w:r>
      <w:r>
        <w:rPr>
          <w:rFonts w:hint="eastAsia" w:ascii="仿宋" w:hAnsi="仿宋" w:eastAsia="仿宋" w:cs="仿宋"/>
          <w:color w:val="auto"/>
          <w:sz w:val="24"/>
          <w:szCs w:val="24"/>
          <w:u w:val="single"/>
          <w:lang w:eastAsia="zh-CN"/>
        </w:rPr>
        <w:t>按实际费用的30%支付违约金</w:t>
      </w:r>
      <w:r>
        <w:rPr>
          <w:rFonts w:hint="eastAsia" w:ascii="仿宋" w:hAnsi="仿宋" w:eastAsia="仿宋" w:cs="仿宋"/>
          <w:color w:val="auto"/>
          <w:sz w:val="24"/>
          <w:szCs w:val="24"/>
          <w:u w:val="single"/>
        </w:rPr>
        <w:t>，从承包人的质量保证金中扣除。如承包人进行维修，但不能达到设计或使用的要求，发包人有权委托其他单位进行维修，从质量保证金中扣除相应维修费用金额</w:t>
      </w:r>
      <w:r>
        <w:rPr>
          <w:rFonts w:hint="eastAsia" w:ascii="仿宋" w:hAnsi="仿宋" w:eastAsia="仿宋" w:cs="仿宋"/>
          <w:color w:val="auto"/>
          <w:sz w:val="24"/>
          <w:szCs w:val="24"/>
          <w:u w:val="single"/>
          <w:lang w:eastAsia="zh-CN"/>
        </w:rPr>
        <w:t>。发包人委托其他单位维修前，应书面通知承包人并给予合理整改期；维修完成后，应向承包人提供维修合同、费用发票、验收报告，承包人对扣款有异议的，可在7日内提出协商。</w:t>
      </w:r>
      <w:r>
        <w:rPr>
          <w:rFonts w:hint="eastAsia" w:ascii="仿宋" w:hAnsi="仿宋" w:eastAsia="仿宋" w:cs="仿宋"/>
          <w:color w:val="auto"/>
          <w:sz w:val="24"/>
          <w:szCs w:val="24"/>
          <w:u w:val="single"/>
        </w:rPr>
        <w:t>若质保金已经返还或不足够支付维修费用，承包人还应当承担相应的维修费用:同时承包人应当承担因此给发包人带来的所有损失。如因承包人的施工质量原因，导致发包人二次装修受损，产生的所有索赔费用（包括但不限于诉讼费、律师费等费用）均由承包人承担。</w:t>
      </w:r>
    </w:p>
    <w:p w14:paraId="72CF3E63">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③无论何种原因，</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均不得擅自停工，如</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未经</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书面确认擅自停工，所造成的一切责任均由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全部承担(包括工期、费用、违约责任等)</w:t>
      </w:r>
      <w:r>
        <w:rPr>
          <w:rFonts w:hint="eastAsia" w:ascii="仿宋" w:hAnsi="仿宋" w:eastAsia="仿宋" w:cs="仿宋"/>
          <w:color w:val="auto"/>
          <w:sz w:val="24"/>
          <w:szCs w:val="24"/>
          <w:u w:val="single"/>
          <w:lang w:eastAsia="zh-CN"/>
        </w:rPr>
        <w:t>，同时，承包人应按合同总价款的0.4‰每日向发包人支付违约金；发包人有权从应付工程款中直接抵扣。</w:t>
      </w:r>
    </w:p>
    <w:p w14:paraId="6428C134">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 项目经理</w:t>
      </w:r>
    </w:p>
    <w:p w14:paraId="2B813062">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 xml:space="preserve">1 </w:t>
      </w:r>
      <w:r>
        <w:rPr>
          <w:rFonts w:hint="eastAsia" w:ascii="仿宋" w:hAnsi="仿宋" w:eastAsia="仿宋" w:cs="仿宋"/>
          <w:color w:val="auto"/>
          <w:sz w:val="24"/>
          <w:szCs w:val="24"/>
        </w:rPr>
        <w:t>项目经理:</w:t>
      </w:r>
    </w:p>
    <w:p w14:paraId="3F77FB77">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姓    名：</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w:t>
      </w:r>
    </w:p>
    <w:p w14:paraId="72359DC2">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身份证号：</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lang w:val="en-US" w:eastAsia="zh-CN"/>
        </w:rPr>
        <w:sym w:font="Times New Roman" w:char="E5E5"/>
      </w:r>
      <w:r>
        <w:rPr>
          <w:rFonts w:hint="eastAsia" w:ascii="仿宋" w:hAnsi="仿宋" w:eastAsia="仿宋" w:cs="仿宋"/>
          <w:color w:val="auto"/>
          <w:sz w:val="24"/>
          <w:szCs w:val="24"/>
        </w:rPr>
        <w:t>;</w:t>
      </w:r>
    </w:p>
    <w:p w14:paraId="7ED66A1E">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建造师执业资格等级：</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w:t>
      </w:r>
    </w:p>
    <w:p w14:paraId="66CEC282">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建造师注册证书号：</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w:t>
      </w:r>
    </w:p>
    <w:p w14:paraId="311DACFD">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建造师执业印章号：</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 xml:space="preserve">    /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rPr>
        <w:t>;</w:t>
      </w:r>
    </w:p>
    <w:p w14:paraId="79ADBB76">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安全生产考核合格证书号：</w:t>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w:t>
      </w:r>
    </w:p>
    <w:p w14:paraId="65D150C6">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0020"/>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rPr>
        <w:t>；</w:t>
      </w:r>
    </w:p>
    <w:p w14:paraId="39D1148B">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对项目经理的授权范围如下:</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项目经理经</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授权后代表</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负责履行合同，但是下列必须加盖</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单位公章方为有效:</w:t>
      </w:r>
    </w:p>
    <w:p w14:paraId="35C208F3">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1)与本工程相关的任何补充协议的签订;</w:t>
      </w:r>
    </w:p>
    <w:p w14:paraId="36C152DE">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2)与本工程相关的任何采购合同、聘任合同的签订；</w:t>
      </w:r>
    </w:p>
    <w:p w14:paraId="77C7C616">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3)同意涉及合同价款变化或合同工期变化的变更指示;</w:t>
      </w:r>
    </w:p>
    <w:p w14:paraId="6F0DA3FD">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4)进度款支付申请;</w:t>
      </w:r>
    </w:p>
    <w:p w14:paraId="5E2026F5">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5)竣工验收申请;</w:t>
      </w:r>
    </w:p>
    <w:p w14:paraId="0362770D">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6)最终结清申请单;</w:t>
      </w:r>
    </w:p>
    <w:p w14:paraId="0F2631F5">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7)相关部门要求其他资料。</w:t>
      </w:r>
    </w:p>
    <w:p w14:paraId="3D475280">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关于项目经理每月在施工现场的时间要求：项目经理每个星期在施工现场不得少于5个工作日【以每天一次到</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指定地点签到以指纹打卡或人脸识别或签到表记录为准】。</w:t>
      </w:r>
    </w:p>
    <w:p w14:paraId="30364372">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未提交劳动合同，以及没有为项目经理缴纳社会保险证明的违约责任：</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不提交上述文件的，项目经理无权履行职责，</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向</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支付违约金人民币5万元，该违约金从工程款中扣除，同时按</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要求更换项目经理，由此增加的费用由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承担，由此延误的工期不予顺延。</w:t>
      </w:r>
    </w:p>
    <w:p w14:paraId="68D749F4">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项目经理未经批准，擅自离开施工现场的违约责任：每离开一天向</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支付违约金人民币5000元；违约金须在接到</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通知后3日内上交，否则</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将从工程款中扣除。连续5天或累计15天无故不到位者，</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有权解除合同并进行索赔。</w:t>
      </w:r>
    </w:p>
    <w:p w14:paraId="242901B9">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2.3</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擅自更换项目经理的违约责任：</w:t>
      </w:r>
      <w:r>
        <w:rPr>
          <w:rFonts w:hint="eastAsia" w:ascii="仿宋" w:hAnsi="仿宋" w:eastAsia="仿宋" w:cs="仿宋"/>
          <w:color w:val="auto"/>
          <w:sz w:val="24"/>
          <w:szCs w:val="24"/>
          <w:u w:val="single"/>
        </w:rPr>
        <w:t xml:space="preserve"> 按照</w:t>
      </w:r>
      <w:r>
        <w:rPr>
          <w:rFonts w:hint="eastAsia" w:ascii="仿宋" w:hAnsi="仿宋" w:eastAsia="仿宋" w:cs="仿宋"/>
          <w:color w:val="auto"/>
          <w:sz w:val="24"/>
          <w:szCs w:val="24"/>
          <w:u w:val="single"/>
          <w:lang w:val="en-US" w:eastAsia="zh-CN"/>
        </w:rPr>
        <w:t>10</w:t>
      </w:r>
      <w:r>
        <w:rPr>
          <w:rFonts w:hint="eastAsia" w:ascii="仿宋" w:hAnsi="仿宋" w:eastAsia="仿宋" w:cs="仿宋"/>
          <w:color w:val="auto"/>
          <w:sz w:val="24"/>
          <w:szCs w:val="24"/>
          <w:u w:val="single"/>
        </w:rPr>
        <w:t>万元/次扣除违约金，该违约金从工程款中扣除</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且更换后的项目经理的注册执业资格、管理经验等不得低于投标所报项目经理，由此造成的经济损失由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由此增加的费用由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承担，由此延误的工期不予顺延。因</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原因，经</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同意更换项目经理的责任</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向</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支付违约金人民币5万元/次，该违约金从工程款中扣除，且更换后的项目经理的注册执业资格、管理经验等不得低于投标所报项目经理，由此造成的经济损失由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承担，由此增加的费用由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承担，由此延误的工期不予顺延。</w:t>
      </w:r>
    </w:p>
    <w:p w14:paraId="19085DB1">
      <w:pPr>
        <w:pageBreakBefore w:val="0"/>
        <w:widowControl w:val="0"/>
        <w:kinsoku/>
        <w:wordWrap/>
        <w:overflowPunct/>
        <w:topLinePunct w:val="0"/>
        <w:bidi w:val="0"/>
        <w:snapToGrid/>
        <w:spacing w:line="440" w:lineRule="exact"/>
        <w:ind w:left="0" w:leftChars="0" w:firstLine="511" w:firstLineChars="213"/>
        <w:outlineLvl w:val="0"/>
        <w:rPr>
          <w:rFonts w:hint="eastAsia" w:ascii="仿宋" w:hAnsi="仿宋" w:eastAsia="仿宋" w:cs="仿宋"/>
          <w:color w:val="auto"/>
          <w:sz w:val="24"/>
          <w:szCs w:val="24"/>
        </w:rPr>
      </w:pPr>
      <w:bookmarkStart w:id="1517" w:name="_Toc2123"/>
      <w:r>
        <w:rPr>
          <w:rFonts w:hint="eastAsia" w:ascii="仿宋" w:hAnsi="仿宋" w:eastAsia="仿宋" w:cs="仿宋"/>
          <w:color w:val="auto"/>
          <w:sz w:val="24"/>
          <w:szCs w:val="24"/>
        </w:rPr>
        <w:t xml:space="preserve">3.2.4 </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无正当理由拒绝更换项目经理的违约责任:</w:t>
      </w:r>
      <w:r>
        <w:rPr>
          <w:rFonts w:hint="eastAsia" w:ascii="仿宋" w:hAnsi="仿宋" w:eastAsia="仿宋" w:cs="仿宋"/>
          <w:color w:val="auto"/>
          <w:sz w:val="24"/>
          <w:szCs w:val="24"/>
          <w:u w:val="single"/>
        </w:rPr>
        <w:t>对于不称职的项目经理，</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有权要求</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更换，</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须在接到书面通知后10日内按要求给予更换，</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不予更换的，</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有权单方面解除合同，同时扣除全部履约保证金，由此造成的经济损失由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承担。若更换后仍不称职的，</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有权要求</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继续更换，同时，</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向</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支付违约金人民币5万元/人·次，该违约金从工程款中扣除，由此造成的经济损失由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承担由此增加的费用由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承担，由此延误的工期不予顺延。</w:t>
      </w:r>
      <w:bookmarkEnd w:id="1517"/>
    </w:p>
    <w:p w14:paraId="1E33AF51">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w:t>
      </w:r>
      <w:r>
        <w:rPr>
          <w:rFonts w:hint="eastAsia" w:ascii="仿宋" w:hAnsi="仿宋" w:eastAsia="仿宋" w:cs="仿宋"/>
          <w:color w:val="auto"/>
          <w:sz w:val="24"/>
          <w:szCs w:val="24"/>
          <w:highlight w:val="none"/>
          <w:lang w:eastAsia="zh-CN"/>
        </w:rPr>
        <w:t>承包人</w:t>
      </w:r>
      <w:r>
        <w:rPr>
          <w:rFonts w:hint="eastAsia" w:ascii="仿宋" w:hAnsi="仿宋" w:eastAsia="仿宋" w:cs="仿宋"/>
          <w:color w:val="auto"/>
          <w:sz w:val="24"/>
          <w:szCs w:val="24"/>
          <w:highlight w:val="none"/>
        </w:rPr>
        <w:t>人员</w:t>
      </w:r>
    </w:p>
    <w:p w14:paraId="7A6839CA">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3.3.1</w:t>
      </w:r>
      <w:r>
        <w:rPr>
          <w:rFonts w:hint="eastAsia" w:ascii="仿宋" w:hAnsi="仿宋" w:eastAsia="仿宋" w:cs="仿宋"/>
          <w:color w:val="auto"/>
          <w:sz w:val="24"/>
          <w:szCs w:val="24"/>
          <w:highlight w:val="none"/>
          <w:lang w:eastAsia="zh-CN"/>
        </w:rPr>
        <w:t>承包人</w:t>
      </w:r>
      <w:r>
        <w:rPr>
          <w:rFonts w:hint="eastAsia" w:ascii="仿宋" w:hAnsi="仿宋" w:eastAsia="仿宋" w:cs="仿宋"/>
          <w:color w:val="auto"/>
          <w:sz w:val="24"/>
          <w:szCs w:val="24"/>
          <w:highlight w:val="none"/>
        </w:rPr>
        <w:t>提交项目管理机构及施工现场管理人员安排报告的期限：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在合同签订后14日内，须按其在响应文件中提供的人员(包括项目副经理、技术负责人，包括技术、施工、安全、材料、质检、造价、测量等主要管理人员)向</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提供一份名单及其岗位、注册执业资格、劳动关系证明、缴纳社会保险的有效证明等</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rPr>
        <w:t>上述参与本工程的项目部全体人员必须为响应文件中提供的人员，且保证项目部成员全部到位，并不得在其它工地兼职。进场时，</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需对照审验，每天一次到</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指定地点签到。</w:t>
      </w:r>
    </w:p>
    <w:p w14:paraId="6F0940AF">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w:t>
      </w:r>
      <w:bookmarkStart w:id="1518" w:name="_Toc292559364"/>
      <w:bookmarkStart w:id="1519" w:name="_Toc292559869"/>
      <w:bookmarkStart w:id="1520" w:name="_Toc304295523"/>
      <w:bookmarkStart w:id="1521" w:name="_Toc297216151"/>
      <w:bookmarkStart w:id="1522" w:name="_Toc296944498"/>
      <w:bookmarkStart w:id="1523" w:name="_Toc300934945"/>
      <w:bookmarkStart w:id="1524" w:name="_Toc296346660"/>
      <w:bookmarkStart w:id="1525" w:name="_Toc312677988"/>
      <w:bookmarkStart w:id="1526" w:name="_Toc296347158"/>
      <w:bookmarkStart w:id="1527" w:name="_Toc297048345"/>
      <w:bookmarkStart w:id="1528" w:name="_Toc297123492"/>
      <w:bookmarkStart w:id="1529" w:name="_Toc296890987"/>
      <w:bookmarkStart w:id="1530" w:name="_Toc297120459"/>
      <w:bookmarkStart w:id="1531" w:name="_Toc296503159"/>
      <w:bookmarkStart w:id="1532" w:name="_Toc303539102"/>
      <w:bookmarkStart w:id="1533" w:name="_Toc296891199"/>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5分包</w:t>
      </w:r>
    </w:p>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14:paraId="2C5311D9">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w:t>
      </w:r>
      <w:bookmarkStart w:id="1534" w:name="_Toc297048346"/>
      <w:bookmarkStart w:id="1535" w:name="_Toc292559365"/>
      <w:bookmarkStart w:id="1536" w:name="_Toc297216152"/>
      <w:bookmarkStart w:id="1537" w:name="_Toc296944499"/>
      <w:bookmarkStart w:id="1538" w:name="_Toc292559870"/>
      <w:bookmarkStart w:id="1539" w:name="_Toc296890988"/>
      <w:bookmarkStart w:id="1540" w:name="_Toc296891200"/>
      <w:bookmarkStart w:id="1541" w:name="_Toc297120460"/>
      <w:bookmarkStart w:id="1542" w:name="_Toc304295524"/>
      <w:bookmarkStart w:id="1543" w:name="_Toc318581158"/>
      <w:bookmarkStart w:id="1544" w:name="_Toc300934946"/>
      <w:bookmarkStart w:id="1545" w:name="_Toc296347159"/>
      <w:bookmarkStart w:id="1546" w:name="_Toc297123493"/>
      <w:bookmarkStart w:id="1547" w:name="_Toc312677989"/>
      <w:bookmarkStart w:id="1548" w:name="_Toc296346661"/>
      <w:bookmarkStart w:id="1549" w:name="_Toc296503160"/>
      <w:bookmarkStart w:id="1550" w:name="_Toc303539103"/>
      <w:r>
        <w:rPr>
          <w:rFonts w:hint="eastAsia" w:ascii="仿宋" w:hAnsi="仿宋" w:eastAsia="仿宋" w:cs="仿宋"/>
          <w:color w:val="auto"/>
          <w:sz w:val="24"/>
          <w:szCs w:val="24"/>
        </w:rPr>
        <w:t>.5.1分包的一般约定</w:t>
      </w:r>
    </w:p>
    <w:p w14:paraId="436775F9">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禁止分包、违法转包的工程包括：</w:t>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sym w:font="Times New Roman" w:char="E5E5"/>
      </w:r>
      <w:r>
        <w:rPr>
          <w:rFonts w:hint="eastAsia" w:ascii="仿宋" w:hAnsi="仿宋" w:eastAsia="仿宋" w:cs="仿宋"/>
          <w:color w:val="auto"/>
          <w:sz w:val="24"/>
          <w:szCs w:val="24"/>
          <w:u w:val="single"/>
        </w:rPr>
        <w:t xml:space="preserve">招标工程量清单范围内项目均禁止分包 </w:t>
      </w:r>
      <w:r>
        <w:rPr>
          <w:rFonts w:hint="eastAsia" w:ascii="仿宋" w:hAnsi="仿宋" w:eastAsia="仿宋" w:cs="仿宋"/>
          <w:color w:val="auto"/>
          <w:sz w:val="24"/>
          <w:szCs w:val="24"/>
        </w:rPr>
        <w:t>。</w:t>
      </w:r>
    </w:p>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14:paraId="53449FCD">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6工程照管与成品、半成品保护</w:t>
      </w:r>
    </w:p>
    <w:p w14:paraId="0A53F815">
      <w:pPr>
        <w:pageBreakBefore w:val="0"/>
        <w:widowControl w:val="0"/>
        <w:kinsoku/>
        <w:wordWrap/>
        <w:overflowPunct/>
        <w:topLinePunct w:val="0"/>
        <w:bidi w:val="0"/>
        <w:snapToGrid/>
        <w:spacing w:before="120" w:after="120" w:line="440" w:lineRule="exact"/>
        <w:ind w:firstLine="480" w:firstLineChars="200"/>
        <w:rPr>
          <w:rFonts w:hint="eastAsia" w:ascii="仿宋" w:hAnsi="仿宋" w:eastAsia="仿宋" w:cs="仿宋"/>
          <w:color w:val="auto"/>
          <w:kern w:val="0"/>
          <w:sz w:val="24"/>
          <w:szCs w:val="24"/>
          <w:u w:val="single"/>
          <w:lang w:eastAsia="zh-CN"/>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负责照管工程及工程相关的材料、工程设备的起始时间：</w:t>
      </w:r>
      <w:r>
        <w:rPr>
          <w:rFonts w:hint="eastAsia" w:ascii="仿宋" w:hAnsi="仿宋" w:eastAsia="仿宋" w:cs="仿宋"/>
          <w:color w:val="auto"/>
          <w:kern w:val="0"/>
          <w:sz w:val="24"/>
          <w:szCs w:val="24"/>
          <w:u w:val="single"/>
        </w:rPr>
        <w:t>执行通用条款</w:t>
      </w:r>
      <w:r>
        <w:rPr>
          <w:rFonts w:hint="eastAsia" w:ascii="仿宋" w:hAnsi="仿宋" w:eastAsia="仿宋" w:cs="仿宋"/>
          <w:color w:val="auto"/>
          <w:kern w:val="0"/>
          <w:sz w:val="24"/>
          <w:szCs w:val="24"/>
          <w:u w:val="single"/>
          <w:lang w:eastAsia="zh-CN"/>
        </w:rPr>
        <w:t>。</w:t>
      </w:r>
    </w:p>
    <w:p w14:paraId="22699AD9">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 履约担保</w:t>
      </w:r>
    </w:p>
    <w:p w14:paraId="1113AA20">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是否提供履约担保：</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是。</w:t>
      </w:r>
    </w:p>
    <w:p w14:paraId="3C5CF337">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sz w:val="24"/>
          <w:szCs w:val="24"/>
        </w:rPr>
      </w:pPr>
      <w:r>
        <w:rPr>
          <w:rFonts w:hint="eastAsia" w:ascii="仿宋" w:hAnsi="仿宋" w:eastAsia="仿宋" w:cs="仿宋"/>
          <w:color w:val="auto"/>
          <w:sz w:val="24"/>
          <w:szCs w:val="24"/>
        </w:rPr>
        <w:t>履约担保的形式</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rPr>
        <w:t>转账或银行保函</w:t>
      </w:r>
      <w:r>
        <w:rPr>
          <w:rFonts w:hint="eastAsia" w:ascii="仿宋" w:hAnsi="仿宋" w:eastAsia="仿宋" w:cs="仿宋"/>
          <w:color w:val="auto"/>
          <w:sz w:val="24"/>
          <w:szCs w:val="24"/>
          <w:u w:val="single"/>
          <w:lang w:val="en-US" w:eastAsia="zh-CN"/>
        </w:rPr>
        <w:t>,由承包人任选其一提供</w:t>
      </w:r>
      <w:r>
        <w:rPr>
          <w:rFonts w:hint="eastAsia" w:ascii="仿宋" w:hAnsi="仿宋" w:eastAsia="仿宋" w:cs="仿宋"/>
          <w:color w:val="auto"/>
          <w:sz w:val="24"/>
          <w:szCs w:val="24"/>
        </w:rPr>
        <w:t>；</w:t>
      </w:r>
    </w:p>
    <w:p w14:paraId="087ACFB4">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sz w:val="24"/>
          <w:szCs w:val="24"/>
        </w:rPr>
      </w:pPr>
      <w:r>
        <w:rPr>
          <w:rFonts w:hint="eastAsia" w:ascii="仿宋" w:hAnsi="仿宋" w:eastAsia="仿宋" w:cs="仿宋"/>
          <w:color w:val="auto"/>
          <w:sz w:val="24"/>
          <w:szCs w:val="24"/>
        </w:rPr>
        <w:t>递交时间：</w:t>
      </w:r>
      <w:r>
        <w:rPr>
          <w:rFonts w:hint="eastAsia" w:ascii="仿宋" w:hAnsi="仿宋" w:eastAsia="仿宋" w:cs="仿宋"/>
          <w:color w:val="auto"/>
          <w:sz w:val="24"/>
          <w:szCs w:val="24"/>
          <w:u w:val="single"/>
          <w:lang w:eastAsia="zh-CN"/>
        </w:rPr>
        <w:t>领取成交通知书后</w:t>
      </w:r>
      <w:r>
        <w:rPr>
          <w:rFonts w:hint="eastAsia" w:ascii="仿宋" w:hAnsi="仿宋" w:eastAsia="仿宋" w:cs="仿宋"/>
          <w:color w:val="auto"/>
          <w:sz w:val="24"/>
          <w:szCs w:val="24"/>
          <w:u w:val="single"/>
          <w:lang w:val="en-US" w:eastAsia="zh-CN"/>
        </w:rPr>
        <w:t>15日内缴纳</w:t>
      </w:r>
      <w:r>
        <w:rPr>
          <w:rFonts w:hint="eastAsia" w:ascii="仿宋" w:hAnsi="仿宋" w:eastAsia="仿宋" w:cs="仿宋"/>
          <w:color w:val="auto"/>
          <w:sz w:val="24"/>
          <w:szCs w:val="24"/>
          <w:u w:val="single"/>
        </w:rPr>
        <w:t>；</w:t>
      </w:r>
    </w:p>
    <w:p w14:paraId="339E927C">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sz w:val="24"/>
          <w:szCs w:val="24"/>
        </w:rPr>
      </w:pPr>
      <w:r>
        <w:rPr>
          <w:rFonts w:hint="eastAsia" w:ascii="仿宋" w:hAnsi="仿宋" w:eastAsia="仿宋" w:cs="仿宋"/>
          <w:color w:val="auto"/>
          <w:sz w:val="24"/>
          <w:szCs w:val="24"/>
        </w:rPr>
        <w:t>履约担保的金额</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rPr>
        <w:t>中标价的5%；</w:t>
      </w:r>
    </w:p>
    <w:p w14:paraId="3ABFAFF7">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履约保证金的期限：</w:t>
      </w:r>
      <w:r>
        <w:rPr>
          <w:rFonts w:hint="eastAsia" w:ascii="仿宋" w:hAnsi="仿宋" w:eastAsia="仿宋" w:cs="仿宋"/>
          <w:color w:val="auto"/>
          <w:sz w:val="24"/>
          <w:szCs w:val="24"/>
          <w:u w:val="single"/>
        </w:rPr>
        <w:t>自递交履约保证金之日起至工程竣工验收合格；</w:t>
      </w:r>
    </w:p>
    <w:p w14:paraId="45132597">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sz w:val="24"/>
          <w:szCs w:val="24"/>
        </w:rPr>
      </w:pPr>
      <w:r>
        <w:rPr>
          <w:rFonts w:hint="eastAsia" w:ascii="仿宋" w:hAnsi="仿宋" w:eastAsia="仿宋" w:cs="仿宋"/>
          <w:color w:val="auto"/>
          <w:sz w:val="24"/>
          <w:szCs w:val="24"/>
        </w:rPr>
        <w:t>履约保证金的退还时间：</w:t>
      </w:r>
      <w:r>
        <w:rPr>
          <w:rFonts w:hint="eastAsia" w:ascii="仿宋" w:hAnsi="仿宋" w:eastAsia="仿宋" w:cs="仿宋"/>
          <w:color w:val="auto"/>
          <w:sz w:val="24"/>
          <w:szCs w:val="24"/>
          <w:u w:val="single"/>
        </w:rPr>
        <w:t>工程竣工验收合格后无质量问题，</w:t>
      </w:r>
      <w:r>
        <w:rPr>
          <w:rFonts w:hint="eastAsia" w:ascii="仿宋" w:hAnsi="仿宋" w:eastAsia="仿宋" w:cs="仿宋"/>
          <w:color w:val="auto"/>
          <w:sz w:val="24"/>
          <w:szCs w:val="24"/>
          <w:u w:val="single"/>
          <w:lang w:val="en-US" w:eastAsia="zh-CN"/>
        </w:rPr>
        <w:t>承包人</w:t>
      </w:r>
      <w:r>
        <w:rPr>
          <w:rFonts w:hint="eastAsia" w:ascii="仿宋" w:hAnsi="仿宋" w:eastAsia="仿宋" w:cs="仿宋"/>
          <w:color w:val="auto"/>
          <w:sz w:val="24"/>
          <w:szCs w:val="24"/>
          <w:u w:val="single"/>
        </w:rPr>
        <w:t>未出现任何违约行为，未出现安全事故</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经承包人申请后</w:t>
      </w:r>
      <w:r>
        <w:rPr>
          <w:rFonts w:hint="eastAsia" w:ascii="仿宋" w:hAnsi="仿宋" w:eastAsia="仿宋" w:cs="仿宋"/>
          <w:color w:val="auto"/>
          <w:sz w:val="24"/>
          <w:szCs w:val="24"/>
          <w:u w:val="single"/>
        </w:rPr>
        <w:t>无息退还履约保证金</w:t>
      </w:r>
      <w:r>
        <w:rPr>
          <w:rFonts w:hint="eastAsia" w:ascii="仿宋" w:hAnsi="仿宋" w:eastAsia="仿宋" w:cs="仿宋"/>
          <w:color w:val="auto"/>
          <w:sz w:val="24"/>
          <w:szCs w:val="24"/>
          <w:u w:val="single"/>
          <w:lang w:eastAsia="zh-CN"/>
        </w:rPr>
        <w:t>或保函</w:t>
      </w:r>
      <w:r>
        <w:rPr>
          <w:rFonts w:hint="eastAsia" w:ascii="仿宋" w:hAnsi="仿宋" w:eastAsia="仿宋" w:cs="仿宋"/>
          <w:color w:val="auto"/>
          <w:sz w:val="24"/>
          <w:szCs w:val="24"/>
          <w:u w:val="single"/>
        </w:rPr>
        <w:t>。</w:t>
      </w:r>
    </w:p>
    <w:p w14:paraId="13E3F37C">
      <w:pPr>
        <w:pStyle w:val="5"/>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551" w:name="_Toc351203636"/>
      <w:r>
        <w:rPr>
          <w:rFonts w:hint="eastAsia" w:ascii="仿宋" w:hAnsi="仿宋" w:eastAsia="仿宋" w:cs="仿宋"/>
          <w:b w:val="0"/>
          <w:color w:val="auto"/>
          <w:sz w:val="24"/>
          <w:szCs w:val="24"/>
        </w:rPr>
        <w:t>4</w:t>
      </w:r>
      <w:bookmarkStart w:id="1552" w:name="_Toc292559366"/>
      <w:bookmarkStart w:id="1553" w:name="_Toc296891202"/>
      <w:bookmarkStart w:id="1554" w:name="_Toc292559871"/>
      <w:bookmarkStart w:id="1555" w:name="_Toc297048348"/>
      <w:bookmarkStart w:id="1556" w:name="_Toc296347161"/>
      <w:bookmarkStart w:id="1557" w:name="_Toc296346663"/>
      <w:bookmarkStart w:id="1558" w:name="_Toc267251413"/>
      <w:bookmarkStart w:id="1559" w:name="_Toc296890990"/>
      <w:bookmarkStart w:id="1560" w:name="_Toc296503162"/>
      <w:bookmarkStart w:id="1561" w:name="_Toc296944501"/>
      <w:bookmarkStart w:id="1562" w:name="_Toc297120462"/>
      <w:r>
        <w:rPr>
          <w:rFonts w:hint="eastAsia" w:ascii="仿宋" w:hAnsi="仿宋" w:eastAsia="仿宋" w:cs="仿宋"/>
          <w:b w:val="0"/>
          <w:color w:val="auto"/>
          <w:sz w:val="24"/>
          <w:szCs w:val="24"/>
        </w:rPr>
        <w:t>. 监</w:t>
      </w:r>
      <w:bookmarkEnd w:id="1552"/>
      <w:bookmarkEnd w:id="1553"/>
      <w:bookmarkEnd w:id="1554"/>
      <w:bookmarkEnd w:id="1555"/>
      <w:bookmarkEnd w:id="1556"/>
      <w:bookmarkEnd w:id="1557"/>
      <w:bookmarkEnd w:id="1558"/>
      <w:bookmarkEnd w:id="1559"/>
      <w:bookmarkEnd w:id="1560"/>
      <w:bookmarkEnd w:id="1561"/>
      <w:bookmarkEnd w:id="1562"/>
      <w:r>
        <w:rPr>
          <w:rFonts w:hint="eastAsia" w:ascii="仿宋" w:hAnsi="仿宋" w:eastAsia="仿宋" w:cs="仿宋"/>
          <w:b w:val="0"/>
          <w:color w:val="auto"/>
          <w:sz w:val="24"/>
          <w:szCs w:val="24"/>
        </w:rPr>
        <w:t>理人</w:t>
      </w:r>
      <w:bookmarkEnd w:id="1551"/>
    </w:p>
    <w:p w14:paraId="659CE8ED">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1监理人的一般规定</w:t>
      </w:r>
    </w:p>
    <w:p w14:paraId="29B77427">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关于监理人的监理内容:</w:t>
      </w:r>
      <w:r>
        <w:rPr>
          <w:rFonts w:hint="eastAsia" w:ascii="仿宋" w:hAnsi="仿宋" w:eastAsia="仿宋" w:cs="仿宋"/>
          <w:color w:val="auto"/>
          <w:sz w:val="24"/>
          <w:szCs w:val="24"/>
          <w:u w:val="single"/>
        </w:rPr>
        <w:t xml:space="preserve">    详见</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与监理人签订的监理合同</w:t>
      </w:r>
    </w:p>
    <w:p w14:paraId="5144A171">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关于监理人的监理权限：</w:t>
      </w:r>
      <w:r>
        <w:rPr>
          <w:rFonts w:hint="eastAsia" w:ascii="仿宋" w:hAnsi="仿宋" w:eastAsia="仿宋" w:cs="仿宋"/>
          <w:color w:val="auto"/>
          <w:sz w:val="24"/>
          <w:szCs w:val="24"/>
          <w:u w:val="single"/>
        </w:rPr>
        <w:t xml:space="preserve">   详见</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与监理人签订的监理合同</w:t>
      </w:r>
      <w:r>
        <w:rPr>
          <w:rFonts w:hint="eastAsia" w:ascii="仿宋" w:hAnsi="仿宋" w:eastAsia="仿宋" w:cs="仿宋"/>
          <w:color w:val="auto"/>
          <w:sz w:val="24"/>
          <w:szCs w:val="24"/>
        </w:rPr>
        <w:t xml:space="preserve">. </w:t>
      </w:r>
    </w:p>
    <w:p w14:paraId="768B41CE">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rPr>
      </w:pPr>
      <w:r>
        <w:rPr>
          <w:rFonts w:hint="eastAsia" w:ascii="仿宋" w:hAnsi="仿宋" w:eastAsia="仿宋" w:cs="仿宋"/>
          <w:color w:val="auto"/>
          <w:sz w:val="24"/>
          <w:szCs w:val="24"/>
        </w:rPr>
        <w:t>关于监理人在施工现场的办公场所、生活场所的提供和费用承担的约定：</w:t>
      </w:r>
      <w:r>
        <w:rPr>
          <w:rFonts w:hint="eastAsia" w:ascii="仿宋" w:hAnsi="仿宋" w:eastAsia="仿宋" w:cs="仿宋"/>
          <w:color w:val="auto"/>
          <w:sz w:val="24"/>
          <w:szCs w:val="24"/>
          <w:u w:val="single"/>
        </w:rPr>
        <w:t xml:space="preserve">  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 xml:space="preserve">承担        </w:t>
      </w:r>
      <w:r>
        <w:rPr>
          <w:rFonts w:hint="eastAsia" w:ascii="仿宋" w:hAnsi="仿宋" w:eastAsia="仿宋" w:cs="仿宋"/>
          <w:color w:val="auto"/>
          <w:sz w:val="24"/>
          <w:szCs w:val="24"/>
        </w:rPr>
        <w:t>。</w:t>
      </w:r>
    </w:p>
    <w:p w14:paraId="2C7264E6">
      <w:pPr>
        <w:pStyle w:val="5"/>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563" w:name="_Toc267251418"/>
      <w:bookmarkStart w:id="1564" w:name="_Toc351203637"/>
      <w:r>
        <w:rPr>
          <w:rFonts w:hint="eastAsia" w:ascii="仿宋" w:hAnsi="仿宋" w:eastAsia="仿宋" w:cs="仿宋"/>
          <w:b w:val="0"/>
          <w:color w:val="auto"/>
          <w:sz w:val="24"/>
          <w:szCs w:val="24"/>
        </w:rPr>
        <w:t>5</w:t>
      </w:r>
      <w:bookmarkEnd w:id="1563"/>
      <w:bookmarkStart w:id="1565" w:name="_Toc296347162"/>
      <w:bookmarkStart w:id="1566" w:name="_Toc296346664"/>
      <w:bookmarkStart w:id="1567" w:name="_Toc292559367"/>
      <w:bookmarkStart w:id="1568" w:name="_Toc296891203"/>
      <w:bookmarkStart w:id="1569" w:name="_Toc296503163"/>
      <w:bookmarkStart w:id="1570" w:name="_Toc297048349"/>
      <w:bookmarkStart w:id="1571" w:name="_Toc296944502"/>
      <w:bookmarkStart w:id="1572" w:name="_Toc296890991"/>
      <w:bookmarkStart w:id="1573" w:name="_Toc297120463"/>
      <w:bookmarkStart w:id="1574" w:name="_Toc292559872"/>
      <w:r>
        <w:rPr>
          <w:rFonts w:hint="eastAsia" w:ascii="仿宋" w:hAnsi="仿宋" w:eastAsia="仿宋" w:cs="仿宋"/>
          <w:b w:val="0"/>
          <w:color w:val="auto"/>
          <w:sz w:val="24"/>
          <w:szCs w:val="24"/>
        </w:rPr>
        <w:t>.工程质量</w:t>
      </w:r>
      <w:bookmarkEnd w:id="1564"/>
    </w:p>
    <w:p w14:paraId="5C4D9BA3">
      <w:pPr>
        <w:pageBreakBefore w:val="0"/>
        <w:widowControl w:val="0"/>
        <w:kinsoku/>
        <w:wordWrap/>
        <w:overflowPunct/>
        <w:topLinePunct w:val="0"/>
        <w:bidi w:val="0"/>
        <w:snapToGrid/>
        <w:spacing w:after="120" w:line="440" w:lineRule="exact"/>
        <w:ind w:firstLine="480" w:firstLineChars="200"/>
        <w:outlineLvl w:val="0"/>
        <w:rPr>
          <w:rFonts w:hint="eastAsia" w:ascii="仿宋" w:hAnsi="仿宋" w:eastAsia="仿宋" w:cs="仿宋"/>
          <w:color w:val="auto"/>
          <w:sz w:val="24"/>
          <w:szCs w:val="24"/>
        </w:rPr>
      </w:pPr>
      <w:bookmarkStart w:id="1575" w:name="_Toc11981"/>
      <w:r>
        <w:rPr>
          <w:rFonts w:hint="eastAsia" w:ascii="仿宋" w:hAnsi="仿宋" w:eastAsia="仿宋" w:cs="仿宋"/>
          <w:color w:val="auto"/>
          <w:sz w:val="24"/>
          <w:szCs w:val="24"/>
        </w:rPr>
        <w:t>5</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1质量要求</w:t>
      </w:r>
      <w:bookmarkEnd w:id="1575"/>
    </w:p>
    <w:p w14:paraId="03154A4E">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sz w:val="24"/>
          <w:szCs w:val="24"/>
        </w:rPr>
      </w:pPr>
      <w:r>
        <w:rPr>
          <w:rFonts w:hint="eastAsia" w:ascii="仿宋" w:hAnsi="仿宋" w:eastAsia="仿宋" w:cs="仿宋"/>
          <w:color w:val="auto"/>
          <w:sz w:val="24"/>
          <w:szCs w:val="24"/>
        </w:rPr>
        <w:t>5</w:t>
      </w:r>
      <w:bookmarkStart w:id="1576" w:name="_Toc300934949"/>
      <w:bookmarkStart w:id="1577" w:name="_Toc318581164"/>
      <w:bookmarkStart w:id="1578" w:name="_Toc304295527"/>
      <w:bookmarkStart w:id="1579" w:name="_Toc297123496"/>
      <w:bookmarkStart w:id="1580" w:name="_Toc312677997"/>
      <w:bookmarkStart w:id="1581" w:name="_Toc297216155"/>
      <w:bookmarkStart w:id="1582" w:name="_Toc303539106"/>
      <w:r>
        <w:rPr>
          <w:rFonts w:hint="eastAsia" w:ascii="仿宋" w:hAnsi="仿宋" w:eastAsia="仿宋" w:cs="仿宋"/>
          <w:color w:val="auto"/>
          <w:sz w:val="24"/>
          <w:szCs w:val="24"/>
        </w:rPr>
        <w:t>.1.1 特殊质量标准和要求：</w:t>
      </w:r>
      <w:r>
        <w:rPr>
          <w:rFonts w:hint="eastAsia" w:ascii="仿宋" w:hAnsi="仿宋" w:eastAsia="仿宋" w:cs="仿宋"/>
          <w:color w:val="auto"/>
          <w:sz w:val="24"/>
          <w:szCs w:val="24"/>
          <w:u w:val="single"/>
        </w:rPr>
        <w:t xml:space="preserve">   按已标价工程量清单、本磋商文件相关规定执行  </w:t>
      </w:r>
      <w:r>
        <w:rPr>
          <w:rFonts w:hint="eastAsia" w:ascii="仿宋" w:hAnsi="仿宋" w:eastAsia="仿宋" w:cs="仿宋"/>
          <w:color w:val="auto"/>
          <w:sz w:val="24"/>
          <w:szCs w:val="24"/>
        </w:rPr>
        <w:t>。</w:t>
      </w:r>
    </w:p>
    <w:p w14:paraId="545025FC">
      <w:pPr>
        <w:pageBreakBefore w:val="0"/>
        <w:widowControl w:val="0"/>
        <w:kinsoku/>
        <w:wordWrap/>
        <w:overflowPunct/>
        <w:topLinePunct w:val="0"/>
        <w:bidi w:val="0"/>
        <w:snapToGrid/>
        <w:spacing w:after="120" w:line="440" w:lineRule="exact"/>
        <w:ind w:firstLine="480" w:firstLineChars="200"/>
        <w:outlineLvl w:val="0"/>
        <w:rPr>
          <w:rFonts w:hint="eastAsia" w:ascii="仿宋" w:hAnsi="仿宋" w:eastAsia="仿宋" w:cs="仿宋"/>
          <w:color w:val="auto"/>
          <w:sz w:val="24"/>
          <w:szCs w:val="24"/>
        </w:rPr>
      </w:pPr>
      <w:bookmarkStart w:id="1583" w:name="_Toc6746"/>
      <w:r>
        <w:rPr>
          <w:rFonts w:hint="eastAsia" w:ascii="仿宋" w:hAnsi="仿宋" w:eastAsia="仿宋" w:cs="仿宋"/>
          <w:color w:val="auto"/>
          <w:sz w:val="24"/>
          <w:szCs w:val="24"/>
        </w:rPr>
        <w:t>5.3隐蔽工程检查</w:t>
      </w:r>
      <w:bookmarkEnd w:id="1583"/>
    </w:p>
    <w:p w14:paraId="5FBC8CF2">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提前通知监理人隐蔽工程检查的期限的约定：</w:t>
      </w:r>
      <w:r>
        <w:rPr>
          <w:rFonts w:hint="eastAsia" w:ascii="仿宋" w:hAnsi="仿宋" w:eastAsia="仿宋" w:cs="仿宋"/>
          <w:color w:val="auto"/>
          <w:sz w:val="24"/>
          <w:szCs w:val="24"/>
          <w:u w:val="single"/>
        </w:rPr>
        <w:t xml:space="preserve">  执行通用条款  </w:t>
      </w:r>
      <w:r>
        <w:rPr>
          <w:rFonts w:hint="eastAsia" w:ascii="仿宋" w:hAnsi="仿宋" w:eastAsia="仿宋" w:cs="仿宋"/>
          <w:color w:val="auto"/>
          <w:sz w:val="24"/>
          <w:szCs w:val="24"/>
        </w:rPr>
        <w:t>。</w:t>
      </w:r>
    </w:p>
    <w:p w14:paraId="49F7C227">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监理人不能按时进行检查时，应提前</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24</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小时提交书面延期要求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关于延期最长不得超过</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48</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小时。</w:t>
      </w:r>
    </w:p>
    <w:p w14:paraId="6B436504">
      <w:pPr>
        <w:pStyle w:val="5"/>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584" w:name="_Toc351203638"/>
      <w:r>
        <w:rPr>
          <w:rFonts w:hint="eastAsia" w:ascii="仿宋" w:hAnsi="仿宋" w:eastAsia="仿宋" w:cs="仿宋"/>
          <w:b w:val="0"/>
          <w:color w:val="auto"/>
          <w:sz w:val="24"/>
          <w:szCs w:val="24"/>
        </w:rPr>
        <w:t>6.安全文明施工与环境保护</w:t>
      </w:r>
      <w:bookmarkEnd w:id="1584"/>
    </w:p>
    <w:p w14:paraId="65AFB727">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6.1安全文明施工</w:t>
      </w:r>
    </w:p>
    <w:p w14:paraId="42C9C2DE">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1项目安全生产的达标目标及相应事项的约定</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rPr>
        <w:t xml:space="preserve"> 杜绝人身伤亡事故发生，达到《建筑施工安全检查标准》(IG-2011)合格标准。不能完成该安全监控目标的，每发生一起人身伤亡事故</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视为</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违约，</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将在</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工程款中扣除违约金5万元。如果对</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造成不良社会影响和经济损失的，</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有责任负责消除不良影响，造成经济损失的，</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有权向</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 xml:space="preserve">追偿   </w:t>
      </w:r>
      <w:r>
        <w:rPr>
          <w:rFonts w:hint="eastAsia" w:ascii="仿宋" w:hAnsi="仿宋" w:eastAsia="仿宋" w:cs="仿宋"/>
          <w:color w:val="auto"/>
          <w:sz w:val="24"/>
          <w:szCs w:val="24"/>
          <w:lang w:eastAsia="zh-CN"/>
        </w:rPr>
        <w:t>。</w:t>
      </w:r>
    </w:p>
    <w:p w14:paraId="120066A3">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u w:val="single"/>
        </w:rPr>
      </w:pPr>
      <w:r>
        <w:rPr>
          <w:rFonts w:hint="eastAsia" w:ascii="仿宋" w:hAnsi="仿宋" w:eastAsia="仿宋" w:cs="仿宋"/>
          <w:color w:val="auto"/>
          <w:sz w:val="24"/>
          <w:szCs w:val="24"/>
        </w:rPr>
        <w:t>6.1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4关于治安保卫的特别约定：</w:t>
      </w:r>
      <w:r>
        <w:rPr>
          <w:rFonts w:hint="eastAsia" w:ascii="仿宋" w:hAnsi="仿宋" w:eastAsia="仿宋" w:cs="仿宋"/>
          <w:color w:val="auto"/>
          <w:sz w:val="24"/>
          <w:szCs w:val="24"/>
          <w:u w:val="single"/>
        </w:rPr>
        <w:t>保安人员的组织管理及保安人员的费用由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承担。</w:t>
      </w:r>
    </w:p>
    <w:p w14:paraId="55D6B6EF">
      <w:pPr>
        <w:pageBreakBefore w:val="0"/>
        <w:widowControl w:val="0"/>
        <w:kinsoku/>
        <w:wordWrap/>
        <w:overflowPunct/>
        <w:topLinePunct w:val="0"/>
        <w:bidi w:val="0"/>
        <w:snapToGrid/>
        <w:spacing w:line="440" w:lineRule="exact"/>
        <w:ind w:left="0" w:leftChars="0"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5文明施工</w:t>
      </w:r>
    </w:p>
    <w:p w14:paraId="22625674">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rPr>
      </w:pPr>
      <w:r>
        <w:rPr>
          <w:rFonts w:hint="eastAsia" w:ascii="仿宋" w:hAnsi="仿宋" w:eastAsia="仿宋" w:cs="仿宋"/>
          <w:color w:val="auto"/>
          <w:sz w:val="24"/>
          <w:szCs w:val="24"/>
        </w:rPr>
        <w:t>合同当事人对文明施工的要求：</w:t>
      </w:r>
      <w:r>
        <w:rPr>
          <w:rFonts w:hint="eastAsia" w:ascii="仿宋" w:hAnsi="仿宋" w:eastAsia="仿宋" w:cs="仿宋"/>
          <w:color w:val="auto"/>
          <w:sz w:val="24"/>
          <w:szCs w:val="24"/>
          <w:u w:val="single"/>
        </w:rPr>
        <w:t xml:space="preserve"> 执行通用条款约定，如</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未按约定要求执行，将自愿接受主管部门和</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依相关规定的处罚，但并不因此免责，必须整改到位。</w:t>
      </w:r>
    </w:p>
    <w:p w14:paraId="1F093B5D">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rPr>
      </w:pPr>
      <w:r>
        <w:rPr>
          <w:rFonts w:hint="eastAsia" w:ascii="仿宋" w:hAnsi="仿宋" w:eastAsia="仿宋" w:cs="仿宋"/>
          <w:color w:val="auto"/>
          <w:sz w:val="24"/>
          <w:szCs w:val="24"/>
        </w:rPr>
        <w:t>6.1</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关于安全文明施工费支付比例和支付期限的约定:</w:t>
      </w:r>
      <w:r>
        <w:rPr>
          <w:rFonts w:hint="eastAsia" w:ascii="仿宋" w:hAnsi="仿宋" w:eastAsia="仿宋" w:cs="仿宋"/>
          <w:color w:val="auto"/>
          <w:sz w:val="24"/>
          <w:szCs w:val="24"/>
          <w:u w:val="single"/>
        </w:rPr>
        <w:t xml:space="preserve">  安全文明施工费不单独支付，但</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须保证安全文明施工费专款专用，并接受</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的监管。</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应将安全防护措施、文明施工措施费的使用、支付计划作为保证工程安全的具体措施，须提交</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 xml:space="preserve">审核，确保此项费用用于本工程 </w:t>
      </w:r>
      <w:r>
        <w:rPr>
          <w:rFonts w:hint="eastAsia" w:ascii="仿宋" w:hAnsi="仿宋" w:eastAsia="仿宋" w:cs="仿宋"/>
          <w:color w:val="auto"/>
          <w:sz w:val="24"/>
          <w:szCs w:val="24"/>
        </w:rPr>
        <w:t>。</w:t>
      </w:r>
    </w:p>
    <w:bookmarkEnd w:id="1576"/>
    <w:bookmarkEnd w:id="1577"/>
    <w:bookmarkEnd w:id="1578"/>
    <w:bookmarkEnd w:id="1579"/>
    <w:bookmarkEnd w:id="1580"/>
    <w:bookmarkEnd w:id="1581"/>
    <w:bookmarkEnd w:id="1582"/>
    <w:p w14:paraId="127626DB">
      <w:pPr>
        <w:pStyle w:val="5"/>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585" w:name="_Toc351203639"/>
      <w:r>
        <w:rPr>
          <w:rFonts w:hint="eastAsia" w:ascii="仿宋" w:hAnsi="仿宋" w:eastAsia="仿宋" w:cs="仿宋"/>
          <w:b w:val="0"/>
          <w:color w:val="auto"/>
          <w:sz w:val="24"/>
          <w:szCs w:val="24"/>
        </w:rPr>
        <w:t>7.工期和进度</w:t>
      </w:r>
      <w:bookmarkEnd w:id="1585"/>
    </w:p>
    <w:p w14:paraId="551299A3">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1施工组织设计</w:t>
      </w:r>
    </w:p>
    <w:p w14:paraId="2B4E84AF">
      <w:pPr>
        <w:pageBreakBefore w:val="0"/>
        <w:widowControl w:val="0"/>
        <w:kinsoku/>
        <w:wordWrap/>
        <w:overflowPunct/>
        <w:topLinePunct w:val="0"/>
        <w:autoSpaceDE w:val="0"/>
        <w:autoSpaceDN w:val="0"/>
        <w:bidi w:val="0"/>
        <w:adjustRightInd w:val="0"/>
        <w:snapToGrid/>
        <w:spacing w:line="440" w:lineRule="exact"/>
        <w:ind w:firstLine="480" w:firstLineChars="200"/>
        <w:jc w:val="both"/>
        <w:rPr>
          <w:rFonts w:hint="eastAsia" w:ascii="仿宋" w:hAnsi="仿宋" w:eastAsia="仿宋" w:cs="仿宋"/>
          <w:color w:val="auto"/>
          <w:kern w:val="0"/>
          <w:sz w:val="24"/>
          <w:szCs w:val="24"/>
          <w:u w:val="single"/>
          <w:lang w:val="en-US" w:eastAsia="zh-CN"/>
        </w:rPr>
      </w:pPr>
      <w:r>
        <w:rPr>
          <w:rFonts w:hint="eastAsia" w:ascii="仿宋" w:hAnsi="仿宋" w:eastAsia="仿宋" w:cs="仿宋"/>
          <w:color w:val="auto"/>
          <w:sz w:val="24"/>
          <w:szCs w:val="24"/>
        </w:rPr>
        <w:t xml:space="preserve">7.1.2 </w:t>
      </w:r>
      <w:r>
        <w:rPr>
          <w:rFonts w:hint="eastAsia" w:ascii="仿宋" w:hAnsi="仿宋" w:eastAsia="仿宋" w:cs="仿宋"/>
          <w:color w:val="auto"/>
          <w:kern w:val="0"/>
          <w:sz w:val="24"/>
          <w:szCs w:val="24"/>
        </w:rPr>
        <w:t>施工组织设计的提交和修改</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u w:val="single"/>
          <w:lang w:eastAsia="zh-CN"/>
        </w:rPr>
        <w:t>承包人进场后上报的施工组织设计，应是在响应文件中施工组织设计的基础上，根据现场实际情况进行的优化和完善，以满足工程施工需要，且不因此增加任何措施费用，工程竣工结算时，对上述施工组织设计调整所涉及的费用发包人不做调整。</w:t>
      </w:r>
    </w:p>
    <w:p w14:paraId="290AA215">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left"/>
        <w:rPr>
          <w:rFonts w:hint="eastAsia" w:ascii="仿宋" w:hAnsi="仿宋" w:eastAsia="仿宋" w:cs="仿宋"/>
          <w:color w:val="auto"/>
          <w:sz w:val="24"/>
          <w:szCs w:val="24"/>
          <w:lang w:eastAsia="zh-CN"/>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提交详细施工组织设计的期限的约定：</w:t>
      </w:r>
      <w:r>
        <w:rPr>
          <w:rFonts w:hint="eastAsia" w:ascii="仿宋" w:hAnsi="仿宋" w:eastAsia="仿宋" w:cs="仿宋"/>
          <w:color w:val="auto"/>
          <w:sz w:val="24"/>
          <w:szCs w:val="24"/>
          <w:u w:val="single"/>
        </w:rPr>
        <w:t>开工后15天内</w:t>
      </w:r>
      <w:r>
        <w:rPr>
          <w:rFonts w:hint="eastAsia" w:ascii="仿宋" w:hAnsi="仿宋" w:eastAsia="仿宋" w:cs="仿宋"/>
          <w:color w:val="auto"/>
          <w:sz w:val="24"/>
          <w:szCs w:val="24"/>
          <w:lang w:eastAsia="zh-CN"/>
        </w:rPr>
        <w:t>。</w:t>
      </w:r>
    </w:p>
    <w:p w14:paraId="76914CE7">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和监理人在收到详细的施工组织设计后确认或提出修改意见的期限：</w:t>
      </w:r>
      <w:r>
        <w:rPr>
          <w:rFonts w:hint="eastAsia" w:ascii="仿宋" w:hAnsi="仿宋" w:eastAsia="仿宋" w:cs="仿宋"/>
          <w:color w:val="auto"/>
          <w:sz w:val="24"/>
          <w:szCs w:val="24"/>
          <w:u w:val="single"/>
        </w:rPr>
        <w:t xml:space="preserve"> 收到文件后7天内。</w:t>
      </w:r>
    </w:p>
    <w:p w14:paraId="5397D81B">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w:t>
      </w:r>
      <w:bookmarkStart w:id="1586" w:name="_Toc304295546"/>
      <w:bookmarkStart w:id="1587" w:name="_Toc303539125"/>
      <w:bookmarkStart w:id="1588" w:name="_Toc297123516"/>
      <w:bookmarkStart w:id="1589" w:name="_Toc297216175"/>
      <w:bookmarkStart w:id="1590" w:name="_Toc300934968"/>
      <w:bookmarkStart w:id="1591" w:name="_Toc312678010"/>
      <w:bookmarkStart w:id="1592" w:name="_Toc312677484"/>
      <w:r>
        <w:rPr>
          <w:rFonts w:hint="eastAsia" w:ascii="仿宋" w:hAnsi="仿宋" w:eastAsia="仿宋" w:cs="仿宋"/>
          <w:color w:val="auto"/>
          <w:sz w:val="24"/>
          <w:szCs w:val="24"/>
        </w:rPr>
        <w:t>.5 工期延误</w:t>
      </w:r>
    </w:p>
    <w:bookmarkEnd w:id="1586"/>
    <w:bookmarkEnd w:id="1587"/>
    <w:bookmarkEnd w:id="1588"/>
    <w:bookmarkEnd w:id="1589"/>
    <w:bookmarkEnd w:id="1590"/>
    <w:bookmarkEnd w:id="1591"/>
    <w:bookmarkEnd w:id="1592"/>
    <w:p w14:paraId="7BB93A2E">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w:t>
      </w:r>
      <w:bookmarkStart w:id="1593" w:name="_Toc312677486"/>
      <w:bookmarkStart w:id="1594" w:name="_Toc312678012"/>
      <w:bookmarkStart w:id="1595" w:name="_Toc318581169"/>
      <w:bookmarkStart w:id="1596" w:name="_Toc304295548"/>
      <w:bookmarkStart w:id="1597" w:name="_Toc300934970"/>
      <w:bookmarkStart w:id="1598" w:name="_Toc297216177"/>
      <w:bookmarkStart w:id="1599" w:name="_Toc297123518"/>
      <w:bookmarkStart w:id="1600" w:name="_Toc303539127"/>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2因</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原因导致工期延误</w:t>
      </w:r>
    </w:p>
    <w:bookmarkEnd w:id="1593"/>
    <w:bookmarkEnd w:id="1594"/>
    <w:bookmarkEnd w:id="1595"/>
    <w:p w14:paraId="3024B290">
      <w:pPr>
        <w:pageBreakBefore w:val="0"/>
        <w:widowControl w:val="0"/>
        <w:kinsoku/>
        <w:wordWrap/>
        <w:overflowPunct/>
        <w:topLinePunct w:val="0"/>
        <w:bidi w:val="0"/>
        <w:snapToGrid/>
        <w:spacing w:line="440" w:lineRule="exact"/>
        <w:ind w:firstLine="480" w:firstLineChars="20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因</w:t>
      </w:r>
      <w:bookmarkStart w:id="1601" w:name="_Toc312678013"/>
      <w:bookmarkStart w:id="1602" w:name="_Toc312677487"/>
      <w:bookmarkStart w:id="1603" w:name="_Toc318581170"/>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原因造成工期延误</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逾期竣工违约金的计算方法为</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rPr>
        <w:t xml:space="preserve"> 因</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原因造成工期延误，逾期竣工违约金的计算方法为：每延误、逾期一天，逾期竣工违约金按</w:t>
      </w:r>
      <w:r>
        <w:rPr>
          <w:rFonts w:hint="eastAsia" w:ascii="仿宋" w:hAnsi="仿宋" w:eastAsia="仿宋" w:cs="仿宋"/>
          <w:color w:val="auto"/>
          <w:sz w:val="24"/>
          <w:szCs w:val="24"/>
          <w:u w:val="single"/>
          <w:lang w:val="en-US" w:eastAsia="zh-CN"/>
        </w:rPr>
        <w:t>合同总价款5‰</w:t>
      </w:r>
      <w:r>
        <w:rPr>
          <w:rFonts w:hint="eastAsia" w:ascii="仿宋" w:hAnsi="仿宋" w:eastAsia="仿宋" w:cs="仿宋"/>
          <w:color w:val="auto"/>
          <w:sz w:val="24"/>
          <w:szCs w:val="24"/>
          <w:u w:val="single"/>
        </w:rPr>
        <w:t>计取</w:t>
      </w:r>
      <w:bookmarkEnd w:id="1596"/>
      <w:bookmarkEnd w:id="1597"/>
      <w:bookmarkEnd w:id="1598"/>
      <w:bookmarkEnd w:id="1599"/>
      <w:bookmarkEnd w:id="1600"/>
      <w:bookmarkEnd w:id="1601"/>
      <w:bookmarkEnd w:id="1602"/>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该违约金从结算款中直接扣除。</w:t>
      </w:r>
    </w:p>
    <w:bookmarkEnd w:id="1603"/>
    <w:p w14:paraId="7DF078F5">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rPr>
      </w:pPr>
      <w:r>
        <w:rPr>
          <w:rFonts w:hint="eastAsia" w:ascii="仿宋" w:hAnsi="仿宋" w:eastAsia="仿宋" w:cs="仿宋"/>
          <w:color w:val="auto"/>
          <w:sz w:val="24"/>
          <w:szCs w:val="24"/>
        </w:rPr>
        <w:t>因</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原因造成工期延误，逾</w:t>
      </w:r>
      <w:bookmarkStart w:id="1604" w:name="_Toc312678014"/>
      <w:bookmarkStart w:id="1605" w:name="_Toc318581171"/>
      <w:r>
        <w:rPr>
          <w:rFonts w:hint="eastAsia" w:ascii="仿宋" w:hAnsi="仿宋" w:eastAsia="仿宋" w:cs="仿宋"/>
          <w:color w:val="auto"/>
          <w:sz w:val="24"/>
          <w:szCs w:val="24"/>
        </w:rPr>
        <w:t>期竣工违约金的上限</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rPr>
        <w:t xml:space="preserve">  上限为合同总价</w:t>
      </w:r>
      <w:r>
        <w:rPr>
          <w:rFonts w:hint="eastAsia" w:ascii="仿宋" w:hAnsi="仿宋" w:eastAsia="仿宋" w:cs="仿宋"/>
          <w:color w:val="auto"/>
          <w:sz w:val="24"/>
          <w:szCs w:val="24"/>
          <w:u w:val="single"/>
          <w:lang w:val="en-US" w:eastAsia="zh-CN"/>
        </w:rPr>
        <w:t>10</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已知晓，本合同所述合同工期是</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在充分考虑政府对施工的相关规定和影响及</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施工要求，以及经核实施工现场及施工环境，而确保能够实现的工期。双方明确</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除非</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书面同意延期外</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本合同所述工期不因任何原因予以延期。如遇延期，</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可以解除合同并要求</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赔偿损失。</w:t>
      </w:r>
    </w:p>
    <w:bookmarkEnd w:id="1604"/>
    <w:bookmarkEnd w:id="1605"/>
    <w:p w14:paraId="7E038A5A">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w:t>
      </w:r>
      <w:bookmarkStart w:id="1606" w:name="_Toc297216180"/>
      <w:bookmarkStart w:id="1607" w:name="_Toc300934973"/>
      <w:bookmarkStart w:id="1608" w:name="_Toc303539130"/>
      <w:bookmarkStart w:id="1609" w:name="_Toc304295551"/>
      <w:bookmarkStart w:id="1610" w:name="_Toc312678017"/>
      <w:bookmarkStart w:id="1611" w:name="_Toc297123521"/>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7异常恶劣的气候条件</w:t>
      </w:r>
    </w:p>
    <w:bookmarkEnd w:id="1606"/>
    <w:bookmarkEnd w:id="1607"/>
    <w:bookmarkEnd w:id="1608"/>
    <w:bookmarkEnd w:id="1609"/>
    <w:bookmarkEnd w:id="1610"/>
    <w:bookmarkEnd w:id="1611"/>
    <w:p w14:paraId="408331C8">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同意以下情形视为异常恶劣的气候条件：</w:t>
      </w:r>
    </w:p>
    <w:p w14:paraId="5E84A8D6">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1</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连续五天及以上的八级及以上的大风</w:t>
      </w:r>
      <w:r>
        <w:rPr>
          <w:rFonts w:hint="eastAsia" w:ascii="仿宋" w:hAnsi="仿宋" w:eastAsia="仿宋" w:cs="仿宋"/>
          <w:color w:val="auto"/>
          <w:sz w:val="24"/>
          <w:szCs w:val="24"/>
          <w:u w:val="single"/>
          <w:lang w:eastAsia="zh-CN"/>
        </w:rPr>
        <w:t>；</w:t>
      </w:r>
    </w:p>
    <w:p w14:paraId="4048A569">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2</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0年一遇的暴雨;</w:t>
      </w:r>
    </w:p>
    <w:p w14:paraId="11DA35C2">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3</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50年一遇的暴雪。</w:t>
      </w:r>
    </w:p>
    <w:p w14:paraId="1AC56354">
      <w:pPr>
        <w:pageBreakBefore w:val="0"/>
        <w:widowControl w:val="0"/>
        <w:kinsoku/>
        <w:wordWrap/>
        <w:overflowPunct/>
        <w:topLinePunct w:val="0"/>
        <w:bidi w:val="0"/>
        <w:snapToGrid/>
        <w:spacing w:after="120" w:line="440" w:lineRule="exact"/>
        <w:ind w:firstLine="480" w:firstLineChars="200"/>
        <w:outlineLvl w:val="0"/>
        <w:rPr>
          <w:rFonts w:hint="eastAsia" w:ascii="仿宋" w:hAnsi="仿宋" w:eastAsia="仿宋" w:cs="仿宋"/>
          <w:color w:val="auto"/>
          <w:sz w:val="24"/>
          <w:szCs w:val="24"/>
        </w:rPr>
      </w:pPr>
      <w:bookmarkStart w:id="1612" w:name="_Toc10668"/>
      <w:r>
        <w:rPr>
          <w:rFonts w:hint="eastAsia" w:ascii="仿宋" w:hAnsi="仿宋" w:eastAsia="仿宋" w:cs="仿宋"/>
          <w:color w:val="auto"/>
          <w:sz w:val="24"/>
          <w:szCs w:val="24"/>
        </w:rPr>
        <w:t>7.9提前竣工的奖励</w:t>
      </w:r>
      <w:bookmarkEnd w:id="1612"/>
    </w:p>
    <w:p w14:paraId="12E5387A">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7.9</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2提前竣工的奖励：</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无</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4DEC91F7">
      <w:pPr>
        <w:pStyle w:val="5"/>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highlight w:val="none"/>
        </w:rPr>
      </w:pPr>
      <w:bookmarkStart w:id="1613" w:name="_Toc351203640"/>
      <w:r>
        <w:rPr>
          <w:rFonts w:hint="eastAsia" w:ascii="仿宋" w:hAnsi="仿宋" w:eastAsia="仿宋" w:cs="仿宋"/>
          <w:b w:val="0"/>
          <w:color w:val="auto"/>
          <w:sz w:val="24"/>
          <w:szCs w:val="24"/>
          <w:highlight w:val="none"/>
        </w:rPr>
        <w:t>8</w:t>
      </w:r>
      <w:r>
        <w:rPr>
          <w:rFonts w:hint="eastAsia" w:ascii="仿宋" w:hAnsi="仿宋" w:eastAsia="仿宋" w:cs="仿宋"/>
          <w:b w:val="0"/>
          <w:color w:val="auto"/>
          <w:sz w:val="24"/>
          <w:szCs w:val="24"/>
          <w:highlight w:val="none"/>
          <w:lang w:val="en-US" w:eastAsia="zh-CN"/>
        </w:rPr>
        <w:t>.</w:t>
      </w:r>
      <w:r>
        <w:rPr>
          <w:rFonts w:hint="eastAsia" w:ascii="仿宋" w:hAnsi="仿宋" w:eastAsia="仿宋" w:cs="仿宋"/>
          <w:b w:val="0"/>
          <w:color w:val="auto"/>
          <w:sz w:val="24"/>
          <w:szCs w:val="24"/>
          <w:highlight w:val="none"/>
        </w:rPr>
        <w:t>材料与设备</w:t>
      </w:r>
      <w:bookmarkEnd w:id="1613"/>
    </w:p>
    <w:bookmarkEnd w:id="1565"/>
    <w:bookmarkEnd w:id="1566"/>
    <w:bookmarkEnd w:id="1567"/>
    <w:bookmarkEnd w:id="1568"/>
    <w:bookmarkEnd w:id="1569"/>
    <w:bookmarkEnd w:id="1570"/>
    <w:bookmarkEnd w:id="1571"/>
    <w:bookmarkEnd w:id="1572"/>
    <w:bookmarkEnd w:id="1573"/>
    <w:bookmarkEnd w:id="1574"/>
    <w:p w14:paraId="0D472061">
      <w:pPr>
        <w:pageBreakBefore w:val="0"/>
        <w:widowControl w:val="0"/>
        <w:kinsoku/>
        <w:wordWrap/>
        <w:overflowPunct/>
        <w:topLinePunct w:val="0"/>
        <w:bidi w:val="0"/>
        <w:snapToGrid/>
        <w:spacing w:after="120" w:line="440" w:lineRule="exact"/>
        <w:ind w:firstLine="480" w:firstLineChars="200"/>
        <w:outlineLvl w:val="0"/>
        <w:rPr>
          <w:rFonts w:hint="eastAsia" w:ascii="仿宋" w:hAnsi="仿宋" w:eastAsia="仿宋" w:cs="仿宋"/>
          <w:color w:val="auto"/>
          <w:sz w:val="24"/>
          <w:szCs w:val="24"/>
          <w:highlight w:val="none"/>
        </w:rPr>
      </w:pPr>
      <w:bookmarkStart w:id="1614" w:name="_Toc30775"/>
      <w:bookmarkStart w:id="1615" w:name="_Toc296503168"/>
      <w:bookmarkStart w:id="1616" w:name="_Toc280868655"/>
      <w:bookmarkStart w:id="1617" w:name="_Toc312678020"/>
      <w:bookmarkStart w:id="1618" w:name="_Toc297048354"/>
      <w:bookmarkStart w:id="1619" w:name="_Toc318581173"/>
      <w:bookmarkStart w:id="1620" w:name="_Toc296347167"/>
      <w:bookmarkStart w:id="1621" w:name="_Toc296944507"/>
      <w:bookmarkStart w:id="1622" w:name="_Toc297216187"/>
      <w:bookmarkStart w:id="1623" w:name="_Toc296346669"/>
      <w:bookmarkStart w:id="1624" w:name="_Toc312677494"/>
      <w:bookmarkStart w:id="1625" w:name="_Toc297123528"/>
      <w:bookmarkStart w:id="1626" w:name="_Toc297120468"/>
      <w:bookmarkStart w:id="1627" w:name="_Toc300934980"/>
      <w:bookmarkStart w:id="1628" w:name="_Toc267251424"/>
      <w:bookmarkStart w:id="1629" w:name="_Toc280868656"/>
      <w:bookmarkStart w:id="1630" w:name="_Toc303539137"/>
      <w:bookmarkStart w:id="1631" w:name="_Toc304295557"/>
      <w:bookmarkStart w:id="1632" w:name="_Toc296890996"/>
      <w:bookmarkStart w:id="1633" w:name="_Toc296891208"/>
      <w:r>
        <w:rPr>
          <w:rFonts w:hint="eastAsia" w:ascii="仿宋" w:hAnsi="仿宋" w:eastAsia="仿宋" w:cs="仿宋"/>
          <w:color w:val="auto"/>
          <w:sz w:val="24"/>
          <w:szCs w:val="24"/>
          <w:highlight w:val="none"/>
        </w:rPr>
        <w:t>8</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6样品</w:t>
      </w:r>
      <w:bookmarkEnd w:id="1614"/>
    </w:p>
    <w:p w14:paraId="058E55D2">
      <w:pPr>
        <w:pageBreakBefore w:val="0"/>
        <w:widowControl w:val="0"/>
        <w:kinsoku/>
        <w:wordWrap/>
        <w:overflowPunct/>
        <w:topLinePunct w:val="0"/>
        <w:autoSpaceDE w:val="0"/>
        <w:autoSpaceDN w:val="0"/>
        <w:bidi w:val="0"/>
        <w:adjustRightInd w:val="0"/>
        <w:snapToGrid/>
        <w:spacing w:line="440" w:lineRule="exact"/>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kern w:val="0"/>
          <w:sz w:val="24"/>
          <w:szCs w:val="24"/>
          <w:highlight w:val="none"/>
        </w:rPr>
        <w:t>6</w:t>
      </w:r>
      <w:r>
        <w:rPr>
          <w:rFonts w:hint="eastAsia" w:ascii="仿宋" w:hAnsi="仿宋" w:eastAsia="仿宋" w:cs="仿宋"/>
          <w:color w:val="auto"/>
          <w:kern w:val="0"/>
          <w:sz w:val="24"/>
          <w:szCs w:val="24"/>
          <w:highlight w:val="none"/>
          <w:lang w:val="en-US" w:eastAsia="zh-CN"/>
        </w:rPr>
        <w:t>.</w:t>
      </w:r>
      <w:r>
        <w:rPr>
          <w:rFonts w:hint="eastAsia" w:ascii="仿宋" w:hAnsi="仿宋" w:eastAsia="仿宋" w:cs="仿宋"/>
          <w:color w:val="auto"/>
          <w:kern w:val="0"/>
          <w:sz w:val="24"/>
          <w:szCs w:val="24"/>
          <w:highlight w:val="none"/>
        </w:rPr>
        <w:t>1样品的报送与封存</w:t>
      </w:r>
    </w:p>
    <w:p w14:paraId="5110E314">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both"/>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需要</w:t>
      </w:r>
      <w:r>
        <w:rPr>
          <w:rFonts w:hint="eastAsia" w:ascii="仿宋" w:hAnsi="仿宋" w:eastAsia="仿宋" w:cs="仿宋"/>
          <w:color w:val="auto"/>
          <w:kern w:val="0"/>
          <w:sz w:val="24"/>
          <w:szCs w:val="24"/>
          <w:highlight w:val="none"/>
          <w:lang w:eastAsia="zh-CN"/>
        </w:rPr>
        <w:t>承包人</w:t>
      </w:r>
      <w:r>
        <w:rPr>
          <w:rFonts w:hint="eastAsia" w:ascii="仿宋" w:hAnsi="仿宋" w:eastAsia="仿宋" w:cs="仿宋"/>
          <w:color w:val="auto"/>
          <w:kern w:val="0"/>
          <w:sz w:val="24"/>
          <w:szCs w:val="24"/>
          <w:highlight w:val="none"/>
        </w:rPr>
        <w:t>报送样品的材料或工程设备</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样品的种类、名称、规格、数量要求：</w:t>
      </w:r>
    </w:p>
    <w:p w14:paraId="02DB8519">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(1)</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应按照设计和有关标准及其响应文件和相关承诺采购相关材料和设备。在采购前30天内，通知</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并提供产品名称、规格型号、数量、品牌或厂家的样品，经</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认可后方可采购，但并不因此免除</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 xml:space="preserve">的任何质量责任 </w:t>
      </w:r>
      <w:r>
        <w:rPr>
          <w:rFonts w:hint="eastAsia" w:ascii="仿宋" w:hAnsi="仿宋" w:eastAsia="仿宋" w:cs="仿宋"/>
          <w:color w:val="auto"/>
          <w:sz w:val="24"/>
          <w:szCs w:val="24"/>
          <w:highlight w:val="none"/>
        </w:rPr>
        <w:t>。</w:t>
      </w:r>
    </w:p>
    <w:p w14:paraId="7A4A0971">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both"/>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(2)</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应提供产品合格证明，对材料设备质量负责。</w:t>
      </w:r>
    </w:p>
    <w:p w14:paraId="52734154">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both"/>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(3)</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采购的材料设备在使用前，</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应按要求进行检验或试验，并经监理验收合格后方可使用。不合格的不得使用，检验或试验费用由</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承担。</w:t>
      </w:r>
    </w:p>
    <w:p w14:paraId="1CE5C8C2">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both"/>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(4)</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采购供应的材料、设备，在开箱验收前24小时内，向</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提出开箱检验请求,经监理验收合格并签署意见后方可使用。但经开箱验收的材料、设备并不等于最终的质量合格;</w:t>
      </w:r>
    </w:p>
    <w:p w14:paraId="3650A8DA">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both"/>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(5)若发现</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以伪劣产品充抵或与</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确认的材料设备不符，</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有权要求</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更换直到</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确认验收合格，并且</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需支付按该批合格材料、设备价格总额10%的违约金，由</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从合同价款中直接扣抵;经验收后及在施工过程中发生设备、材料丢失或损坏，均由</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承担；</w:t>
      </w:r>
    </w:p>
    <w:p w14:paraId="4884E112">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both"/>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(6)</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提供的材料设备产品的质量必须符合设计要求及国家建材行业和相关行业等标准要求；</w:t>
      </w:r>
    </w:p>
    <w:p w14:paraId="4ED4C151">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both"/>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(7)因</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资源投入不足，直接影响工程质量和工期，且无视</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的警告而不做改进、从而引起工程的质量、进度和材料设备供应严重滞后时，</w:t>
      </w:r>
      <w:r>
        <w:rPr>
          <w:rFonts w:hint="eastAsia" w:ascii="仿宋" w:hAnsi="仿宋" w:eastAsia="仿宋" w:cs="仿宋"/>
          <w:color w:val="auto"/>
          <w:sz w:val="24"/>
          <w:szCs w:val="24"/>
          <w:highlight w:val="none"/>
          <w:u w:val="single"/>
          <w:lang w:eastAsia="zh-CN"/>
        </w:rPr>
        <w:t>发包人</w:t>
      </w:r>
      <w:r>
        <w:rPr>
          <w:rFonts w:hint="eastAsia" w:ascii="仿宋" w:hAnsi="仿宋" w:eastAsia="仿宋" w:cs="仿宋"/>
          <w:color w:val="auto"/>
          <w:sz w:val="24"/>
          <w:szCs w:val="24"/>
          <w:highlight w:val="none"/>
          <w:u w:val="single"/>
        </w:rPr>
        <w:t>有权采用相关措施进行补救，相关措施的费用由</w:t>
      </w:r>
      <w:r>
        <w:rPr>
          <w:rFonts w:hint="eastAsia" w:ascii="仿宋" w:hAnsi="仿宋" w:eastAsia="仿宋" w:cs="仿宋"/>
          <w:color w:val="auto"/>
          <w:sz w:val="24"/>
          <w:szCs w:val="24"/>
          <w:highlight w:val="none"/>
          <w:u w:val="single"/>
          <w:lang w:eastAsia="zh-CN"/>
        </w:rPr>
        <w:t>承包人</w:t>
      </w:r>
      <w:r>
        <w:rPr>
          <w:rFonts w:hint="eastAsia" w:ascii="仿宋" w:hAnsi="仿宋" w:eastAsia="仿宋" w:cs="仿宋"/>
          <w:color w:val="auto"/>
          <w:sz w:val="24"/>
          <w:szCs w:val="24"/>
          <w:highlight w:val="none"/>
          <w:u w:val="single"/>
        </w:rPr>
        <w:t>承担。</w:t>
      </w:r>
    </w:p>
    <w:p w14:paraId="679143A7">
      <w:pPr>
        <w:pageBreakBefore w:val="0"/>
        <w:widowControl w:val="0"/>
        <w:kinsoku/>
        <w:wordWrap/>
        <w:overflowPunct/>
        <w:topLinePunct w:val="0"/>
        <w:bidi w:val="0"/>
        <w:snapToGrid/>
        <w:spacing w:after="120" w:line="440" w:lineRule="exact"/>
        <w:ind w:firstLine="480" w:firstLineChars="200"/>
        <w:outlineLvl w:val="1"/>
        <w:rPr>
          <w:rFonts w:hint="eastAsia" w:ascii="仿宋" w:hAnsi="仿宋" w:eastAsia="仿宋" w:cs="仿宋"/>
          <w:color w:val="auto"/>
          <w:sz w:val="24"/>
          <w:szCs w:val="24"/>
        </w:rPr>
      </w:pPr>
      <w:bookmarkStart w:id="1634" w:name="_Toc5533"/>
      <w:r>
        <w:rPr>
          <w:rFonts w:hint="eastAsia" w:ascii="仿宋" w:hAnsi="仿宋" w:eastAsia="仿宋" w:cs="仿宋"/>
          <w:color w:val="auto"/>
          <w:sz w:val="24"/>
          <w:szCs w:val="24"/>
        </w:rPr>
        <w:t>8</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8施工设备和临时设施</w:t>
      </w:r>
      <w:bookmarkEnd w:id="1634"/>
    </w:p>
    <w:p w14:paraId="5BF1ACF1">
      <w:pPr>
        <w:pageBreakBefore w:val="0"/>
        <w:widowControl w:val="0"/>
        <w:kinsoku/>
        <w:wordWrap/>
        <w:overflowPunct/>
        <w:topLinePunct w:val="0"/>
        <w:autoSpaceDE w:val="0"/>
        <w:autoSpaceDN w:val="0"/>
        <w:bidi w:val="0"/>
        <w:adjustRightInd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8.8</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提供的施工设备和临时设施</w:t>
      </w:r>
    </w:p>
    <w:p w14:paraId="01488F76">
      <w:pPr>
        <w:pageBreakBefore w:val="0"/>
        <w:widowControl w:val="0"/>
        <w:kinsoku/>
        <w:wordWrap/>
        <w:overflowPunct/>
        <w:topLinePunct w:val="0"/>
        <w:autoSpaceDE w:val="0"/>
        <w:autoSpaceDN w:val="0"/>
        <w:bidi w:val="0"/>
        <w:adjustRightInd w:val="0"/>
        <w:snapToGrid/>
        <w:spacing w:line="440" w:lineRule="exact"/>
        <w:ind w:left="0" w:leftChars="0" w:firstLine="511" w:firstLineChars="213"/>
        <w:jc w:val="left"/>
        <w:rPr>
          <w:rFonts w:hint="eastAsia" w:ascii="仿宋" w:hAnsi="仿宋" w:eastAsia="仿宋" w:cs="仿宋"/>
          <w:color w:val="auto"/>
          <w:sz w:val="24"/>
          <w:szCs w:val="24"/>
        </w:rPr>
      </w:pPr>
      <w:r>
        <w:rPr>
          <w:rFonts w:hint="eastAsia" w:ascii="仿宋" w:hAnsi="仿宋" w:eastAsia="仿宋" w:cs="仿宋"/>
          <w:color w:val="auto"/>
          <w:sz w:val="24"/>
          <w:szCs w:val="24"/>
        </w:rPr>
        <w:t>关于修建临时设施费用承担的约定:</w:t>
      </w:r>
      <w:r>
        <w:rPr>
          <w:rFonts w:hint="eastAsia" w:ascii="仿宋" w:hAnsi="仿宋" w:eastAsia="仿宋" w:cs="仿宋"/>
          <w:color w:val="auto"/>
          <w:sz w:val="24"/>
          <w:szCs w:val="24"/>
          <w:u w:val="single"/>
        </w:rPr>
        <w:t xml:space="preserve">  由</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 xml:space="preserve">承担      </w:t>
      </w:r>
      <w:r>
        <w:rPr>
          <w:rFonts w:hint="eastAsia" w:ascii="仿宋" w:hAnsi="仿宋" w:eastAsia="仿宋" w:cs="仿宋"/>
          <w:color w:val="auto"/>
          <w:sz w:val="24"/>
          <w:szCs w:val="24"/>
        </w:rPr>
        <w:t>。</w:t>
      </w:r>
    </w:p>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p w14:paraId="1726A8A6">
      <w:pPr>
        <w:pStyle w:val="6"/>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635" w:name="_Toc292559883"/>
      <w:bookmarkStart w:id="1636" w:name="_Toc296891001"/>
      <w:bookmarkStart w:id="1637" w:name="_Toc296503173"/>
      <w:bookmarkStart w:id="1638" w:name="_Toc267251428"/>
      <w:bookmarkStart w:id="1639" w:name="_Toc296891213"/>
      <w:bookmarkStart w:id="1640" w:name="_Toc296346674"/>
      <w:bookmarkStart w:id="1641" w:name="_Toc297048359"/>
      <w:bookmarkStart w:id="1642" w:name="_Toc297120473"/>
      <w:bookmarkStart w:id="1643" w:name="_Toc292559378"/>
      <w:bookmarkStart w:id="1644" w:name="_Toc267251427"/>
      <w:bookmarkStart w:id="1645" w:name="_Toc296944512"/>
      <w:bookmarkStart w:id="1646" w:name="_Toc296347172"/>
      <w:bookmarkStart w:id="1647" w:name="_Toc351203642"/>
      <w:r>
        <w:rPr>
          <w:rFonts w:hint="eastAsia" w:ascii="仿宋" w:hAnsi="仿宋" w:eastAsia="仿宋" w:cs="仿宋"/>
          <w:b w:val="0"/>
          <w:color w:val="auto"/>
          <w:sz w:val="24"/>
          <w:szCs w:val="24"/>
        </w:rPr>
        <w:t>1</w:t>
      </w:r>
      <w:bookmarkEnd w:id="1635"/>
      <w:bookmarkEnd w:id="1636"/>
      <w:bookmarkEnd w:id="1637"/>
      <w:bookmarkEnd w:id="1638"/>
      <w:bookmarkEnd w:id="1639"/>
      <w:bookmarkEnd w:id="1640"/>
      <w:bookmarkEnd w:id="1641"/>
      <w:bookmarkEnd w:id="1642"/>
      <w:bookmarkEnd w:id="1643"/>
      <w:bookmarkEnd w:id="1644"/>
      <w:bookmarkEnd w:id="1645"/>
      <w:bookmarkEnd w:id="1646"/>
      <w:bookmarkStart w:id="1648" w:name="_Toc296346694"/>
      <w:bookmarkStart w:id="1649" w:name="_Toc296891021"/>
      <w:bookmarkStart w:id="1650" w:name="_Toc292559398"/>
      <w:bookmarkStart w:id="1651" w:name="_Toc297123540"/>
      <w:bookmarkStart w:id="1652" w:name="_Toc292559903"/>
      <w:bookmarkStart w:id="1653" w:name="_Toc300934989"/>
      <w:bookmarkStart w:id="1654" w:name="_Toc296891233"/>
      <w:bookmarkStart w:id="1655" w:name="_Toc303539146"/>
      <w:bookmarkStart w:id="1656" w:name="_Toc297216199"/>
      <w:bookmarkStart w:id="1657" w:name="_Toc297120493"/>
      <w:bookmarkStart w:id="1658" w:name="_Toc296944532"/>
      <w:bookmarkStart w:id="1659" w:name="_Toc296503193"/>
      <w:bookmarkStart w:id="1660" w:name="_Toc304295566"/>
      <w:bookmarkStart w:id="1661" w:name="_Toc297048379"/>
      <w:bookmarkStart w:id="1662" w:name="_Toc296347192"/>
      <w:bookmarkStart w:id="1663" w:name="_Toc312678025"/>
      <w:bookmarkStart w:id="1664" w:name="_Toc312677499"/>
      <w:bookmarkStart w:id="1665" w:name="_Toc267251435"/>
      <w:bookmarkStart w:id="1666" w:name="_Toc267251441"/>
      <w:bookmarkStart w:id="1667" w:name="_Toc267251433"/>
      <w:bookmarkStart w:id="1668" w:name="_Toc267251439"/>
      <w:bookmarkStart w:id="1669" w:name="_Toc267251440"/>
      <w:bookmarkStart w:id="1670" w:name="_Toc267251437"/>
      <w:bookmarkStart w:id="1671" w:name="_Toc267251442"/>
      <w:r>
        <w:rPr>
          <w:rFonts w:hint="eastAsia" w:ascii="仿宋" w:hAnsi="仿宋" w:eastAsia="仿宋" w:cs="仿宋"/>
          <w:b w:val="0"/>
          <w:color w:val="auto"/>
          <w:sz w:val="24"/>
          <w:szCs w:val="24"/>
        </w:rPr>
        <w:t>0. 变更</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p>
    <w:bookmarkEnd w:id="1663"/>
    <w:bookmarkEnd w:id="1664"/>
    <w:p w14:paraId="41815438">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bookmarkStart w:id="1672" w:name="_Toc296347193"/>
      <w:bookmarkStart w:id="1673" w:name="_Toc312678026"/>
      <w:bookmarkStart w:id="1674" w:name="_Toc297120494"/>
      <w:bookmarkStart w:id="1675" w:name="_Toc296891234"/>
      <w:bookmarkStart w:id="1676" w:name="_Toc296503194"/>
      <w:bookmarkStart w:id="1677" w:name="_Toc304295567"/>
      <w:bookmarkStart w:id="1678" w:name="_Toc296944533"/>
      <w:bookmarkStart w:id="1679" w:name="_Toc303539147"/>
      <w:bookmarkStart w:id="1680" w:name="_Toc292559904"/>
      <w:bookmarkStart w:id="1681" w:name="_Toc297216200"/>
      <w:bookmarkStart w:id="1682" w:name="_Toc300934990"/>
      <w:bookmarkStart w:id="1683" w:name="_Toc292559399"/>
      <w:bookmarkStart w:id="1684" w:name="_Toc312677500"/>
      <w:bookmarkStart w:id="1685" w:name="_Toc297123541"/>
      <w:bookmarkStart w:id="1686" w:name="_Toc296346695"/>
      <w:bookmarkStart w:id="1687" w:name="_Toc297048380"/>
      <w:bookmarkStart w:id="1688" w:name="_Toc296891022"/>
      <w:r>
        <w:rPr>
          <w:rFonts w:hint="eastAsia" w:ascii="仿宋" w:hAnsi="仿宋" w:eastAsia="仿宋" w:cs="仿宋"/>
          <w:color w:val="auto"/>
          <w:sz w:val="24"/>
          <w:szCs w:val="24"/>
        </w:rPr>
        <w:t>0.1变更的范围</w:t>
      </w:r>
    </w:p>
    <w:p w14:paraId="322E1EB8">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rPr>
      </w:pPr>
      <w:r>
        <w:rPr>
          <w:rFonts w:hint="eastAsia" w:ascii="仿宋" w:hAnsi="仿宋" w:eastAsia="仿宋" w:cs="仿宋"/>
          <w:color w:val="auto"/>
          <w:sz w:val="24"/>
          <w:szCs w:val="24"/>
        </w:rPr>
        <w:t>关于变更的范围的约定：</w:t>
      </w:r>
    </w:p>
    <w:p w14:paraId="73383322">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（1）增加或减少合同中任何工作，或追加额外的工作；</w:t>
      </w:r>
    </w:p>
    <w:p w14:paraId="2F191E8F">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（2）取消合同中任何工作；</w:t>
      </w:r>
    </w:p>
    <w:p w14:paraId="29AD1CD1">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（3）改变合同中任何工作的质量标准或其他特性；</w:t>
      </w:r>
    </w:p>
    <w:p w14:paraId="7B32F6ED">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（4）改变工程的基线、标高、位置和尺寸；</w:t>
      </w:r>
    </w:p>
    <w:p w14:paraId="324B9395">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（5）改变工程的时间安排或实施顺序；</w:t>
      </w:r>
    </w:p>
    <w:p w14:paraId="2ACE6C29">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（6）</w:t>
      </w:r>
      <w:r>
        <w:rPr>
          <w:rFonts w:hint="eastAsia" w:ascii="仿宋" w:hAnsi="仿宋" w:eastAsia="仿宋" w:cs="仿宋"/>
          <w:color w:val="auto"/>
          <w:sz w:val="24"/>
          <w:szCs w:val="24"/>
          <w:u w:val="single"/>
          <w:lang w:eastAsia="zh-CN"/>
        </w:rPr>
        <w:t>发包人</w:t>
      </w:r>
      <w:r>
        <w:rPr>
          <w:rFonts w:hint="eastAsia" w:ascii="仿宋" w:hAnsi="仿宋" w:eastAsia="仿宋" w:cs="仿宋"/>
          <w:color w:val="auto"/>
          <w:sz w:val="24"/>
          <w:szCs w:val="24"/>
          <w:u w:val="single"/>
        </w:rPr>
        <w:t>有权根据实际情况的需要调整(包括减少)</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的工程承包范围，</w:t>
      </w:r>
      <w:r>
        <w:rPr>
          <w:rFonts w:hint="eastAsia" w:ascii="仿宋" w:hAnsi="仿宋" w:eastAsia="仿宋" w:cs="仿宋"/>
          <w:color w:val="auto"/>
          <w:sz w:val="24"/>
          <w:szCs w:val="24"/>
          <w:u w:val="single"/>
          <w:lang w:eastAsia="zh-CN"/>
        </w:rPr>
        <w:t>承包人</w:t>
      </w:r>
      <w:r>
        <w:rPr>
          <w:rFonts w:hint="eastAsia" w:ascii="仿宋" w:hAnsi="仿宋" w:eastAsia="仿宋" w:cs="仿宋"/>
          <w:color w:val="auto"/>
          <w:sz w:val="24"/>
          <w:szCs w:val="24"/>
          <w:u w:val="single"/>
        </w:rPr>
        <w:t>不得因此而提出任何异议或要求任何形式的补偿。因工程承包范围变化导致合同价款增加或减少的应对合同价款做相应调整。</w:t>
      </w:r>
    </w:p>
    <w:p w14:paraId="2E8B34D5">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u w:val="single"/>
        </w:rPr>
        <w:t>（7）变更措施费用调整：施工中获得发包人签证的设计变更，或发包人做出的变更及工程洽商等引起的分部分项工程量增减所涉及的措施费用不再计取。</w:t>
      </w:r>
    </w:p>
    <w:p w14:paraId="7D9DF247">
      <w:pPr>
        <w:pageBreakBefore w:val="0"/>
        <w:widowControl w:val="0"/>
        <w:kinsoku/>
        <w:wordWrap/>
        <w:overflowPunct/>
        <w:topLinePunct w:val="0"/>
        <w:bidi w:val="0"/>
        <w:snapToGrid/>
        <w:spacing w:after="120" w:line="440" w:lineRule="exact"/>
        <w:ind w:firstLine="480" w:firstLineChars="200"/>
        <w:outlineLvl w:val="2"/>
        <w:rPr>
          <w:rFonts w:hint="eastAsia" w:ascii="仿宋" w:hAnsi="仿宋" w:eastAsia="仿宋" w:cs="仿宋"/>
          <w:color w:val="auto"/>
          <w:sz w:val="24"/>
          <w:szCs w:val="24"/>
          <w:highlight w:val="none"/>
        </w:rPr>
      </w:pPr>
      <w:bookmarkStart w:id="1689" w:name="_Toc31955"/>
      <w:r>
        <w:rPr>
          <w:rFonts w:hint="eastAsia" w:ascii="仿宋" w:hAnsi="仿宋" w:eastAsia="仿宋" w:cs="仿宋"/>
          <w:color w:val="auto"/>
          <w:sz w:val="24"/>
          <w:szCs w:val="24"/>
          <w:highlight w:val="none"/>
        </w:rPr>
        <w:t>10.4变更估价</w:t>
      </w:r>
      <w:bookmarkEnd w:id="1689"/>
    </w:p>
    <w:p w14:paraId="1AA75F20">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w:t>
      </w:r>
      <w:r>
        <w:rPr>
          <w:rFonts w:hint="eastAsia" w:ascii="仿宋" w:hAnsi="仿宋" w:eastAsia="仿宋" w:cs="仿宋"/>
          <w:color w:val="auto"/>
          <w:sz w:val="24"/>
          <w:szCs w:val="24"/>
          <w:highlight w:val="none"/>
          <w:lang w:val="en-US" w:eastAsia="zh-CN"/>
        </w:rPr>
        <w:t>.4.1</w:t>
      </w:r>
      <w:r>
        <w:rPr>
          <w:rFonts w:hint="eastAsia" w:ascii="仿宋" w:hAnsi="仿宋" w:eastAsia="仿宋" w:cs="仿宋"/>
          <w:color w:val="auto"/>
          <w:sz w:val="24"/>
          <w:szCs w:val="24"/>
          <w:highlight w:val="none"/>
        </w:rPr>
        <w:t>变更估价原则</w:t>
      </w:r>
    </w:p>
    <w:p w14:paraId="19DAA530">
      <w:pPr>
        <w:pageBreakBefore w:val="0"/>
        <w:widowControl w:val="0"/>
        <w:kinsoku/>
        <w:wordWrap/>
        <w:overflowPunct/>
        <w:topLinePunct w:val="0"/>
        <w:bidi w:val="0"/>
        <w:snapToGrid/>
        <w:spacing w:after="120"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变更估价（所有变更签证）计价标准及依据</w:t>
      </w:r>
      <w:r>
        <w:rPr>
          <w:rFonts w:hint="eastAsia" w:ascii="仿宋" w:hAnsi="仿宋" w:eastAsia="仿宋" w:cs="仿宋"/>
          <w:color w:val="auto"/>
          <w:sz w:val="24"/>
          <w:szCs w:val="24"/>
          <w:highlight w:val="none"/>
          <w:lang w:val="en-US" w:eastAsia="zh-CN"/>
        </w:rPr>
        <w:t>:</w:t>
      </w:r>
    </w:p>
    <w:p w14:paraId="417188BE">
      <w:pPr>
        <w:pageBreakBefore w:val="0"/>
        <w:widowControl w:val="0"/>
        <w:kinsoku/>
        <w:wordWrap/>
        <w:overflowPunct/>
        <w:topLinePunct w:val="0"/>
        <w:bidi w:val="0"/>
        <w:snapToGrid/>
        <w:spacing w:after="120"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（1）已标价工程量清单中有适用的综合单价，按照已有的综合单价确定，综合单价按投标所报综合单价确定；</w:t>
      </w:r>
    </w:p>
    <w:p w14:paraId="1529CD99">
      <w:pPr>
        <w:pageBreakBefore w:val="0"/>
        <w:widowControl w:val="0"/>
        <w:kinsoku/>
        <w:wordWrap/>
        <w:overflowPunct/>
        <w:topLinePunct w:val="0"/>
        <w:bidi w:val="0"/>
        <w:snapToGrid/>
        <w:spacing w:after="120"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（2）已标价工程量清单中有类似的综合单价，参照类似的综合单价确定；</w:t>
      </w:r>
    </w:p>
    <w:p w14:paraId="05550E40">
      <w:pPr>
        <w:pageBreakBefore w:val="0"/>
        <w:widowControl w:val="0"/>
        <w:kinsoku/>
        <w:wordWrap/>
        <w:overflowPunct/>
        <w:topLinePunct w:val="0"/>
        <w:bidi w:val="0"/>
        <w:snapToGrid/>
        <w:spacing w:after="120"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（3）已标价工程量清单中没有适用或类似的综合单价，由承包人提出综合单价，综合单价执行《河南省房屋建筑与装饰工程预算定额》（HA 01-31-2016）、《河南省通用安装工程预算定额》（HA 02-31-2016）及相关配套文件、《建设工程工程量清单计价标准》（GB/T 50500-2024）及省、市有关造价管理规定，材料价格按照同期郑州市工程造价管理机构发布的《郑州市建设工程主要材料价格信息》进行计算，缺项材料参照已标价工程量清单或施工同期相应市场价进行计算；人工费、机械费、管理费以施工同期行政部门发布的最新造价指数文件为准。承包人提出的综合单价后经发包人确认计入结算。</w:t>
      </w:r>
    </w:p>
    <w:p w14:paraId="47061EDB">
      <w:pPr>
        <w:pageBreakBefore w:val="0"/>
        <w:widowControl w:val="0"/>
        <w:kinsoku/>
        <w:wordWrap/>
        <w:overflowPunct/>
        <w:topLinePunct w:val="0"/>
        <w:bidi w:val="0"/>
        <w:snapToGrid/>
        <w:spacing w:after="12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说明：若综合单价中的材料、设备等价格，是按发承包双方签字确认的市场价格计入时，则该项变更经发包人确认后的材料价不再乘以优惠率。无法依据现行工程造价定额文件进行定额组价，由发包人市场调研后并经承包人书面确认的全费用综合单价亦不再乘以优惠率。</w:t>
      </w:r>
    </w:p>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14:paraId="1152C9A4">
      <w:pPr>
        <w:pageBreakBefore w:val="0"/>
        <w:widowControl w:val="0"/>
        <w:kinsoku/>
        <w:wordWrap/>
        <w:overflowPunct/>
        <w:topLinePunct w:val="0"/>
        <w:bidi w:val="0"/>
        <w:snapToGrid/>
        <w:spacing w:after="120" w:line="440" w:lineRule="exact"/>
        <w:ind w:firstLine="480" w:firstLineChars="200"/>
        <w:outlineLvl w:val="2"/>
        <w:rPr>
          <w:rFonts w:hint="eastAsia" w:ascii="仿宋" w:hAnsi="仿宋" w:eastAsia="仿宋" w:cs="仿宋"/>
          <w:color w:val="auto"/>
          <w:sz w:val="24"/>
          <w:szCs w:val="24"/>
        </w:rPr>
      </w:pPr>
      <w:bookmarkStart w:id="1690" w:name="_Toc563"/>
      <w:r>
        <w:rPr>
          <w:rFonts w:hint="eastAsia" w:ascii="仿宋" w:hAnsi="仿宋" w:eastAsia="仿宋" w:cs="仿宋"/>
          <w:color w:val="auto"/>
          <w:sz w:val="24"/>
          <w:szCs w:val="24"/>
        </w:rPr>
        <w:t>1</w:t>
      </w:r>
      <w:bookmarkStart w:id="1691" w:name="_Toc292559404"/>
      <w:bookmarkStart w:id="1692" w:name="_Toc296347198"/>
      <w:bookmarkStart w:id="1693" w:name="_Toc312678033"/>
      <w:bookmarkStart w:id="1694" w:name="_Toc296944538"/>
      <w:bookmarkStart w:id="1695" w:name="_Toc297048385"/>
      <w:bookmarkStart w:id="1696" w:name="_Toc292559909"/>
      <w:bookmarkStart w:id="1697" w:name="_Toc300934997"/>
      <w:bookmarkStart w:id="1698" w:name="_Toc296503199"/>
      <w:bookmarkStart w:id="1699" w:name="_Toc296346700"/>
      <w:bookmarkStart w:id="1700" w:name="_Toc296891239"/>
      <w:bookmarkStart w:id="1701" w:name="_Toc297123548"/>
      <w:bookmarkStart w:id="1702" w:name="_Toc297120499"/>
      <w:bookmarkStart w:id="1703" w:name="_Toc303539154"/>
      <w:bookmarkStart w:id="1704" w:name="_Toc297216207"/>
      <w:bookmarkStart w:id="1705" w:name="_Toc312677507"/>
      <w:bookmarkStart w:id="1706" w:name="_Toc304295574"/>
      <w:bookmarkStart w:id="1707" w:name="_Toc296891027"/>
      <w:r>
        <w:rPr>
          <w:rFonts w:hint="eastAsia" w:ascii="仿宋" w:hAnsi="仿宋" w:eastAsia="仿宋" w:cs="仿宋"/>
          <w:color w:val="auto"/>
          <w:sz w:val="24"/>
          <w:szCs w:val="24"/>
        </w:rPr>
        <w:t>0</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暂估价</w:t>
      </w:r>
      <w:bookmarkEnd w:id="1690"/>
    </w:p>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14:paraId="11BEDEE3">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bookmarkStart w:id="1708" w:name="_Toc318581177"/>
      <w:bookmarkStart w:id="1709" w:name="_Toc312677509"/>
      <w:bookmarkStart w:id="1710" w:name="_Toc312678035"/>
      <w:r>
        <w:rPr>
          <w:rFonts w:hint="eastAsia" w:ascii="仿宋" w:hAnsi="仿宋" w:eastAsia="仿宋" w:cs="仿宋"/>
          <w:color w:val="auto"/>
          <w:sz w:val="24"/>
          <w:szCs w:val="24"/>
        </w:rPr>
        <w:t>0.7.1 依法必须招标的暂估价项目</w:t>
      </w:r>
    </w:p>
    <w:bookmarkEnd w:id="1708"/>
    <w:bookmarkEnd w:id="1709"/>
    <w:bookmarkEnd w:id="1710"/>
    <w:p w14:paraId="50EB215E">
      <w:pPr>
        <w:pageBreakBefore w:val="0"/>
        <w:widowControl w:val="0"/>
        <w:kinsoku/>
        <w:wordWrap/>
        <w:overflowPunct/>
        <w:topLinePunct w:val="0"/>
        <w:bidi w:val="0"/>
        <w:snapToGrid/>
        <w:spacing w:line="440" w:lineRule="exact"/>
        <w:ind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对于依法必须招标的暂估价项目的确认和批准采取</w:t>
      </w:r>
      <w:r>
        <w:rPr>
          <w:rFonts w:hint="eastAsia" w:ascii="仿宋" w:hAnsi="仿宋" w:eastAsia="仿宋" w:cs="仿宋"/>
          <w:color w:val="auto"/>
          <w:sz w:val="24"/>
          <w:szCs w:val="24"/>
          <w:u w:val="single"/>
        </w:rPr>
        <w:t>通用条款10.7.1条第1种方式</w:t>
      </w:r>
      <w:r>
        <w:rPr>
          <w:rFonts w:hint="eastAsia" w:ascii="仿宋" w:hAnsi="仿宋" w:eastAsia="仿宋" w:cs="仿宋"/>
          <w:color w:val="auto"/>
          <w:sz w:val="24"/>
          <w:szCs w:val="24"/>
        </w:rPr>
        <w:t>种方式确定。</w:t>
      </w:r>
    </w:p>
    <w:p w14:paraId="06D57A06">
      <w:pPr>
        <w:pStyle w:val="7"/>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711" w:name="_Toc351203643"/>
      <w:r>
        <w:rPr>
          <w:rFonts w:hint="eastAsia" w:ascii="仿宋" w:hAnsi="仿宋" w:eastAsia="仿宋" w:cs="仿宋"/>
          <w:b w:val="0"/>
          <w:color w:val="auto"/>
          <w:sz w:val="24"/>
          <w:szCs w:val="24"/>
        </w:rPr>
        <w:t>11.价格调整</w:t>
      </w:r>
      <w:bookmarkEnd w:id="1711"/>
    </w:p>
    <w:p w14:paraId="50FB5A85">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bookmarkStart w:id="1712" w:name="_Toc304295577"/>
      <w:bookmarkStart w:id="1713" w:name="_Toc300935000"/>
      <w:bookmarkStart w:id="1714" w:name="_Toc296346702"/>
      <w:bookmarkStart w:id="1715" w:name="_Toc296891241"/>
      <w:bookmarkStart w:id="1716" w:name="_Toc292559911"/>
      <w:bookmarkStart w:id="1717" w:name="_Toc292559406"/>
      <w:bookmarkStart w:id="1718" w:name="_Toc297048387"/>
      <w:bookmarkStart w:id="1719" w:name="_Toc296347200"/>
      <w:bookmarkStart w:id="1720" w:name="_Toc296944540"/>
      <w:bookmarkStart w:id="1721" w:name="_Toc296891029"/>
      <w:bookmarkStart w:id="1722" w:name="_Toc296503201"/>
      <w:bookmarkStart w:id="1723" w:name="_Toc297216209"/>
      <w:bookmarkStart w:id="1724" w:name="_Toc312678039"/>
      <w:bookmarkStart w:id="1725" w:name="_Toc303539157"/>
      <w:bookmarkStart w:id="1726" w:name="_Toc297120501"/>
      <w:bookmarkStart w:id="1727" w:name="_Toc297123550"/>
      <w:r>
        <w:rPr>
          <w:rFonts w:hint="eastAsia" w:ascii="仿宋" w:hAnsi="仿宋" w:eastAsia="仿宋" w:cs="仿宋"/>
          <w:color w:val="auto"/>
          <w:sz w:val="24"/>
          <w:szCs w:val="24"/>
        </w:rPr>
        <w:t>11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 市场价格波动引起的调整</w:t>
      </w:r>
    </w:p>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p w14:paraId="0A9D0E46">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市场价格波动是否调整合同价格的约定：</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不调整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bookmarkEnd w:id="1665"/>
    <w:bookmarkEnd w:id="1666"/>
    <w:bookmarkEnd w:id="1667"/>
    <w:bookmarkEnd w:id="1668"/>
    <w:bookmarkEnd w:id="1669"/>
    <w:bookmarkEnd w:id="1670"/>
    <w:p w14:paraId="60AF6779">
      <w:pPr>
        <w:pStyle w:val="7"/>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728" w:name="_Toc296346706"/>
      <w:bookmarkStart w:id="1729" w:name="_Toc297120505"/>
      <w:bookmarkStart w:id="1730" w:name="_Toc292559410"/>
      <w:bookmarkStart w:id="1731" w:name="_Toc296891245"/>
      <w:bookmarkStart w:id="1732" w:name="_Toc296347204"/>
      <w:bookmarkStart w:id="1733" w:name="_Toc296891033"/>
      <w:bookmarkStart w:id="1734" w:name="_Toc297048391"/>
      <w:bookmarkStart w:id="1735" w:name="_Toc296503205"/>
      <w:bookmarkStart w:id="1736" w:name="_Toc296944544"/>
      <w:bookmarkStart w:id="1737" w:name="_Toc292559915"/>
      <w:bookmarkStart w:id="1738" w:name="_Toc351203644"/>
      <w:bookmarkStart w:id="1739" w:name="_Toc300935002"/>
      <w:bookmarkStart w:id="1740" w:name="_Toc297216211"/>
      <w:bookmarkStart w:id="1741" w:name="_Toc297123552"/>
      <w:bookmarkStart w:id="1742" w:name="_Toc312678040"/>
      <w:bookmarkStart w:id="1743" w:name="_Toc304295579"/>
      <w:bookmarkStart w:id="1744" w:name="_Toc303539159"/>
      <w:r>
        <w:rPr>
          <w:rFonts w:hint="eastAsia" w:ascii="仿宋" w:hAnsi="仿宋" w:eastAsia="仿宋" w:cs="仿宋"/>
          <w:b w:val="0"/>
          <w:color w:val="auto"/>
          <w:sz w:val="24"/>
          <w:szCs w:val="24"/>
        </w:rPr>
        <w:t>12</w:t>
      </w:r>
      <w:bookmarkEnd w:id="1728"/>
      <w:bookmarkEnd w:id="1729"/>
      <w:bookmarkEnd w:id="1730"/>
      <w:bookmarkEnd w:id="1731"/>
      <w:bookmarkEnd w:id="1732"/>
      <w:bookmarkEnd w:id="1733"/>
      <w:bookmarkEnd w:id="1734"/>
      <w:bookmarkEnd w:id="1735"/>
      <w:bookmarkEnd w:id="1736"/>
      <w:bookmarkEnd w:id="1737"/>
      <w:r>
        <w:rPr>
          <w:rFonts w:hint="eastAsia" w:ascii="仿宋" w:hAnsi="仿宋" w:eastAsia="仿宋" w:cs="仿宋"/>
          <w:b w:val="0"/>
          <w:color w:val="auto"/>
          <w:sz w:val="24"/>
          <w:szCs w:val="24"/>
          <w:lang w:val="en-US" w:eastAsia="zh-CN"/>
        </w:rPr>
        <w:t>.</w:t>
      </w:r>
      <w:r>
        <w:rPr>
          <w:rFonts w:hint="eastAsia" w:ascii="仿宋" w:hAnsi="仿宋" w:eastAsia="仿宋" w:cs="仿宋"/>
          <w:b w:val="0"/>
          <w:color w:val="auto"/>
          <w:sz w:val="24"/>
          <w:szCs w:val="24"/>
        </w:rPr>
        <w:t>合同价格、计量与支付</w:t>
      </w:r>
      <w:bookmarkEnd w:id="1738"/>
    </w:p>
    <w:bookmarkEnd w:id="1739"/>
    <w:bookmarkEnd w:id="1740"/>
    <w:bookmarkEnd w:id="1741"/>
    <w:bookmarkEnd w:id="1742"/>
    <w:bookmarkEnd w:id="1743"/>
    <w:bookmarkEnd w:id="1744"/>
    <w:p w14:paraId="64B08FC5">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bookmarkStart w:id="1745" w:name="_Toc292559916"/>
      <w:bookmarkStart w:id="1746" w:name="_Toc292559411"/>
      <w:bookmarkStart w:id="1747" w:name="_Toc267251461"/>
      <w:bookmarkStart w:id="1748" w:name="_Toc296944545"/>
      <w:bookmarkStart w:id="1749" w:name="_Toc296346707"/>
      <w:bookmarkStart w:id="1750" w:name="_Toc296891246"/>
      <w:bookmarkStart w:id="1751" w:name="_Toc297048392"/>
      <w:bookmarkStart w:id="1752" w:name="_Toc297120506"/>
      <w:bookmarkStart w:id="1753" w:name="_Toc296891034"/>
      <w:bookmarkStart w:id="1754" w:name="_Toc296503206"/>
      <w:bookmarkStart w:id="1755" w:name="_Toc296347205"/>
      <w:bookmarkStart w:id="1756" w:name="_Toc297216212"/>
      <w:bookmarkStart w:id="1757" w:name="_Toc303539160"/>
      <w:bookmarkStart w:id="1758" w:name="_Toc304295580"/>
      <w:bookmarkStart w:id="1759" w:name="_Toc312678041"/>
      <w:bookmarkStart w:id="1760" w:name="_Toc297123553"/>
      <w:bookmarkStart w:id="1761" w:name="_Toc300935003"/>
      <w:r>
        <w:rPr>
          <w:rFonts w:hint="eastAsia" w:ascii="仿宋" w:hAnsi="仿宋" w:eastAsia="仿宋" w:cs="仿宋"/>
          <w:color w:val="auto"/>
          <w:sz w:val="24"/>
          <w:szCs w:val="24"/>
        </w:rPr>
        <w:t>12.1 合</w:t>
      </w:r>
      <w:bookmarkEnd w:id="1745"/>
      <w:bookmarkEnd w:id="1746"/>
      <w:bookmarkEnd w:id="1747"/>
      <w:r>
        <w:rPr>
          <w:rFonts w:hint="eastAsia" w:ascii="仿宋" w:hAnsi="仿宋" w:eastAsia="仿宋" w:cs="仿宋"/>
          <w:color w:val="auto"/>
          <w:sz w:val="24"/>
          <w:szCs w:val="24"/>
        </w:rPr>
        <w:t>同价</w:t>
      </w:r>
      <w:bookmarkEnd w:id="1748"/>
      <w:bookmarkEnd w:id="1749"/>
      <w:bookmarkEnd w:id="1750"/>
      <w:bookmarkEnd w:id="1751"/>
      <w:bookmarkEnd w:id="1752"/>
      <w:bookmarkEnd w:id="1753"/>
      <w:bookmarkEnd w:id="1754"/>
      <w:bookmarkEnd w:id="1755"/>
      <w:r>
        <w:rPr>
          <w:rFonts w:hint="eastAsia" w:ascii="仿宋" w:hAnsi="仿宋" w:eastAsia="仿宋" w:cs="仿宋"/>
          <w:color w:val="auto"/>
          <w:sz w:val="24"/>
          <w:szCs w:val="24"/>
        </w:rPr>
        <w:t>格形式</w:t>
      </w:r>
      <w:bookmarkEnd w:id="1756"/>
      <w:bookmarkEnd w:id="1757"/>
      <w:bookmarkEnd w:id="1758"/>
      <w:bookmarkEnd w:id="1759"/>
      <w:bookmarkEnd w:id="1760"/>
      <w:bookmarkEnd w:id="1761"/>
      <w:r>
        <w:rPr>
          <w:rFonts w:hint="eastAsia" w:ascii="仿宋" w:hAnsi="仿宋" w:eastAsia="仿宋" w:cs="仿宋"/>
          <w:color w:val="auto"/>
          <w:sz w:val="24"/>
          <w:szCs w:val="24"/>
          <w:lang w:eastAsia="zh-CN"/>
        </w:rPr>
        <w:t>：总价</w:t>
      </w:r>
      <w:r>
        <w:rPr>
          <w:rFonts w:hint="eastAsia" w:ascii="仿宋" w:hAnsi="仿宋" w:eastAsia="仿宋" w:cs="仿宋"/>
          <w:color w:val="auto"/>
          <w:sz w:val="24"/>
          <w:szCs w:val="24"/>
        </w:rPr>
        <w:t>合同。</w:t>
      </w:r>
    </w:p>
    <w:p w14:paraId="1C362161">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lang w:val="en-US" w:eastAsia="zh-CN"/>
        </w:rPr>
      </w:pPr>
      <w:bookmarkStart w:id="1762" w:name="_Toc296891035"/>
      <w:bookmarkStart w:id="1763" w:name="_Toc300935004"/>
      <w:bookmarkStart w:id="1764" w:name="_Toc292559412"/>
      <w:bookmarkStart w:id="1765" w:name="_Toc303539161"/>
      <w:bookmarkStart w:id="1766" w:name="_Toc312678042"/>
      <w:bookmarkStart w:id="1767" w:name="_Toc296503207"/>
      <w:bookmarkStart w:id="1768" w:name="_Toc296346708"/>
      <w:bookmarkStart w:id="1769" w:name="_Toc297048393"/>
      <w:bookmarkStart w:id="1770" w:name="_Toc297120507"/>
      <w:bookmarkStart w:id="1771" w:name="_Toc292559917"/>
      <w:bookmarkStart w:id="1772" w:name="_Toc297216213"/>
      <w:bookmarkStart w:id="1773" w:name="_Toc304295581"/>
      <w:bookmarkStart w:id="1774" w:name="_Toc297123554"/>
      <w:bookmarkStart w:id="1775" w:name="_Toc296944546"/>
      <w:bookmarkStart w:id="1776" w:name="_Toc296347206"/>
      <w:bookmarkStart w:id="1777" w:name="_Toc296891247"/>
      <w:r>
        <w:rPr>
          <w:rFonts w:hint="eastAsia" w:ascii="仿宋" w:hAnsi="仿宋" w:eastAsia="仿宋" w:cs="仿宋"/>
          <w:color w:val="auto"/>
          <w:sz w:val="24"/>
          <w:szCs w:val="24"/>
        </w:rPr>
        <w:t>12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预付款</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本项目无预付款。</w:t>
      </w:r>
    </w:p>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14:paraId="6261A998">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12.3 计量</w:t>
      </w:r>
    </w:p>
    <w:p w14:paraId="04C3BDCD">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 计量原则</w:t>
      </w:r>
    </w:p>
    <w:p w14:paraId="4082AF39">
      <w:pPr>
        <w:pageBreakBefore w:val="0"/>
        <w:widowControl w:val="0"/>
        <w:kinsoku/>
        <w:wordWrap/>
        <w:overflowPunct/>
        <w:topLinePunct w:val="0"/>
        <w:bidi w:val="0"/>
        <w:snapToGrid/>
        <w:spacing w:line="440" w:lineRule="exact"/>
        <w:ind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工程量计算规则:</w:t>
      </w:r>
      <w:r>
        <w:rPr>
          <w:rFonts w:hint="eastAsia" w:ascii="仿宋" w:hAnsi="仿宋" w:eastAsia="仿宋" w:cs="仿宋"/>
          <w:color w:val="auto"/>
          <w:sz w:val="24"/>
          <w:szCs w:val="24"/>
          <w:u w:val="single"/>
        </w:rPr>
        <w:t xml:space="preserve"> 除本清单特别注明外(如已在清单项目特征中进行描述，其报价已含在磋商报价，不再单独计算清单工程量)，其他工程量计算规则采用《建设工程工程量清单计价规范》(GB/T 50500-2024)、《河南省房屋建筑与装饰工程预算定额》(HA01-31-2016)、《河南省通用安装工程预算定额》(HA02-31-2016)、《河南省市政工程预算定额》(HAA1-31-2016)以及配套综合解释和造价文件等。</w:t>
      </w:r>
    </w:p>
    <w:p w14:paraId="0120096C">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12.3</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总价</w:t>
      </w:r>
      <w:r>
        <w:rPr>
          <w:rFonts w:hint="eastAsia" w:ascii="仿宋" w:hAnsi="仿宋" w:eastAsia="仿宋" w:cs="仿宋"/>
          <w:color w:val="auto"/>
          <w:sz w:val="24"/>
          <w:szCs w:val="24"/>
        </w:rPr>
        <w:t>合同的计量</w:t>
      </w:r>
    </w:p>
    <w:p w14:paraId="320CE389">
      <w:pPr>
        <w:pageBreakBefore w:val="0"/>
        <w:widowControl w:val="0"/>
        <w:kinsoku/>
        <w:wordWrap/>
        <w:overflowPunct/>
        <w:topLinePunct w:val="0"/>
        <w:bidi w:val="0"/>
        <w:snapToGrid/>
        <w:spacing w:line="440" w:lineRule="exact"/>
        <w:ind w:firstLine="480" w:firstLineChars="200"/>
        <w:jc w:val="both"/>
        <w:rPr>
          <w:rFonts w:hint="eastAsia" w:ascii="仿宋" w:hAnsi="仿宋" w:eastAsia="仿宋" w:cs="仿宋"/>
          <w:color w:val="auto"/>
          <w:sz w:val="24"/>
          <w:szCs w:val="24"/>
        </w:rPr>
      </w:pPr>
      <w:r>
        <w:rPr>
          <w:rFonts w:hint="eastAsia" w:ascii="仿宋" w:hAnsi="仿宋" w:eastAsia="仿宋" w:cs="仿宋"/>
          <w:color w:val="auto"/>
          <w:sz w:val="24"/>
          <w:szCs w:val="24"/>
        </w:rPr>
        <w:t>关于</w:t>
      </w:r>
      <w:r>
        <w:rPr>
          <w:rFonts w:hint="eastAsia" w:ascii="仿宋" w:hAnsi="仿宋" w:eastAsia="仿宋" w:cs="仿宋"/>
          <w:color w:val="auto"/>
          <w:sz w:val="24"/>
          <w:szCs w:val="24"/>
          <w:lang w:eastAsia="zh-CN"/>
        </w:rPr>
        <w:t>总价</w:t>
      </w:r>
      <w:r>
        <w:rPr>
          <w:rFonts w:hint="eastAsia" w:ascii="仿宋" w:hAnsi="仿宋" w:eastAsia="仿宋" w:cs="仿宋"/>
          <w:color w:val="auto"/>
          <w:sz w:val="24"/>
          <w:szCs w:val="24"/>
        </w:rPr>
        <w:t>合同计量的约定：</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w:t>
      </w:r>
    </w:p>
    <w:p w14:paraId="0FE9CF33">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4工程进度款支付</w:t>
      </w:r>
    </w:p>
    <w:p w14:paraId="076ACCA3">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highlight w:val="none"/>
        </w:rPr>
      </w:pPr>
      <w:bookmarkStart w:id="1778" w:name="_Toc296944550"/>
      <w:bookmarkStart w:id="1779" w:name="_Toc296346712"/>
      <w:bookmarkStart w:id="1780" w:name="_Toc292559921"/>
      <w:bookmarkStart w:id="1781" w:name="_Toc296891039"/>
      <w:bookmarkStart w:id="1782" w:name="_Toc296347210"/>
      <w:bookmarkStart w:id="1783" w:name="_Toc300935006"/>
      <w:bookmarkStart w:id="1784" w:name="_Toc297048397"/>
      <w:bookmarkStart w:id="1785" w:name="_Toc297120511"/>
      <w:bookmarkStart w:id="1786" w:name="_Toc296503211"/>
      <w:bookmarkStart w:id="1787" w:name="_Toc297123556"/>
      <w:bookmarkStart w:id="1788" w:name="_Toc303539163"/>
      <w:bookmarkStart w:id="1789" w:name="_Toc297216215"/>
      <w:bookmarkStart w:id="1790" w:name="_Toc296891251"/>
      <w:bookmarkStart w:id="1791" w:name="_Toc292559416"/>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4.1付款周期</w:t>
      </w:r>
    </w:p>
    <w:p w14:paraId="239ABC6D">
      <w:pPr>
        <w:pageBreakBefore w:val="0"/>
        <w:widowControl w:val="0"/>
        <w:kinsoku/>
        <w:wordWrap/>
        <w:overflowPunct/>
        <w:topLinePunct w:val="0"/>
        <w:bidi w:val="0"/>
        <w:snapToGrid/>
        <w:spacing w:line="440" w:lineRule="exact"/>
        <w:ind w:firstLine="480" w:firstLineChars="200"/>
        <w:jc w:val="both"/>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关于付款周期的约定:</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工程竣工验收合格后，支付至合同价款的80%；竣工结算审计完成后，支付至审定价款的97%；剩余3%作为质量保证金，待缺陷责任期满且无质量问题后，一次性无息退还。</w:t>
      </w:r>
    </w:p>
    <w:p w14:paraId="635E4936">
      <w:pPr>
        <w:pageBreakBefore w:val="0"/>
        <w:widowControl w:val="0"/>
        <w:kinsoku/>
        <w:wordWrap/>
        <w:overflowPunct/>
        <w:topLinePunct w:val="0"/>
        <w:bidi w:val="0"/>
        <w:snapToGrid/>
        <w:spacing w:line="440" w:lineRule="exact"/>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发包人付款前，承包人需开具相应金额的发票。</w:t>
      </w:r>
    </w:p>
    <w:bookmarkEnd w:id="1671"/>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14:paraId="5B780F13">
      <w:pPr>
        <w:pStyle w:val="7"/>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792" w:name="_Toc351203645"/>
      <w:bookmarkStart w:id="1793" w:name="_Toc312678053"/>
      <w:bookmarkStart w:id="1794" w:name="_Toc297120519"/>
      <w:bookmarkStart w:id="1795" w:name="_Toc292559929"/>
      <w:bookmarkStart w:id="1796" w:name="_Toc296346720"/>
      <w:bookmarkStart w:id="1797" w:name="_Toc296944558"/>
      <w:bookmarkStart w:id="1798" w:name="_Toc303539172"/>
      <w:bookmarkStart w:id="1799" w:name="_Toc292559424"/>
      <w:bookmarkStart w:id="1800" w:name="_Toc296891259"/>
      <w:bookmarkStart w:id="1801" w:name="_Toc297123564"/>
      <w:bookmarkStart w:id="1802" w:name="_Toc296503219"/>
      <w:bookmarkStart w:id="1803" w:name="_Toc304295593"/>
      <w:bookmarkStart w:id="1804" w:name="_Toc296347218"/>
      <w:bookmarkStart w:id="1805" w:name="_Toc296891047"/>
      <w:bookmarkStart w:id="1806" w:name="_Toc300935015"/>
      <w:bookmarkStart w:id="1807" w:name="_Toc297216223"/>
      <w:bookmarkStart w:id="1808" w:name="_Toc297048405"/>
      <w:r>
        <w:rPr>
          <w:rFonts w:hint="eastAsia" w:ascii="仿宋" w:hAnsi="仿宋" w:eastAsia="仿宋" w:cs="仿宋"/>
          <w:b w:val="0"/>
          <w:color w:val="auto"/>
          <w:sz w:val="24"/>
          <w:szCs w:val="24"/>
        </w:rPr>
        <w:t>13. 验收和工程试车</w:t>
      </w:r>
      <w:bookmarkEnd w:id="1792"/>
    </w:p>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14:paraId="4CB0DF1F">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 分部分项工程验收</w:t>
      </w:r>
    </w:p>
    <w:p w14:paraId="4CC619F5">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2监理人不能按时进行验收时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应提前</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2</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小时提交书面延期要求。</w:t>
      </w:r>
    </w:p>
    <w:p w14:paraId="6DBECE62">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b/>
          <w:color w:val="auto"/>
          <w:sz w:val="24"/>
          <w:szCs w:val="24"/>
        </w:rPr>
      </w:pPr>
      <w:r>
        <w:rPr>
          <w:rFonts w:hint="eastAsia" w:ascii="仿宋" w:hAnsi="仿宋" w:eastAsia="仿宋" w:cs="仿宋"/>
          <w:color w:val="auto"/>
          <w:sz w:val="24"/>
          <w:szCs w:val="24"/>
        </w:rPr>
        <w:t>关于延期最长不得超过：</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48</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小时。</w:t>
      </w:r>
    </w:p>
    <w:p w14:paraId="3A754937">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bookmarkStart w:id="1809" w:name="_Toc297123565"/>
      <w:bookmarkStart w:id="1810" w:name="_Toc296503223"/>
      <w:bookmarkStart w:id="1811" w:name="_Toc296891263"/>
      <w:bookmarkStart w:id="1812" w:name="_Toc297048409"/>
      <w:bookmarkStart w:id="1813" w:name="_Toc296347222"/>
      <w:bookmarkStart w:id="1814" w:name="_Toc296891051"/>
      <w:bookmarkStart w:id="1815" w:name="_Toc297120523"/>
      <w:bookmarkStart w:id="1816" w:name="_Toc296346724"/>
      <w:bookmarkStart w:id="1817" w:name="_Toc300935016"/>
      <w:bookmarkStart w:id="1818" w:name="_Toc303539173"/>
      <w:bookmarkStart w:id="1819" w:name="_Toc292559933"/>
      <w:bookmarkStart w:id="1820" w:name="_Toc292559428"/>
      <w:bookmarkStart w:id="1821" w:name="_Toc297216224"/>
      <w:bookmarkStart w:id="1822" w:name="_Toc312678056"/>
      <w:bookmarkStart w:id="1823" w:name="_Toc304295596"/>
      <w:bookmarkStart w:id="1824" w:name="_Toc296944562"/>
      <w:bookmarkStart w:id="1825" w:name="_Toc267251473"/>
      <w:bookmarkStart w:id="1826" w:name="_Toc267251475"/>
      <w:bookmarkStart w:id="1827" w:name="_Toc267251472"/>
      <w:bookmarkStart w:id="1828" w:name="_Toc267251476"/>
      <w:bookmarkStart w:id="1829" w:name="_Toc267251471"/>
      <w:bookmarkStart w:id="1830" w:name="_Toc267251470"/>
      <w:bookmarkStart w:id="1831" w:name="_Toc267251474"/>
      <w:r>
        <w:rPr>
          <w:rFonts w:hint="eastAsia" w:ascii="仿宋" w:hAnsi="仿宋" w:eastAsia="仿宋" w:cs="仿宋"/>
          <w:color w:val="auto"/>
          <w:sz w:val="24"/>
          <w:szCs w:val="24"/>
        </w:rPr>
        <w:t>13.2 竣工验收</w:t>
      </w:r>
    </w:p>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14:paraId="0BC6A39D">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bookmarkStart w:id="1832" w:name="_Toc280868704"/>
      <w:bookmarkStart w:id="1833" w:name="_Toc280868705"/>
      <w:bookmarkStart w:id="1834" w:name="_Toc280868706"/>
      <w:bookmarkStart w:id="1835" w:name="_Toc280868707"/>
      <w:bookmarkStart w:id="1836" w:name="_Toc280868708"/>
      <w:bookmarkStart w:id="1837" w:name="_Toc280868709"/>
      <w:r>
        <w:rPr>
          <w:rFonts w:hint="eastAsia" w:ascii="仿宋" w:hAnsi="仿宋" w:eastAsia="仿宋" w:cs="仿宋"/>
          <w:color w:val="auto"/>
          <w:sz w:val="24"/>
          <w:szCs w:val="24"/>
        </w:rPr>
        <w:t>13.2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2竣工验收程序</w:t>
      </w:r>
    </w:p>
    <w:bookmarkEnd w:id="1832"/>
    <w:p w14:paraId="05CA8BBF">
      <w:pPr>
        <w:pageBreakBefore w:val="0"/>
        <w:widowControl w:val="0"/>
        <w:kinsoku/>
        <w:wordWrap/>
        <w:overflowPunct/>
        <w:topLinePunct w:val="0"/>
        <w:bidi w:val="0"/>
        <w:snapToGrid/>
        <w:spacing w:line="440" w:lineRule="exact"/>
        <w:ind w:left="0" w:leftChars="0" w:firstLine="0" w:firstLineChars="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关于竣工验收程序的约定：</w:t>
      </w:r>
      <w:r>
        <w:rPr>
          <w:rFonts w:hint="eastAsia" w:ascii="仿宋" w:hAnsi="仿宋" w:eastAsia="仿宋" w:cs="仿宋"/>
          <w:color w:val="auto"/>
          <w:sz w:val="24"/>
          <w:szCs w:val="24"/>
          <w:u w:val="single"/>
        </w:rPr>
        <w:t xml:space="preserve"> 按通用条款及国家、省、市及河南财经政法大学相关规定执行。</w:t>
      </w:r>
    </w:p>
    <w:bookmarkEnd w:id="1833"/>
    <w:p w14:paraId="78FD8690">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2.5移交、接收全部与部分工程</w:t>
      </w:r>
    </w:p>
    <w:bookmarkEnd w:id="1834"/>
    <w:p w14:paraId="47013148">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向</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移交工程的期限：</w:t>
      </w:r>
      <w:r>
        <w:rPr>
          <w:rFonts w:hint="eastAsia" w:ascii="仿宋" w:hAnsi="仿宋" w:eastAsia="仿宋" w:cs="仿宋"/>
          <w:color w:val="auto"/>
          <w:sz w:val="24"/>
          <w:szCs w:val="24"/>
          <w:u w:val="single"/>
        </w:rPr>
        <w:t xml:space="preserve">  在颁发工程接收证书后7天内   </w:t>
      </w:r>
      <w:r>
        <w:rPr>
          <w:rFonts w:hint="eastAsia" w:ascii="仿宋" w:hAnsi="仿宋" w:eastAsia="仿宋" w:cs="仿宋"/>
          <w:color w:val="auto"/>
          <w:sz w:val="24"/>
          <w:szCs w:val="24"/>
        </w:rPr>
        <w:t>。</w:t>
      </w:r>
    </w:p>
    <w:bookmarkEnd w:id="1835"/>
    <w:p w14:paraId="408085E8">
      <w:pPr>
        <w:pageBreakBefore w:val="0"/>
        <w:widowControl w:val="0"/>
        <w:kinsoku/>
        <w:wordWrap/>
        <w:overflowPunct/>
        <w:topLinePunct w:val="0"/>
        <w:bidi w:val="0"/>
        <w:snapToGrid/>
        <w:spacing w:line="44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未按时移交工程的，违约金的计算方法为：</w:t>
      </w:r>
      <w:r>
        <w:rPr>
          <w:rFonts w:hint="eastAsia" w:ascii="仿宋" w:hAnsi="仿宋" w:eastAsia="仿宋" w:cs="仿宋"/>
          <w:color w:val="auto"/>
          <w:sz w:val="24"/>
          <w:szCs w:val="24"/>
          <w:u w:val="single"/>
        </w:rPr>
        <w:t xml:space="preserve"> 按照专用合同条款7.5.2“因承包人原因导致工期延误”处理 </w:t>
      </w:r>
      <w:r>
        <w:rPr>
          <w:rFonts w:hint="eastAsia" w:ascii="仿宋" w:hAnsi="仿宋" w:eastAsia="仿宋" w:cs="仿宋"/>
          <w:color w:val="auto"/>
          <w:sz w:val="24"/>
          <w:szCs w:val="24"/>
        </w:rPr>
        <w:t>。</w:t>
      </w:r>
    </w:p>
    <w:bookmarkEnd w:id="1836"/>
    <w:p w14:paraId="2B2EEF0F">
      <w:pPr>
        <w:pageBreakBefore w:val="0"/>
        <w:widowControl w:val="0"/>
        <w:kinsoku/>
        <w:wordWrap/>
        <w:overflowPunct/>
        <w:topLinePunct w:val="0"/>
        <w:bidi w:val="0"/>
        <w:snapToGrid/>
        <w:spacing w:after="120" w:line="440" w:lineRule="exact"/>
        <w:ind w:firstLine="480" w:firstLineChars="200"/>
        <w:outlineLvl w:val="0"/>
        <w:rPr>
          <w:rFonts w:hint="eastAsia" w:ascii="仿宋" w:hAnsi="仿宋" w:eastAsia="仿宋" w:cs="仿宋"/>
          <w:color w:val="auto"/>
          <w:sz w:val="24"/>
          <w:szCs w:val="24"/>
        </w:rPr>
      </w:pPr>
      <w:bookmarkStart w:id="1838" w:name="_Toc24759"/>
      <w:r>
        <w:rPr>
          <w:rFonts w:hint="eastAsia" w:ascii="仿宋" w:hAnsi="仿宋" w:eastAsia="仿宋" w:cs="仿宋"/>
          <w:color w:val="auto"/>
          <w:sz w:val="24"/>
          <w:szCs w:val="24"/>
        </w:rPr>
        <w:t>13.6 竣工退场</w:t>
      </w:r>
      <w:bookmarkEnd w:id="1838"/>
    </w:p>
    <w:p w14:paraId="25EF2D76">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13.6.1 竣工退场</w:t>
      </w:r>
    </w:p>
    <w:p w14:paraId="33E54990">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完成竣工退场的期限：</w:t>
      </w:r>
      <w:r>
        <w:rPr>
          <w:rFonts w:hint="eastAsia" w:ascii="仿宋" w:hAnsi="仿宋" w:eastAsia="仿宋" w:cs="仿宋"/>
          <w:color w:val="auto"/>
          <w:sz w:val="24"/>
          <w:szCs w:val="24"/>
          <w:u w:val="single"/>
        </w:rPr>
        <w:t xml:space="preserve">  颁发工程接收证书后14日内  </w:t>
      </w:r>
      <w:r>
        <w:rPr>
          <w:rFonts w:hint="eastAsia" w:ascii="仿宋" w:hAnsi="仿宋" w:eastAsia="仿宋" w:cs="仿宋"/>
          <w:color w:val="auto"/>
          <w:kern w:val="0"/>
          <w:sz w:val="24"/>
          <w:szCs w:val="24"/>
        </w:rPr>
        <w:t>。</w:t>
      </w:r>
    </w:p>
    <w:p w14:paraId="2C7F09A8">
      <w:pPr>
        <w:pStyle w:val="5"/>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839" w:name="_Toc351203646"/>
      <w:r>
        <w:rPr>
          <w:rFonts w:hint="eastAsia" w:ascii="仿宋" w:hAnsi="仿宋" w:eastAsia="仿宋" w:cs="仿宋"/>
          <w:b w:val="0"/>
          <w:color w:val="auto"/>
          <w:sz w:val="24"/>
          <w:szCs w:val="24"/>
        </w:rPr>
        <w:t>14. 竣工结算</w:t>
      </w:r>
      <w:bookmarkEnd w:id="1839"/>
    </w:p>
    <w:p w14:paraId="4A1595EC">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14.1 竣工结算申请</w:t>
      </w:r>
    </w:p>
    <w:p w14:paraId="61E46F99">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竣工结算前，承包人必须向发包人提供完整的结算资料，包括但不限于竣工备案所需资料，结算书、可能影响工程造价、工期、质量的变更(包括设计变更)、签证、洽商等资料，以及能够支持结算书的所有依据材料。</w:t>
      </w:r>
    </w:p>
    <w:p w14:paraId="4F8B4B65">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承包人提交竣工结算申请单的期限：</w:t>
      </w:r>
      <w:r>
        <w:rPr>
          <w:rFonts w:hint="eastAsia" w:ascii="仿宋" w:hAnsi="仿宋" w:eastAsia="仿宋" w:cs="仿宋"/>
          <w:color w:val="auto"/>
          <w:sz w:val="24"/>
          <w:szCs w:val="24"/>
          <w:u w:val="single"/>
          <w:lang w:eastAsia="zh-CN"/>
        </w:rPr>
        <w:t>竣工验收合格后 28天内。</w:t>
      </w:r>
    </w:p>
    <w:p w14:paraId="2BD4AEE0">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竣工结算申请单应包括的内容：</w:t>
      </w:r>
      <w:r>
        <w:rPr>
          <w:rFonts w:hint="eastAsia" w:ascii="仿宋" w:hAnsi="仿宋" w:eastAsia="仿宋" w:cs="仿宋"/>
          <w:color w:val="auto"/>
          <w:sz w:val="24"/>
          <w:szCs w:val="24"/>
          <w:u w:val="single"/>
          <w:lang w:eastAsia="zh-CN"/>
        </w:rPr>
        <w:t>执行通用条款。</w:t>
      </w:r>
    </w:p>
    <w:p w14:paraId="0385A4CE">
      <w:pPr>
        <w:pageBreakBefore w:val="0"/>
        <w:widowControl w:val="0"/>
        <w:kinsoku/>
        <w:wordWrap/>
        <w:overflowPunct/>
        <w:topLinePunct w:val="0"/>
        <w:bidi w:val="0"/>
        <w:snapToGrid/>
        <w:spacing w:after="120" w:line="440" w:lineRule="exact"/>
        <w:ind w:firstLine="480" w:firstLineChars="200"/>
        <w:outlineLvl w:val="0"/>
        <w:rPr>
          <w:rFonts w:hint="eastAsia" w:ascii="仿宋" w:hAnsi="仿宋" w:eastAsia="仿宋" w:cs="仿宋"/>
          <w:color w:val="auto"/>
          <w:sz w:val="24"/>
          <w:szCs w:val="24"/>
        </w:rPr>
      </w:pPr>
      <w:bookmarkStart w:id="1840" w:name="_Toc23090"/>
      <w:r>
        <w:rPr>
          <w:rFonts w:hint="eastAsia" w:ascii="仿宋" w:hAnsi="仿宋" w:eastAsia="仿宋" w:cs="仿宋"/>
          <w:color w:val="auto"/>
          <w:sz w:val="24"/>
          <w:szCs w:val="24"/>
        </w:rPr>
        <w:t>14.2 竣工结算审核</w:t>
      </w:r>
      <w:bookmarkEnd w:id="1840"/>
    </w:p>
    <w:p w14:paraId="1EAAA106">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发包人审查工程竣工结算审查期限:承包人递交竣工结算报告及完整的结算资料后，发包人从接到竣工结算报告和完整的竣工结算资料之日起60天内完成审查并提出审查意见;同时，承包人如未在规定时间内提供完整的工程竣工结算资料，经发包人催促后14天内仍未提供或没有明确答复，发包人有权根据已有资料进行审查，责任由承包人承担。</w:t>
      </w:r>
    </w:p>
    <w:p w14:paraId="34AC764B">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发包人完成竣工付款的期限：</w:t>
      </w:r>
      <w:r>
        <w:rPr>
          <w:rFonts w:hint="eastAsia" w:ascii="仿宋" w:hAnsi="仿宋" w:eastAsia="仿宋" w:cs="仿宋"/>
          <w:color w:val="auto"/>
          <w:sz w:val="24"/>
          <w:szCs w:val="24"/>
          <w:u w:val="single"/>
          <w:lang w:eastAsia="zh-CN"/>
        </w:rPr>
        <w:t>根据付款的专用条款第 12.4条执行，发包人逾期支付时，不进行违约金支付，不计利息。</w:t>
      </w:r>
    </w:p>
    <w:p w14:paraId="75DA1222">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关于竣工付款证书异议部分复核的方式和程序：</w:t>
      </w:r>
      <w:r>
        <w:rPr>
          <w:rFonts w:hint="eastAsia" w:ascii="仿宋" w:hAnsi="仿宋" w:eastAsia="仿宋" w:cs="仿宋"/>
          <w:color w:val="auto"/>
          <w:sz w:val="24"/>
          <w:szCs w:val="24"/>
          <w:u w:val="single"/>
          <w:lang w:eastAsia="zh-CN"/>
        </w:rPr>
        <w:t>由发包人、承包人、发包人委托的造价咨询机构或政府评审机构共同审核确定。</w:t>
      </w:r>
    </w:p>
    <w:p w14:paraId="4145D370">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审减金额超过送审金额（含项目实施过程中报送的洽商变更等）5%部分，由承包人按学校与审核单位的合同约定计算并支付相应审计费用，该部分金额发包人有权在工程款中直接扣除。</w:t>
      </w:r>
    </w:p>
    <w:p w14:paraId="51122A25">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4 最终结清</w:t>
      </w:r>
    </w:p>
    <w:p w14:paraId="7181C33C">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14</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4.1 最终结清申请单</w:t>
      </w:r>
    </w:p>
    <w:p w14:paraId="1757D52E">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提交最终结清申请单的份数：</w:t>
      </w:r>
      <w:r>
        <w:rPr>
          <w:rFonts w:hint="eastAsia" w:ascii="仿宋" w:hAnsi="仿宋" w:eastAsia="仿宋" w:cs="仿宋"/>
          <w:color w:val="auto"/>
          <w:sz w:val="24"/>
          <w:szCs w:val="24"/>
          <w:u w:val="single"/>
        </w:rPr>
        <w:t xml:space="preserve">   一式捌份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eastAsia="zh-CN"/>
        </w:rPr>
        <w:t>。</w:t>
      </w:r>
    </w:p>
    <w:p w14:paraId="6D39B969">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提交最终结算申请单的期限:</w:t>
      </w:r>
      <w:r>
        <w:rPr>
          <w:rFonts w:hint="eastAsia" w:ascii="仿宋" w:hAnsi="仿宋" w:eastAsia="仿宋" w:cs="仿宋"/>
          <w:color w:val="auto"/>
          <w:sz w:val="24"/>
          <w:szCs w:val="24"/>
          <w:u w:val="single"/>
        </w:rPr>
        <w:t xml:space="preserve">     执行通用条款   </w:t>
      </w:r>
      <w:r>
        <w:rPr>
          <w:rFonts w:hint="eastAsia" w:ascii="仿宋" w:hAnsi="仿宋" w:eastAsia="仿宋" w:cs="仿宋"/>
          <w:color w:val="auto"/>
          <w:sz w:val="24"/>
          <w:szCs w:val="24"/>
        </w:rPr>
        <w:t>。</w:t>
      </w:r>
    </w:p>
    <w:p w14:paraId="74803938">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 最终结清证书和支付</w:t>
      </w:r>
    </w:p>
    <w:p w14:paraId="2EBE8C02">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完成最终结清申请单的审批并颁发最终结清证书的期限：</w:t>
      </w:r>
      <w:r>
        <w:rPr>
          <w:rFonts w:hint="eastAsia" w:ascii="仿宋" w:hAnsi="仿宋" w:eastAsia="仿宋" w:cs="仿宋"/>
          <w:color w:val="auto"/>
          <w:sz w:val="24"/>
          <w:szCs w:val="24"/>
          <w:u w:val="single"/>
        </w:rPr>
        <w:t xml:space="preserve">  执行通用条款和相关部门要求。</w:t>
      </w:r>
    </w:p>
    <w:bookmarkEnd w:id="1825"/>
    <w:bookmarkEnd w:id="1826"/>
    <w:bookmarkEnd w:id="1827"/>
    <w:bookmarkEnd w:id="1828"/>
    <w:bookmarkEnd w:id="1829"/>
    <w:bookmarkEnd w:id="1830"/>
    <w:bookmarkEnd w:id="1831"/>
    <w:bookmarkEnd w:id="1837"/>
    <w:p w14:paraId="2D054C14">
      <w:pPr>
        <w:pStyle w:val="5"/>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841" w:name="_Toc351203647"/>
      <w:bookmarkStart w:id="1842" w:name="_Toc267251483"/>
      <w:bookmarkStart w:id="1843" w:name="_Toc267251482"/>
      <w:bookmarkStart w:id="1844" w:name="_Toc267251484"/>
      <w:bookmarkStart w:id="1845" w:name="_Toc267251485"/>
      <w:bookmarkStart w:id="1846" w:name="_Toc267251490"/>
      <w:bookmarkStart w:id="1847" w:name="_Toc267251488"/>
      <w:bookmarkStart w:id="1848" w:name="_Toc267251489"/>
      <w:bookmarkStart w:id="1849" w:name="_Toc267251486"/>
      <w:bookmarkStart w:id="1850" w:name="_Toc267251501"/>
      <w:bookmarkStart w:id="1851" w:name="_Toc267251496"/>
      <w:bookmarkStart w:id="1852" w:name="_Toc267251503"/>
      <w:bookmarkStart w:id="1853" w:name="_Toc267251498"/>
      <w:bookmarkStart w:id="1854" w:name="_Toc267251502"/>
      <w:bookmarkStart w:id="1855" w:name="_Toc267251494"/>
      <w:bookmarkStart w:id="1856" w:name="_Toc267251491"/>
      <w:bookmarkStart w:id="1857" w:name="_Toc267251499"/>
      <w:bookmarkStart w:id="1858" w:name="_Toc267251493"/>
      <w:bookmarkStart w:id="1859" w:name="_Toc267251495"/>
      <w:bookmarkStart w:id="1860" w:name="_Toc267251497"/>
      <w:bookmarkStart w:id="1861" w:name="_Toc267251492"/>
      <w:bookmarkStart w:id="1862" w:name="_Toc267251507"/>
      <w:bookmarkStart w:id="1863" w:name="_Toc267251506"/>
      <w:bookmarkStart w:id="1864" w:name="_Toc267251504"/>
      <w:bookmarkStart w:id="1865" w:name="_Toc267251508"/>
      <w:bookmarkStart w:id="1866" w:name="_Toc267251511"/>
      <w:bookmarkStart w:id="1867" w:name="_Toc267251513"/>
      <w:bookmarkStart w:id="1868" w:name="_Toc267251515"/>
      <w:bookmarkStart w:id="1869" w:name="_Toc267251510"/>
      <w:bookmarkStart w:id="1870" w:name="_Toc267251514"/>
      <w:bookmarkStart w:id="1871" w:name="_Toc267251509"/>
      <w:r>
        <w:rPr>
          <w:rFonts w:hint="eastAsia" w:ascii="仿宋" w:hAnsi="仿宋" w:eastAsia="仿宋" w:cs="仿宋"/>
          <w:b w:val="0"/>
          <w:color w:val="auto"/>
          <w:sz w:val="24"/>
          <w:szCs w:val="24"/>
        </w:rPr>
        <w:t>15</w:t>
      </w:r>
      <w:r>
        <w:rPr>
          <w:rFonts w:hint="eastAsia" w:ascii="仿宋" w:hAnsi="仿宋" w:eastAsia="仿宋" w:cs="仿宋"/>
          <w:b w:val="0"/>
          <w:color w:val="auto"/>
          <w:sz w:val="24"/>
          <w:szCs w:val="24"/>
          <w:lang w:eastAsia="zh-CN"/>
        </w:rPr>
        <w:t>.</w:t>
      </w:r>
      <w:r>
        <w:rPr>
          <w:rFonts w:hint="eastAsia" w:ascii="仿宋" w:hAnsi="仿宋" w:eastAsia="仿宋" w:cs="仿宋"/>
          <w:b w:val="0"/>
          <w:color w:val="auto"/>
          <w:sz w:val="24"/>
          <w:szCs w:val="24"/>
        </w:rPr>
        <w:t>缺陷责任期与保修</w:t>
      </w:r>
      <w:bookmarkEnd w:id="1841"/>
    </w:p>
    <w:p w14:paraId="0B801FDD">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15.2缺陷责任期</w:t>
      </w:r>
      <w:bookmarkEnd w:id="1842"/>
    </w:p>
    <w:p w14:paraId="62BBAF7A">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sz w:val="24"/>
          <w:szCs w:val="24"/>
        </w:rPr>
      </w:pPr>
      <w:r>
        <w:rPr>
          <w:rFonts w:hint="eastAsia" w:ascii="仿宋" w:hAnsi="仿宋" w:eastAsia="仿宋" w:cs="仿宋"/>
          <w:color w:val="auto"/>
          <w:sz w:val="24"/>
          <w:szCs w:val="24"/>
        </w:rPr>
        <w:t>缺陷责任期的具体期限：</w:t>
      </w:r>
      <w:r>
        <w:rPr>
          <w:rFonts w:hint="eastAsia" w:ascii="仿宋" w:hAnsi="仿宋" w:eastAsia="仿宋" w:cs="仿宋"/>
          <w:color w:val="auto"/>
          <w:sz w:val="24"/>
          <w:szCs w:val="24"/>
          <w:u w:val="single"/>
        </w:rPr>
        <w:t xml:space="preserve">  自竣工验收合格之日起 2年（有国家特殊规定的，按照规定执行）。</w:t>
      </w:r>
    </w:p>
    <w:p w14:paraId="7EDE6813">
      <w:pPr>
        <w:pageBreakBefore w:val="0"/>
        <w:widowControl w:val="0"/>
        <w:kinsoku/>
        <w:wordWrap/>
        <w:overflowPunct/>
        <w:topLinePunct w:val="0"/>
        <w:bidi w:val="0"/>
        <w:snapToGrid/>
        <w:spacing w:after="120" w:line="440" w:lineRule="exact"/>
        <w:ind w:firstLine="480" w:firstLineChars="200"/>
        <w:outlineLvl w:val="0"/>
        <w:rPr>
          <w:rFonts w:hint="eastAsia" w:ascii="仿宋" w:hAnsi="仿宋" w:eastAsia="仿宋" w:cs="仿宋"/>
          <w:color w:val="auto"/>
          <w:sz w:val="24"/>
          <w:szCs w:val="24"/>
        </w:rPr>
      </w:pPr>
      <w:bookmarkStart w:id="1872" w:name="_Toc19424"/>
      <w:r>
        <w:rPr>
          <w:rFonts w:hint="eastAsia" w:ascii="仿宋" w:hAnsi="仿宋" w:eastAsia="仿宋" w:cs="仿宋"/>
          <w:color w:val="auto"/>
          <w:sz w:val="24"/>
          <w:szCs w:val="24"/>
        </w:rPr>
        <w:t>15.3 质量保证金</w:t>
      </w:r>
      <w:bookmarkEnd w:id="1872"/>
    </w:p>
    <w:p w14:paraId="5F986386">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关于是否扣留质量保证金的约定:</w:t>
      </w:r>
      <w:r>
        <w:rPr>
          <w:rFonts w:hint="eastAsia" w:ascii="仿宋" w:hAnsi="仿宋" w:eastAsia="仿宋" w:cs="仿宋"/>
          <w:color w:val="auto"/>
          <w:sz w:val="24"/>
          <w:szCs w:val="24"/>
          <w:u w:val="single"/>
        </w:rPr>
        <w:t xml:space="preserve"> 扣留审定金额的3%作为质量保证金  </w:t>
      </w:r>
      <w:r>
        <w:rPr>
          <w:rFonts w:hint="eastAsia" w:ascii="仿宋" w:hAnsi="仿宋" w:eastAsia="仿宋" w:cs="仿宋"/>
          <w:color w:val="auto"/>
          <w:sz w:val="24"/>
          <w:szCs w:val="24"/>
        </w:rPr>
        <w:t>。</w:t>
      </w:r>
    </w:p>
    <w:p w14:paraId="500F885C">
      <w:pPr>
        <w:pageBreakBefore w:val="0"/>
        <w:widowControl w:val="0"/>
        <w:kinsoku/>
        <w:wordWrap/>
        <w:overflowPunct/>
        <w:topLinePunct w:val="0"/>
        <w:bidi w:val="0"/>
        <w:snapToGrid/>
        <w:spacing w:line="440" w:lineRule="exact"/>
        <w:ind w:firstLine="480" w:firstLineChars="200"/>
        <w:jc w:val="left"/>
        <w:outlineLvl w:val="0"/>
        <w:rPr>
          <w:rFonts w:hint="eastAsia" w:ascii="仿宋" w:hAnsi="仿宋" w:eastAsia="仿宋" w:cs="仿宋"/>
          <w:color w:val="auto"/>
          <w:sz w:val="24"/>
          <w:szCs w:val="24"/>
        </w:rPr>
      </w:pPr>
      <w:bookmarkStart w:id="1873" w:name="_Toc17638"/>
      <w:r>
        <w:rPr>
          <w:rFonts w:hint="eastAsia" w:ascii="仿宋" w:hAnsi="仿宋" w:eastAsia="仿宋" w:cs="仿宋"/>
          <w:color w:val="auto"/>
          <w:sz w:val="24"/>
          <w:szCs w:val="24"/>
        </w:rPr>
        <w:t>15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 xml:space="preserve">3.1 </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提供质量保证金的方式</w:t>
      </w:r>
      <w:bookmarkEnd w:id="1873"/>
    </w:p>
    <w:p w14:paraId="000FF0B2">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质量保证金采用以下第</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2</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种方式：</w:t>
      </w:r>
    </w:p>
    <w:p w14:paraId="5FD7F5AF">
      <w:pPr>
        <w:pageBreakBefore w:val="0"/>
        <w:widowControl w:val="0"/>
        <w:kinsoku/>
        <w:wordWrap/>
        <w:overflowPunct/>
        <w:topLinePunct w:val="0"/>
        <w:autoSpaceDE w:val="0"/>
        <w:autoSpaceDN w:val="0"/>
        <w:bidi w:val="0"/>
        <w:adjustRightInd w:val="0"/>
        <w:snapToGrid/>
        <w:spacing w:line="440" w:lineRule="exact"/>
        <w:ind w:firstLine="480" w:firstLineChars="200"/>
        <w:jc w:val="left"/>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（1）质量保证金保函，保证金额为：</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val="en-US" w:eastAsia="zh-CN"/>
        </w:rPr>
        <w:t>/</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 xml:space="preserve">； </w:t>
      </w:r>
    </w:p>
    <w:p w14:paraId="3C52DDD4">
      <w:pPr>
        <w:pageBreakBefore w:val="0"/>
        <w:widowControl w:val="0"/>
        <w:kinsoku/>
        <w:wordWrap/>
        <w:overflowPunct/>
        <w:topLinePunct w:val="0"/>
        <w:autoSpaceDE w:val="0"/>
        <w:autoSpaceDN w:val="0"/>
        <w:bidi w:val="0"/>
        <w:adjustRightInd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val="en-US" w:eastAsia="zh-CN"/>
        </w:rPr>
        <w:t>3</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％的工程结算审定金额；</w:t>
      </w:r>
    </w:p>
    <w:p w14:paraId="258891CD">
      <w:pPr>
        <w:pageBreakBefore w:val="0"/>
        <w:widowControl w:val="0"/>
        <w:kinsoku/>
        <w:wordWrap/>
        <w:overflowPunct/>
        <w:topLinePunct w:val="0"/>
        <w:bidi w:val="0"/>
        <w:snapToGrid/>
        <w:spacing w:line="440" w:lineRule="exact"/>
        <w:ind w:firstLine="480" w:firstLineChars="200"/>
        <w:jc w:val="left"/>
        <w:outlineLvl w:val="0"/>
        <w:rPr>
          <w:rFonts w:hint="eastAsia" w:ascii="仿宋" w:hAnsi="仿宋" w:eastAsia="仿宋" w:cs="仿宋"/>
          <w:color w:val="auto"/>
          <w:sz w:val="24"/>
          <w:szCs w:val="24"/>
        </w:rPr>
      </w:pPr>
      <w:bookmarkStart w:id="1874" w:name="_Toc30287"/>
      <w:r>
        <w:rPr>
          <w:rFonts w:hint="eastAsia" w:ascii="仿宋" w:hAnsi="仿宋" w:eastAsia="仿宋" w:cs="仿宋"/>
          <w:color w:val="auto"/>
          <w:sz w:val="24"/>
          <w:szCs w:val="24"/>
        </w:rPr>
        <w:t>15.3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 质量保证金的扣留</w:t>
      </w:r>
      <w:bookmarkEnd w:id="1874"/>
    </w:p>
    <w:p w14:paraId="6E49609D">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质量保证金的扣留采取以下第</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2</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种方式：</w:t>
      </w:r>
    </w:p>
    <w:p w14:paraId="70EAB7F1">
      <w:pPr>
        <w:pageBreakBefore w:val="0"/>
        <w:widowControl w:val="0"/>
        <w:kinsoku/>
        <w:wordWrap/>
        <w:overflowPunct/>
        <w:topLinePunct w:val="0"/>
        <w:autoSpaceDE w:val="0"/>
        <w:autoSpaceDN w:val="0"/>
        <w:bidi w:val="0"/>
        <w:adjustRightInd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在支付工程进度款时逐次扣留，在此情形下，质量保证金的计算基数不包括预付款的支付、扣回以及价格调整的金额；</w:t>
      </w:r>
    </w:p>
    <w:p w14:paraId="706C25D5">
      <w:pPr>
        <w:pageBreakBefore w:val="0"/>
        <w:widowControl w:val="0"/>
        <w:kinsoku/>
        <w:wordWrap/>
        <w:overflowPunct/>
        <w:topLinePunct w:val="0"/>
        <w:autoSpaceDE w:val="0"/>
        <w:autoSpaceDN w:val="0"/>
        <w:bidi w:val="0"/>
        <w:adjustRightInd w:val="0"/>
        <w:snapToGrid/>
        <w:spacing w:line="440" w:lineRule="exact"/>
        <w:ind w:firstLine="480" w:firstLineChars="200"/>
        <w:jc w:val="left"/>
        <w:outlineLvl w:val="1"/>
        <w:rPr>
          <w:rFonts w:hint="eastAsia" w:ascii="仿宋" w:hAnsi="仿宋" w:eastAsia="仿宋" w:cs="仿宋"/>
          <w:color w:val="auto"/>
          <w:kern w:val="0"/>
          <w:sz w:val="24"/>
          <w:szCs w:val="24"/>
        </w:rPr>
      </w:pPr>
      <w:bookmarkStart w:id="1875" w:name="_Toc14487"/>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工程竣工结算时一次性扣留质量保证金;</w:t>
      </w:r>
      <w:bookmarkEnd w:id="1875"/>
    </w:p>
    <w:bookmarkEnd w:id="1843"/>
    <w:bookmarkEnd w:id="1844"/>
    <w:p w14:paraId="40490808">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4保修</w:t>
      </w:r>
    </w:p>
    <w:bookmarkEnd w:id="1845"/>
    <w:p w14:paraId="1399B0C9">
      <w:pPr>
        <w:pageBreakBefore w:val="0"/>
        <w:widowControl w:val="0"/>
        <w:kinsoku/>
        <w:wordWrap/>
        <w:overflowPunct/>
        <w:topLinePunct w:val="0"/>
        <w:bidi w:val="0"/>
        <w:snapToGrid/>
        <w:spacing w:line="440" w:lineRule="exact"/>
        <w:ind w:firstLine="468" w:firstLineChars="195"/>
        <w:jc w:val="left"/>
        <w:rPr>
          <w:rFonts w:hint="eastAsia" w:ascii="仿宋" w:hAnsi="仿宋" w:eastAsia="仿宋" w:cs="仿宋"/>
          <w:color w:val="auto"/>
          <w:sz w:val="24"/>
          <w:szCs w:val="24"/>
        </w:rPr>
      </w:pPr>
      <w:r>
        <w:rPr>
          <w:rFonts w:hint="eastAsia" w:ascii="仿宋" w:hAnsi="仿宋" w:eastAsia="仿宋" w:cs="仿宋"/>
          <w:color w:val="auto"/>
          <w:sz w:val="24"/>
          <w:szCs w:val="24"/>
        </w:rPr>
        <w:t>15.4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1 保修责任</w:t>
      </w:r>
    </w:p>
    <w:p w14:paraId="5D30FB1C">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工程保修期为：</w:t>
      </w:r>
      <w:r>
        <w:rPr>
          <w:rFonts w:hint="eastAsia" w:ascii="仿宋" w:hAnsi="仿宋" w:eastAsia="仿宋" w:cs="仿宋"/>
          <w:color w:val="auto"/>
          <w:kern w:val="0"/>
          <w:sz w:val="24"/>
          <w:szCs w:val="24"/>
          <w:u w:val="single"/>
        </w:rPr>
        <w:t xml:space="preserve">   按工程质量保修书        </w:t>
      </w:r>
      <w:r>
        <w:rPr>
          <w:rFonts w:hint="eastAsia" w:ascii="仿宋" w:hAnsi="仿宋" w:eastAsia="仿宋" w:cs="仿宋"/>
          <w:color w:val="auto"/>
          <w:kern w:val="0"/>
          <w:sz w:val="24"/>
          <w:szCs w:val="24"/>
        </w:rPr>
        <w:t>。</w:t>
      </w:r>
    </w:p>
    <w:p w14:paraId="1EAD0910">
      <w:pPr>
        <w:pageBreakBefore w:val="0"/>
        <w:widowControl w:val="0"/>
        <w:kinsoku/>
        <w:wordWrap/>
        <w:overflowPunct/>
        <w:topLinePunct w:val="0"/>
        <w:bidi w:val="0"/>
        <w:snapToGrid/>
        <w:spacing w:line="440" w:lineRule="exact"/>
        <w:ind w:firstLine="468" w:firstLineChars="195"/>
        <w:jc w:val="left"/>
        <w:rPr>
          <w:rFonts w:hint="eastAsia" w:ascii="仿宋" w:hAnsi="仿宋" w:eastAsia="仿宋" w:cs="仿宋"/>
          <w:color w:val="auto"/>
          <w:sz w:val="24"/>
          <w:szCs w:val="24"/>
        </w:rPr>
      </w:pPr>
      <w:r>
        <w:rPr>
          <w:rFonts w:hint="eastAsia" w:ascii="仿宋" w:hAnsi="仿宋" w:eastAsia="仿宋" w:cs="仿宋"/>
          <w:color w:val="auto"/>
          <w:sz w:val="24"/>
          <w:szCs w:val="24"/>
        </w:rPr>
        <w:t>15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4.3 修复通知</w:t>
      </w:r>
    </w:p>
    <w:p w14:paraId="78E30412">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承包人收到保修通知并到达工程现场的合理时间：承包人应当在接到保修通知之时起派人保修，根据故障紧急程度及对办公的影响范围，明确分级现场处置时限，确保快速响应、高效处置，精准解决：一般故障(如防水轻微渗水不影响正常办公的故障）,接到报修后6小时内安排具备相应专业资质的技术人员到场处置；重大故障(如防水漏水等影响办公正常开展、存在安全隐患的故障)，接到报修后2小时内到场处置。如在规定时间内未到场进行维修，发包人有权委托其他单位进行维修保修的，所发生的费用由承包人承担，并按实际费用的30%支付违约金，从承包人的质量保证金中扣除。如承包人进行维修，但不能达到设计或使用的要求，发包人有权委托其他单位进行维修，从质量保证金中扣除相应维修费用金额。发包人委托其他单位维修前，应书面通知承包人并给予合理整改期；维修完成后，应向承包人提供维修合同、费用发票、验收报告，承包人对扣款有异议的，可在7日内提出协商。若质保金已经返还或不足够支付维修费用，承包人还应当承担相应的维修费用:同时承包人应当承担因此给发包人带来的所有损失。如因承包人的施工质量原因，导致发包人二次装修受损，产生的所有索赔费用（包括但不限于诉讼费、律师费等费用）均由承包人承担。</w:t>
      </w:r>
    </w:p>
    <w:bookmarkEnd w:id="1846"/>
    <w:bookmarkEnd w:id="1847"/>
    <w:bookmarkEnd w:id="1848"/>
    <w:bookmarkEnd w:id="1849"/>
    <w:p w14:paraId="58913784">
      <w:pPr>
        <w:pStyle w:val="6"/>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876" w:name="_Toc351203648"/>
      <w:bookmarkStart w:id="1877" w:name="_Toc280868717"/>
      <w:bookmarkStart w:id="1878" w:name="_Toc280868718"/>
      <w:r>
        <w:rPr>
          <w:rFonts w:hint="eastAsia" w:ascii="仿宋" w:hAnsi="仿宋" w:eastAsia="仿宋" w:cs="仿宋"/>
          <w:b w:val="0"/>
          <w:color w:val="auto"/>
          <w:sz w:val="24"/>
          <w:szCs w:val="24"/>
        </w:rPr>
        <w:t>16</w:t>
      </w:r>
      <w:r>
        <w:rPr>
          <w:rFonts w:hint="eastAsia" w:ascii="仿宋" w:hAnsi="仿宋" w:eastAsia="仿宋" w:cs="仿宋"/>
          <w:b w:val="0"/>
          <w:color w:val="auto"/>
          <w:sz w:val="24"/>
          <w:szCs w:val="24"/>
          <w:lang w:val="en-US" w:eastAsia="zh-CN"/>
        </w:rPr>
        <w:t>.</w:t>
      </w:r>
      <w:r>
        <w:rPr>
          <w:rFonts w:hint="eastAsia" w:ascii="仿宋" w:hAnsi="仿宋" w:eastAsia="仿宋" w:cs="仿宋"/>
          <w:b w:val="0"/>
          <w:color w:val="auto"/>
          <w:sz w:val="24"/>
          <w:szCs w:val="24"/>
        </w:rPr>
        <w:t>违约</w:t>
      </w:r>
      <w:bookmarkEnd w:id="1876"/>
    </w:p>
    <w:p w14:paraId="50A145C7">
      <w:pPr>
        <w:pageBreakBefore w:val="0"/>
        <w:widowControl w:val="0"/>
        <w:kinsoku/>
        <w:wordWrap/>
        <w:overflowPunct/>
        <w:topLinePunct w:val="0"/>
        <w:bidi w:val="0"/>
        <w:snapToGrid/>
        <w:spacing w:after="120" w:line="440" w:lineRule="exact"/>
        <w:ind w:firstLine="480" w:firstLineChars="200"/>
        <w:outlineLvl w:val="2"/>
        <w:rPr>
          <w:rFonts w:hint="eastAsia" w:ascii="仿宋" w:hAnsi="仿宋" w:eastAsia="仿宋" w:cs="仿宋"/>
          <w:color w:val="auto"/>
          <w:sz w:val="24"/>
          <w:szCs w:val="24"/>
        </w:rPr>
      </w:pPr>
      <w:bookmarkStart w:id="1879" w:name="_Toc10857"/>
      <w:r>
        <w:rPr>
          <w:rFonts w:hint="eastAsia" w:ascii="仿宋" w:hAnsi="仿宋" w:eastAsia="仿宋" w:cs="仿宋"/>
          <w:color w:val="auto"/>
          <w:sz w:val="24"/>
          <w:szCs w:val="24"/>
        </w:rPr>
        <w:t>16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 xml:space="preserve">1 </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违约</w:t>
      </w:r>
      <w:bookmarkEnd w:id="1879"/>
    </w:p>
    <w:p w14:paraId="6D8FB753">
      <w:pPr>
        <w:pageBreakBefore w:val="0"/>
        <w:widowControl w:val="0"/>
        <w:kinsoku/>
        <w:wordWrap/>
        <w:overflowPunct/>
        <w:topLinePunct w:val="0"/>
        <w:bidi w:val="0"/>
        <w:snapToGrid/>
        <w:spacing w:line="440" w:lineRule="exact"/>
        <w:ind w:left="1324" w:leftChars="304" w:hanging="686" w:hangingChars="286"/>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 xml:space="preserve">1.2 </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违约的责任</w:t>
      </w:r>
    </w:p>
    <w:p w14:paraId="243D5F0C">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违约责任的承担方式和计算方法：</w:t>
      </w:r>
    </w:p>
    <w:p w14:paraId="670B53DC">
      <w:pPr>
        <w:pageBreakBefore w:val="0"/>
        <w:widowControl w:val="0"/>
        <w:kinsoku/>
        <w:wordWrap/>
        <w:overflowPunct/>
        <w:topLinePunct w:val="0"/>
        <w:bidi w:val="0"/>
        <w:snapToGrid/>
        <w:spacing w:line="440" w:lineRule="exact"/>
        <w:ind w:left="0" w:leftChars="0" w:firstLine="511" w:firstLineChars="213"/>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因</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违反合同约定造成暂停施工的违约责任：</w:t>
      </w:r>
      <w:r>
        <w:rPr>
          <w:rFonts w:hint="eastAsia" w:ascii="仿宋" w:hAnsi="仿宋" w:eastAsia="仿宋" w:cs="仿宋"/>
          <w:color w:val="auto"/>
          <w:kern w:val="0"/>
          <w:sz w:val="24"/>
          <w:szCs w:val="24"/>
          <w:u w:val="single"/>
        </w:rPr>
        <w:t xml:space="preserve">  工期顺延     </w:t>
      </w:r>
      <w:r>
        <w:rPr>
          <w:rFonts w:hint="eastAsia" w:ascii="仿宋" w:hAnsi="仿宋" w:eastAsia="仿宋" w:cs="仿宋"/>
          <w:color w:val="auto"/>
          <w:kern w:val="0"/>
          <w:sz w:val="24"/>
          <w:szCs w:val="24"/>
        </w:rPr>
        <w:t>。</w:t>
      </w:r>
    </w:p>
    <w:p w14:paraId="31E994DD">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lang w:eastAsia="zh-CN"/>
        </w:rPr>
        <w:t>）发包人</w:t>
      </w:r>
      <w:r>
        <w:rPr>
          <w:rFonts w:hint="eastAsia" w:ascii="仿宋" w:hAnsi="仿宋" w:eastAsia="仿宋" w:cs="仿宋"/>
          <w:color w:val="auto"/>
          <w:kern w:val="0"/>
          <w:sz w:val="24"/>
          <w:szCs w:val="24"/>
        </w:rPr>
        <w:t>无正当理由没有在约定期限内发出复工指示，导致</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无法复工的违约责任:</w:t>
      </w:r>
      <w:r>
        <w:rPr>
          <w:rFonts w:hint="eastAsia" w:ascii="仿宋" w:hAnsi="仿宋" w:eastAsia="仿宋" w:cs="仿宋"/>
          <w:color w:val="auto"/>
          <w:kern w:val="0"/>
          <w:sz w:val="24"/>
          <w:szCs w:val="24"/>
          <w:u w:val="single"/>
        </w:rPr>
        <w:t xml:space="preserve">      工期顺延              </w:t>
      </w:r>
      <w:r>
        <w:rPr>
          <w:rFonts w:hint="eastAsia" w:ascii="仿宋" w:hAnsi="仿宋" w:eastAsia="仿宋" w:cs="仿宋"/>
          <w:color w:val="auto"/>
          <w:kern w:val="0"/>
          <w:sz w:val="24"/>
          <w:szCs w:val="24"/>
        </w:rPr>
        <w:t>。</w:t>
      </w:r>
    </w:p>
    <w:p w14:paraId="3EA2787E">
      <w:pPr>
        <w:pageBreakBefore w:val="0"/>
        <w:widowControl w:val="0"/>
        <w:kinsoku/>
        <w:wordWrap/>
        <w:overflowPunct/>
        <w:topLinePunct w:val="0"/>
        <w:bidi w:val="0"/>
        <w:snapToGrid/>
        <w:spacing w:after="120" w:line="440" w:lineRule="exact"/>
        <w:ind w:firstLine="480" w:firstLineChars="200"/>
        <w:outlineLvl w:val="3"/>
        <w:rPr>
          <w:rFonts w:hint="eastAsia" w:ascii="仿宋" w:hAnsi="仿宋" w:eastAsia="仿宋" w:cs="仿宋"/>
          <w:color w:val="auto"/>
          <w:sz w:val="24"/>
          <w:szCs w:val="24"/>
        </w:rPr>
      </w:pPr>
      <w:bookmarkStart w:id="1880" w:name="_Toc13918"/>
      <w:r>
        <w:rPr>
          <w:rFonts w:hint="eastAsia" w:ascii="仿宋" w:hAnsi="仿宋" w:eastAsia="仿宋" w:cs="仿宋"/>
          <w:color w:val="auto"/>
          <w:sz w:val="24"/>
          <w:szCs w:val="24"/>
        </w:rPr>
        <w:t>16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 xml:space="preserve">2 </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违约</w:t>
      </w:r>
      <w:bookmarkEnd w:id="1880"/>
    </w:p>
    <w:p w14:paraId="1817AB3F">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 xml:space="preserve">1 </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违约的情形</w:t>
      </w:r>
    </w:p>
    <w:p w14:paraId="0FF0A9AB">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违约的其他情形：</w:t>
      </w:r>
      <w:r>
        <w:rPr>
          <w:rFonts w:hint="eastAsia" w:ascii="仿宋" w:hAnsi="仿宋" w:eastAsia="仿宋" w:cs="仿宋"/>
          <w:color w:val="auto"/>
          <w:kern w:val="0"/>
          <w:sz w:val="24"/>
          <w:szCs w:val="24"/>
          <w:u w:val="single"/>
        </w:rPr>
        <w:t xml:space="preserve">  项目人员未按合同约定上岗或虽到岗但不能实质性履行岗位职责  </w:t>
      </w:r>
      <w:r>
        <w:rPr>
          <w:rFonts w:hint="eastAsia" w:ascii="仿宋" w:hAnsi="仿宋" w:eastAsia="仿宋" w:cs="仿宋"/>
          <w:color w:val="auto"/>
          <w:kern w:val="0"/>
          <w:sz w:val="24"/>
          <w:szCs w:val="24"/>
        </w:rPr>
        <w:t>。</w:t>
      </w:r>
    </w:p>
    <w:p w14:paraId="4F37FFDF">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违约的责任</w:t>
      </w:r>
    </w:p>
    <w:p w14:paraId="3A26B285">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承包人违约责任的承担方式和计算方法：</w:t>
      </w:r>
    </w:p>
    <w:p w14:paraId="246DCFCE">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u w:val="single"/>
          <w:lang w:eastAsia="zh-CN"/>
        </w:rPr>
      </w:pPr>
      <w:r>
        <w:rPr>
          <w:rFonts w:hint="eastAsia" w:ascii="仿宋" w:hAnsi="仿宋" w:eastAsia="仿宋" w:cs="仿宋"/>
          <w:color w:val="auto"/>
          <w:kern w:val="0"/>
          <w:sz w:val="24"/>
          <w:szCs w:val="24"/>
          <w:u w:val="single"/>
          <w:lang w:eastAsia="zh-CN"/>
        </w:rPr>
        <w:t>(1)不合格工程不予验收、不合格工程的工程量不予计算，承包人应赔偿发包人因此造成的一切损失。</w:t>
      </w:r>
    </w:p>
    <w:p w14:paraId="2D3929EE">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u w:val="single"/>
          <w:lang w:eastAsia="zh-CN"/>
        </w:rPr>
      </w:pPr>
      <w:r>
        <w:rPr>
          <w:rFonts w:hint="eastAsia" w:ascii="仿宋" w:hAnsi="仿宋" w:eastAsia="仿宋" w:cs="仿宋"/>
          <w:color w:val="auto"/>
          <w:kern w:val="0"/>
          <w:sz w:val="24"/>
          <w:szCs w:val="24"/>
          <w:u w:val="single"/>
          <w:lang w:eastAsia="zh-CN"/>
        </w:rPr>
        <w:t>(2)工程质量达不到合同约定的质量标准，承包人违约责任约定:承担返工费用，工期不予顺延，承包人还须按合同总价的3%向发包人支付违约金，违约金不足以弥补给发包人造成的损失的，按照给发包人造成的实际损失，另行支付赔偿金，同时发包人有权解除合同。</w:t>
      </w:r>
    </w:p>
    <w:p w14:paraId="22C8FD7B">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u w:val="single"/>
          <w:lang w:eastAsia="zh-CN"/>
        </w:rPr>
      </w:pPr>
      <w:r>
        <w:rPr>
          <w:rFonts w:hint="eastAsia" w:ascii="仿宋" w:hAnsi="仿宋" w:eastAsia="仿宋" w:cs="仿宋"/>
          <w:color w:val="auto"/>
          <w:kern w:val="0"/>
          <w:sz w:val="24"/>
          <w:szCs w:val="24"/>
          <w:u w:val="single"/>
          <w:lang w:eastAsia="zh-CN"/>
        </w:rPr>
        <w:t>(3)发生安全事故，一切责任均由承包人承担。若发生安全生产重大责任事故，还要扣除承包人全部履约保证金并追究由此给发包人造成的损失。发包人有权解除合同，但同时承包人应当承担处理事故的义务。</w:t>
      </w:r>
    </w:p>
    <w:p w14:paraId="1B1FCA26">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u w:val="single"/>
          <w:lang w:eastAsia="zh-CN"/>
        </w:rPr>
      </w:pPr>
      <w:r>
        <w:rPr>
          <w:rFonts w:hint="eastAsia" w:ascii="仿宋" w:hAnsi="仿宋" w:eastAsia="仿宋" w:cs="仿宋"/>
          <w:color w:val="auto"/>
          <w:kern w:val="0"/>
          <w:sz w:val="24"/>
          <w:szCs w:val="24"/>
          <w:u w:val="single"/>
          <w:lang w:eastAsia="zh-CN"/>
        </w:rPr>
        <w:t>(4)如在施工过程中经主管部门检查(包括发包人组织的检查)文明、安全施工不合格，每出现一次不合格，承包人向发包人支付违约金5000元/次，如整改后仍达不到要求，发包人将视情况要求承包人支付10000元/次的违约金。承包人应无条件进行整改直至合格。</w:t>
      </w:r>
    </w:p>
    <w:p w14:paraId="244A9251">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u w:val="single"/>
          <w:lang w:eastAsia="zh-CN"/>
        </w:rPr>
        <w:t>（5）承包人在工程施工期间不得拖欠工人和农民工工资，否则，发包人为确保工程顺利施工，有权自主将履约保证金用于偿付被拖欠的工人和农民工工资。如承包人原因导致拖欠工人和农民工工资，给发包人造成不利影响的，承包人应双倍赔偿发包人的所有损失，并承担相应的责任。在施工过程中要保证工人和农民工工资的及时发放，若发生由此引起的农民工聚众闹事，毁坏工程项目财产等影响发包人形象的恶劣的事件，每出现一起，承包人向发包人支付违约金10000元/起，并由承包人承担由此造成的一切损失；若出现拖欠农民工工资事项，经发包人查实后，每拖欠一人次，承包人向发包人支付违约金10000元，并由承包人承担由此造成的一切损失。</w:t>
      </w:r>
    </w:p>
    <w:p w14:paraId="42FE22A6">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2.3 因</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违约解除合同</w:t>
      </w:r>
    </w:p>
    <w:p w14:paraId="6D7936AC">
      <w:pPr>
        <w:pageBreakBefore w:val="0"/>
        <w:widowControl w:val="0"/>
        <w:kinsoku/>
        <w:wordWrap/>
        <w:overflowPunct/>
        <w:topLinePunct w:val="0"/>
        <w:bidi w:val="0"/>
        <w:snapToGrid/>
        <w:spacing w:before="120" w:after="120" w:line="440" w:lineRule="exact"/>
        <w:ind w:left="0" w:leftChars="0" w:firstLine="511" w:firstLineChars="213"/>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关于</w:t>
      </w:r>
      <w:r>
        <w:rPr>
          <w:rFonts w:hint="eastAsia" w:ascii="仿宋" w:hAnsi="仿宋" w:eastAsia="仿宋" w:cs="仿宋"/>
          <w:color w:val="auto"/>
          <w:kern w:val="0"/>
          <w:sz w:val="24"/>
          <w:szCs w:val="24"/>
          <w:lang w:eastAsia="zh-CN"/>
        </w:rPr>
        <w:t>承包人</w:t>
      </w:r>
      <w:r>
        <w:rPr>
          <w:rFonts w:hint="eastAsia" w:ascii="仿宋" w:hAnsi="仿宋" w:eastAsia="仿宋" w:cs="仿宋"/>
          <w:color w:val="auto"/>
          <w:kern w:val="0"/>
          <w:sz w:val="24"/>
          <w:szCs w:val="24"/>
        </w:rPr>
        <w:t>违约解除合同的特别约定</w:t>
      </w:r>
      <w:r>
        <w:rPr>
          <w:rFonts w:hint="eastAsia" w:ascii="仿宋" w:hAnsi="仿宋" w:eastAsia="仿宋" w:cs="仿宋"/>
          <w:color w:val="auto"/>
          <w:kern w:val="0"/>
          <w:sz w:val="24"/>
          <w:szCs w:val="24"/>
          <w:lang w:eastAsia="zh-CN"/>
        </w:rPr>
        <w:t>：</w:t>
      </w:r>
    </w:p>
    <w:p w14:paraId="5F2AC807">
      <w:pPr>
        <w:pageBreakBefore w:val="0"/>
        <w:widowControl w:val="0"/>
        <w:kinsoku/>
        <w:wordWrap/>
        <w:overflowPunct/>
        <w:topLinePunct w:val="0"/>
        <w:bidi w:val="0"/>
        <w:snapToGrid/>
        <w:spacing w:before="120" w:after="120" w:line="440" w:lineRule="exact"/>
        <w:ind w:left="0" w:leftChars="0" w:firstLine="511" w:firstLineChars="213"/>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有下列情况之一者，发包人有权停止支付工程款，并可选择解除合同:</w:t>
      </w:r>
    </w:p>
    <w:p w14:paraId="49B7899D">
      <w:pPr>
        <w:pageBreakBefore w:val="0"/>
        <w:widowControl w:val="0"/>
        <w:kinsoku/>
        <w:wordWrap/>
        <w:overflowPunct/>
        <w:topLinePunct w:val="0"/>
        <w:bidi w:val="0"/>
        <w:snapToGrid/>
        <w:spacing w:before="120" w:after="120" w:line="440" w:lineRule="exact"/>
        <w:ind w:left="0" w:leftChars="0" w:firstLine="511" w:firstLineChars="213"/>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u w:val="single"/>
        </w:rPr>
        <w:t>(1)因承包人原因发生重大生产安全事故（按国务院令第493号界定）或造成工程主体结构重大质量缺陷，且无能力继续履约;</w:t>
      </w:r>
    </w:p>
    <w:p w14:paraId="13395D16">
      <w:pPr>
        <w:pageBreakBefore w:val="0"/>
        <w:widowControl w:val="0"/>
        <w:kinsoku/>
        <w:wordWrap/>
        <w:overflowPunct/>
        <w:topLinePunct w:val="0"/>
        <w:bidi w:val="0"/>
        <w:snapToGrid/>
        <w:spacing w:before="120" w:after="120" w:line="440" w:lineRule="exact"/>
        <w:ind w:left="0" w:leftChars="0" w:firstLine="511" w:firstLineChars="213"/>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u w:val="single"/>
        </w:rPr>
        <w:t>(2)承包人与第三方发生债务诉讼，致使法院或银行通过法律程序要冻结或划拨发包人应付的工程款；</w:t>
      </w:r>
    </w:p>
    <w:p w14:paraId="573A09BD">
      <w:pPr>
        <w:pageBreakBefore w:val="0"/>
        <w:widowControl w:val="0"/>
        <w:kinsoku/>
        <w:wordWrap/>
        <w:overflowPunct/>
        <w:topLinePunct w:val="0"/>
        <w:bidi w:val="0"/>
        <w:snapToGrid/>
        <w:spacing w:before="120" w:after="120" w:line="440" w:lineRule="exact"/>
        <w:ind w:left="0" w:leftChars="0" w:firstLine="511" w:firstLineChars="213"/>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u w:val="single"/>
        </w:rPr>
        <w:t>(3)承包人挪用工程款，致使工程进度累计超工期15日。承包人应承担之违约金或损害赔偿金，发包人有权直接从应付工程款中扣除；</w:t>
      </w:r>
    </w:p>
    <w:p w14:paraId="2C7D1727">
      <w:pPr>
        <w:pageBreakBefore w:val="0"/>
        <w:widowControl w:val="0"/>
        <w:kinsoku/>
        <w:wordWrap/>
        <w:overflowPunct/>
        <w:topLinePunct w:val="0"/>
        <w:bidi w:val="0"/>
        <w:snapToGrid/>
        <w:spacing w:before="120" w:after="120" w:line="440" w:lineRule="exact"/>
        <w:ind w:left="0" w:leftChars="0" w:firstLine="511" w:firstLineChars="213"/>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u w:val="single"/>
        </w:rPr>
        <w:t>(4)接发包人开工通知后未在开工通知约定时间内进场施工的；</w:t>
      </w:r>
    </w:p>
    <w:p w14:paraId="38A0CAC4">
      <w:pPr>
        <w:pageBreakBefore w:val="0"/>
        <w:widowControl w:val="0"/>
        <w:kinsoku/>
        <w:wordWrap/>
        <w:overflowPunct/>
        <w:topLinePunct w:val="0"/>
        <w:bidi w:val="0"/>
        <w:snapToGrid/>
        <w:spacing w:before="120" w:after="120" w:line="440" w:lineRule="exact"/>
        <w:ind w:left="0" w:leftChars="0" w:firstLine="511" w:firstLineChars="213"/>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u w:val="single"/>
        </w:rPr>
        <w:t>(5)本工程严禁挂靠、转包及违法分包，承包人必须以本企业建制的项目管理班子和施工力量为承建主体，否则，在履行施工合同阶段，发包人有权终止合同，追究承包人相应的法律责任；</w:t>
      </w:r>
    </w:p>
    <w:p w14:paraId="723DBD57">
      <w:pPr>
        <w:pageBreakBefore w:val="0"/>
        <w:widowControl w:val="0"/>
        <w:kinsoku/>
        <w:wordWrap/>
        <w:overflowPunct/>
        <w:topLinePunct w:val="0"/>
        <w:bidi w:val="0"/>
        <w:snapToGrid/>
        <w:spacing w:before="120" w:after="120" w:line="440" w:lineRule="exact"/>
        <w:ind w:left="0" w:leftChars="0" w:firstLine="511" w:firstLineChars="213"/>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u w:val="single"/>
        </w:rPr>
        <w:t>(6)承包人不得将其承包的全部工程转包给其他人，也不得将其承包的全部工程分解以后以分包的名义转包给他人。否则，发包人除了有权解除合同外，承包人还应向发包人支付其违法转包部分的工程款的10%的违约金。</w:t>
      </w:r>
    </w:p>
    <w:p w14:paraId="25CB87DD">
      <w:pPr>
        <w:pageBreakBefore w:val="0"/>
        <w:widowControl w:val="0"/>
        <w:kinsoku/>
        <w:wordWrap/>
        <w:overflowPunct/>
        <w:topLinePunct w:val="0"/>
        <w:bidi w:val="0"/>
        <w:snapToGrid/>
        <w:spacing w:before="120" w:after="120" w:line="440" w:lineRule="exact"/>
        <w:ind w:left="0" w:leftChars="0" w:firstLine="511" w:firstLineChars="213"/>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发包人继续使用承包人在施工现场的材料、设备、临时工程、承包人文件和由承包人或以其名义编制的其他文件的费用承担方式：</w:t>
      </w:r>
      <w:r>
        <w:rPr>
          <w:rFonts w:hint="eastAsia" w:ascii="仿宋" w:hAnsi="仿宋" w:eastAsia="仿宋" w:cs="仿宋"/>
          <w:color w:val="auto"/>
          <w:kern w:val="0"/>
          <w:sz w:val="24"/>
          <w:szCs w:val="24"/>
          <w:u w:val="single"/>
        </w:rPr>
        <w:t>由承包人承担。</w:t>
      </w:r>
    </w:p>
    <w:p w14:paraId="48383277">
      <w:pPr>
        <w:pStyle w:val="8"/>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881" w:name="_Toc351203649"/>
      <w:r>
        <w:rPr>
          <w:rFonts w:hint="eastAsia" w:ascii="仿宋" w:hAnsi="仿宋" w:eastAsia="仿宋" w:cs="仿宋"/>
          <w:b w:val="0"/>
          <w:color w:val="auto"/>
          <w:sz w:val="24"/>
          <w:szCs w:val="24"/>
        </w:rPr>
        <w:t>17. 不可抗力</w:t>
      </w:r>
      <w:bookmarkEnd w:id="1881"/>
      <w:r>
        <w:rPr>
          <w:rFonts w:hint="eastAsia" w:ascii="仿宋" w:hAnsi="仿宋" w:eastAsia="仿宋" w:cs="仿宋"/>
          <w:b w:val="0"/>
          <w:color w:val="auto"/>
          <w:sz w:val="24"/>
          <w:szCs w:val="24"/>
        </w:rPr>
        <w:t xml:space="preserve"> </w:t>
      </w:r>
      <w:bookmarkEnd w:id="1877"/>
    </w:p>
    <w:p w14:paraId="664AC24F">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17.1 不可抗力的确认</w:t>
      </w:r>
    </w:p>
    <w:p w14:paraId="651D29E2">
      <w:pPr>
        <w:pageBreakBefore w:val="0"/>
        <w:widowControl w:val="0"/>
        <w:kinsoku/>
        <w:wordWrap/>
        <w:overflowPunct/>
        <w:topLinePunct w:val="0"/>
        <w:bidi w:val="0"/>
        <w:snapToGrid/>
        <w:spacing w:line="440" w:lineRule="exact"/>
        <w:ind w:firstLine="480" w:firstLineChars="200"/>
        <w:jc w:val="both"/>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 xml:space="preserve">除通用合同条款约定的不可抗力事件之外，视为不可抗力的其他情形： </w:t>
      </w:r>
      <w:r>
        <w:rPr>
          <w:rFonts w:hint="eastAsia" w:ascii="仿宋" w:hAnsi="仿宋" w:eastAsia="仿宋" w:cs="仿宋"/>
          <w:color w:val="auto"/>
          <w:kern w:val="0"/>
          <w:sz w:val="24"/>
          <w:szCs w:val="24"/>
          <w:u w:val="single"/>
        </w:rPr>
        <w:t xml:space="preserve">    经发包人确认的因政府环保政策要求造成的停工。</w:t>
      </w:r>
    </w:p>
    <w:p w14:paraId="397A4FE2">
      <w:pPr>
        <w:pStyle w:val="8"/>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882" w:name="_Toc351203650"/>
      <w:r>
        <w:rPr>
          <w:rFonts w:hint="eastAsia" w:ascii="仿宋" w:hAnsi="仿宋" w:eastAsia="仿宋" w:cs="仿宋"/>
          <w:b w:val="0"/>
          <w:color w:val="auto"/>
          <w:sz w:val="24"/>
          <w:szCs w:val="24"/>
        </w:rPr>
        <w:t>18</w:t>
      </w:r>
      <w:r>
        <w:rPr>
          <w:rFonts w:hint="eastAsia" w:ascii="仿宋" w:hAnsi="仿宋" w:eastAsia="仿宋" w:cs="仿宋"/>
          <w:b w:val="0"/>
          <w:color w:val="auto"/>
          <w:sz w:val="24"/>
          <w:szCs w:val="24"/>
          <w:lang w:val="en-US" w:eastAsia="zh-CN"/>
        </w:rPr>
        <w:t>.</w:t>
      </w:r>
      <w:r>
        <w:rPr>
          <w:rFonts w:hint="eastAsia" w:ascii="仿宋" w:hAnsi="仿宋" w:eastAsia="仿宋" w:cs="仿宋"/>
          <w:b w:val="0"/>
          <w:color w:val="auto"/>
          <w:sz w:val="24"/>
          <w:szCs w:val="24"/>
        </w:rPr>
        <w:t>保险</w:t>
      </w:r>
      <w:bookmarkEnd w:id="1882"/>
    </w:p>
    <w:bookmarkEnd w:id="1878"/>
    <w:p w14:paraId="285D0A80">
      <w:pPr>
        <w:pageBreakBefore w:val="0"/>
        <w:widowControl w:val="0"/>
        <w:kinsoku/>
        <w:wordWrap/>
        <w:overflowPunct/>
        <w:topLinePunct w:val="0"/>
        <w:bidi w:val="0"/>
        <w:snapToGrid/>
        <w:spacing w:after="120" w:line="440" w:lineRule="exact"/>
        <w:ind w:firstLine="480" w:firstLineChars="200"/>
        <w:outlineLvl w:val="4"/>
        <w:rPr>
          <w:rFonts w:hint="eastAsia" w:ascii="仿宋" w:hAnsi="仿宋" w:eastAsia="仿宋" w:cs="仿宋"/>
          <w:color w:val="auto"/>
          <w:sz w:val="24"/>
          <w:szCs w:val="24"/>
        </w:rPr>
      </w:pPr>
      <w:bookmarkStart w:id="1883" w:name="_Toc3052"/>
      <w:r>
        <w:rPr>
          <w:rFonts w:hint="eastAsia" w:ascii="仿宋" w:hAnsi="仿宋" w:eastAsia="仿宋" w:cs="仿宋"/>
          <w:color w:val="auto"/>
          <w:sz w:val="24"/>
          <w:szCs w:val="24"/>
        </w:rPr>
        <w:t>18</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3 其他保险</w:t>
      </w:r>
      <w:bookmarkEnd w:id="1883"/>
    </w:p>
    <w:p w14:paraId="41CF593A">
      <w:pPr>
        <w:pageBreakBefore w:val="0"/>
        <w:widowControl w:val="0"/>
        <w:kinsoku/>
        <w:wordWrap/>
        <w:overflowPunct/>
        <w:topLinePunct w:val="0"/>
        <w:bidi w:val="0"/>
        <w:snapToGrid/>
        <w:spacing w:line="440" w:lineRule="exact"/>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sz w:val="24"/>
          <w:szCs w:val="24"/>
        </w:rPr>
        <w:t>关于其他保险的约定:</w:t>
      </w:r>
      <w:r>
        <w:rPr>
          <w:rFonts w:hint="eastAsia" w:ascii="仿宋" w:hAnsi="仿宋" w:eastAsia="仿宋" w:cs="仿宋"/>
          <w:color w:val="auto"/>
          <w:kern w:val="0"/>
          <w:sz w:val="24"/>
          <w:szCs w:val="24"/>
          <w:u w:val="single"/>
        </w:rPr>
        <w:t xml:space="preserve"> 承包人应为其施工现场的全部人员办理意外伤害保险并支付保险费，包括其员工及为履行合同聘请的第三方的人员 </w:t>
      </w:r>
      <w:r>
        <w:rPr>
          <w:rFonts w:hint="eastAsia" w:ascii="仿宋" w:hAnsi="仿宋" w:eastAsia="仿宋" w:cs="仿宋"/>
          <w:color w:val="auto"/>
          <w:kern w:val="0"/>
          <w:sz w:val="24"/>
          <w:szCs w:val="24"/>
        </w:rPr>
        <w:t>。</w:t>
      </w:r>
    </w:p>
    <w:p w14:paraId="661CDF78">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kern w:val="0"/>
          <w:sz w:val="24"/>
          <w:szCs w:val="24"/>
          <w:lang w:eastAsia="zh-CN"/>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是否应为其施工设备等办理财产保险：</w:t>
      </w:r>
      <w:r>
        <w:rPr>
          <w:rFonts w:hint="eastAsia" w:ascii="仿宋" w:hAnsi="仿宋" w:eastAsia="仿宋" w:cs="仿宋"/>
          <w:color w:val="auto"/>
          <w:sz w:val="24"/>
          <w:szCs w:val="24"/>
          <w:u w:val="single"/>
        </w:rPr>
        <w:t xml:space="preserve">  应当办理 </w:t>
      </w:r>
      <w:r>
        <w:rPr>
          <w:rFonts w:hint="eastAsia" w:ascii="仿宋" w:hAnsi="仿宋" w:eastAsia="仿宋" w:cs="仿宋"/>
          <w:color w:val="auto"/>
          <w:sz w:val="24"/>
          <w:szCs w:val="24"/>
          <w:lang w:eastAsia="zh-CN"/>
        </w:rPr>
        <w:t>。</w:t>
      </w:r>
    </w:p>
    <w:p w14:paraId="16E5B864">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18.7 通知义务</w:t>
      </w:r>
    </w:p>
    <w:p w14:paraId="61DAA491">
      <w:pPr>
        <w:pageBreakBefore w:val="0"/>
        <w:widowControl w:val="0"/>
        <w:kinsoku/>
        <w:wordWrap/>
        <w:overflowPunct/>
        <w:topLinePunct w:val="0"/>
        <w:bidi w:val="0"/>
        <w:snapToGrid/>
        <w:spacing w:line="440" w:lineRule="exact"/>
        <w:ind w:left="0" w:leftChars="0" w:firstLine="511" w:firstLineChars="213"/>
        <w:jc w:val="left"/>
        <w:rPr>
          <w:rFonts w:hint="eastAsia" w:ascii="仿宋" w:hAnsi="仿宋" w:eastAsia="仿宋" w:cs="仿宋"/>
          <w:color w:val="auto"/>
          <w:sz w:val="24"/>
          <w:szCs w:val="24"/>
          <w:lang w:eastAsia="zh-CN"/>
        </w:rPr>
      </w:pPr>
      <w:r>
        <w:rPr>
          <w:rFonts w:hint="eastAsia" w:ascii="仿宋" w:hAnsi="仿宋" w:eastAsia="仿宋" w:cs="仿宋"/>
          <w:color w:val="auto"/>
          <w:kern w:val="0"/>
          <w:sz w:val="24"/>
          <w:szCs w:val="24"/>
        </w:rPr>
        <w:t>关于变更保险合同时的通知义务的约定:</w:t>
      </w:r>
      <w:r>
        <w:rPr>
          <w:rFonts w:hint="eastAsia" w:ascii="仿宋" w:hAnsi="仿宋" w:eastAsia="仿宋" w:cs="仿宋"/>
          <w:color w:val="auto"/>
          <w:sz w:val="24"/>
          <w:szCs w:val="24"/>
          <w:u w:val="single"/>
        </w:rPr>
        <w:t xml:space="preserve">   执行通用条款   </w:t>
      </w:r>
      <w:r>
        <w:rPr>
          <w:rFonts w:hint="eastAsia" w:ascii="仿宋" w:hAnsi="仿宋" w:eastAsia="仿宋" w:cs="仿宋"/>
          <w:color w:val="auto"/>
          <w:sz w:val="24"/>
          <w:szCs w:val="24"/>
          <w:lang w:eastAsia="zh-CN"/>
        </w:rPr>
        <w:t>。</w:t>
      </w:r>
    </w:p>
    <w:bookmarkEnd w:id="1850"/>
    <w:bookmarkEnd w:id="1851"/>
    <w:bookmarkEnd w:id="1852"/>
    <w:bookmarkEnd w:id="1853"/>
    <w:bookmarkEnd w:id="1854"/>
    <w:bookmarkEnd w:id="1855"/>
    <w:bookmarkEnd w:id="1856"/>
    <w:bookmarkEnd w:id="1857"/>
    <w:bookmarkEnd w:id="1858"/>
    <w:bookmarkEnd w:id="1859"/>
    <w:bookmarkEnd w:id="1860"/>
    <w:bookmarkEnd w:id="1861"/>
    <w:p w14:paraId="33D558B5">
      <w:pPr>
        <w:pStyle w:val="9"/>
        <w:pageBreakBefore w:val="0"/>
        <w:widowControl w:val="0"/>
        <w:kinsoku/>
        <w:wordWrap/>
        <w:overflowPunct/>
        <w:topLinePunct w:val="0"/>
        <w:bidi w:val="0"/>
        <w:snapToGrid/>
        <w:spacing w:before="120" w:after="120" w:line="440" w:lineRule="exact"/>
        <w:rPr>
          <w:rFonts w:hint="eastAsia" w:ascii="仿宋" w:hAnsi="仿宋" w:eastAsia="仿宋" w:cs="仿宋"/>
          <w:b w:val="0"/>
          <w:color w:val="auto"/>
          <w:sz w:val="24"/>
          <w:szCs w:val="24"/>
        </w:rPr>
      </w:pPr>
      <w:bookmarkStart w:id="1884" w:name="_Toc351203651"/>
      <w:r>
        <w:rPr>
          <w:rFonts w:hint="eastAsia" w:ascii="仿宋" w:hAnsi="仿宋" w:eastAsia="仿宋" w:cs="仿宋"/>
          <w:b w:val="0"/>
          <w:color w:val="auto"/>
          <w:sz w:val="24"/>
          <w:szCs w:val="24"/>
        </w:rPr>
        <w:t>20. 争议解决</w:t>
      </w:r>
      <w:bookmarkEnd w:id="1884"/>
    </w:p>
    <w:bookmarkEnd w:id="1862"/>
    <w:bookmarkEnd w:id="1863"/>
    <w:bookmarkEnd w:id="1864"/>
    <w:p w14:paraId="49FE5851">
      <w:pPr>
        <w:pageBreakBefore w:val="0"/>
        <w:widowControl w:val="0"/>
        <w:kinsoku/>
        <w:wordWrap/>
        <w:overflowPunct/>
        <w:topLinePunct w:val="0"/>
        <w:bidi w:val="0"/>
        <w:snapToGrid/>
        <w:spacing w:after="120" w:line="440" w:lineRule="exact"/>
        <w:ind w:firstLine="480" w:firstLineChars="200"/>
        <w:outlineLvl w:val="5"/>
        <w:rPr>
          <w:rFonts w:hint="eastAsia" w:ascii="仿宋" w:hAnsi="仿宋" w:eastAsia="仿宋" w:cs="仿宋"/>
          <w:color w:val="auto"/>
          <w:sz w:val="24"/>
          <w:szCs w:val="24"/>
        </w:rPr>
      </w:pPr>
      <w:bookmarkStart w:id="1885" w:name="_Toc1516"/>
      <w:r>
        <w:rPr>
          <w:rFonts w:hint="eastAsia" w:ascii="仿宋" w:hAnsi="仿宋" w:eastAsia="仿宋" w:cs="仿宋"/>
          <w:color w:val="auto"/>
          <w:sz w:val="24"/>
          <w:szCs w:val="24"/>
        </w:rPr>
        <w:t>20.4仲裁或诉讼</w:t>
      </w:r>
      <w:bookmarkEnd w:id="1865"/>
      <w:bookmarkEnd w:id="1885"/>
    </w:p>
    <w:p w14:paraId="43E98DAF">
      <w:pPr>
        <w:pageBreakBefore w:val="0"/>
        <w:widowControl w:val="0"/>
        <w:kinsoku/>
        <w:wordWrap/>
        <w:overflowPunct/>
        <w:topLinePunct w:val="0"/>
        <w:bidi w:val="0"/>
        <w:snapToGrid/>
        <w:spacing w:after="120"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因合同及合同有关事项发生的争议，按下列第</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2</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种方式解决：</w:t>
      </w:r>
    </w:p>
    <w:p w14:paraId="78BE88CE">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向</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仲裁委员会申请仲裁；</w:t>
      </w:r>
    </w:p>
    <w:p w14:paraId="511964A2">
      <w:pPr>
        <w:pageBreakBefore w:val="0"/>
        <w:widowControl w:val="0"/>
        <w:kinsoku/>
        <w:wordWrap/>
        <w:overflowPunct/>
        <w:topLinePunct w:val="0"/>
        <w:bidi w:val="0"/>
        <w:snapToGrid/>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（2）向</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项目所在地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人民法院起诉。</w:t>
      </w:r>
      <w:bookmarkEnd w:id="1866"/>
      <w:bookmarkEnd w:id="1867"/>
      <w:bookmarkEnd w:id="1868"/>
      <w:bookmarkEnd w:id="1869"/>
      <w:bookmarkEnd w:id="1870"/>
      <w:bookmarkEnd w:id="1871"/>
    </w:p>
    <w:p w14:paraId="0FC9B451">
      <w:pPr>
        <w:pageBreakBefore w:val="0"/>
        <w:widowControl w:val="0"/>
        <w:kinsoku/>
        <w:wordWrap/>
        <w:overflowPunct/>
        <w:topLinePunct w:val="0"/>
        <w:bidi w:val="0"/>
        <w:snapToGrid/>
        <w:spacing w:line="440" w:lineRule="exact"/>
        <w:rPr>
          <w:rFonts w:hint="default" w:ascii="Times New Roman" w:hAnsi="Times New Roman" w:eastAsia="黑体" w:cs="Times New Roman"/>
          <w:color w:val="auto"/>
          <w:sz w:val="30"/>
          <w:szCs w:val="30"/>
        </w:rPr>
      </w:pPr>
      <w:r>
        <w:rPr>
          <w:rFonts w:hint="default" w:ascii="Times New Roman" w:hAnsi="Times New Roman" w:eastAsia="仿宋_GB2312" w:cs="Times New Roman"/>
          <w:color w:val="auto"/>
          <w:sz w:val="30"/>
          <w:szCs w:val="32"/>
        </w:rPr>
        <w:br w:type="page"/>
      </w:r>
    </w:p>
    <w:p w14:paraId="6EB54204">
      <w:pPr>
        <w:pageBreakBefore w:val="0"/>
        <w:widowControl w:val="0"/>
        <w:kinsoku/>
        <w:wordWrap/>
        <w:overflowPunct/>
        <w:topLinePunct w:val="0"/>
        <w:bidi w:val="0"/>
        <w:snapToGrid/>
        <w:spacing w:before="156" w:beforeLines="50" w:after="156" w:afterLines="50" w:line="440" w:lineRule="exact"/>
        <w:jc w:val="center"/>
        <w:rPr>
          <w:rFonts w:hint="default" w:ascii="Times New Roman" w:hAnsi="Times New Roman" w:eastAsia="黑体" w:cs="Times New Roman"/>
          <w:color w:val="auto"/>
          <w:sz w:val="30"/>
          <w:szCs w:val="30"/>
        </w:rPr>
      </w:pPr>
      <w:r>
        <w:rPr>
          <w:rFonts w:hint="default" w:ascii="Times New Roman" w:hAnsi="Times New Roman" w:eastAsia="黑体" w:cs="Times New Roman"/>
          <w:color w:val="auto"/>
          <w:sz w:val="30"/>
          <w:szCs w:val="30"/>
        </w:rPr>
        <w:t>工程质量保修书</w:t>
      </w:r>
    </w:p>
    <w:p w14:paraId="293D74CE">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（全称）：</w:t>
      </w:r>
      <w:r>
        <w:rPr>
          <w:rFonts w:hint="eastAsia" w:ascii="仿宋" w:hAnsi="仿宋" w:eastAsia="仿宋" w:cs="仿宋"/>
          <w:color w:val="auto"/>
          <w:sz w:val="24"/>
          <w:szCs w:val="24"/>
          <w:u w:val="single"/>
        </w:rPr>
        <w:t xml:space="preserve">   河南财经政法大学</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756AEA62">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（全称):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0E4AE2EC">
      <w:pPr>
        <w:pageBreakBefore w:val="0"/>
        <w:widowControl w:val="0"/>
        <w:kinsoku/>
        <w:wordWrap/>
        <w:overflowPunct/>
        <w:topLinePunct w:val="0"/>
        <w:bidi w:val="0"/>
        <w:snapToGrid/>
        <w:spacing w:line="440" w:lineRule="exact"/>
        <w:rPr>
          <w:rFonts w:hint="eastAsia" w:ascii="仿宋" w:hAnsi="仿宋" w:eastAsia="仿宋" w:cs="仿宋"/>
          <w:color w:val="auto"/>
          <w:sz w:val="24"/>
          <w:szCs w:val="24"/>
        </w:rPr>
      </w:pPr>
    </w:p>
    <w:p w14:paraId="5E12AF85">
      <w:pPr>
        <w:pageBreakBefore w:val="0"/>
        <w:widowControl w:val="0"/>
        <w:kinsoku/>
        <w:wordWrap/>
        <w:overflowPunct/>
        <w:topLinePunct w:val="0"/>
        <w:bidi w:val="0"/>
        <w:snapToGrid/>
        <w:spacing w:line="440" w:lineRule="exact"/>
        <w:ind w:left="0" w:leftChars="0" w:firstLine="511" w:firstLineChars="213"/>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根据《中华人民共和国建筑法》和《建设工程质量管理条例》，经协商一致就</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eastAsia="zh-CN"/>
        </w:rPr>
        <w:t>河南财经政法大学文化路校区部分楼宇防水项目</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签订工程质量保修书。</w:t>
      </w:r>
    </w:p>
    <w:p w14:paraId="14A5368D">
      <w:pPr>
        <w:pageBreakBefore w:val="0"/>
        <w:widowControl w:val="0"/>
        <w:kinsoku/>
        <w:wordWrap/>
        <w:overflowPunct/>
        <w:topLinePunct w:val="0"/>
        <w:bidi w:val="0"/>
        <w:snapToGrid/>
        <w:spacing w:line="440" w:lineRule="exact"/>
        <w:ind w:firstLine="480" w:firstLineChars="200"/>
        <w:outlineLvl w:val="3"/>
        <w:rPr>
          <w:rFonts w:hint="eastAsia" w:ascii="仿宋" w:hAnsi="仿宋" w:eastAsia="仿宋" w:cs="仿宋"/>
          <w:color w:val="auto"/>
          <w:sz w:val="24"/>
          <w:szCs w:val="24"/>
        </w:rPr>
      </w:pPr>
      <w:bookmarkStart w:id="1886" w:name="_Toc13089"/>
      <w:r>
        <w:rPr>
          <w:rFonts w:hint="eastAsia" w:ascii="仿宋" w:hAnsi="仿宋" w:eastAsia="仿宋" w:cs="仿宋"/>
          <w:color w:val="auto"/>
          <w:sz w:val="24"/>
          <w:szCs w:val="24"/>
        </w:rPr>
        <w:t>一、工程质量保修范围和内容</w:t>
      </w:r>
      <w:bookmarkEnd w:id="1886"/>
    </w:p>
    <w:p w14:paraId="7499550B">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承包人</w:t>
      </w:r>
      <w:r>
        <w:rPr>
          <w:rFonts w:hint="eastAsia" w:ascii="仿宋" w:hAnsi="仿宋" w:eastAsia="仿宋" w:cs="仿宋"/>
          <w:color w:val="auto"/>
          <w:sz w:val="24"/>
          <w:szCs w:val="24"/>
        </w:rPr>
        <w:t>在质量保修期内，按照有关法律规定和合同约定</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承担工程质量保修责任</w:t>
      </w:r>
      <w:r>
        <w:rPr>
          <w:rFonts w:hint="eastAsia" w:ascii="仿宋" w:hAnsi="仿宋" w:eastAsia="仿宋" w:cs="仿宋"/>
          <w:color w:val="auto"/>
          <w:sz w:val="24"/>
          <w:szCs w:val="24"/>
          <w:lang w:eastAsia="zh-CN"/>
        </w:rPr>
        <w:t>。</w:t>
      </w:r>
    </w:p>
    <w:p w14:paraId="2A0C5526">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质量保修范围包括地基基础工程、主体结构工程，屋面防水工程、有防水要求的卫生间、房间和外墙面的防渗漏，供热与供冷系统</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电气管线、给排水管道、设备安装和装修工程，以及双方约定的其他项目.具体保修的内容，双方约定如下：</w:t>
      </w:r>
      <w:r>
        <w:rPr>
          <w:rFonts w:hint="eastAsia" w:ascii="仿宋" w:hAnsi="仿宋" w:eastAsia="仿宋" w:cs="仿宋"/>
          <w:color w:val="auto"/>
          <w:sz w:val="24"/>
          <w:szCs w:val="24"/>
          <w:u w:val="single"/>
        </w:rPr>
        <w:t>承包人所承包施工的全部工程内容。</w:t>
      </w:r>
    </w:p>
    <w:p w14:paraId="070EE8AE">
      <w:pPr>
        <w:pageBreakBefore w:val="0"/>
        <w:widowControl w:val="0"/>
        <w:kinsoku/>
        <w:wordWrap/>
        <w:overflowPunct/>
        <w:topLinePunct w:val="0"/>
        <w:bidi w:val="0"/>
        <w:snapToGrid/>
        <w:spacing w:line="440" w:lineRule="exact"/>
        <w:ind w:firstLine="480" w:firstLineChars="200"/>
        <w:outlineLvl w:val="3"/>
        <w:rPr>
          <w:rFonts w:hint="eastAsia" w:ascii="仿宋" w:hAnsi="仿宋" w:eastAsia="仿宋" w:cs="仿宋"/>
          <w:color w:val="auto"/>
          <w:sz w:val="24"/>
          <w:szCs w:val="24"/>
        </w:rPr>
      </w:pPr>
      <w:bookmarkStart w:id="1887" w:name="_Toc30805"/>
      <w:r>
        <w:rPr>
          <w:rFonts w:hint="eastAsia" w:ascii="仿宋" w:hAnsi="仿宋" w:eastAsia="仿宋" w:cs="仿宋"/>
          <w:color w:val="auto"/>
          <w:sz w:val="24"/>
          <w:szCs w:val="24"/>
        </w:rPr>
        <w:t>二、质量保修期</w:t>
      </w:r>
      <w:bookmarkEnd w:id="1887"/>
    </w:p>
    <w:p w14:paraId="73E7F8B2">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根据《建设工程质量管理条例》及有关规定，工程的质量保修期如下：</w:t>
      </w:r>
    </w:p>
    <w:p w14:paraId="619696C1">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装修工程为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p>
    <w:p w14:paraId="422CF50C">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电气管线、给排水管道、设备安装工程为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年；</w:t>
      </w:r>
    </w:p>
    <w:p w14:paraId="26F9437D">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3.防水工程</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p>
    <w:p w14:paraId="2F5971AB">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其他项目保修期限约定如下：</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p>
    <w:p w14:paraId="12723809">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质量保修期自工程竣工验收合格之日起计算。</w:t>
      </w:r>
    </w:p>
    <w:p w14:paraId="4DCEEE53">
      <w:pPr>
        <w:pageBreakBefore w:val="0"/>
        <w:widowControl w:val="0"/>
        <w:kinsoku/>
        <w:wordWrap/>
        <w:overflowPunct/>
        <w:topLinePunct w:val="0"/>
        <w:bidi w:val="0"/>
        <w:snapToGrid/>
        <w:spacing w:line="440" w:lineRule="exact"/>
        <w:ind w:firstLine="480" w:firstLineChars="200"/>
        <w:outlineLvl w:val="2"/>
        <w:rPr>
          <w:rFonts w:hint="eastAsia" w:ascii="仿宋" w:hAnsi="仿宋" w:eastAsia="仿宋" w:cs="仿宋"/>
          <w:color w:val="auto"/>
          <w:sz w:val="24"/>
          <w:szCs w:val="24"/>
        </w:rPr>
      </w:pPr>
      <w:bookmarkStart w:id="1888" w:name="_Toc9971"/>
      <w:r>
        <w:rPr>
          <w:rFonts w:hint="eastAsia" w:ascii="仿宋" w:hAnsi="仿宋" w:eastAsia="仿宋" w:cs="仿宋"/>
          <w:color w:val="auto"/>
          <w:sz w:val="24"/>
          <w:szCs w:val="24"/>
        </w:rPr>
        <w:t>三、缺陷责任期</w:t>
      </w:r>
      <w:bookmarkEnd w:id="1888"/>
    </w:p>
    <w:p w14:paraId="520218D2">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工程缺陷责任期为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24</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个月，缺陷责任期自工程通过竣工验收之日起计算。单位工程先于全部工程进行验收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单位工程缺陷责任期自单位工程验收合格之日起算。</w:t>
      </w:r>
    </w:p>
    <w:p w14:paraId="6B673361">
      <w:pPr>
        <w:pageBreakBefore w:val="0"/>
        <w:widowControl w:val="0"/>
        <w:kinsoku/>
        <w:wordWrap/>
        <w:overflowPunct/>
        <w:topLinePunct w:val="0"/>
        <w:bidi w:val="0"/>
        <w:snapToGrid/>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缺陷责任期终止后，</w:t>
      </w:r>
      <w:r>
        <w:rPr>
          <w:rFonts w:hint="eastAsia" w:ascii="仿宋" w:hAnsi="仿宋" w:eastAsia="仿宋" w:cs="仿宋"/>
          <w:color w:val="auto"/>
          <w:sz w:val="24"/>
          <w:szCs w:val="24"/>
          <w:lang w:eastAsia="zh-CN"/>
        </w:rPr>
        <w:t>发包人</w:t>
      </w:r>
      <w:r>
        <w:rPr>
          <w:rFonts w:hint="eastAsia" w:ascii="仿宋" w:hAnsi="仿宋" w:eastAsia="仿宋" w:cs="仿宋"/>
          <w:color w:val="auto"/>
          <w:sz w:val="24"/>
          <w:szCs w:val="24"/>
        </w:rPr>
        <w:t>应退还剩余的质量保证金。</w:t>
      </w:r>
    </w:p>
    <w:p w14:paraId="54CF83CB">
      <w:pPr>
        <w:pageBreakBefore w:val="0"/>
        <w:widowControl w:val="0"/>
        <w:kinsoku/>
        <w:wordWrap/>
        <w:overflowPunct/>
        <w:topLinePunct w:val="0"/>
        <w:bidi w:val="0"/>
        <w:snapToGrid/>
        <w:spacing w:line="440" w:lineRule="exact"/>
        <w:ind w:firstLine="480" w:firstLineChars="200"/>
        <w:outlineLvl w:val="2"/>
        <w:rPr>
          <w:rFonts w:hint="eastAsia" w:ascii="仿宋" w:hAnsi="仿宋" w:eastAsia="仿宋" w:cs="仿宋"/>
          <w:color w:val="auto"/>
          <w:sz w:val="24"/>
          <w:szCs w:val="24"/>
        </w:rPr>
      </w:pPr>
      <w:bookmarkStart w:id="1889" w:name="_Toc12886"/>
      <w:r>
        <w:rPr>
          <w:rFonts w:hint="eastAsia" w:ascii="仿宋" w:hAnsi="仿宋" w:eastAsia="仿宋" w:cs="仿宋"/>
          <w:color w:val="auto"/>
          <w:sz w:val="24"/>
          <w:szCs w:val="24"/>
        </w:rPr>
        <w:t>四、质量保修责任</w:t>
      </w:r>
      <w:bookmarkEnd w:id="1889"/>
    </w:p>
    <w:p w14:paraId="3D942D46">
      <w:pPr>
        <w:pageBreakBefore w:val="0"/>
        <w:widowControl w:val="0"/>
        <w:kinsoku/>
        <w:wordWrap/>
        <w:overflowPunct/>
        <w:topLinePunct w:val="0"/>
        <w:bidi w:val="0"/>
        <w:snapToGrid/>
        <w:spacing w:line="440" w:lineRule="exact"/>
        <w:ind w:firstLine="420"/>
        <w:rPr>
          <w:rFonts w:hint="eastAsia" w:ascii="仿宋" w:hAnsi="仿宋" w:eastAsia="仿宋" w:cs="仿宋"/>
          <w:color w:val="auto"/>
          <w:sz w:val="24"/>
          <w:szCs w:val="24"/>
        </w:rPr>
      </w:pPr>
      <w:r>
        <w:rPr>
          <w:rFonts w:hint="eastAsia" w:ascii="仿宋" w:hAnsi="仿宋" w:eastAsia="仿宋" w:cs="仿宋"/>
          <w:color w:val="auto"/>
          <w:sz w:val="24"/>
          <w:szCs w:val="24"/>
        </w:rPr>
        <w:t>1．属于保修范围、内容的项目，承包人应当在接到保修通知之时起派人保修；根据故障紧急程度及对办公的影响范围，明确分级现场处置时限，确保快速响应、高效处置，精准解决：一般故障(如防水轻微渗水不影响正常办公的故障）,接到报修后6小时内安排具备相应专业资质的技术人员到场处置；重大故障(如防水漏水等影响办公正常开展、存在安全隐患的故障)，接到报修后2小时内到场处置。</w:t>
      </w:r>
    </w:p>
    <w:p w14:paraId="0A537E19">
      <w:pPr>
        <w:pageBreakBefore w:val="0"/>
        <w:widowControl w:val="0"/>
        <w:kinsoku/>
        <w:wordWrap/>
        <w:overflowPunct/>
        <w:topLinePunct w:val="0"/>
        <w:bidi w:val="0"/>
        <w:snapToGrid/>
        <w:spacing w:line="440" w:lineRule="exact"/>
        <w:ind w:firstLine="420"/>
        <w:rPr>
          <w:rFonts w:hint="eastAsia" w:ascii="仿宋" w:hAnsi="仿宋" w:eastAsia="仿宋" w:cs="仿宋"/>
          <w:color w:val="auto"/>
          <w:sz w:val="24"/>
          <w:szCs w:val="24"/>
        </w:rPr>
      </w:pPr>
      <w:r>
        <w:rPr>
          <w:rFonts w:hint="eastAsia" w:ascii="仿宋" w:hAnsi="仿宋" w:eastAsia="仿宋" w:cs="仿宋"/>
          <w:color w:val="auto"/>
          <w:sz w:val="24"/>
          <w:szCs w:val="24"/>
        </w:rPr>
        <w:t>如在规定时间内未到场进行维修，发包人有权委托其他单位进行维修保修的，所发生的费用由承包人承担，并按实际费用的30%支付违约金，从承包人的质量保证金中扣除。如承包人进行维修，但不能达到设计或使用的要求，发包人有权委托其他单位进行维修，从质量保证金中扣除相应维修费用金额。发包人委托其他单位维修前，应书面通知承包人并给予合理整改期；维修完成后，应向承包人提供维修合同、费用发票、验收报告，承包人对扣款有异议的，可在7日内提出协商。若质保金已经返还或不足够支付维修费用，承包人还应当承担相应的维修费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同时承包人应当承担因此给发包人带来的所有损失。如因承包人的施工质量原因，导致发包人二次装修受损，产生的所有索赔费用（包括但不限于诉讼费、律师费等费用）均由承包人承担。</w:t>
      </w:r>
    </w:p>
    <w:p w14:paraId="227A6C24">
      <w:pPr>
        <w:pageBreakBefore w:val="0"/>
        <w:widowControl w:val="0"/>
        <w:kinsoku/>
        <w:wordWrap/>
        <w:overflowPunct/>
        <w:topLinePunct w:val="0"/>
        <w:bidi w:val="0"/>
        <w:snapToGrid/>
        <w:spacing w:line="440" w:lineRule="exact"/>
        <w:ind w:firstLine="420"/>
        <w:rPr>
          <w:rFonts w:hint="eastAsia" w:ascii="仿宋" w:hAnsi="仿宋" w:eastAsia="仿宋" w:cs="仿宋"/>
          <w:color w:val="auto"/>
          <w:sz w:val="24"/>
          <w:szCs w:val="24"/>
        </w:rPr>
      </w:pPr>
      <w:r>
        <w:rPr>
          <w:rFonts w:hint="eastAsia" w:ascii="仿宋" w:hAnsi="仿宋" w:eastAsia="仿宋" w:cs="仿宋"/>
          <w:color w:val="auto"/>
          <w:sz w:val="24"/>
          <w:szCs w:val="24"/>
        </w:rPr>
        <w:t>2．发生紧急事故需抢修的，承包人在接到事故通知后，应当立即到达事故现场抢修。</w:t>
      </w:r>
    </w:p>
    <w:p w14:paraId="3BB04AF1">
      <w:pPr>
        <w:pageBreakBefore w:val="0"/>
        <w:widowControl w:val="0"/>
        <w:kinsoku/>
        <w:wordWrap/>
        <w:overflowPunct/>
        <w:topLinePunct w:val="0"/>
        <w:bidi w:val="0"/>
        <w:snapToGrid/>
        <w:spacing w:line="440" w:lineRule="exact"/>
        <w:ind w:firstLine="420"/>
        <w:rPr>
          <w:rFonts w:hint="eastAsia" w:ascii="仿宋" w:hAnsi="仿宋" w:eastAsia="仿宋" w:cs="仿宋"/>
          <w:color w:val="auto"/>
          <w:sz w:val="24"/>
          <w:szCs w:val="24"/>
        </w:rPr>
      </w:pPr>
      <w:r>
        <w:rPr>
          <w:rFonts w:hint="eastAsia" w:ascii="仿宋" w:hAnsi="仿宋" w:eastAsia="仿宋" w:cs="仿宋"/>
          <w:color w:val="auto"/>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C05B16F">
      <w:pPr>
        <w:pageBreakBefore w:val="0"/>
        <w:widowControl w:val="0"/>
        <w:kinsoku/>
        <w:wordWrap/>
        <w:overflowPunct/>
        <w:topLinePunct w:val="0"/>
        <w:bidi w:val="0"/>
        <w:snapToGrid/>
        <w:spacing w:line="440" w:lineRule="exact"/>
        <w:ind w:firstLine="420"/>
        <w:rPr>
          <w:rFonts w:hint="eastAsia" w:ascii="仿宋" w:hAnsi="仿宋" w:eastAsia="仿宋" w:cs="仿宋"/>
          <w:color w:val="auto"/>
          <w:sz w:val="24"/>
          <w:szCs w:val="24"/>
        </w:rPr>
      </w:pPr>
      <w:r>
        <w:rPr>
          <w:rFonts w:hint="eastAsia" w:ascii="仿宋" w:hAnsi="仿宋" w:eastAsia="仿宋" w:cs="仿宋"/>
          <w:color w:val="auto"/>
          <w:sz w:val="24"/>
          <w:szCs w:val="24"/>
        </w:rPr>
        <w:t>4．质量保修完成后，由发包人组织验收，并出具书面验收报告。</w:t>
      </w:r>
    </w:p>
    <w:p w14:paraId="0A3CBCB7">
      <w:pPr>
        <w:pageBreakBefore w:val="0"/>
        <w:widowControl w:val="0"/>
        <w:kinsoku/>
        <w:wordWrap/>
        <w:overflowPunct/>
        <w:topLinePunct w:val="0"/>
        <w:bidi w:val="0"/>
        <w:snapToGrid/>
        <w:spacing w:line="440" w:lineRule="exact"/>
        <w:ind w:firstLine="420"/>
        <w:rPr>
          <w:rFonts w:hint="eastAsia" w:ascii="仿宋" w:hAnsi="仿宋" w:eastAsia="仿宋" w:cs="仿宋"/>
          <w:color w:val="auto"/>
          <w:sz w:val="24"/>
          <w:szCs w:val="24"/>
        </w:rPr>
      </w:pPr>
      <w:r>
        <w:rPr>
          <w:rFonts w:hint="eastAsia" w:ascii="仿宋" w:hAnsi="仿宋" w:eastAsia="仿宋" w:cs="仿宋"/>
          <w:color w:val="auto"/>
          <w:sz w:val="24"/>
          <w:szCs w:val="24"/>
        </w:rPr>
        <w:t>五、保修费用</w:t>
      </w:r>
    </w:p>
    <w:p w14:paraId="7145E48A">
      <w:pPr>
        <w:pageBreakBefore w:val="0"/>
        <w:widowControl w:val="0"/>
        <w:kinsoku/>
        <w:wordWrap/>
        <w:overflowPunct/>
        <w:topLinePunct w:val="0"/>
        <w:bidi w:val="0"/>
        <w:snapToGrid/>
        <w:spacing w:line="440" w:lineRule="exact"/>
        <w:ind w:firstLine="420"/>
        <w:rPr>
          <w:rFonts w:hint="eastAsia" w:ascii="仿宋" w:hAnsi="仿宋" w:eastAsia="仿宋" w:cs="仿宋"/>
          <w:color w:val="auto"/>
          <w:sz w:val="24"/>
          <w:szCs w:val="24"/>
        </w:rPr>
      </w:pPr>
      <w:r>
        <w:rPr>
          <w:rFonts w:hint="eastAsia" w:ascii="仿宋" w:hAnsi="仿宋" w:eastAsia="仿宋" w:cs="仿宋"/>
          <w:color w:val="auto"/>
          <w:sz w:val="24"/>
          <w:szCs w:val="24"/>
        </w:rPr>
        <w:t>保修费用保修期内承包人承担，保修期满后如果是质量缺陷，由承包人承担。</w:t>
      </w:r>
    </w:p>
    <w:p w14:paraId="601E1A8E">
      <w:pPr>
        <w:pageBreakBefore w:val="0"/>
        <w:widowControl w:val="0"/>
        <w:kinsoku/>
        <w:wordWrap/>
        <w:overflowPunct/>
        <w:topLinePunct w:val="0"/>
        <w:bidi w:val="0"/>
        <w:snapToGrid/>
        <w:spacing w:line="440" w:lineRule="exact"/>
        <w:ind w:firstLine="420"/>
        <w:rPr>
          <w:rFonts w:hint="eastAsia" w:ascii="仿宋" w:hAnsi="仿宋" w:eastAsia="仿宋" w:cs="仿宋"/>
          <w:color w:val="auto"/>
          <w:sz w:val="24"/>
          <w:szCs w:val="24"/>
        </w:rPr>
      </w:pPr>
      <w:r>
        <w:rPr>
          <w:rFonts w:hint="eastAsia" w:ascii="仿宋" w:hAnsi="仿宋" w:eastAsia="仿宋" w:cs="仿宋"/>
          <w:color w:val="auto"/>
          <w:sz w:val="24"/>
          <w:szCs w:val="24"/>
        </w:rPr>
        <w:t>六、双方约定的其他</w:t>
      </w:r>
    </w:p>
    <w:p w14:paraId="4CFADB94">
      <w:pPr>
        <w:pageBreakBefore w:val="0"/>
        <w:widowControl w:val="0"/>
        <w:kinsoku/>
        <w:wordWrap/>
        <w:overflowPunct/>
        <w:topLinePunct w:val="0"/>
        <w:bidi w:val="0"/>
        <w:snapToGrid/>
        <w:spacing w:line="440" w:lineRule="exact"/>
        <w:ind w:firstLine="420"/>
        <w:rPr>
          <w:rFonts w:hint="eastAsia" w:ascii="仿宋" w:hAnsi="仿宋" w:eastAsia="仿宋" w:cs="仿宋"/>
          <w:color w:val="auto"/>
          <w:sz w:val="24"/>
          <w:szCs w:val="24"/>
        </w:rPr>
      </w:pPr>
      <w:r>
        <w:rPr>
          <w:rFonts w:hint="eastAsia" w:ascii="仿宋" w:hAnsi="仿宋" w:eastAsia="仿宋" w:cs="仿宋"/>
          <w:color w:val="auto"/>
          <w:sz w:val="24"/>
          <w:szCs w:val="24"/>
        </w:rPr>
        <w:t>无</w:t>
      </w:r>
    </w:p>
    <w:p w14:paraId="4CD7736E">
      <w:pPr>
        <w:keepNext w:val="0"/>
        <w:keepLines w:val="0"/>
        <w:pageBreakBefore w:val="0"/>
        <w:widowControl w:val="0"/>
        <w:kinsoku/>
        <w:wordWrap/>
        <w:overflowPunct/>
        <w:topLinePunct/>
        <w:autoSpaceDE/>
        <w:autoSpaceDN/>
        <w:bidi w:val="0"/>
        <w:adjustRightInd w:val="0"/>
        <w:snapToGrid w:val="0"/>
        <w:spacing w:line="360" w:lineRule="auto"/>
        <w:ind w:left="0" w:right="0" w:firstLine="480" w:firstLineChars="200"/>
        <w:jc w:val="left"/>
        <w:textAlignment w:val="baseline"/>
        <w:rPr>
          <w:rFonts w:hint="eastAsia" w:ascii="仿宋" w:hAnsi="仿宋" w:eastAsia="仿宋" w:cs="仿宋"/>
          <w:color w:val="auto"/>
          <w:spacing w:val="0"/>
          <w:kern w:val="24"/>
          <w:position w:val="0"/>
          <w:sz w:val="24"/>
          <w:szCs w:val="24"/>
          <w:highlight w:val="none"/>
        </w:rPr>
      </w:pPr>
    </w:p>
    <w:p w14:paraId="5840D694">
      <w:pPr>
        <w:adjustRightInd w:val="0"/>
        <w:snapToGrid w:val="0"/>
        <w:spacing w:line="360" w:lineRule="auto"/>
        <w:ind w:firstLine="480" w:firstLineChars="200"/>
        <w:rPr>
          <w:rFonts w:ascii="宋体" w:hAnsi="宋体"/>
          <w:color w:val="auto"/>
          <w:sz w:val="24"/>
          <w:highlight w:val="none"/>
        </w:rPr>
      </w:pPr>
    </w:p>
    <w:p w14:paraId="3725F096">
      <w:pPr>
        <w:rPr>
          <w:color w:val="auto"/>
          <w:highlight w:val="none"/>
        </w:rPr>
      </w:pPr>
    </w:p>
    <w:p w14:paraId="5CE6531E">
      <w:pPr>
        <w:adjustRightInd w:val="0"/>
        <w:snapToGrid w:val="0"/>
        <w:spacing w:line="360" w:lineRule="auto"/>
        <w:ind w:firstLine="643" w:firstLineChars="200"/>
        <w:rPr>
          <w:rFonts w:eastAsia="仿宋_GB2312"/>
          <w:color w:val="auto"/>
          <w:highlight w:val="none"/>
        </w:rPr>
      </w:pPr>
      <w:r>
        <w:rPr>
          <w:rFonts w:ascii="宋体" w:hAnsi="宋体" w:cs="宋体"/>
          <w:b/>
          <w:color w:val="auto"/>
          <w:sz w:val="32"/>
          <w:highlight w:val="none"/>
        </w:rPr>
        <w:br w:type="page"/>
      </w:r>
    </w:p>
    <w:p w14:paraId="01BBEC94">
      <w:pPr>
        <w:rPr>
          <w:color w:val="auto"/>
          <w:highlight w:val="none"/>
        </w:rPr>
      </w:pPr>
    </w:p>
    <w:p w14:paraId="7D4B7E1B">
      <w:pPr>
        <w:jc w:val="center"/>
        <w:outlineLvl w:val="0"/>
        <w:rPr>
          <w:rFonts w:ascii="宋体" w:hAnsi="宋体"/>
          <w:color w:val="auto"/>
          <w:sz w:val="28"/>
          <w:szCs w:val="28"/>
          <w:highlight w:val="none"/>
        </w:rPr>
      </w:pPr>
      <w:bookmarkStart w:id="1890" w:name="_Toc21672"/>
      <w:bookmarkStart w:id="1891" w:name="_Toc8341"/>
      <w:bookmarkStart w:id="1892" w:name="_Toc26000"/>
      <w:r>
        <w:rPr>
          <w:rFonts w:hint="eastAsia" w:ascii="宋体" w:hAnsi="宋体"/>
          <w:b/>
          <w:bCs/>
          <w:color w:val="auto"/>
          <w:sz w:val="30"/>
          <w:szCs w:val="30"/>
          <w:highlight w:val="none"/>
        </w:rPr>
        <w:t xml:space="preserve">第五章  </w:t>
      </w:r>
      <w:bookmarkEnd w:id="1009"/>
      <w:r>
        <w:rPr>
          <w:rFonts w:hint="eastAsia" w:ascii="宋体" w:hAnsi="宋体"/>
          <w:b/>
          <w:bCs/>
          <w:color w:val="auto"/>
          <w:sz w:val="30"/>
          <w:szCs w:val="30"/>
          <w:highlight w:val="none"/>
        </w:rPr>
        <w:t>工程量清单</w:t>
      </w:r>
      <w:bookmarkEnd w:id="1010"/>
      <w:bookmarkEnd w:id="1011"/>
      <w:bookmarkEnd w:id="1890"/>
      <w:bookmarkEnd w:id="1891"/>
      <w:bookmarkEnd w:id="1892"/>
    </w:p>
    <w:p w14:paraId="2B487FE2">
      <w:pPr>
        <w:spacing w:line="360" w:lineRule="auto"/>
        <w:ind w:firstLine="361"/>
        <w:jc w:val="center"/>
        <w:rPr>
          <w:rFonts w:ascii="宋体" w:hAnsi="宋体"/>
          <w:b/>
          <w:color w:val="auto"/>
          <w:sz w:val="21"/>
          <w:szCs w:val="21"/>
          <w:highlight w:val="none"/>
        </w:rPr>
      </w:pPr>
      <w:bookmarkStart w:id="1893" w:name="_Toc283382019"/>
      <w:bookmarkEnd w:id="1893"/>
      <w:r>
        <w:rPr>
          <w:rFonts w:hint="eastAsia" w:ascii="宋体" w:hAnsi="宋体"/>
          <w:b/>
          <w:color w:val="auto"/>
          <w:highlight w:val="none"/>
        </w:rPr>
        <w:t>（</w:t>
      </w:r>
      <w:r>
        <w:rPr>
          <w:rFonts w:hint="eastAsia" w:ascii="宋体" w:hAnsi="宋体"/>
          <w:b/>
          <w:color w:val="auto"/>
          <w:sz w:val="21"/>
          <w:szCs w:val="21"/>
          <w:highlight w:val="none"/>
        </w:rPr>
        <w:t>凡通过网上登记下载文件的单位，可凭企业身份认证锁登录河南省公共资源电子招投标交易平台在【交易文件下载】界面下载工程量清单）</w:t>
      </w:r>
    </w:p>
    <w:p w14:paraId="24647217">
      <w:pPr>
        <w:ind w:firstLine="422"/>
        <w:jc w:val="center"/>
        <w:rPr>
          <w:rFonts w:ascii="宋体" w:hAnsi="宋体"/>
          <w:b/>
          <w:bCs/>
          <w:color w:val="auto"/>
          <w:sz w:val="28"/>
          <w:szCs w:val="28"/>
          <w:highlight w:val="none"/>
        </w:rPr>
      </w:pPr>
    </w:p>
    <w:p w14:paraId="13124FAB">
      <w:pPr>
        <w:ind w:firstLine="452"/>
        <w:jc w:val="left"/>
        <w:rPr>
          <w:rFonts w:ascii="宋体" w:hAnsi="宋体"/>
          <w:b/>
          <w:bCs/>
          <w:color w:val="auto"/>
          <w:sz w:val="30"/>
          <w:szCs w:val="30"/>
          <w:highlight w:val="none"/>
        </w:rPr>
      </w:pPr>
      <w:bookmarkStart w:id="1894" w:name="_Toc9582"/>
      <w:bookmarkEnd w:id="1894"/>
      <w:bookmarkStart w:id="1895" w:name="_Toc129073522"/>
      <w:r>
        <w:rPr>
          <w:rFonts w:hint="eastAsia" w:ascii="宋体" w:hAnsi="宋体"/>
          <w:b/>
          <w:bCs/>
          <w:color w:val="auto"/>
          <w:sz w:val="30"/>
          <w:szCs w:val="30"/>
          <w:highlight w:val="none"/>
        </w:rPr>
        <w:br w:type="page"/>
      </w:r>
    </w:p>
    <w:bookmarkEnd w:id="1895"/>
    <w:p w14:paraId="0A9584DB">
      <w:pPr>
        <w:jc w:val="center"/>
        <w:outlineLvl w:val="0"/>
        <w:rPr>
          <w:rFonts w:hint="default" w:ascii="宋体" w:hAnsi="宋体" w:eastAsia="宋体" w:cs="Times New Roman"/>
          <w:b/>
          <w:bCs/>
          <w:color w:val="auto"/>
          <w:sz w:val="30"/>
          <w:szCs w:val="30"/>
          <w:highlight w:val="none"/>
          <w:lang w:val="en-US" w:eastAsia="zh-CN"/>
        </w:rPr>
      </w:pPr>
      <w:bookmarkStart w:id="1896" w:name="_Toc6633"/>
      <w:bookmarkEnd w:id="1896"/>
      <w:bookmarkStart w:id="1897" w:name="_Toc12984"/>
      <w:bookmarkStart w:id="1898" w:name="_Toc17702"/>
      <w:bookmarkStart w:id="1899" w:name="_Toc1642"/>
      <w:bookmarkStart w:id="1900" w:name="_Toc16819"/>
      <w:bookmarkStart w:id="1901" w:name="_Toc24103"/>
      <w:bookmarkStart w:id="1902" w:name="_Toc129073523"/>
      <w:r>
        <w:rPr>
          <w:rFonts w:hint="eastAsia" w:ascii="宋体" w:hAnsi="宋体" w:eastAsia="宋体" w:cs="Times New Roman"/>
          <w:b/>
          <w:bCs/>
          <w:color w:val="auto"/>
          <w:sz w:val="30"/>
          <w:szCs w:val="30"/>
          <w:highlight w:val="none"/>
          <w:lang w:eastAsia="zh-CN"/>
        </w:rPr>
        <w:t>第六章</w:t>
      </w:r>
      <w:r>
        <w:rPr>
          <w:rFonts w:hint="eastAsia" w:ascii="宋体" w:hAnsi="宋体" w:eastAsia="宋体" w:cs="Times New Roman"/>
          <w:b/>
          <w:bCs/>
          <w:color w:val="auto"/>
          <w:sz w:val="30"/>
          <w:szCs w:val="30"/>
          <w:highlight w:val="none"/>
          <w:lang w:val="en-US" w:eastAsia="zh-CN"/>
        </w:rPr>
        <w:t xml:space="preserve">  </w:t>
      </w:r>
      <w:bookmarkEnd w:id="1897"/>
      <w:bookmarkEnd w:id="1898"/>
      <w:bookmarkEnd w:id="1899"/>
      <w:bookmarkEnd w:id="1900"/>
      <w:bookmarkEnd w:id="1901"/>
      <w:bookmarkEnd w:id="1902"/>
      <w:bookmarkStart w:id="1903" w:name="_Toc23098"/>
      <w:r>
        <w:rPr>
          <w:rFonts w:hint="eastAsia" w:ascii="宋体" w:hAnsi="宋体" w:cs="Times New Roman"/>
          <w:b/>
          <w:bCs/>
          <w:color w:val="auto"/>
          <w:sz w:val="30"/>
          <w:szCs w:val="30"/>
          <w:highlight w:val="none"/>
          <w:lang w:val="en-US" w:eastAsia="zh-CN"/>
        </w:rPr>
        <w:t>技术标准和要求</w:t>
      </w:r>
      <w:bookmarkEnd w:id="1903"/>
    </w:p>
    <w:p w14:paraId="4E593CC3">
      <w:pPr>
        <w:jc w:val="left"/>
        <w:rPr>
          <w:rFonts w:ascii="宋体" w:hAnsi="宋体"/>
          <w:color w:val="auto"/>
          <w:highlight w:val="none"/>
        </w:rPr>
      </w:pPr>
    </w:p>
    <w:p w14:paraId="35E465BD">
      <w:pPr>
        <w:spacing w:line="360" w:lineRule="auto"/>
        <w:rPr>
          <w:rFonts w:hint="eastAsia" w:asciiTheme="minorEastAsia" w:hAnsiTheme="minorEastAsia" w:eastAsiaTheme="minorEastAsia" w:cstheme="minorEastAsia"/>
          <w:color w:val="auto"/>
          <w:sz w:val="21"/>
          <w:szCs w:val="21"/>
        </w:rPr>
      </w:pPr>
      <w:bookmarkStart w:id="1904" w:name="_Toc129073524"/>
      <w:r>
        <w:rPr>
          <w:rFonts w:hint="eastAsia" w:asciiTheme="minorEastAsia" w:hAnsiTheme="minorEastAsia" w:eastAsiaTheme="minorEastAsia" w:cstheme="minorEastAsia"/>
          <w:color w:val="auto"/>
          <w:sz w:val="21"/>
          <w:szCs w:val="21"/>
        </w:rPr>
        <w:t>1.项目总体说明</w:t>
      </w:r>
    </w:p>
    <w:p w14:paraId="43BA9031">
      <w:pPr>
        <w:spacing w:line="360" w:lineRule="auto"/>
        <w:ind w:firstLine="420" w:firstLineChars="20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需对文北校区办公楼、一餐厅、二餐厅、4号楼附楼</w:t>
      </w:r>
      <w:r>
        <w:rPr>
          <w:rFonts w:hint="eastAsia" w:asciiTheme="minorEastAsia" w:hAnsiTheme="minorEastAsia" w:eastAsiaTheme="minorEastAsia" w:cstheme="minorEastAsia"/>
          <w:color w:val="auto"/>
          <w:sz w:val="21"/>
          <w:szCs w:val="21"/>
          <w:lang w:eastAsia="zh-CN"/>
        </w:rPr>
        <w:t>、校医院</w:t>
      </w:r>
      <w:r>
        <w:rPr>
          <w:rFonts w:hint="eastAsia" w:asciiTheme="minorEastAsia" w:hAnsiTheme="minorEastAsia" w:eastAsiaTheme="minorEastAsia" w:cstheme="minorEastAsia"/>
          <w:color w:val="auto"/>
          <w:sz w:val="21"/>
          <w:szCs w:val="21"/>
        </w:rPr>
        <w:t>及文南校区办公楼、</w:t>
      </w:r>
      <w:r>
        <w:rPr>
          <w:rFonts w:hint="eastAsia" w:asciiTheme="minorEastAsia" w:hAnsiTheme="minorEastAsia" w:eastAsiaTheme="minorEastAsia" w:cstheme="minorEastAsia"/>
          <w:color w:val="auto"/>
          <w:sz w:val="21"/>
          <w:szCs w:val="21"/>
          <w:lang w:eastAsia="zh-CN"/>
        </w:rPr>
        <w:t>宾馆楼</w:t>
      </w:r>
      <w:r>
        <w:rPr>
          <w:rFonts w:hint="eastAsia" w:asciiTheme="minorEastAsia" w:hAnsiTheme="minorEastAsia" w:eastAsiaTheme="minorEastAsia" w:cstheme="minorEastAsia"/>
          <w:color w:val="auto"/>
          <w:sz w:val="21"/>
          <w:szCs w:val="21"/>
        </w:rPr>
        <w:t>、2号楼、榕园楼漏水的房顶进行屋顶防水拆除及恢复。</w:t>
      </w:r>
    </w:p>
    <w:p w14:paraId="43428D1A">
      <w:pPr>
        <w:numPr>
          <w:ilvl w:val="0"/>
          <w:numId w:val="0"/>
        </w:num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质量要求：</w:t>
      </w:r>
    </w:p>
    <w:p w14:paraId="44A6FDA1">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（1）进场材料必须有出厂合格证和检测报告，防水卷材的厚度、涂料的固体含量等关键指标必须符合</w:t>
      </w:r>
      <w:r>
        <w:rPr>
          <w:rFonts w:hint="eastAsia" w:asciiTheme="minorEastAsia" w:hAnsiTheme="minorEastAsia" w:eastAsiaTheme="minorEastAsia" w:cstheme="minorEastAsia"/>
          <w:color w:val="auto"/>
          <w:sz w:val="21"/>
          <w:szCs w:val="21"/>
          <w:lang w:eastAsia="zh-CN"/>
        </w:rPr>
        <w:t>国家强制性规定</w:t>
      </w:r>
      <w:r>
        <w:rPr>
          <w:rFonts w:hint="eastAsia" w:asciiTheme="minorEastAsia" w:hAnsiTheme="minorEastAsia" w:eastAsiaTheme="minorEastAsia" w:cstheme="minorEastAsia"/>
          <w:color w:val="auto"/>
          <w:sz w:val="21"/>
          <w:szCs w:val="21"/>
        </w:rPr>
        <w:t>要求，绝不能用“非标”或三无产品滥竽充数。</w:t>
      </w:r>
    </w:p>
    <w:p w14:paraId="2A7AC274">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（2）基层要坚实平整，无明显裂缝或起砂。关键是坡度，必须顺滑导向排水口，严禁出现局部积水洼地。</w:t>
      </w:r>
    </w:p>
    <w:p w14:paraId="7F49D812">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（3）防水层铺贴/涂刷要均匀，严禁有起鼓、气泡、翘边、皱折。用棍子轻敲应声音沉闷，确保无空鼓脱层。</w:t>
      </w:r>
    </w:p>
    <w:p w14:paraId="1859B158">
      <w:pPr>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（4）防水层干固后，必须进行24小时以上的闭水试验（蓄水深度30-50mm），或持续2小时的淋水试验。确认楼下顶板及四周墙面无任何阴湿、渗漏，才算真正合格。</w:t>
      </w:r>
      <w:r>
        <w:rPr>
          <w:rFonts w:hint="eastAsia" w:asciiTheme="minorEastAsia" w:hAnsiTheme="minorEastAsia" w:eastAsiaTheme="minorEastAsia" w:cstheme="minorEastAsia"/>
          <w:color w:val="auto"/>
          <w:sz w:val="21"/>
          <w:szCs w:val="21"/>
          <w:lang w:val="en-US" w:eastAsia="zh-CN"/>
        </w:rPr>
        <w:t xml:space="preserve">    </w:t>
      </w:r>
    </w:p>
    <w:p w14:paraId="67A33709">
      <w:pPr>
        <w:spacing w:line="360" w:lineRule="auto"/>
        <w:ind w:firstLine="420" w:firstLineChars="200"/>
        <w:rPr>
          <w:rFonts w:hint="eastAsia" w:asciiTheme="minorEastAsia" w:hAnsiTheme="minorEastAsia" w:eastAsiaTheme="minorEastAsia" w:cstheme="minorEastAsia"/>
          <w:i/>
          <w:iCs/>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项目实施要求</w:t>
      </w:r>
    </w:p>
    <w:p w14:paraId="18AD0C78">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工程总价款包括材料、运输、施工、保管、保险等全部费用，严格按照学校要求进行施工，确保质量，中标单位应派驻项目经理全程跟踪。</w:t>
      </w:r>
    </w:p>
    <w:p w14:paraId="69C35C27">
      <w:pPr>
        <w:numPr>
          <w:ilvl w:val="0"/>
          <w:numId w:val="0"/>
        </w:numPr>
        <w:autoSpaceDE w:val="0"/>
        <w:autoSpaceDN w:val="0"/>
        <w:adjustRightInd w:val="0"/>
        <w:spacing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kern w:val="0"/>
          <w:sz w:val="21"/>
          <w:szCs w:val="21"/>
          <w:lang w:val="en-US" w:eastAsia="zh-CN" w:bidi="ar-SA"/>
        </w:rPr>
        <w:t>4</w:t>
      </w:r>
      <w:r>
        <w:rPr>
          <w:rFonts w:hint="eastAsia" w:ascii="宋体" w:hAnsi="宋体" w:eastAsia="宋体" w:cs="宋体"/>
          <w:color w:val="auto"/>
          <w:kern w:val="0"/>
          <w:sz w:val="21"/>
          <w:szCs w:val="21"/>
          <w:lang w:val="en-US" w:eastAsia="zh-CN" w:bidi="ar-SA"/>
        </w:rPr>
        <w:t>.</w:t>
      </w:r>
      <w:r>
        <w:rPr>
          <w:rFonts w:hint="eastAsia" w:asciiTheme="minorEastAsia" w:hAnsiTheme="minorEastAsia" w:eastAsiaTheme="minorEastAsia" w:cstheme="minorEastAsia"/>
          <w:color w:val="auto"/>
          <w:kern w:val="0"/>
          <w:sz w:val="21"/>
          <w:szCs w:val="21"/>
          <w:highlight w:val="none"/>
        </w:rPr>
        <w:t>履约验收方案履约验收</w:t>
      </w:r>
      <w:r>
        <w:rPr>
          <w:rFonts w:hint="eastAsia" w:asciiTheme="minorEastAsia" w:hAnsiTheme="minorEastAsia" w:eastAsiaTheme="minorEastAsia" w:cstheme="minorEastAsia"/>
          <w:color w:val="auto"/>
          <w:kern w:val="0"/>
          <w:sz w:val="21"/>
          <w:szCs w:val="21"/>
          <w:highlight w:val="none"/>
          <w:lang w:val="en-US" w:eastAsia="zh-CN"/>
        </w:rPr>
        <w:t>工作</w:t>
      </w:r>
      <w:r>
        <w:rPr>
          <w:rFonts w:hint="eastAsia" w:asciiTheme="minorEastAsia" w:hAnsiTheme="minorEastAsia" w:eastAsiaTheme="minorEastAsia" w:cstheme="minorEastAsia"/>
          <w:color w:val="auto"/>
          <w:kern w:val="0"/>
          <w:sz w:val="21"/>
          <w:szCs w:val="21"/>
          <w:highlight w:val="none"/>
        </w:rPr>
        <w:t>按照《河南财经政法大学采购项目履约验收管理办法》执行</w:t>
      </w:r>
      <w:r>
        <w:rPr>
          <w:rFonts w:hint="eastAsia" w:ascii="宋体" w:hAnsi="宋体" w:cs="宋体"/>
          <w:color w:val="auto"/>
          <w:kern w:val="0"/>
          <w:sz w:val="21"/>
          <w:szCs w:val="21"/>
          <w:highlight w:val="none"/>
        </w:rPr>
        <w:t>。</w:t>
      </w:r>
    </w:p>
    <w:p w14:paraId="55A71358">
      <w:pPr>
        <w:numPr>
          <w:ilvl w:val="0"/>
          <w:numId w:val="0"/>
        </w:numPr>
        <w:autoSpaceDE w:val="0"/>
        <w:autoSpaceDN w:val="0"/>
        <w:adjustRightInd w:val="0"/>
        <w:spacing w:line="360" w:lineRule="auto"/>
        <w:ind w:firstLine="420" w:firstLineChars="200"/>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5</w:t>
      </w:r>
      <w:r>
        <w:rPr>
          <w:rFonts w:ascii="宋体" w:hAnsi="宋体" w:eastAsia="宋体" w:cs="宋体"/>
          <w:color w:val="auto"/>
          <w:kern w:val="0"/>
          <w:sz w:val="21"/>
          <w:szCs w:val="21"/>
          <w:lang w:val="en-US" w:eastAsia="zh-CN" w:bidi="ar-SA"/>
        </w:rPr>
        <w:t>.</w:t>
      </w:r>
      <w:r>
        <w:rPr>
          <w:rFonts w:hint="eastAsia" w:ascii="宋体" w:hAnsi="宋体" w:eastAsia="宋体" w:cs="宋体"/>
          <w:color w:val="auto"/>
          <w:kern w:val="0"/>
          <w:sz w:val="21"/>
          <w:szCs w:val="21"/>
          <w:lang w:val="en-US" w:eastAsia="zh-CN" w:bidi="ar-SA"/>
        </w:rPr>
        <w:t>本项目的材料、设备、施工须达到现行中华人民共和国以及省、自治区、直辖市或行业的工程建设标准、规范的合格要求。</w:t>
      </w:r>
    </w:p>
    <w:p w14:paraId="33FD6E52">
      <w:pPr>
        <w:numPr>
          <w:ilvl w:val="0"/>
          <w:numId w:val="0"/>
        </w:numPr>
        <w:autoSpaceDE w:val="0"/>
        <w:autoSpaceDN w:val="0"/>
        <w:adjustRightInd w:val="0"/>
        <w:spacing w:line="360" w:lineRule="auto"/>
        <w:rPr>
          <w:rFonts w:ascii="宋体" w:hAnsi="宋体" w:cs="宋体"/>
          <w:color w:val="auto"/>
          <w:kern w:val="0"/>
          <w:highlight w:val="none"/>
        </w:rPr>
      </w:pPr>
      <w:r>
        <w:rPr>
          <w:rFonts w:hint="eastAsia" w:ascii="宋体" w:hAnsi="宋体" w:cs="宋体"/>
          <w:color w:val="auto"/>
          <w:kern w:val="0"/>
          <w:highlight w:val="none"/>
        </w:rPr>
        <w:br w:type="page"/>
      </w:r>
    </w:p>
    <w:p w14:paraId="5726CAA1">
      <w:pPr>
        <w:pStyle w:val="2"/>
        <w:spacing w:before="120" w:after="120" w:line="400" w:lineRule="exact"/>
        <w:ind w:left="-199" w:leftChars="-95" w:firstLine="542"/>
        <w:jc w:val="center"/>
        <w:rPr>
          <w:rFonts w:ascii="宋体" w:hAnsi="宋体"/>
          <w:bCs w:val="0"/>
          <w:color w:val="auto"/>
          <w:sz w:val="36"/>
          <w:szCs w:val="36"/>
          <w:highlight w:val="none"/>
        </w:rPr>
      </w:pPr>
      <w:bookmarkStart w:id="1905" w:name="_Toc16120"/>
      <w:bookmarkStart w:id="1906" w:name="_Toc7841"/>
      <w:bookmarkStart w:id="1907" w:name="_Toc5828"/>
      <w:bookmarkStart w:id="1908" w:name="_Toc18944"/>
      <w:r>
        <w:rPr>
          <w:rFonts w:hint="eastAsia" w:ascii="宋体" w:hAnsi="宋体"/>
          <w:bCs w:val="0"/>
          <w:color w:val="auto"/>
          <w:sz w:val="36"/>
          <w:szCs w:val="36"/>
          <w:highlight w:val="none"/>
        </w:rPr>
        <w:t>第</w:t>
      </w:r>
      <w:r>
        <w:rPr>
          <w:rFonts w:hint="eastAsia" w:ascii="宋体" w:hAnsi="宋体"/>
          <w:bCs w:val="0"/>
          <w:color w:val="auto"/>
          <w:sz w:val="36"/>
          <w:szCs w:val="36"/>
          <w:highlight w:val="none"/>
          <w:lang w:val="en-US" w:eastAsia="zh-CN"/>
        </w:rPr>
        <w:t>七</w:t>
      </w:r>
      <w:r>
        <w:rPr>
          <w:rFonts w:hint="eastAsia" w:ascii="宋体" w:hAnsi="宋体"/>
          <w:bCs w:val="0"/>
          <w:color w:val="auto"/>
          <w:sz w:val="36"/>
          <w:szCs w:val="36"/>
          <w:highlight w:val="none"/>
        </w:rPr>
        <w:t>章  响应文件格式</w:t>
      </w:r>
      <w:bookmarkEnd w:id="1904"/>
      <w:bookmarkEnd w:id="1905"/>
      <w:bookmarkEnd w:id="1906"/>
      <w:bookmarkEnd w:id="1907"/>
      <w:bookmarkEnd w:id="1908"/>
    </w:p>
    <w:p w14:paraId="03FA9A93">
      <w:pPr>
        <w:pStyle w:val="95"/>
        <w:rPr>
          <w:rFonts w:ascii="宋体" w:hAnsi="宋体"/>
          <w:color w:val="auto"/>
          <w:highlight w:val="none"/>
        </w:rPr>
      </w:pPr>
    </w:p>
    <w:p w14:paraId="74198A9E">
      <w:pPr>
        <w:spacing w:line="440" w:lineRule="exact"/>
        <w:ind w:firstLine="300"/>
        <w:rPr>
          <w:rFonts w:ascii="宋体" w:hAnsi="宋体"/>
          <w:color w:val="auto"/>
          <w:sz w:val="20"/>
          <w:szCs w:val="20"/>
          <w:highlight w:val="none"/>
        </w:rPr>
      </w:pPr>
    </w:p>
    <w:p w14:paraId="2127F671">
      <w:pPr>
        <w:spacing w:line="360" w:lineRule="auto"/>
        <w:jc w:val="center"/>
        <w:rPr>
          <w:rFonts w:hint="eastAsia" w:ascii="宋体" w:hAnsi="宋体"/>
          <w:b/>
          <w:bCs/>
          <w:color w:val="auto"/>
          <w:sz w:val="44"/>
          <w:szCs w:val="44"/>
          <w:highlight w:val="none"/>
          <w:lang w:eastAsia="zh-CN"/>
        </w:rPr>
      </w:pPr>
      <w:r>
        <w:rPr>
          <w:rFonts w:hint="eastAsia" w:ascii="宋体" w:hAnsi="宋体"/>
          <w:b/>
          <w:bCs/>
          <w:color w:val="auto"/>
          <w:sz w:val="44"/>
          <w:szCs w:val="44"/>
          <w:highlight w:val="none"/>
          <w:lang w:eastAsia="zh-CN"/>
        </w:rPr>
        <w:t>河南财经政法大学</w:t>
      </w:r>
    </w:p>
    <w:p w14:paraId="724DB89C">
      <w:pPr>
        <w:spacing w:line="360" w:lineRule="auto"/>
        <w:jc w:val="center"/>
        <w:rPr>
          <w:rFonts w:hint="eastAsia" w:ascii="宋体" w:hAnsi="宋体" w:eastAsia="宋体"/>
          <w:b/>
          <w:bCs/>
          <w:color w:val="auto"/>
          <w:sz w:val="44"/>
          <w:szCs w:val="44"/>
          <w:highlight w:val="none"/>
          <w:lang w:val="en-US" w:eastAsia="zh-CN"/>
        </w:rPr>
      </w:pPr>
      <w:r>
        <w:rPr>
          <w:rFonts w:hint="eastAsia" w:ascii="宋体" w:hAnsi="宋体"/>
          <w:b/>
          <w:bCs/>
          <w:color w:val="auto"/>
          <w:sz w:val="44"/>
          <w:szCs w:val="44"/>
          <w:highlight w:val="none"/>
          <w:lang w:eastAsia="zh-CN"/>
        </w:rPr>
        <w:t>文化路校区部分楼宇防水项目</w:t>
      </w:r>
    </w:p>
    <w:p w14:paraId="1EE2A0B2">
      <w:pPr>
        <w:ind w:firstLine="420"/>
        <w:jc w:val="center"/>
        <w:rPr>
          <w:rFonts w:ascii="宋体" w:hAnsi="宋体"/>
          <w:color w:val="auto"/>
          <w:sz w:val="28"/>
          <w:szCs w:val="28"/>
          <w:highlight w:val="none"/>
        </w:rPr>
      </w:pPr>
    </w:p>
    <w:p w14:paraId="585BB500">
      <w:pPr>
        <w:jc w:val="center"/>
        <w:rPr>
          <w:rFonts w:ascii="宋体" w:hAnsi="宋体"/>
          <w:color w:val="auto"/>
          <w:sz w:val="84"/>
          <w:szCs w:val="84"/>
          <w:highlight w:val="none"/>
        </w:rPr>
      </w:pPr>
      <w:r>
        <w:rPr>
          <w:rFonts w:hint="eastAsia" w:ascii="宋体" w:hAnsi="宋体"/>
          <w:color w:val="auto"/>
          <w:sz w:val="84"/>
          <w:szCs w:val="84"/>
          <w:highlight w:val="none"/>
        </w:rPr>
        <w:t>响 应 文 件</w:t>
      </w:r>
    </w:p>
    <w:p w14:paraId="5326C7B5">
      <w:pPr>
        <w:spacing w:line="400" w:lineRule="exact"/>
        <w:ind w:firstLine="420"/>
        <w:rPr>
          <w:rFonts w:ascii="宋体" w:hAnsi="宋体"/>
          <w:color w:val="auto"/>
          <w:sz w:val="28"/>
          <w:szCs w:val="28"/>
          <w:highlight w:val="none"/>
        </w:rPr>
      </w:pPr>
    </w:p>
    <w:p w14:paraId="44C2C823">
      <w:pPr>
        <w:spacing w:line="400" w:lineRule="exact"/>
        <w:jc w:val="center"/>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rPr>
        <w:t>项目编号：</w:t>
      </w:r>
      <w:r>
        <w:rPr>
          <w:rFonts w:hint="eastAsia" w:ascii="宋体" w:hAnsi="宋体"/>
          <w:color w:val="auto"/>
          <w:sz w:val="28"/>
          <w:szCs w:val="28"/>
          <w:highlight w:val="none"/>
          <w:lang w:eastAsia="zh-CN"/>
        </w:rPr>
        <w:t>豫财磋商采购-202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625</w:t>
      </w:r>
    </w:p>
    <w:p w14:paraId="04307A06">
      <w:pPr>
        <w:spacing w:line="400" w:lineRule="exact"/>
        <w:ind w:firstLine="420"/>
        <w:rPr>
          <w:rFonts w:ascii="宋体" w:hAnsi="宋体"/>
          <w:color w:val="auto"/>
          <w:sz w:val="28"/>
          <w:szCs w:val="28"/>
          <w:highlight w:val="none"/>
        </w:rPr>
      </w:pPr>
    </w:p>
    <w:p w14:paraId="06805884">
      <w:pPr>
        <w:spacing w:line="400" w:lineRule="exact"/>
        <w:ind w:firstLine="420"/>
        <w:rPr>
          <w:rFonts w:ascii="宋体" w:hAnsi="宋体"/>
          <w:color w:val="auto"/>
          <w:sz w:val="28"/>
          <w:szCs w:val="28"/>
          <w:highlight w:val="none"/>
        </w:rPr>
      </w:pPr>
    </w:p>
    <w:p w14:paraId="14F23797">
      <w:pPr>
        <w:spacing w:line="400" w:lineRule="exact"/>
        <w:ind w:firstLine="420"/>
        <w:rPr>
          <w:rFonts w:ascii="宋体" w:hAnsi="宋体"/>
          <w:color w:val="auto"/>
          <w:sz w:val="28"/>
          <w:szCs w:val="28"/>
          <w:highlight w:val="none"/>
        </w:rPr>
      </w:pPr>
    </w:p>
    <w:p w14:paraId="2F489DA4">
      <w:pPr>
        <w:spacing w:line="400" w:lineRule="exact"/>
        <w:ind w:firstLine="420"/>
        <w:rPr>
          <w:rFonts w:ascii="宋体" w:hAnsi="宋体"/>
          <w:color w:val="auto"/>
          <w:sz w:val="28"/>
          <w:szCs w:val="28"/>
          <w:highlight w:val="none"/>
        </w:rPr>
      </w:pPr>
    </w:p>
    <w:p w14:paraId="7EF28F77">
      <w:pPr>
        <w:spacing w:line="400" w:lineRule="exact"/>
        <w:ind w:firstLine="420"/>
        <w:rPr>
          <w:rFonts w:ascii="宋体" w:hAnsi="宋体"/>
          <w:color w:val="auto"/>
          <w:sz w:val="28"/>
          <w:szCs w:val="28"/>
          <w:highlight w:val="none"/>
        </w:rPr>
      </w:pPr>
    </w:p>
    <w:p w14:paraId="6EE82B4F">
      <w:pPr>
        <w:spacing w:line="400" w:lineRule="exact"/>
        <w:ind w:firstLine="420"/>
        <w:rPr>
          <w:rFonts w:ascii="宋体" w:hAnsi="宋体"/>
          <w:color w:val="auto"/>
          <w:sz w:val="28"/>
          <w:szCs w:val="28"/>
          <w:highlight w:val="none"/>
        </w:rPr>
      </w:pPr>
    </w:p>
    <w:p w14:paraId="02604A63">
      <w:pPr>
        <w:spacing w:line="400" w:lineRule="exact"/>
        <w:ind w:firstLine="420"/>
        <w:rPr>
          <w:rFonts w:ascii="宋体" w:hAnsi="宋体"/>
          <w:color w:val="auto"/>
          <w:sz w:val="28"/>
          <w:szCs w:val="28"/>
          <w:highlight w:val="none"/>
        </w:rPr>
      </w:pPr>
    </w:p>
    <w:p w14:paraId="7CDF7058">
      <w:pPr>
        <w:spacing w:line="400" w:lineRule="exact"/>
        <w:ind w:firstLine="420"/>
        <w:rPr>
          <w:rFonts w:ascii="宋体" w:hAnsi="宋体"/>
          <w:color w:val="auto"/>
          <w:sz w:val="28"/>
          <w:szCs w:val="28"/>
          <w:highlight w:val="none"/>
        </w:rPr>
      </w:pPr>
    </w:p>
    <w:p w14:paraId="4C3C3C40">
      <w:pPr>
        <w:pStyle w:val="96"/>
        <w:ind w:firstLine="560"/>
        <w:rPr>
          <w:color w:val="auto"/>
          <w:sz w:val="28"/>
          <w:szCs w:val="28"/>
          <w:highlight w:val="none"/>
        </w:rPr>
      </w:pPr>
    </w:p>
    <w:p w14:paraId="3572E2C9">
      <w:pPr>
        <w:rPr>
          <w:rFonts w:ascii="宋体" w:hAnsi="宋体"/>
          <w:color w:val="auto"/>
          <w:highlight w:val="none"/>
        </w:rPr>
      </w:pPr>
    </w:p>
    <w:p w14:paraId="5B494A3D">
      <w:pPr>
        <w:spacing w:line="480" w:lineRule="auto"/>
        <w:ind w:firstLine="420"/>
        <w:jc w:val="center"/>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w:t>
      </w:r>
      <w:r>
        <w:rPr>
          <w:rFonts w:hint="eastAsia" w:ascii="宋体" w:hAnsi="宋体" w:cs="宋体"/>
          <w:color w:val="auto"/>
          <w:sz w:val="28"/>
          <w:highlight w:val="none"/>
        </w:rPr>
        <w:t>单位电子印章</w:t>
      </w:r>
      <w:r>
        <w:rPr>
          <w:rFonts w:hint="eastAsia" w:ascii="宋体" w:hAnsi="宋体"/>
          <w:color w:val="auto"/>
          <w:sz w:val="28"/>
          <w:szCs w:val="28"/>
          <w:highlight w:val="none"/>
        </w:rPr>
        <w:t>）</w:t>
      </w:r>
    </w:p>
    <w:p w14:paraId="01E46EF4">
      <w:pPr>
        <w:spacing w:line="480" w:lineRule="auto"/>
        <w:ind w:firstLine="420"/>
        <w:jc w:val="center"/>
        <w:rPr>
          <w:rFonts w:ascii="宋体" w:hAnsi="宋体"/>
          <w:color w:val="auto"/>
          <w:sz w:val="28"/>
          <w:szCs w:val="28"/>
          <w:highlight w:val="none"/>
        </w:rPr>
      </w:pPr>
      <w:r>
        <w:rPr>
          <w:rFonts w:hint="eastAsia" w:ascii="宋体" w:hAnsi="宋体"/>
          <w:color w:val="auto"/>
          <w:sz w:val="28"/>
          <w:szCs w:val="28"/>
          <w:highlight w:val="none"/>
        </w:rPr>
        <w:t>法定代表人或其委托代理人：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（电子签章或签字）</w:t>
      </w:r>
    </w:p>
    <w:p w14:paraId="1FE903BB">
      <w:pPr>
        <w:spacing w:line="480" w:lineRule="auto"/>
        <w:ind w:firstLine="420"/>
        <w:jc w:val="center"/>
        <w:rPr>
          <w:rFonts w:ascii="宋体" w:hAnsi="宋体"/>
          <w:color w:val="auto"/>
          <w:sz w:val="20"/>
          <w:szCs w:val="20"/>
          <w:highlight w:val="none"/>
        </w:rPr>
      </w:pPr>
      <w:r>
        <w:rPr>
          <w:rFonts w:hint="eastAsia" w:ascii="宋体" w:hAnsi="宋体"/>
          <w:color w:val="auto"/>
          <w:sz w:val="28"/>
          <w:szCs w:val="28"/>
          <w:highlight w:val="none"/>
        </w:rPr>
        <w:t>年   月   日</w:t>
      </w:r>
    </w:p>
    <w:p w14:paraId="17E22A2D">
      <w:pPr>
        <w:spacing w:line="400" w:lineRule="exact"/>
        <w:rPr>
          <w:rFonts w:ascii="宋体" w:hAnsi="宋体"/>
          <w:color w:val="auto"/>
          <w:highlight w:val="none"/>
        </w:rPr>
      </w:pPr>
      <w:r>
        <w:rPr>
          <w:rFonts w:hint="eastAsia" w:ascii="宋体" w:hAnsi="宋体"/>
          <w:color w:val="auto"/>
          <w:highlight w:val="none"/>
        </w:rPr>
        <w:br w:type="page"/>
      </w:r>
    </w:p>
    <w:p w14:paraId="1C72BB69">
      <w:pPr>
        <w:pStyle w:val="92"/>
        <w:ind w:firstLine="420"/>
        <w:jc w:val="center"/>
        <w:rPr>
          <w:rFonts w:ascii="宋体" w:hAnsi="宋体" w:eastAsia="宋体"/>
          <w:b/>
          <w:bCs w:val="0"/>
          <w:color w:val="auto"/>
          <w:highlight w:val="none"/>
        </w:rPr>
      </w:pPr>
      <w:bookmarkStart w:id="1909" w:name="_Toc27560"/>
      <w:bookmarkEnd w:id="1909"/>
      <w:bookmarkStart w:id="1910" w:name="_Toc2645"/>
      <w:bookmarkEnd w:id="1910"/>
      <w:bookmarkStart w:id="1911" w:name="_Toc32443"/>
      <w:bookmarkEnd w:id="1911"/>
      <w:bookmarkStart w:id="1912" w:name="_Toc14373"/>
      <w:bookmarkEnd w:id="1912"/>
      <w:bookmarkStart w:id="1913" w:name="_Toc8413"/>
      <w:bookmarkEnd w:id="1913"/>
      <w:bookmarkStart w:id="1914" w:name="_Toc10473"/>
      <w:bookmarkEnd w:id="1914"/>
      <w:bookmarkStart w:id="1915" w:name="_Toc32683"/>
      <w:bookmarkEnd w:id="1915"/>
      <w:bookmarkStart w:id="1916" w:name="_Toc23656"/>
      <w:bookmarkEnd w:id="1916"/>
      <w:bookmarkStart w:id="1917" w:name="_Toc466298157"/>
      <w:bookmarkEnd w:id="1917"/>
      <w:bookmarkStart w:id="1918" w:name="_Toc28226"/>
      <w:bookmarkEnd w:id="1918"/>
      <w:bookmarkStart w:id="1919" w:name="_Toc509667321"/>
      <w:bookmarkEnd w:id="1919"/>
      <w:bookmarkStart w:id="1920" w:name="_Toc152045787"/>
      <w:bookmarkEnd w:id="1920"/>
      <w:bookmarkStart w:id="1921" w:name="_Toc144974856"/>
      <w:bookmarkEnd w:id="1921"/>
      <w:bookmarkStart w:id="1922" w:name="_Toc152042576"/>
      <w:bookmarkStart w:id="1923" w:name="_Toc5563"/>
      <w:bookmarkStart w:id="1924" w:name="_Toc14859"/>
      <w:bookmarkStart w:id="1925" w:name="_Toc129073525"/>
      <w:bookmarkStart w:id="1926" w:name="_Toc8962"/>
      <w:bookmarkStart w:id="1927" w:name="_Toc8606"/>
      <w:bookmarkStart w:id="1928" w:name="_Toc18"/>
      <w:bookmarkStart w:id="1929" w:name="_Toc24744"/>
      <w:r>
        <w:rPr>
          <w:rFonts w:hint="eastAsia" w:ascii="宋体" w:hAnsi="宋体" w:eastAsia="宋体"/>
          <w:b/>
          <w:bCs w:val="0"/>
          <w:color w:val="auto"/>
          <w:highlight w:val="none"/>
        </w:rPr>
        <w:t>目    录</w:t>
      </w:r>
      <w:bookmarkEnd w:id="1922"/>
      <w:bookmarkEnd w:id="1923"/>
      <w:bookmarkEnd w:id="1924"/>
      <w:bookmarkEnd w:id="1925"/>
      <w:bookmarkEnd w:id="1926"/>
      <w:bookmarkEnd w:id="1927"/>
      <w:bookmarkEnd w:id="1928"/>
      <w:bookmarkEnd w:id="1929"/>
    </w:p>
    <w:p w14:paraId="434552C8">
      <w:pPr>
        <w:spacing w:line="540" w:lineRule="exact"/>
        <w:rPr>
          <w:rFonts w:hint="eastAsia" w:ascii="宋体" w:hAnsi="宋体"/>
          <w:color w:val="auto"/>
          <w:highlight w:val="none"/>
        </w:rPr>
      </w:pPr>
      <w:r>
        <w:rPr>
          <w:rFonts w:hint="eastAsia" w:ascii="宋体" w:hAnsi="宋体"/>
          <w:color w:val="auto"/>
          <w:highlight w:val="none"/>
        </w:rPr>
        <w:t>一、磋商函及磋商函附录</w:t>
      </w:r>
    </w:p>
    <w:p w14:paraId="307A617E">
      <w:pPr>
        <w:spacing w:line="540" w:lineRule="exact"/>
        <w:rPr>
          <w:rFonts w:hint="eastAsia" w:ascii="宋体" w:hAnsi="宋体"/>
          <w:color w:val="auto"/>
          <w:highlight w:val="none"/>
        </w:rPr>
      </w:pPr>
      <w:r>
        <w:rPr>
          <w:rFonts w:hint="eastAsia" w:ascii="宋体" w:hAnsi="宋体"/>
          <w:color w:val="auto"/>
          <w:highlight w:val="none"/>
        </w:rPr>
        <w:t>二、法定代表人身份证明</w:t>
      </w:r>
    </w:p>
    <w:p w14:paraId="4CDB7457">
      <w:pPr>
        <w:spacing w:line="540" w:lineRule="exact"/>
        <w:rPr>
          <w:rFonts w:hint="eastAsia" w:ascii="宋体" w:hAnsi="宋体"/>
          <w:color w:val="auto"/>
          <w:highlight w:val="none"/>
        </w:rPr>
      </w:pPr>
      <w:r>
        <w:rPr>
          <w:rFonts w:hint="eastAsia" w:ascii="宋体" w:hAnsi="宋体"/>
          <w:color w:val="auto"/>
          <w:highlight w:val="none"/>
        </w:rPr>
        <w:t>三、授权委托书</w:t>
      </w:r>
    </w:p>
    <w:p w14:paraId="22ABD061">
      <w:pPr>
        <w:spacing w:line="540" w:lineRule="exact"/>
        <w:rPr>
          <w:rFonts w:hint="eastAsia" w:ascii="宋体" w:hAnsi="宋体"/>
          <w:color w:val="auto"/>
          <w:highlight w:val="none"/>
        </w:rPr>
      </w:pPr>
      <w:r>
        <w:rPr>
          <w:rFonts w:hint="eastAsia" w:ascii="宋体" w:hAnsi="宋体"/>
          <w:color w:val="auto"/>
          <w:highlight w:val="none"/>
        </w:rPr>
        <w:t>四、资格审查资料</w:t>
      </w:r>
    </w:p>
    <w:p w14:paraId="37315032">
      <w:pPr>
        <w:spacing w:line="540" w:lineRule="exact"/>
        <w:rPr>
          <w:rFonts w:hint="eastAsia" w:ascii="宋体" w:hAnsi="宋体"/>
          <w:color w:val="auto"/>
          <w:highlight w:val="none"/>
        </w:rPr>
      </w:pPr>
      <w:r>
        <w:rPr>
          <w:rFonts w:hint="eastAsia" w:ascii="宋体" w:hAnsi="宋体"/>
          <w:color w:val="auto"/>
          <w:highlight w:val="none"/>
        </w:rPr>
        <w:t>五、已标价工程量清单</w:t>
      </w:r>
    </w:p>
    <w:p w14:paraId="35BCE57C">
      <w:pPr>
        <w:spacing w:line="540" w:lineRule="exact"/>
        <w:rPr>
          <w:rFonts w:hint="eastAsia" w:ascii="宋体" w:hAnsi="宋体" w:eastAsia="宋体"/>
          <w:color w:val="auto"/>
          <w:highlight w:val="none"/>
          <w:lang w:eastAsia="zh-CN"/>
        </w:rPr>
      </w:pPr>
      <w:r>
        <w:rPr>
          <w:rFonts w:hint="eastAsia" w:ascii="宋体" w:hAnsi="宋体"/>
          <w:color w:val="auto"/>
          <w:highlight w:val="none"/>
        </w:rPr>
        <w:t>六、</w:t>
      </w:r>
      <w:r>
        <w:rPr>
          <w:rFonts w:hint="eastAsia" w:ascii="宋体" w:hAnsi="宋体"/>
          <w:color w:val="auto"/>
          <w:highlight w:val="none"/>
          <w:lang w:eastAsia="zh-CN"/>
        </w:rPr>
        <w:t>技术部分</w:t>
      </w:r>
    </w:p>
    <w:p w14:paraId="16C983D0">
      <w:pPr>
        <w:spacing w:line="540" w:lineRule="exact"/>
        <w:rPr>
          <w:rFonts w:hint="eastAsia" w:ascii="宋体" w:hAnsi="宋体"/>
          <w:color w:val="auto"/>
          <w:highlight w:val="none"/>
        </w:rPr>
      </w:pPr>
      <w:r>
        <w:rPr>
          <w:rFonts w:hint="eastAsia" w:ascii="宋体" w:hAnsi="宋体"/>
          <w:color w:val="auto"/>
          <w:highlight w:val="none"/>
        </w:rPr>
        <w:t>七、类似项目业绩</w:t>
      </w:r>
    </w:p>
    <w:p w14:paraId="1942175E">
      <w:pPr>
        <w:spacing w:line="540" w:lineRule="exact"/>
        <w:rPr>
          <w:rFonts w:hint="eastAsia" w:ascii="宋体" w:hAnsi="宋体"/>
          <w:color w:val="auto"/>
          <w:highlight w:val="none"/>
        </w:rPr>
      </w:pPr>
      <w:r>
        <w:rPr>
          <w:rFonts w:hint="eastAsia" w:ascii="宋体" w:hAnsi="宋体"/>
          <w:color w:val="auto"/>
          <w:highlight w:val="none"/>
        </w:rPr>
        <w:t>八、项目管理机构</w:t>
      </w:r>
    </w:p>
    <w:p w14:paraId="116B66D9">
      <w:pPr>
        <w:spacing w:line="540" w:lineRule="exact"/>
        <w:rPr>
          <w:rFonts w:hint="eastAsia" w:ascii="宋体" w:hAnsi="宋体"/>
          <w:color w:val="auto"/>
          <w:highlight w:val="none"/>
        </w:rPr>
      </w:pPr>
      <w:r>
        <w:rPr>
          <w:rFonts w:hint="eastAsia" w:ascii="宋体" w:hAnsi="宋体"/>
          <w:color w:val="auto"/>
          <w:highlight w:val="none"/>
        </w:rPr>
        <w:t>九、服务承诺</w:t>
      </w:r>
    </w:p>
    <w:p w14:paraId="3475B5C0">
      <w:pPr>
        <w:spacing w:line="540" w:lineRule="exact"/>
        <w:rPr>
          <w:rFonts w:ascii="宋体" w:hAnsi="宋体"/>
          <w:color w:val="auto"/>
          <w:highlight w:val="none"/>
        </w:rPr>
      </w:pPr>
      <w:r>
        <w:rPr>
          <w:rFonts w:hint="eastAsia" w:ascii="宋体" w:hAnsi="宋体"/>
          <w:color w:val="auto"/>
          <w:highlight w:val="none"/>
        </w:rPr>
        <w:t>十、其他材料</w:t>
      </w:r>
    </w:p>
    <w:p w14:paraId="71E7D256">
      <w:pPr>
        <w:spacing w:line="540" w:lineRule="exact"/>
        <w:rPr>
          <w:rFonts w:ascii="宋体" w:hAnsi="宋体"/>
          <w:color w:val="auto"/>
          <w:highlight w:val="none"/>
        </w:rPr>
      </w:pPr>
    </w:p>
    <w:p w14:paraId="3C56C7F1">
      <w:pPr>
        <w:spacing w:line="540" w:lineRule="exact"/>
        <w:jc w:val="center"/>
        <w:rPr>
          <w:rFonts w:ascii="宋体" w:hAnsi="宋体"/>
          <w:color w:val="auto"/>
          <w:highlight w:val="none"/>
        </w:rPr>
      </w:pPr>
      <w:r>
        <w:rPr>
          <w:rFonts w:hint="eastAsia" w:ascii="宋体" w:hAnsi="宋体"/>
          <w:color w:val="auto"/>
          <w:highlight w:val="none"/>
        </w:rPr>
        <w:t>（目录仅供参考，为方便评审，建议根据评分因素细化目录并</w:t>
      </w:r>
      <w:r>
        <w:rPr>
          <w:rFonts w:hint="eastAsia" w:ascii="宋体" w:hAnsi="宋体"/>
          <w:color w:val="auto"/>
          <w:highlight w:val="none"/>
          <w:lang w:eastAsia="zh-CN"/>
        </w:rPr>
        <w:t>标明页码</w:t>
      </w:r>
      <w:r>
        <w:rPr>
          <w:rFonts w:hint="eastAsia" w:ascii="宋体" w:hAnsi="宋体"/>
          <w:color w:val="auto"/>
          <w:highlight w:val="none"/>
        </w:rPr>
        <w:t>）</w:t>
      </w:r>
    </w:p>
    <w:p w14:paraId="30036FD0">
      <w:pPr>
        <w:spacing w:line="540" w:lineRule="exact"/>
        <w:rPr>
          <w:rFonts w:ascii="宋体" w:hAnsi="宋体"/>
          <w:color w:val="auto"/>
          <w:highlight w:val="none"/>
        </w:rPr>
      </w:pPr>
    </w:p>
    <w:p w14:paraId="6CFF0744">
      <w:pPr>
        <w:spacing w:line="540" w:lineRule="exact"/>
        <w:rPr>
          <w:rFonts w:ascii="宋体" w:hAnsi="宋体"/>
          <w:color w:val="auto"/>
          <w:highlight w:val="none"/>
        </w:rPr>
      </w:pPr>
    </w:p>
    <w:p w14:paraId="01674D3D">
      <w:pPr>
        <w:spacing w:line="540" w:lineRule="exact"/>
        <w:ind w:firstLine="300"/>
        <w:rPr>
          <w:rFonts w:ascii="宋体" w:hAnsi="宋体"/>
          <w:color w:val="auto"/>
          <w:sz w:val="20"/>
          <w:szCs w:val="20"/>
          <w:highlight w:val="none"/>
        </w:rPr>
      </w:pPr>
    </w:p>
    <w:p w14:paraId="3689B43E">
      <w:pPr>
        <w:spacing w:line="540" w:lineRule="exact"/>
        <w:ind w:firstLine="300"/>
        <w:rPr>
          <w:rFonts w:ascii="宋体" w:hAnsi="宋体"/>
          <w:color w:val="auto"/>
          <w:sz w:val="20"/>
          <w:szCs w:val="20"/>
          <w:highlight w:val="none"/>
        </w:rPr>
      </w:pPr>
    </w:p>
    <w:p w14:paraId="04F905CF">
      <w:pPr>
        <w:spacing w:line="540" w:lineRule="exact"/>
        <w:ind w:firstLine="300"/>
        <w:rPr>
          <w:rFonts w:ascii="宋体" w:hAnsi="宋体"/>
          <w:color w:val="auto"/>
          <w:sz w:val="20"/>
          <w:szCs w:val="20"/>
          <w:highlight w:val="none"/>
        </w:rPr>
      </w:pPr>
    </w:p>
    <w:p w14:paraId="24BD5FAB">
      <w:pPr>
        <w:spacing w:line="540" w:lineRule="exact"/>
        <w:ind w:firstLine="300"/>
        <w:rPr>
          <w:rFonts w:ascii="宋体" w:hAnsi="宋体"/>
          <w:color w:val="auto"/>
          <w:sz w:val="20"/>
          <w:szCs w:val="20"/>
          <w:highlight w:val="none"/>
        </w:rPr>
      </w:pPr>
      <w:r>
        <w:rPr>
          <w:rFonts w:hint="eastAsia" w:ascii="宋体" w:hAnsi="宋体"/>
          <w:color w:val="auto"/>
          <w:sz w:val="20"/>
          <w:szCs w:val="20"/>
          <w:highlight w:val="none"/>
        </w:rPr>
        <w:br w:type="page"/>
      </w:r>
    </w:p>
    <w:p w14:paraId="387D9252">
      <w:pPr>
        <w:pStyle w:val="92"/>
        <w:ind w:firstLine="422"/>
        <w:jc w:val="center"/>
        <w:rPr>
          <w:rFonts w:ascii="宋体" w:hAnsi="宋体" w:eastAsia="宋体"/>
          <w:b/>
          <w:color w:val="auto"/>
          <w:highlight w:val="none"/>
        </w:rPr>
      </w:pPr>
      <w:bookmarkStart w:id="1930" w:name="_Toc144974857"/>
      <w:bookmarkEnd w:id="1930"/>
      <w:bookmarkStart w:id="1931" w:name="_Toc152042577"/>
      <w:bookmarkEnd w:id="1931"/>
      <w:bookmarkStart w:id="1932" w:name="_Toc466298158"/>
      <w:bookmarkEnd w:id="1932"/>
      <w:bookmarkStart w:id="1933" w:name="_Toc152045788"/>
      <w:bookmarkEnd w:id="1933"/>
      <w:bookmarkStart w:id="1934" w:name="_Toc29077"/>
      <w:bookmarkEnd w:id="1934"/>
      <w:bookmarkStart w:id="1935" w:name="_Toc509667322"/>
      <w:bookmarkStart w:id="1936" w:name="_Toc398"/>
      <w:bookmarkStart w:id="1937" w:name="_Toc8947"/>
      <w:bookmarkStart w:id="1938" w:name="_Toc26547"/>
      <w:bookmarkStart w:id="1939" w:name="_Toc340"/>
      <w:bookmarkStart w:id="1940" w:name="_Toc129073526"/>
      <w:r>
        <w:rPr>
          <w:rFonts w:hint="eastAsia" w:ascii="宋体" w:hAnsi="宋体" w:eastAsia="宋体"/>
          <w:b/>
          <w:color w:val="auto"/>
          <w:highlight w:val="none"/>
        </w:rPr>
        <w:t>一、磋商函及</w:t>
      </w:r>
      <w:bookmarkEnd w:id="1935"/>
      <w:r>
        <w:rPr>
          <w:rFonts w:hint="eastAsia" w:ascii="宋体" w:hAnsi="宋体" w:eastAsia="宋体"/>
          <w:b/>
          <w:color w:val="auto"/>
          <w:highlight w:val="none"/>
        </w:rPr>
        <w:t>磋商函附录</w:t>
      </w:r>
      <w:bookmarkEnd w:id="1936"/>
      <w:bookmarkEnd w:id="1937"/>
      <w:bookmarkEnd w:id="1938"/>
      <w:bookmarkEnd w:id="1939"/>
      <w:bookmarkEnd w:id="1940"/>
    </w:p>
    <w:p w14:paraId="57DAB608">
      <w:pPr>
        <w:pStyle w:val="93"/>
        <w:numPr>
          <w:ilvl w:val="0"/>
          <w:numId w:val="0"/>
        </w:numPr>
        <w:ind w:left="1" w:leftChars="-95" w:hanging="200" w:firstLineChars="0"/>
        <w:jc w:val="center"/>
        <w:rPr>
          <w:rFonts w:ascii="宋体" w:hAnsi="宋体" w:eastAsia="宋体"/>
          <w:b/>
          <w:color w:val="auto"/>
          <w:highlight w:val="none"/>
        </w:rPr>
      </w:pPr>
      <w:bookmarkStart w:id="1941" w:name="_Toc144974858"/>
      <w:bookmarkEnd w:id="1941"/>
      <w:bookmarkStart w:id="1942" w:name="_Toc509667323"/>
      <w:bookmarkEnd w:id="1942"/>
      <w:bookmarkStart w:id="1943" w:name="_Toc26262"/>
      <w:bookmarkEnd w:id="1943"/>
      <w:bookmarkStart w:id="1944" w:name="_Toc455080170"/>
      <w:bookmarkEnd w:id="1944"/>
      <w:bookmarkStart w:id="1945" w:name="_Toc11855"/>
      <w:bookmarkEnd w:id="1945"/>
      <w:bookmarkStart w:id="1946" w:name="_Toc18705"/>
      <w:bookmarkEnd w:id="1946"/>
      <w:bookmarkStart w:id="1947" w:name="_Toc152042578"/>
      <w:bookmarkEnd w:id="1947"/>
      <w:bookmarkStart w:id="1948" w:name="_Toc490667892"/>
      <w:bookmarkEnd w:id="1948"/>
      <w:bookmarkStart w:id="1949" w:name="_Toc30581"/>
      <w:bookmarkEnd w:id="1949"/>
      <w:bookmarkStart w:id="1950" w:name="_Toc466298159"/>
      <w:bookmarkEnd w:id="1950"/>
      <w:bookmarkStart w:id="1951" w:name="_Toc318450744"/>
      <w:bookmarkEnd w:id="1951"/>
      <w:bookmarkStart w:id="1952" w:name="_Toc152045789"/>
      <w:bookmarkEnd w:id="1952"/>
      <w:bookmarkStart w:id="1953" w:name="_Toc8915"/>
      <w:bookmarkEnd w:id="1953"/>
      <w:bookmarkStart w:id="1954" w:name="_Toc23888"/>
      <w:bookmarkEnd w:id="1954"/>
      <w:bookmarkStart w:id="1955" w:name="_Toc129073527"/>
      <w:bookmarkStart w:id="1956" w:name="_Toc18523"/>
      <w:bookmarkStart w:id="1957" w:name="_Toc14716"/>
      <w:bookmarkStart w:id="1958" w:name="_Toc60"/>
      <w:bookmarkStart w:id="1959" w:name="_Toc455867830"/>
      <w:r>
        <w:rPr>
          <w:rFonts w:hint="default" w:ascii="Times New Roman" w:hAnsi="Times New Roman" w:eastAsia="宋体" w:cs="Times New Roman"/>
          <w:b/>
          <w:bCs w:val="0"/>
          <w:color w:val="auto"/>
          <w:kern w:val="0"/>
          <w:sz w:val="24"/>
          <w:szCs w:val="24"/>
          <w:lang w:val="en-US" w:eastAsia="zh-CN" w:bidi="ar-SA"/>
        </w:rPr>
        <w:t>（一）</w:t>
      </w:r>
      <w:r>
        <w:rPr>
          <w:rFonts w:hint="eastAsia" w:ascii="宋体" w:hAnsi="宋体" w:eastAsia="宋体"/>
          <w:b/>
          <w:color w:val="auto"/>
          <w:highlight w:val="none"/>
        </w:rPr>
        <w:t>磋商函</w:t>
      </w:r>
      <w:bookmarkEnd w:id="1955"/>
      <w:bookmarkEnd w:id="1956"/>
      <w:bookmarkEnd w:id="1957"/>
      <w:bookmarkEnd w:id="1958"/>
      <w:bookmarkEnd w:id="1959"/>
    </w:p>
    <w:p w14:paraId="49C95972">
      <w:pPr>
        <w:spacing w:line="360" w:lineRule="auto"/>
        <w:rPr>
          <w:rFonts w:ascii="宋体" w:hAnsi="宋体"/>
          <w:color w:val="auto"/>
          <w:highlight w:val="none"/>
        </w:rPr>
      </w:pPr>
      <w:r>
        <w:rPr>
          <w:rFonts w:hint="eastAsia" w:ascii="宋体" w:hAnsi="宋体"/>
          <w:color w:val="auto"/>
          <w:highlight w:val="none"/>
          <w:u w:val="single"/>
          <w:lang w:eastAsia="zh-CN"/>
        </w:rPr>
        <w:t>河南财经政法大学</w:t>
      </w:r>
      <w:r>
        <w:rPr>
          <w:rFonts w:hint="eastAsia" w:ascii="宋体" w:hAnsi="宋体"/>
          <w:color w:val="auto"/>
          <w:highlight w:val="none"/>
        </w:rPr>
        <w:t>：</w:t>
      </w:r>
    </w:p>
    <w:p w14:paraId="4B27A8AC">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1.</w:t>
      </w:r>
      <w:r>
        <w:rPr>
          <w:rFonts w:hint="eastAsia" w:ascii="宋体" w:hAnsi="宋体"/>
          <w:color w:val="auto"/>
          <w:highlight w:val="none"/>
        </w:rPr>
        <w:t>我方已仔细研究了</w:t>
      </w:r>
      <w:r>
        <w:rPr>
          <w:rFonts w:hint="eastAsia" w:ascii="宋体" w:hAnsi="宋体"/>
          <w:color w:val="auto"/>
          <w:highlight w:val="none"/>
          <w:u w:val="single"/>
        </w:rPr>
        <w:t xml:space="preserve"> </w:t>
      </w:r>
      <w:r>
        <w:rPr>
          <w:rFonts w:hint="eastAsia" w:ascii="宋体" w:hAnsi="宋体"/>
          <w:color w:val="auto"/>
          <w:highlight w:val="none"/>
          <w:u w:val="single"/>
          <w:lang w:eastAsia="zh-CN"/>
        </w:rPr>
        <w:t>河南财经政法大学文化路校区部分楼宇防水项目</w:t>
      </w:r>
      <w:r>
        <w:rPr>
          <w:rFonts w:hint="eastAsia" w:ascii="宋体" w:hAnsi="宋体"/>
          <w:color w:val="auto"/>
          <w:highlight w:val="none"/>
          <w:u w:val="single"/>
        </w:rPr>
        <w:t xml:space="preserve"> （项目名称）</w:t>
      </w:r>
      <w:r>
        <w:rPr>
          <w:rFonts w:hint="eastAsia" w:ascii="宋体" w:hAnsi="宋体"/>
          <w:color w:val="auto"/>
          <w:highlight w:val="none"/>
        </w:rPr>
        <w:t>磋商文件的全部内容，愿意以人民币</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（小写：</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）的首次报价，工期：</w:t>
      </w:r>
      <w:r>
        <w:rPr>
          <w:rFonts w:hint="eastAsia" w:ascii="宋体" w:hAnsi="宋体"/>
          <w:color w:val="auto"/>
          <w:highlight w:val="none"/>
          <w:u w:val="single"/>
        </w:rPr>
        <w:t xml:space="preserve">      </w:t>
      </w:r>
      <w:r>
        <w:rPr>
          <w:rFonts w:hint="eastAsia" w:ascii="宋体" w:hAnsi="宋体"/>
          <w:color w:val="auto"/>
          <w:highlight w:val="none"/>
        </w:rPr>
        <w:t>，按合同约定实施和完成本项目，质量要求达到：</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65B31D1F">
      <w:pPr>
        <w:spacing w:line="360" w:lineRule="auto"/>
        <w:ind w:firstLine="420" w:firstLineChars="200"/>
        <w:rPr>
          <w:rFonts w:ascii="宋体" w:hAnsi="宋体"/>
          <w:color w:val="auto"/>
          <w:highlight w:val="none"/>
        </w:rPr>
      </w:pPr>
      <w:bookmarkStart w:id="1960" w:name="_Toc466298160"/>
      <w:bookmarkEnd w:id="1960"/>
      <w:bookmarkStart w:id="1961" w:name="_Toc447888814"/>
      <w:r>
        <w:rPr>
          <w:rFonts w:hint="eastAsia" w:ascii="宋体" w:hAnsi="宋体"/>
          <w:color w:val="auto"/>
          <w:highlight w:val="none"/>
          <w:lang w:eastAsia="zh-CN"/>
        </w:rPr>
        <w:t>2.</w:t>
      </w:r>
      <w:r>
        <w:rPr>
          <w:rFonts w:hint="eastAsia" w:ascii="宋体" w:hAnsi="宋体"/>
          <w:color w:val="auto"/>
          <w:highlight w:val="none"/>
        </w:rPr>
        <w:t>我方承诺在磋商有效期</w:t>
      </w:r>
      <w:bookmarkEnd w:id="1961"/>
      <w:r>
        <w:rPr>
          <w:rFonts w:hint="eastAsia" w:ascii="宋体" w:hAnsi="宋体"/>
          <w:color w:val="auto"/>
          <w:highlight w:val="none"/>
          <w:u w:val="single"/>
        </w:rPr>
        <w:t xml:space="preserve">      </w:t>
      </w:r>
      <w:r>
        <w:rPr>
          <w:rFonts w:hint="eastAsia" w:ascii="宋体" w:hAnsi="宋体"/>
          <w:color w:val="auto"/>
          <w:highlight w:val="none"/>
        </w:rPr>
        <w:t>日历天内不修改、撤销响应文件。</w:t>
      </w:r>
    </w:p>
    <w:p w14:paraId="5C2752FE">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3.</w:t>
      </w:r>
      <w:r>
        <w:rPr>
          <w:rFonts w:hint="eastAsia" w:ascii="宋体" w:hAnsi="宋体"/>
          <w:color w:val="auto"/>
          <w:highlight w:val="none"/>
        </w:rPr>
        <w:t>如我方中标：</w:t>
      </w:r>
    </w:p>
    <w:p w14:paraId="099E584F">
      <w:pPr>
        <w:spacing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lang w:eastAsia="zh-CN"/>
        </w:rPr>
        <w:t>（</w:t>
      </w:r>
      <w:r>
        <w:rPr>
          <w:rFonts w:hint="eastAsia" w:ascii="宋体" w:hAnsi="宋体" w:cs="宋体"/>
          <w:color w:val="auto"/>
          <w:kern w:val="0"/>
          <w:highlight w:val="none"/>
        </w:rPr>
        <w:t>l）我方承诺在收到成交通知书后，在成交通知书规定的期限内与你方签订合同。</w:t>
      </w:r>
    </w:p>
    <w:p w14:paraId="2182A8FF">
      <w:pPr>
        <w:spacing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lang w:eastAsia="zh-CN"/>
        </w:rPr>
        <w:t>（</w:t>
      </w:r>
      <w:r>
        <w:rPr>
          <w:rFonts w:hint="eastAsia" w:ascii="宋体" w:hAnsi="宋体" w:cs="宋体"/>
          <w:color w:val="auto"/>
          <w:kern w:val="0"/>
          <w:highlight w:val="none"/>
        </w:rPr>
        <w:t>2）随同本磋商函递交的磋商函附录属于合同文件的组成部分。</w:t>
      </w:r>
    </w:p>
    <w:p w14:paraId="40060806">
      <w:pPr>
        <w:spacing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lang w:eastAsia="zh-CN"/>
        </w:rPr>
        <w:t>（</w:t>
      </w:r>
      <w:r>
        <w:rPr>
          <w:rFonts w:hint="eastAsia" w:ascii="宋体" w:hAnsi="宋体" w:cs="宋体"/>
          <w:color w:val="auto"/>
          <w:kern w:val="0"/>
          <w:highlight w:val="none"/>
        </w:rPr>
        <w:t>3）我方承诺按照磋商文件规定向你方递交履约担保（若需）。</w:t>
      </w:r>
    </w:p>
    <w:p w14:paraId="69D9FDDB">
      <w:pPr>
        <w:spacing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lang w:eastAsia="zh-CN"/>
        </w:rPr>
        <w:t>（</w:t>
      </w:r>
      <w:r>
        <w:rPr>
          <w:rFonts w:hint="eastAsia" w:ascii="宋体" w:hAnsi="宋体" w:cs="宋体"/>
          <w:color w:val="auto"/>
          <w:kern w:val="0"/>
          <w:highlight w:val="none"/>
        </w:rPr>
        <w:t>4）我方承诺在合同约定的期限内完成本项目。</w:t>
      </w:r>
    </w:p>
    <w:p w14:paraId="3C99D353">
      <w:pPr>
        <w:spacing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（5）若我方中标，同意按磋商文件规定的收费标准和方式，一次性支付招标代理服务费。</w:t>
      </w:r>
    </w:p>
    <w:p w14:paraId="1895869A">
      <w:pPr>
        <w:spacing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（6）按照贵方的要求，提供与投标有关的一切数据或资料真实，完全理解贵方不一定接受最低价的投标或收到的任何投标。</w:t>
      </w:r>
    </w:p>
    <w:p w14:paraId="10E3707D">
      <w:pPr>
        <w:spacing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（7）完全理解并无条件承担中标后不依法与采购人签订合同的法律后果。</w:t>
      </w:r>
    </w:p>
    <w:p w14:paraId="42CAAD76">
      <w:pPr>
        <w:spacing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（8）与本次投标有关的一切正式往来请寄：</w:t>
      </w:r>
    </w:p>
    <w:p w14:paraId="3795D0FE">
      <w:pPr>
        <w:spacing w:line="360" w:lineRule="auto"/>
        <w:ind w:firstLine="420" w:firstLineChars="200"/>
        <w:rPr>
          <w:rFonts w:ascii="宋体" w:hAnsi="宋体"/>
          <w:color w:val="auto"/>
          <w:highlight w:val="none"/>
          <w:u w:val="single"/>
        </w:rPr>
      </w:pPr>
      <w:r>
        <w:rPr>
          <w:rFonts w:hint="eastAsia" w:ascii="宋体" w:hAnsi="宋体"/>
          <w:color w:val="auto"/>
          <w:highlight w:val="none"/>
        </w:rPr>
        <w:t xml:space="preserve">地  址： </w:t>
      </w:r>
      <w:r>
        <w:rPr>
          <w:rFonts w:hint="eastAsia" w:ascii="宋体" w:hAnsi="宋体"/>
          <w:color w:val="auto"/>
          <w:highlight w:val="none"/>
          <w:u w:val="single"/>
        </w:rPr>
        <w:t xml:space="preserve">              </w:t>
      </w:r>
    </w:p>
    <w:p w14:paraId="054F6E0C">
      <w:pPr>
        <w:spacing w:line="360" w:lineRule="auto"/>
        <w:ind w:firstLine="420" w:firstLineChars="200"/>
        <w:rPr>
          <w:rFonts w:ascii="宋体" w:hAnsi="宋体"/>
          <w:color w:val="auto"/>
          <w:highlight w:val="none"/>
          <w:u w:val="single"/>
        </w:rPr>
      </w:pPr>
      <w:r>
        <w:rPr>
          <w:rFonts w:hint="eastAsia" w:ascii="宋体" w:hAnsi="宋体"/>
          <w:color w:val="auto"/>
          <w:highlight w:val="none"/>
        </w:rPr>
        <w:t>联系人：</w:t>
      </w:r>
      <w:r>
        <w:rPr>
          <w:rFonts w:hint="eastAsia" w:ascii="宋体" w:hAnsi="宋体"/>
          <w:color w:val="auto"/>
          <w:highlight w:val="none"/>
          <w:u w:val="single"/>
        </w:rPr>
        <w:t xml:space="preserve">               </w:t>
      </w:r>
    </w:p>
    <w:p w14:paraId="1AC3E63B">
      <w:pPr>
        <w:spacing w:line="360" w:lineRule="auto"/>
        <w:ind w:firstLine="420" w:firstLineChars="200"/>
        <w:rPr>
          <w:rFonts w:ascii="宋体" w:hAnsi="宋体"/>
          <w:color w:val="auto"/>
          <w:highlight w:val="none"/>
          <w:u w:val="single"/>
        </w:rPr>
      </w:pPr>
      <w:r>
        <w:rPr>
          <w:rFonts w:hint="eastAsia" w:ascii="宋体" w:hAnsi="宋体"/>
          <w:color w:val="auto"/>
          <w:highlight w:val="none"/>
        </w:rPr>
        <w:t>电  话：</w:t>
      </w:r>
      <w:r>
        <w:rPr>
          <w:rFonts w:hint="eastAsia" w:ascii="宋体" w:hAnsi="宋体"/>
          <w:color w:val="auto"/>
          <w:highlight w:val="none"/>
          <w:u w:val="single"/>
        </w:rPr>
        <w:t xml:space="preserve">               </w:t>
      </w:r>
    </w:p>
    <w:p w14:paraId="3F9FCB93">
      <w:pPr>
        <w:spacing w:line="360" w:lineRule="auto"/>
        <w:rPr>
          <w:rFonts w:ascii="宋体" w:hAnsi="宋体"/>
          <w:color w:val="auto"/>
          <w:highlight w:val="none"/>
        </w:rPr>
      </w:pPr>
    </w:p>
    <w:p w14:paraId="5AE589EF">
      <w:pPr>
        <w:spacing w:line="520" w:lineRule="exact"/>
        <w:ind w:firstLine="420" w:firstLineChars="200"/>
        <w:rPr>
          <w:rFonts w:ascii="宋体" w:hAnsi="宋体" w:cs="宋体"/>
          <w:color w:val="auto"/>
          <w:highlight w:val="none"/>
        </w:rPr>
      </w:pPr>
      <w:r>
        <w:rPr>
          <w:rFonts w:hint="eastAsia" w:ascii="宋体" w:hAnsi="宋体" w:cs="宋体"/>
          <w:color w:val="auto"/>
          <w:highlight w:val="none"/>
        </w:rPr>
        <w:t>供应商名称：</w:t>
      </w:r>
      <w:r>
        <w:rPr>
          <w:rFonts w:hint="eastAsia" w:ascii="宋体" w:hAnsi="宋体" w:cs="宋体"/>
          <w:color w:val="auto"/>
          <w:highlight w:val="none"/>
          <w:u w:val="single"/>
        </w:rPr>
        <w:t xml:space="preserve">                        </w:t>
      </w:r>
      <w:r>
        <w:rPr>
          <w:rFonts w:hint="eastAsia" w:ascii="宋体" w:hAnsi="宋体" w:cs="宋体"/>
          <w:color w:val="auto"/>
          <w:highlight w:val="none"/>
        </w:rPr>
        <w:t>（单位电子印章）</w:t>
      </w:r>
    </w:p>
    <w:p w14:paraId="1A282D72">
      <w:pPr>
        <w:spacing w:line="520" w:lineRule="exact"/>
        <w:ind w:firstLine="420" w:firstLineChars="200"/>
        <w:rPr>
          <w:rFonts w:ascii="宋体" w:hAnsi="宋体" w:cs="宋体"/>
          <w:color w:val="auto"/>
          <w:highlight w:val="none"/>
        </w:rPr>
      </w:pPr>
      <w:r>
        <w:rPr>
          <w:rFonts w:hint="eastAsia" w:ascii="宋体" w:hAnsi="宋体" w:cs="宋体"/>
          <w:color w:val="auto"/>
          <w:highlight w:val="none"/>
        </w:rPr>
        <w:t>法定代表人或其委托代理人：</w:t>
      </w:r>
      <w:r>
        <w:rPr>
          <w:rFonts w:hint="eastAsia" w:ascii="宋体" w:hAnsi="宋体" w:cs="宋体"/>
          <w:color w:val="auto"/>
          <w:highlight w:val="none"/>
          <w:u w:val="single"/>
        </w:rPr>
        <w:t xml:space="preserve">          </w:t>
      </w:r>
      <w:r>
        <w:rPr>
          <w:rFonts w:hint="eastAsia" w:ascii="宋体" w:hAnsi="宋体" w:cs="宋体"/>
          <w:color w:val="auto"/>
          <w:highlight w:val="none"/>
        </w:rPr>
        <w:t>（电子签章或签字）</w:t>
      </w:r>
    </w:p>
    <w:p w14:paraId="550D99BA">
      <w:pPr>
        <w:spacing w:line="360" w:lineRule="auto"/>
        <w:ind w:firstLine="420" w:firstLineChars="200"/>
        <w:rPr>
          <w:rFonts w:eastAsiaTheme="minorEastAsia"/>
          <w:b/>
          <w:color w:val="auto"/>
          <w:highlight w:val="none"/>
        </w:rPr>
      </w:pPr>
      <w:r>
        <w:rPr>
          <w:rFonts w:hint="eastAsia" w:ascii="宋体" w:hAnsi="宋体" w:cs="宋体"/>
          <w:color w:val="auto"/>
          <w:highlight w:val="none"/>
        </w:rPr>
        <w:t>日      期：   年  月   日</w:t>
      </w:r>
    </w:p>
    <w:p w14:paraId="11EF911B">
      <w:pPr>
        <w:spacing w:line="360" w:lineRule="auto"/>
        <w:ind w:firstLine="3640" w:firstLineChars="1517"/>
        <w:rPr>
          <w:rFonts w:ascii="宋体" w:hAnsi="宋体"/>
          <w:color w:val="auto"/>
          <w:sz w:val="24"/>
          <w:szCs w:val="24"/>
          <w:highlight w:val="none"/>
        </w:rPr>
      </w:pPr>
    </w:p>
    <w:p w14:paraId="4F731FD2">
      <w:pPr>
        <w:pStyle w:val="4"/>
        <w:ind w:firstLine="422"/>
        <w:jc w:val="center"/>
        <w:rPr>
          <w:rFonts w:ascii="宋体" w:hAnsi="宋体" w:eastAsia="宋体"/>
          <w:color w:val="auto"/>
          <w:sz w:val="28"/>
          <w:szCs w:val="28"/>
          <w:highlight w:val="none"/>
        </w:rPr>
      </w:pPr>
      <w:bookmarkStart w:id="1962" w:name="_Toc490667893"/>
      <w:bookmarkEnd w:id="1962"/>
      <w:bookmarkStart w:id="1963" w:name="_Toc509667324"/>
      <w:r>
        <w:rPr>
          <w:rFonts w:hint="eastAsia" w:ascii="宋体" w:hAnsi="宋体" w:eastAsia="宋体"/>
          <w:color w:val="auto"/>
          <w:sz w:val="28"/>
          <w:szCs w:val="28"/>
          <w:highlight w:val="none"/>
        </w:rPr>
        <w:br w:type="page"/>
      </w:r>
      <w:bookmarkEnd w:id="1963"/>
      <w:bookmarkStart w:id="1964" w:name="_Toc129073528"/>
      <w:bookmarkStart w:id="1965" w:name="_Toc26038"/>
      <w:bookmarkStart w:id="1966" w:name="_Toc30785"/>
      <w:bookmarkStart w:id="1967" w:name="_Toc23069"/>
      <w:r>
        <w:rPr>
          <w:rFonts w:hint="eastAsia" w:ascii="宋体" w:hAnsi="宋体" w:eastAsia="宋体"/>
          <w:color w:val="auto"/>
          <w:sz w:val="28"/>
          <w:szCs w:val="28"/>
          <w:highlight w:val="none"/>
        </w:rPr>
        <w:t>（二）</w:t>
      </w:r>
      <w:r>
        <w:rPr>
          <w:rFonts w:hint="eastAsia" w:ascii="宋体" w:hAnsi="宋体" w:eastAsia="宋体"/>
          <w:color w:val="auto"/>
          <w:highlight w:val="none"/>
        </w:rPr>
        <w:t>磋商函附录</w:t>
      </w:r>
      <w:bookmarkEnd w:id="1964"/>
      <w:bookmarkEnd w:id="1965"/>
      <w:bookmarkEnd w:id="1966"/>
      <w:bookmarkEnd w:id="1967"/>
    </w:p>
    <w:tbl>
      <w:tblPr>
        <w:tblStyle w:val="46"/>
        <w:tblW w:w="9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1424"/>
        <w:gridCol w:w="1662"/>
        <w:gridCol w:w="1260"/>
        <w:gridCol w:w="1060"/>
        <w:gridCol w:w="1455"/>
      </w:tblGrid>
      <w:tr w14:paraId="53A4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270C6C54">
            <w:pPr>
              <w:jc w:val="center"/>
              <w:rPr>
                <w:rFonts w:ascii="宋体" w:hAnsi="宋体"/>
                <w:color w:val="auto"/>
                <w:highlight w:val="none"/>
              </w:rPr>
            </w:pPr>
            <w:r>
              <w:rPr>
                <w:rFonts w:hint="eastAsia" w:ascii="宋体" w:hAnsi="宋体"/>
                <w:color w:val="auto"/>
                <w:highlight w:val="none"/>
              </w:rPr>
              <w:t>项目名称</w:t>
            </w:r>
          </w:p>
        </w:tc>
        <w:tc>
          <w:tcPr>
            <w:tcW w:w="6861" w:type="dxa"/>
            <w:gridSpan w:val="5"/>
            <w:tcBorders>
              <w:top w:val="single" w:color="auto" w:sz="4" w:space="0"/>
              <w:left w:val="nil"/>
              <w:bottom w:val="single" w:color="auto" w:sz="4" w:space="0"/>
              <w:right w:val="single" w:color="auto" w:sz="4" w:space="0"/>
            </w:tcBorders>
            <w:vAlign w:val="center"/>
          </w:tcPr>
          <w:p w14:paraId="4ECA9A78">
            <w:pPr>
              <w:rPr>
                <w:rFonts w:hint="eastAsia" w:ascii="宋体" w:hAnsi="宋体" w:eastAsia="宋体"/>
                <w:color w:val="auto"/>
                <w:highlight w:val="none"/>
                <w:lang w:eastAsia="zh-CN"/>
              </w:rPr>
            </w:pPr>
            <w:r>
              <w:rPr>
                <w:rFonts w:hint="eastAsia" w:ascii="宋体" w:hAnsi="宋体"/>
                <w:color w:val="auto"/>
                <w:highlight w:val="none"/>
                <w:lang w:eastAsia="zh-CN"/>
              </w:rPr>
              <w:t>河南财经政法大学文化路校区部分楼宇防水项目</w:t>
            </w:r>
          </w:p>
        </w:tc>
      </w:tr>
      <w:tr w14:paraId="65FD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1D86E43D">
            <w:pPr>
              <w:jc w:val="center"/>
              <w:rPr>
                <w:rFonts w:ascii="宋体" w:hAnsi="宋体"/>
                <w:color w:val="auto"/>
                <w:highlight w:val="none"/>
              </w:rPr>
            </w:pPr>
            <w:r>
              <w:rPr>
                <w:rFonts w:hint="eastAsia" w:ascii="宋体" w:hAnsi="宋体"/>
                <w:color w:val="auto"/>
                <w:highlight w:val="none"/>
              </w:rPr>
              <w:t>供应商名称</w:t>
            </w:r>
          </w:p>
        </w:tc>
        <w:tc>
          <w:tcPr>
            <w:tcW w:w="6861" w:type="dxa"/>
            <w:gridSpan w:val="5"/>
            <w:tcBorders>
              <w:top w:val="single" w:color="auto" w:sz="4" w:space="0"/>
              <w:left w:val="nil"/>
              <w:bottom w:val="single" w:color="auto" w:sz="4" w:space="0"/>
              <w:right w:val="single" w:color="auto" w:sz="4" w:space="0"/>
            </w:tcBorders>
            <w:vAlign w:val="center"/>
          </w:tcPr>
          <w:p w14:paraId="3074330B">
            <w:pPr>
              <w:rPr>
                <w:rFonts w:ascii="宋体" w:hAnsi="宋体"/>
                <w:color w:val="auto"/>
                <w:highlight w:val="none"/>
              </w:rPr>
            </w:pPr>
          </w:p>
        </w:tc>
      </w:tr>
      <w:tr w14:paraId="16C6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543F2AB5">
            <w:pPr>
              <w:jc w:val="center"/>
              <w:rPr>
                <w:rFonts w:ascii="宋体" w:hAnsi="宋体"/>
                <w:color w:val="auto"/>
                <w:highlight w:val="none"/>
              </w:rPr>
            </w:pPr>
            <w:r>
              <w:rPr>
                <w:rFonts w:hint="eastAsia" w:ascii="宋体" w:hAnsi="宋体"/>
                <w:color w:val="auto"/>
                <w:highlight w:val="none"/>
                <w:lang w:val="en-US" w:eastAsia="zh-CN"/>
              </w:rPr>
              <w:t>采购</w:t>
            </w:r>
            <w:r>
              <w:rPr>
                <w:rFonts w:hint="eastAsia" w:ascii="宋体" w:hAnsi="宋体"/>
                <w:color w:val="auto"/>
                <w:highlight w:val="none"/>
              </w:rPr>
              <w:t>范围及内容</w:t>
            </w:r>
          </w:p>
        </w:tc>
        <w:tc>
          <w:tcPr>
            <w:tcW w:w="6861" w:type="dxa"/>
            <w:gridSpan w:val="5"/>
            <w:tcBorders>
              <w:top w:val="single" w:color="auto" w:sz="4" w:space="0"/>
              <w:left w:val="nil"/>
              <w:bottom w:val="single" w:color="auto" w:sz="4" w:space="0"/>
              <w:right w:val="single" w:color="auto" w:sz="4" w:space="0"/>
            </w:tcBorders>
            <w:vAlign w:val="center"/>
          </w:tcPr>
          <w:p w14:paraId="37DF7D57">
            <w:pPr>
              <w:jc w:val="center"/>
              <w:rPr>
                <w:rFonts w:ascii="宋体" w:hAnsi="宋体"/>
                <w:color w:val="auto"/>
                <w:highlight w:val="none"/>
              </w:rPr>
            </w:pPr>
          </w:p>
        </w:tc>
      </w:tr>
      <w:tr w14:paraId="7F42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783D9182">
            <w:pPr>
              <w:spacing w:line="360" w:lineRule="exact"/>
              <w:jc w:val="center"/>
              <w:rPr>
                <w:rFonts w:ascii="宋体" w:hAnsi="宋体"/>
                <w:color w:val="auto"/>
                <w:highlight w:val="none"/>
              </w:rPr>
            </w:pPr>
            <w:r>
              <w:rPr>
                <w:rFonts w:hint="eastAsia" w:ascii="宋体" w:hAnsi="宋体"/>
                <w:color w:val="auto"/>
                <w:highlight w:val="none"/>
              </w:rPr>
              <w:t>首次报价</w:t>
            </w:r>
          </w:p>
        </w:tc>
        <w:tc>
          <w:tcPr>
            <w:tcW w:w="6861" w:type="dxa"/>
            <w:gridSpan w:val="5"/>
            <w:tcBorders>
              <w:top w:val="single" w:color="auto" w:sz="4" w:space="0"/>
              <w:left w:val="nil"/>
              <w:bottom w:val="single" w:color="auto" w:sz="4" w:space="0"/>
              <w:right w:val="single" w:color="auto" w:sz="4" w:space="0"/>
            </w:tcBorders>
            <w:vAlign w:val="center"/>
          </w:tcPr>
          <w:p w14:paraId="777F3745">
            <w:pPr>
              <w:rPr>
                <w:rFonts w:ascii="宋体" w:hAnsi="宋体"/>
                <w:color w:val="auto"/>
                <w:highlight w:val="none"/>
              </w:rPr>
            </w:pPr>
            <w:r>
              <w:rPr>
                <w:rFonts w:hint="eastAsia" w:ascii="宋体" w:hAnsi="宋体"/>
                <w:color w:val="auto"/>
                <w:highlight w:val="none"/>
              </w:rPr>
              <w:t>（大写）</w:t>
            </w:r>
          </w:p>
          <w:p w14:paraId="3D71C8F7">
            <w:pPr>
              <w:rPr>
                <w:rFonts w:ascii="宋体" w:hAnsi="宋体"/>
                <w:color w:val="auto"/>
                <w:highlight w:val="none"/>
              </w:rPr>
            </w:pPr>
            <w:r>
              <w:rPr>
                <w:rFonts w:hint="eastAsia" w:ascii="宋体" w:hAnsi="宋体"/>
                <w:color w:val="auto"/>
                <w:highlight w:val="none"/>
              </w:rPr>
              <w:t>（小写）</w:t>
            </w:r>
          </w:p>
        </w:tc>
      </w:tr>
      <w:tr w14:paraId="77B4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19FA2498">
            <w:pPr>
              <w:jc w:val="center"/>
              <w:rPr>
                <w:rFonts w:ascii="宋体" w:hAnsi="宋体"/>
                <w:color w:val="auto"/>
                <w:highlight w:val="none"/>
              </w:rPr>
            </w:pPr>
            <w:r>
              <w:rPr>
                <w:rFonts w:hint="eastAsia" w:ascii="宋体" w:hAnsi="宋体"/>
                <w:color w:val="auto"/>
                <w:highlight w:val="none"/>
              </w:rPr>
              <w:t>建设地点</w:t>
            </w:r>
          </w:p>
        </w:tc>
        <w:tc>
          <w:tcPr>
            <w:tcW w:w="6861" w:type="dxa"/>
            <w:gridSpan w:val="5"/>
            <w:tcBorders>
              <w:top w:val="single" w:color="auto" w:sz="4" w:space="0"/>
              <w:left w:val="nil"/>
              <w:bottom w:val="single" w:color="auto" w:sz="4" w:space="0"/>
              <w:right w:val="single" w:color="auto" w:sz="4" w:space="0"/>
            </w:tcBorders>
            <w:vAlign w:val="center"/>
          </w:tcPr>
          <w:p w14:paraId="6EE14DE2">
            <w:pPr>
              <w:jc w:val="left"/>
              <w:rPr>
                <w:rFonts w:ascii="宋体" w:hAnsi="宋体"/>
                <w:color w:val="auto"/>
                <w:highlight w:val="none"/>
              </w:rPr>
            </w:pPr>
          </w:p>
        </w:tc>
      </w:tr>
      <w:tr w14:paraId="0ADB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53125AAB">
            <w:pPr>
              <w:jc w:val="center"/>
              <w:rPr>
                <w:rFonts w:ascii="宋体" w:hAnsi="宋体"/>
                <w:color w:val="auto"/>
                <w:highlight w:val="none"/>
              </w:rPr>
            </w:pPr>
            <w:r>
              <w:rPr>
                <w:rFonts w:hint="eastAsia" w:ascii="宋体" w:hAnsi="宋体"/>
                <w:color w:val="auto"/>
                <w:highlight w:val="none"/>
              </w:rPr>
              <w:t>工期</w:t>
            </w:r>
          </w:p>
        </w:tc>
        <w:tc>
          <w:tcPr>
            <w:tcW w:w="6861" w:type="dxa"/>
            <w:gridSpan w:val="5"/>
            <w:tcBorders>
              <w:top w:val="single" w:color="auto" w:sz="4" w:space="0"/>
              <w:left w:val="nil"/>
              <w:bottom w:val="single" w:color="auto" w:sz="4" w:space="0"/>
              <w:right w:val="single" w:color="auto" w:sz="4" w:space="0"/>
            </w:tcBorders>
            <w:vAlign w:val="center"/>
          </w:tcPr>
          <w:p w14:paraId="22E87256">
            <w:pPr>
              <w:jc w:val="center"/>
              <w:rPr>
                <w:rFonts w:ascii="宋体" w:hAnsi="宋体"/>
                <w:color w:val="auto"/>
                <w:highlight w:val="none"/>
              </w:rPr>
            </w:pPr>
          </w:p>
        </w:tc>
      </w:tr>
      <w:tr w14:paraId="3F2C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0B107557">
            <w:pPr>
              <w:jc w:val="center"/>
              <w:rPr>
                <w:rFonts w:ascii="宋体" w:hAnsi="宋体"/>
                <w:color w:val="auto"/>
                <w:highlight w:val="none"/>
              </w:rPr>
            </w:pPr>
            <w:r>
              <w:rPr>
                <w:rFonts w:hint="eastAsia" w:ascii="宋体" w:hAnsi="宋体"/>
                <w:color w:val="auto"/>
                <w:highlight w:val="none"/>
              </w:rPr>
              <w:t>质量</w:t>
            </w:r>
          </w:p>
        </w:tc>
        <w:tc>
          <w:tcPr>
            <w:tcW w:w="6861" w:type="dxa"/>
            <w:gridSpan w:val="5"/>
            <w:tcBorders>
              <w:top w:val="single" w:color="auto" w:sz="4" w:space="0"/>
              <w:left w:val="nil"/>
              <w:bottom w:val="single" w:color="auto" w:sz="4" w:space="0"/>
              <w:right w:val="single" w:color="auto" w:sz="4" w:space="0"/>
            </w:tcBorders>
            <w:vAlign w:val="center"/>
          </w:tcPr>
          <w:p w14:paraId="08A92A95">
            <w:pPr>
              <w:jc w:val="center"/>
              <w:rPr>
                <w:rFonts w:ascii="宋体" w:hAnsi="宋体"/>
                <w:color w:val="auto"/>
                <w:highlight w:val="none"/>
              </w:rPr>
            </w:pPr>
          </w:p>
        </w:tc>
      </w:tr>
      <w:tr w14:paraId="1B9F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16BC1368">
            <w:pPr>
              <w:jc w:val="center"/>
              <w:rPr>
                <w:rFonts w:hint="eastAsia" w:ascii="宋体" w:hAnsi="宋体" w:eastAsia="宋体"/>
                <w:color w:val="auto"/>
                <w:highlight w:val="none"/>
                <w:lang w:eastAsia="zh-CN"/>
              </w:rPr>
            </w:pPr>
            <w:r>
              <w:rPr>
                <w:rFonts w:hint="eastAsia" w:ascii="宋体" w:hAnsi="宋体"/>
                <w:color w:val="auto"/>
                <w:highlight w:val="none"/>
                <w:lang w:eastAsia="zh-CN"/>
              </w:rPr>
              <w:t>缺陷责任期</w:t>
            </w:r>
          </w:p>
        </w:tc>
        <w:tc>
          <w:tcPr>
            <w:tcW w:w="6861" w:type="dxa"/>
            <w:gridSpan w:val="5"/>
            <w:tcBorders>
              <w:top w:val="single" w:color="auto" w:sz="4" w:space="0"/>
              <w:left w:val="nil"/>
              <w:bottom w:val="single" w:color="auto" w:sz="4" w:space="0"/>
              <w:right w:val="single" w:color="auto" w:sz="4" w:space="0"/>
            </w:tcBorders>
            <w:vAlign w:val="center"/>
          </w:tcPr>
          <w:p w14:paraId="4860E6AF">
            <w:pPr>
              <w:jc w:val="center"/>
              <w:rPr>
                <w:rFonts w:ascii="宋体" w:hAnsi="宋体"/>
                <w:color w:val="auto"/>
                <w:highlight w:val="none"/>
              </w:rPr>
            </w:pPr>
          </w:p>
        </w:tc>
      </w:tr>
      <w:tr w14:paraId="04B2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55F83288">
            <w:pPr>
              <w:jc w:val="center"/>
              <w:rPr>
                <w:rFonts w:hint="eastAsia" w:ascii="宋体" w:hAnsi="宋体"/>
                <w:color w:val="auto"/>
                <w:highlight w:val="none"/>
                <w:lang w:eastAsia="zh-CN"/>
              </w:rPr>
            </w:pPr>
            <w:r>
              <w:rPr>
                <w:rFonts w:hint="eastAsia" w:ascii="宋体" w:hAnsi="宋体"/>
                <w:color w:val="auto"/>
                <w:highlight w:val="none"/>
                <w:lang w:eastAsia="zh-CN"/>
              </w:rPr>
              <w:t>保修期</w:t>
            </w:r>
          </w:p>
        </w:tc>
        <w:tc>
          <w:tcPr>
            <w:tcW w:w="6861" w:type="dxa"/>
            <w:gridSpan w:val="5"/>
            <w:tcBorders>
              <w:top w:val="single" w:color="auto" w:sz="4" w:space="0"/>
              <w:left w:val="nil"/>
              <w:bottom w:val="single" w:color="auto" w:sz="4" w:space="0"/>
              <w:right w:val="single" w:color="auto" w:sz="4" w:space="0"/>
            </w:tcBorders>
            <w:vAlign w:val="center"/>
          </w:tcPr>
          <w:p w14:paraId="3D1D93DF">
            <w:pPr>
              <w:jc w:val="center"/>
              <w:rPr>
                <w:rFonts w:hint="default" w:ascii="宋体" w:hAnsi="宋体"/>
                <w:color w:val="auto"/>
                <w:highlight w:val="none"/>
                <w:u w:val="none"/>
                <w:lang w:val="en-US" w:eastAsia="zh-CN"/>
              </w:rPr>
            </w:pPr>
          </w:p>
        </w:tc>
      </w:tr>
      <w:tr w14:paraId="39B8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5C05E974">
            <w:pPr>
              <w:jc w:val="center"/>
              <w:rPr>
                <w:rFonts w:ascii="宋体" w:hAnsi="宋体"/>
                <w:color w:val="auto"/>
                <w:highlight w:val="none"/>
              </w:rPr>
            </w:pPr>
            <w:r>
              <w:rPr>
                <w:rFonts w:hint="eastAsia" w:ascii="宋体" w:hAnsi="宋体"/>
                <w:color w:val="auto"/>
                <w:highlight w:val="none"/>
              </w:rPr>
              <w:t>付款方式</w:t>
            </w:r>
          </w:p>
        </w:tc>
        <w:tc>
          <w:tcPr>
            <w:tcW w:w="6861" w:type="dxa"/>
            <w:gridSpan w:val="5"/>
            <w:tcBorders>
              <w:top w:val="single" w:color="auto" w:sz="4" w:space="0"/>
              <w:left w:val="nil"/>
              <w:bottom w:val="single" w:color="auto" w:sz="4" w:space="0"/>
              <w:right w:val="single" w:color="auto" w:sz="4" w:space="0"/>
            </w:tcBorders>
            <w:vAlign w:val="center"/>
          </w:tcPr>
          <w:p w14:paraId="36013742">
            <w:pPr>
              <w:jc w:val="center"/>
              <w:rPr>
                <w:rFonts w:ascii="宋体" w:hAnsi="宋体"/>
                <w:color w:val="auto"/>
                <w:highlight w:val="none"/>
              </w:rPr>
            </w:pPr>
          </w:p>
        </w:tc>
      </w:tr>
      <w:tr w14:paraId="643D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028A1BBB">
            <w:pPr>
              <w:jc w:val="center"/>
              <w:rPr>
                <w:rFonts w:ascii="宋体" w:hAnsi="宋体"/>
                <w:color w:val="auto"/>
                <w:highlight w:val="none"/>
              </w:rPr>
            </w:pPr>
            <w:r>
              <w:rPr>
                <w:rFonts w:hint="eastAsia" w:ascii="宋体" w:hAnsi="宋体"/>
                <w:color w:val="auto"/>
                <w:highlight w:val="none"/>
              </w:rPr>
              <w:t>项目经理</w:t>
            </w:r>
          </w:p>
        </w:tc>
        <w:tc>
          <w:tcPr>
            <w:tcW w:w="1424" w:type="dxa"/>
            <w:tcBorders>
              <w:top w:val="single" w:color="auto" w:sz="4" w:space="0"/>
              <w:left w:val="nil"/>
              <w:bottom w:val="single" w:color="auto" w:sz="4" w:space="0"/>
              <w:right w:val="single" w:color="auto" w:sz="4" w:space="0"/>
            </w:tcBorders>
            <w:vAlign w:val="center"/>
          </w:tcPr>
          <w:p w14:paraId="392AB41B">
            <w:pPr>
              <w:jc w:val="center"/>
              <w:rPr>
                <w:rFonts w:ascii="宋体" w:hAnsi="宋体"/>
                <w:color w:val="auto"/>
                <w:highlight w:val="none"/>
              </w:rPr>
            </w:pPr>
          </w:p>
        </w:tc>
        <w:tc>
          <w:tcPr>
            <w:tcW w:w="1662" w:type="dxa"/>
            <w:tcBorders>
              <w:top w:val="single" w:color="auto" w:sz="4" w:space="0"/>
              <w:left w:val="nil"/>
              <w:bottom w:val="single" w:color="auto" w:sz="4" w:space="0"/>
              <w:right w:val="single" w:color="auto" w:sz="4" w:space="0"/>
            </w:tcBorders>
            <w:vAlign w:val="center"/>
          </w:tcPr>
          <w:p w14:paraId="08F40868">
            <w:pPr>
              <w:jc w:val="center"/>
              <w:rPr>
                <w:rFonts w:ascii="宋体" w:hAnsi="宋体"/>
                <w:color w:val="auto"/>
                <w:highlight w:val="none"/>
              </w:rPr>
            </w:pPr>
            <w:r>
              <w:rPr>
                <w:rFonts w:hint="eastAsia" w:ascii="宋体" w:hAnsi="宋体"/>
                <w:color w:val="auto"/>
                <w:highlight w:val="none"/>
              </w:rPr>
              <w:t>注册建造师</w:t>
            </w:r>
          </w:p>
          <w:p w14:paraId="6230ABB9">
            <w:pPr>
              <w:jc w:val="center"/>
              <w:rPr>
                <w:rFonts w:ascii="宋体" w:hAnsi="宋体"/>
                <w:color w:val="auto"/>
                <w:highlight w:val="none"/>
              </w:rPr>
            </w:pPr>
            <w:r>
              <w:rPr>
                <w:rFonts w:hint="eastAsia" w:ascii="宋体" w:hAnsi="宋体"/>
                <w:color w:val="auto"/>
                <w:highlight w:val="none"/>
              </w:rPr>
              <w:t>级别及专业</w:t>
            </w:r>
          </w:p>
        </w:tc>
        <w:tc>
          <w:tcPr>
            <w:tcW w:w="1260" w:type="dxa"/>
            <w:tcBorders>
              <w:top w:val="single" w:color="auto" w:sz="4" w:space="0"/>
              <w:left w:val="nil"/>
              <w:bottom w:val="single" w:color="auto" w:sz="4" w:space="0"/>
              <w:right w:val="single" w:color="auto" w:sz="4" w:space="0"/>
            </w:tcBorders>
            <w:vAlign w:val="center"/>
          </w:tcPr>
          <w:p w14:paraId="65E6CB41">
            <w:pPr>
              <w:jc w:val="center"/>
              <w:rPr>
                <w:rFonts w:ascii="宋体" w:hAnsi="宋体"/>
                <w:color w:val="auto"/>
                <w:highlight w:val="none"/>
              </w:rPr>
            </w:pPr>
          </w:p>
        </w:tc>
        <w:tc>
          <w:tcPr>
            <w:tcW w:w="1060" w:type="dxa"/>
            <w:tcBorders>
              <w:top w:val="single" w:color="auto" w:sz="4" w:space="0"/>
              <w:left w:val="nil"/>
              <w:bottom w:val="single" w:color="auto" w:sz="4" w:space="0"/>
              <w:right w:val="single" w:color="auto" w:sz="4" w:space="0"/>
            </w:tcBorders>
            <w:vAlign w:val="center"/>
          </w:tcPr>
          <w:p w14:paraId="4BA23DE0">
            <w:pPr>
              <w:jc w:val="center"/>
              <w:rPr>
                <w:rFonts w:ascii="宋体" w:hAnsi="宋体"/>
                <w:color w:val="auto"/>
                <w:highlight w:val="none"/>
              </w:rPr>
            </w:pPr>
            <w:r>
              <w:rPr>
                <w:rFonts w:hint="eastAsia" w:ascii="宋体" w:hAnsi="宋体"/>
                <w:color w:val="auto"/>
                <w:highlight w:val="none"/>
              </w:rPr>
              <w:t>证书编号</w:t>
            </w:r>
          </w:p>
        </w:tc>
        <w:tc>
          <w:tcPr>
            <w:tcW w:w="1455" w:type="dxa"/>
            <w:tcBorders>
              <w:top w:val="single" w:color="auto" w:sz="4" w:space="0"/>
              <w:left w:val="nil"/>
              <w:bottom w:val="single" w:color="auto" w:sz="4" w:space="0"/>
              <w:right w:val="single" w:color="auto" w:sz="4" w:space="0"/>
            </w:tcBorders>
            <w:vAlign w:val="center"/>
          </w:tcPr>
          <w:p w14:paraId="580B33F5">
            <w:pPr>
              <w:jc w:val="center"/>
              <w:rPr>
                <w:rFonts w:ascii="宋体" w:hAnsi="宋体"/>
                <w:color w:val="auto"/>
                <w:highlight w:val="none"/>
              </w:rPr>
            </w:pPr>
          </w:p>
        </w:tc>
      </w:tr>
      <w:tr w14:paraId="7642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540B9A86">
            <w:pPr>
              <w:jc w:val="center"/>
              <w:rPr>
                <w:rFonts w:ascii="宋体" w:hAnsi="宋体"/>
                <w:color w:val="auto"/>
                <w:highlight w:val="none"/>
              </w:rPr>
            </w:pPr>
            <w:r>
              <w:rPr>
                <w:rFonts w:hint="eastAsia" w:ascii="宋体" w:hAnsi="宋体"/>
                <w:color w:val="auto"/>
                <w:highlight w:val="none"/>
              </w:rPr>
              <w:t>磋商有效期</w:t>
            </w:r>
          </w:p>
        </w:tc>
        <w:tc>
          <w:tcPr>
            <w:tcW w:w="6861" w:type="dxa"/>
            <w:gridSpan w:val="5"/>
            <w:tcBorders>
              <w:top w:val="single" w:color="auto" w:sz="4" w:space="0"/>
              <w:left w:val="nil"/>
              <w:bottom w:val="single" w:color="auto" w:sz="4" w:space="0"/>
              <w:right w:val="single" w:color="auto" w:sz="4" w:space="0"/>
            </w:tcBorders>
            <w:vAlign w:val="center"/>
          </w:tcPr>
          <w:p w14:paraId="25625CA5">
            <w:pPr>
              <w:ind w:firstLine="218" w:firstLineChars="104"/>
              <w:jc w:val="left"/>
              <w:rPr>
                <w:rFonts w:ascii="宋体" w:hAnsi="宋体"/>
                <w:color w:val="auto"/>
                <w:highlight w:val="none"/>
              </w:rPr>
            </w:pPr>
            <w:r>
              <w:rPr>
                <w:rFonts w:hint="eastAsia" w:ascii="宋体" w:hAnsi="宋体"/>
                <w:color w:val="auto"/>
                <w:kern w:val="0"/>
                <w:highlight w:val="none"/>
                <w:u w:val="single"/>
              </w:rPr>
              <w:t xml:space="preserve">     </w:t>
            </w:r>
            <w:r>
              <w:rPr>
                <w:rFonts w:hint="eastAsia" w:ascii="宋体" w:hAnsi="宋体"/>
                <w:color w:val="auto"/>
                <w:kern w:val="0"/>
                <w:highlight w:val="none"/>
              </w:rPr>
              <w:t>日历天（响应文件提交截止之日起）</w:t>
            </w:r>
          </w:p>
        </w:tc>
      </w:tr>
      <w:tr w14:paraId="4024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7DC1BB2B">
            <w:pPr>
              <w:jc w:val="center"/>
              <w:rPr>
                <w:rFonts w:ascii="宋体" w:hAnsi="宋体"/>
                <w:color w:val="auto"/>
                <w:highlight w:val="none"/>
              </w:rPr>
            </w:pPr>
            <w:r>
              <w:rPr>
                <w:rFonts w:hint="eastAsia" w:ascii="宋体" w:hAnsi="宋体"/>
                <w:color w:val="auto"/>
                <w:highlight w:val="none"/>
              </w:rPr>
              <w:t>技术标准和要求</w:t>
            </w:r>
          </w:p>
        </w:tc>
        <w:tc>
          <w:tcPr>
            <w:tcW w:w="6861" w:type="dxa"/>
            <w:gridSpan w:val="5"/>
            <w:tcBorders>
              <w:top w:val="single" w:color="auto" w:sz="4" w:space="0"/>
              <w:left w:val="nil"/>
              <w:bottom w:val="single" w:color="auto" w:sz="4" w:space="0"/>
              <w:right w:val="single" w:color="auto" w:sz="4" w:space="0"/>
            </w:tcBorders>
            <w:vAlign w:val="center"/>
          </w:tcPr>
          <w:p w14:paraId="2A7A5D64">
            <w:pPr>
              <w:jc w:val="left"/>
              <w:rPr>
                <w:rFonts w:hint="eastAsia" w:ascii="宋体" w:hAnsi="宋体" w:eastAsia="宋体"/>
                <w:color w:val="auto"/>
                <w:kern w:val="0"/>
                <w:highlight w:val="none"/>
                <w:lang w:eastAsia="zh-CN"/>
              </w:rPr>
            </w:pPr>
            <w:r>
              <w:rPr>
                <w:rFonts w:hint="eastAsia" w:ascii="宋体" w:hAnsi="宋体"/>
                <w:color w:val="auto"/>
                <w:kern w:val="0"/>
                <w:highlight w:val="none"/>
                <w:lang w:eastAsia="zh-CN"/>
              </w:rPr>
              <w:t>满足磋商文件</w:t>
            </w:r>
            <w:r>
              <w:rPr>
                <w:rFonts w:hint="eastAsia" w:ascii="宋体" w:hAnsi="宋体"/>
                <w:color w:val="auto"/>
                <w:kern w:val="0"/>
                <w:highlight w:val="none"/>
                <w:lang w:val="en-US" w:eastAsia="zh-CN"/>
              </w:rPr>
              <w:t xml:space="preserve"> </w:t>
            </w:r>
            <w:r>
              <w:rPr>
                <w:rFonts w:hint="eastAsia" w:ascii="宋体" w:hAnsi="宋体"/>
                <w:color w:val="auto"/>
                <w:kern w:val="0"/>
                <w:highlight w:val="none"/>
                <w:lang w:eastAsia="zh-CN"/>
              </w:rPr>
              <w:t>第六章</w:t>
            </w:r>
            <w:r>
              <w:rPr>
                <w:rFonts w:hint="eastAsia" w:ascii="宋体" w:hAnsi="宋体"/>
                <w:color w:val="auto"/>
                <w:kern w:val="0"/>
                <w:highlight w:val="none"/>
                <w:lang w:val="en-US" w:eastAsia="zh-CN"/>
              </w:rPr>
              <w:t xml:space="preserve"> </w:t>
            </w:r>
            <w:r>
              <w:rPr>
                <w:rFonts w:hint="eastAsia" w:ascii="宋体" w:hAnsi="宋体"/>
                <w:color w:val="auto"/>
                <w:kern w:val="0"/>
                <w:highlight w:val="none"/>
                <w:lang w:eastAsia="zh-CN"/>
              </w:rPr>
              <w:t>技术标准和要求</w:t>
            </w:r>
          </w:p>
        </w:tc>
      </w:tr>
      <w:tr w14:paraId="2E12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122E7CE1">
            <w:pPr>
              <w:jc w:val="center"/>
              <w:rPr>
                <w:rFonts w:hint="eastAsia" w:ascii="宋体" w:hAnsi="宋体" w:eastAsia="宋体"/>
                <w:color w:val="auto"/>
                <w:highlight w:val="none"/>
                <w:lang w:eastAsia="zh-CN"/>
              </w:rPr>
            </w:pPr>
            <w:r>
              <w:rPr>
                <w:rFonts w:hint="eastAsia" w:ascii="宋体" w:hAnsi="宋体"/>
                <w:color w:val="auto"/>
                <w:highlight w:val="none"/>
                <w:lang w:eastAsia="zh-CN"/>
              </w:rPr>
              <w:t>关于支付农民工工资承诺</w:t>
            </w:r>
          </w:p>
        </w:tc>
        <w:tc>
          <w:tcPr>
            <w:tcW w:w="6861" w:type="dxa"/>
            <w:gridSpan w:val="5"/>
            <w:tcBorders>
              <w:top w:val="single" w:color="auto" w:sz="4" w:space="0"/>
              <w:left w:val="nil"/>
              <w:bottom w:val="single" w:color="auto" w:sz="4" w:space="0"/>
              <w:right w:val="single" w:color="auto" w:sz="4" w:space="0"/>
            </w:tcBorders>
            <w:vAlign w:val="center"/>
          </w:tcPr>
          <w:p w14:paraId="026BD7CA">
            <w:pPr>
              <w:jc w:val="left"/>
              <w:rPr>
                <w:rFonts w:hint="eastAsia" w:ascii="宋体" w:hAnsi="宋体" w:eastAsia="宋体"/>
                <w:color w:val="auto"/>
                <w:kern w:val="0"/>
                <w:highlight w:val="none"/>
                <w:lang w:eastAsia="zh-CN"/>
              </w:rPr>
            </w:pPr>
            <w:r>
              <w:rPr>
                <w:rFonts w:hint="eastAsia" w:ascii="宋体" w:hAnsi="宋体"/>
                <w:color w:val="auto"/>
                <w:kern w:val="0"/>
                <w:highlight w:val="none"/>
                <w:lang w:eastAsia="zh-CN"/>
              </w:rPr>
              <w:t>在递交本项目响应文件之前，我公司在建工程和已竣工工程</w:t>
            </w:r>
            <w:r>
              <w:rPr>
                <w:rFonts w:hint="eastAsia" w:ascii="宋体" w:hAnsi="宋体"/>
                <w:color w:val="auto"/>
                <w:kern w:val="0"/>
                <w:highlight w:val="none"/>
                <w:u w:val="single"/>
                <w:lang w:val="en-US" w:eastAsia="zh-CN"/>
              </w:rPr>
              <w:t xml:space="preserve">       </w:t>
            </w:r>
            <w:r>
              <w:rPr>
                <w:rFonts w:hint="eastAsia" w:ascii="宋体" w:hAnsi="宋体"/>
                <w:color w:val="auto"/>
                <w:kern w:val="0"/>
                <w:highlight w:val="none"/>
                <w:u w:val="none"/>
                <w:lang w:val="en-US" w:eastAsia="zh-CN"/>
              </w:rPr>
              <w:t>（填写“有”“无”）</w:t>
            </w:r>
            <w:r>
              <w:rPr>
                <w:rFonts w:hint="eastAsia" w:ascii="宋体" w:hAnsi="宋体"/>
                <w:color w:val="auto"/>
                <w:kern w:val="0"/>
                <w:highlight w:val="none"/>
                <w:lang w:eastAsia="zh-CN"/>
              </w:rPr>
              <w:t>在管理期限内拖欠农民工工资情形。</w:t>
            </w:r>
          </w:p>
        </w:tc>
      </w:tr>
      <w:tr w14:paraId="43A9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1FB61F1B">
            <w:pPr>
              <w:jc w:val="center"/>
              <w:rPr>
                <w:rFonts w:ascii="宋体" w:hAnsi="宋体"/>
                <w:color w:val="auto"/>
                <w:highlight w:val="none"/>
              </w:rPr>
            </w:pPr>
            <w:r>
              <w:rPr>
                <w:rFonts w:hint="eastAsia" w:ascii="宋体" w:hAnsi="宋体"/>
                <w:color w:val="auto"/>
                <w:highlight w:val="none"/>
              </w:rPr>
              <w:t>其他承诺</w:t>
            </w:r>
          </w:p>
        </w:tc>
        <w:tc>
          <w:tcPr>
            <w:tcW w:w="6861" w:type="dxa"/>
            <w:gridSpan w:val="5"/>
            <w:tcBorders>
              <w:top w:val="single" w:color="auto" w:sz="4" w:space="0"/>
              <w:left w:val="nil"/>
              <w:bottom w:val="single" w:color="auto" w:sz="4" w:space="0"/>
              <w:right w:val="single" w:color="auto" w:sz="4" w:space="0"/>
            </w:tcBorders>
            <w:vAlign w:val="center"/>
          </w:tcPr>
          <w:p w14:paraId="3D57F052">
            <w:pPr>
              <w:numPr>
                <w:ilvl w:val="0"/>
                <w:numId w:val="3"/>
              </w:numPr>
              <w:jc w:val="center"/>
              <w:rPr>
                <w:rFonts w:hint="eastAsia" w:ascii="宋体" w:hAnsi="宋体"/>
                <w:color w:val="auto"/>
                <w:highlight w:val="none"/>
              </w:rPr>
            </w:pPr>
            <w:r>
              <w:rPr>
                <w:rFonts w:hint="eastAsia" w:ascii="宋体" w:hAnsi="宋体"/>
                <w:color w:val="auto"/>
                <w:highlight w:val="none"/>
                <w:u w:val="none"/>
                <w:lang w:val="en-US" w:eastAsia="zh-CN"/>
              </w:rPr>
              <w:t>我公司承诺</w:t>
            </w:r>
            <w:r>
              <w:rPr>
                <w:rFonts w:hint="eastAsia" w:ascii="宋体" w:hAnsi="宋体"/>
                <w:color w:val="auto"/>
                <w:highlight w:val="none"/>
                <w:u w:val="single"/>
                <w:lang w:val="en-US" w:eastAsia="zh-CN"/>
              </w:rPr>
              <w:t xml:space="preserve">       </w:t>
            </w:r>
            <w:r>
              <w:rPr>
                <w:rFonts w:hint="eastAsia" w:ascii="宋体" w:hAnsi="宋体"/>
                <w:color w:val="auto"/>
                <w:highlight w:val="none"/>
                <w:u w:val="none"/>
                <w:lang w:val="en-US" w:eastAsia="zh-CN"/>
              </w:rPr>
              <w:t>（填写“存在”“</w:t>
            </w:r>
            <w:r>
              <w:rPr>
                <w:rFonts w:hint="eastAsia" w:ascii="宋体" w:hAnsi="宋体"/>
                <w:color w:val="auto"/>
                <w:highlight w:val="none"/>
                <w:u w:val="none"/>
              </w:rPr>
              <w:t>不存在</w:t>
            </w:r>
            <w:r>
              <w:rPr>
                <w:rFonts w:hint="eastAsia" w:ascii="宋体" w:hAnsi="宋体"/>
                <w:color w:val="auto"/>
                <w:highlight w:val="none"/>
                <w:u w:val="none"/>
                <w:lang w:eastAsia="zh-CN"/>
              </w:rPr>
              <w:t>”</w:t>
            </w:r>
            <w:r>
              <w:rPr>
                <w:rFonts w:hint="eastAsia" w:ascii="宋体" w:hAnsi="宋体"/>
                <w:color w:val="auto"/>
                <w:highlight w:val="none"/>
                <w:u w:val="none"/>
                <w:lang w:val="en-US" w:eastAsia="zh-CN"/>
              </w:rPr>
              <w:t>）</w:t>
            </w:r>
            <w:r>
              <w:rPr>
                <w:rFonts w:hint="eastAsia" w:ascii="宋体" w:hAnsi="宋体"/>
                <w:color w:val="auto"/>
                <w:highlight w:val="none"/>
              </w:rPr>
              <w:t>供应商须知“1.4.3”及“9.2.1”规定的情形；</w:t>
            </w:r>
          </w:p>
          <w:p w14:paraId="2B9244A2">
            <w:pPr>
              <w:jc w:val="center"/>
              <w:rPr>
                <w:rFonts w:ascii="宋体" w:hAnsi="宋体"/>
                <w:color w:val="auto"/>
                <w:highlight w:val="none"/>
              </w:rPr>
            </w:pPr>
            <w:r>
              <w:rPr>
                <w:rFonts w:hint="eastAsia" w:ascii="宋体" w:hAnsi="宋体"/>
                <w:color w:val="auto"/>
                <w:highlight w:val="none"/>
              </w:rPr>
              <w:t>2.</w:t>
            </w:r>
            <w:r>
              <w:rPr>
                <w:rFonts w:hint="eastAsia" w:ascii="宋体" w:hAnsi="宋体"/>
                <w:color w:val="auto"/>
                <w:highlight w:val="none"/>
                <w:u w:val="none"/>
                <w:lang w:val="en-US" w:eastAsia="zh-CN"/>
              </w:rPr>
              <w:t>我公司承诺</w:t>
            </w:r>
            <w:r>
              <w:rPr>
                <w:rFonts w:hint="eastAsia" w:ascii="宋体" w:hAnsi="宋体"/>
                <w:color w:val="auto"/>
                <w:highlight w:val="none"/>
                <w:u w:val="single"/>
                <w:lang w:val="en-US" w:eastAsia="zh-CN"/>
              </w:rPr>
              <w:t xml:space="preserve">       </w:t>
            </w:r>
            <w:r>
              <w:rPr>
                <w:rFonts w:hint="eastAsia" w:ascii="宋体" w:hAnsi="宋体"/>
                <w:color w:val="auto"/>
                <w:highlight w:val="none"/>
                <w:u w:val="none"/>
                <w:lang w:val="en-US" w:eastAsia="zh-CN"/>
              </w:rPr>
              <w:t>（填写“响应”“不响应</w:t>
            </w:r>
            <w:r>
              <w:rPr>
                <w:rFonts w:hint="eastAsia" w:ascii="宋体" w:hAnsi="宋体"/>
                <w:color w:val="auto"/>
                <w:highlight w:val="none"/>
                <w:u w:val="none"/>
                <w:lang w:eastAsia="zh-CN"/>
              </w:rPr>
              <w:t>”</w:t>
            </w:r>
            <w:r>
              <w:rPr>
                <w:rFonts w:hint="eastAsia" w:ascii="宋体" w:hAnsi="宋体"/>
                <w:color w:val="auto"/>
                <w:highlight w:val="none"/>
                <w:u w:val="none"/>
                <w:lang w:val="en-US" w:eastAsia="zh-CN"/>
              </w:rPr>
              <w:t>）</w:t>
            </w:r>
            <w:r>
              <w:rPr>
                <w:rFonts w:hint="eastAsia" w:ascii="宋体" w:hAnsi="宋体"/>
                <w:color w:val="auto"/>
                <w:highlight w:val="none"/>
              </w:rPr>
              <w:t>磋商文件及国家法律法规规定的其他情形。</w:t>
            </w:r>
          </w:p>
        </w:tc>
      </w:tr>
      <w:tr w14:paraId="7B37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9020" w:type="dxa"/>
            <w:gridSpan w:val="6"/>
            <w:tcBorders>
              <w:top w:val="single" w:color="auto" w:sz="4" w:space="0"/>
              <w:left w:val="single" w:color="auto" w:sz="4" w:space="0"/>
              <w:bottom w:val="single" w:color="auto" w:sz="4" w:space="0"/>
              <w:right w:val="single" w:color="auto" w:sz="4" w:space="0"/>
            </w:tcBorders>
          </w:tcPr>
          <w:p w14:paraId="172F30D0">
            <w:pPr>
              <w:ind w:firstLine="361"/>
              <w:rPr>
                <w:rFonts w:ascii="宋体" w:hAnsi="宋体"/>
                <w:color w:val="auto"/>
                <w:highlight w:val="none"/>
              </w:rPr>
            </w:pPr>
            <w:r>
              <w:rPr>
                <w:rFonts w:hint="eastAsia" w:ascii="宋体" w:hAnsi="宋体"/>
                <w:b/>
                <w:color w:val="auto"/>
                <w:highlight w:val="none"/>
              </w:rPr>
              <w:t>备注：供应商在竞争性磋商文件中规定的实质性要求和条件的基础上，可做出其他有利于采购人的承诺。此类承诺可在本表中予以补充填写，可另附页。</w:t>
            </w:r>
          </w:p>
        </w:tc>
      </w:tr>
    </w:tbl>
    <w:p w14:paraId="14D3A968">
      <w:pPr>
        <w:spacing w:line="520" w:lineRule="exact"/>
        <w:ind w:firstLine="420" w:firstLineChars="200"/>
        <w:rPr>
          <w:rFonts w:ascii="宋体" w:hAnsi="宋体" w:cs="宋体"/>
          <w:color w:val="auto"/>
          <w:highlight w:val="none"/>
        </w:rPr>
      </w:pPr>
      <w:bookmarkStart w:id="1968" w:name="_Toc152045791"/>
      <w:bookmarkEnd w:id="1968"/>
      <w:bookmarkStart w:id="1969" w:name="_Toc152042580"/>
      <w:bookmarkEnd w:id="1969"/>
      <w:bookmarkStart w:id="1970" w:name="_Toc144974860"/>
      <w:bookmarkEnd w:id="1970"/>
      <w:bookmarkStart w:id="1971" w:name="_Toc287367268"/>
      <w:bookmarkEnd w:id="1971"/>
      <w:r>
        <w:rPr>
          <w:rFonts w:hint="eastAsia" w:ascii="宋体" w:hAnsi="宋体" w:cs="宋体"/>
          <w:color w:val="auto"/>
          <w:highlight w:val="none"/>
        </w:rPr>
        <w:t>供应商名称：</w:t>
      </w:r>
      <w:r>
        <w:rPr>
          <w:rFonts w:hint="eastAsia" w:ascii="宋体" w:hAnsi="宋体" w:cs="宋体"/>
          <w:color w:val="auto"/>
          <w:highlight w:val="none"/>
          <w:u w:val="single"/>
        </w:rPr>
        <w:t xml:space="preserve">                        </w:t>
      </w:r>
      <w:r>
        <w:rPr>
          <w:rFonts w:hint="eastAsia" w:ascii="宋体" w:hAnsi="宋体" w:cs="宋体"/>
          <w:color w:val="auto"/>
          <w:highlight w:val="none"/>
        </w:rPr>
        <w:t>（单位电子印章）</w:t>
      </w:r>
    </w:p>
    <w:p w14:paraId="3D900AE0">
      <w:pPr>
        <w:spacing w:line="520" w:lineRule="exact"/>
        <w:ind w:firstLine="420" w:firstLineChars="200"/>
        <w:rPr>
          <w:rFonts w:ascii="宋体" w:hAnsi="宋体" w:cs="宋体"/>
          <w:color w:val="auto"/>
          <w:highlight w:val="none"/>
        </w:rPr>
      </w:pPr>
      <w:r>
        <w:rPr>
          <w:rFonts w:hint="eastAsia" w:ascii="宋体" w:hAnsi="宋体" w:cs="宋体"/>
          <w:color w:val="auto"/>
          <w:highlight w:val="none"/>
        </w:rPr>
        <w:t>法定代表人或其委托代理人：</w:t>
      </w:r>
      <w:r>
        <w:rPr>
          <w:rFonts w:hint="eastAsia" w:ascii="宋体" w:hAnsi="宋体" w:cs="宋体"/>
          <w:color w:val="auto"/>
          <w:highlight w:val="none"/>
          <w:u w:val="single"/>
        </w:rPr>
        <w:t xml:space="preserve">          </w:t>
      </w:r>
      <w:r>
        <w:rPr>
          <w:rFonts w:hint="eastAsia" w:ascii="宋体" w:hAnsi="宋体" w:cs="宋体"/>
          <w:color w:val="auto"/>
          <w:highlight w:val="none"/>
        </w:rPr>
        <w:t>（电子签章或签字）</w:t>
      </w:r>
    </w:p>
    <w:p w14:paraId="52B1E174">
      <w:pPr>
        <w:spacing w:line="360" w:lineRule="auto"/>
        <w:ind w:firstLine="420" w:firstLineChars="200"/>
        <w:rPr>
          <w:rFonts w:eastAsiaTheme="minorEastAsia"/>
          <w:b/>
          <w:color w:val="auto"/>
          <w:highlight w:val="none"/>
        </w:rPr>
      </w:pPr>
      <w:r>
        <w:rPr>
          <w:rFonts w:hint="eastAsia" w:ascii="宋体" w:hAnsi="宋体" w:cs="宋体"/>
          <w:color w:val="auto"/>
          <w:highlight w:val="none"/>
        </w:rPr>
        <w:t>日      期：   年  月   日</w:t>
      </w:r>
    </w:p>
    <w:p w14:paraId="79BF3A97">
      <w:pPr>
        <w:ind w:firstLine="4080" w:firstLineChars="1700"/>
        <w:rPr>
          <w:rFonts w:ascii="宋体" w:hAnsi="宋体"/>
          <w:color w:val="auto"/>
          <w:sz w:val="24"/>
          <w:szCs w:val="24"/>
          <w:highlight w:val="none"/>
        </w:rPr>
      </w:pPr>
    </w:p>
    <w:p w14:paraId="78D6412D">
      <w:pPr>
        <w:pStyle w:val="92"/>
        <w:ind w:firstLine="422"/>
        <w:jc w:val="center"/>
        <w:rPr>
          <w:rFonts w:ascii="宋体" w:hAnsi="宋体" w:eastAsia="宋体"/>
          <w:b/>
          <w:color w:val="auto"/>
          <w:sz w:val="24"/>
          <w:szCs w:val="24"/>
          <w:highlight w:val="none"/>
        </w:rPr>
      </w:pPr>
      <w:bookmarkStart w:id="1972" w:name="_Toc509667325"/>
      <w:bookmarkEnd w:id="1972"/>
      <w:bookmarkStart w:id="1973" w:name="_Toc466298161"/>
      <w:r>
        <w:rPr>
          <w:rFonts w:hint="eastAsia" w:ascii="宋体" w:hAnsi="宋体" w:eastAsia="宋体"/>
          <w:b/>
          <w:color w:val="auto"/>
          <w:highlight w:val="none"/>
        </w:rPr>
        <w:br w:type="page"/>
      </w:r>
      <w:bookmarkEnd w:id="1973"/>
      <w:bookmarkStart w:id="1974" w:name="_Toc31815"/>
      <w:bookmarkEnd w:id="1974"/>
      <w:bookmarkStart w:id="1975" w:name="_Toc4921"/>
      <w:bookmarkStart w:id="1976" w:name="_Toc28093"/>
      <w:bookmarkStart w:id="1977" w:name="_Toc31670"/>
      <w:bookmarkStart w:id="1978" w:name="_Toc11173"/>
      <w:bookmarkStart w:id="1979" w:name="_Toc129073529"/>
      <w:r>
        <w:rPr>
          <w:rFonts w:hint="eastAsia" w:ascii="宋体" w:hAnsi="宋体" w:eastAsia="宋体"/>
          <w:b/>
          <w:color w:val="auto"/>
          <w:highlight w:val="none"/>
        </w:rPr>
        <w:t>二、法定代</w:t>
      </w:r>
      <w:r>
        <w:rPr>
          <w:rFonts w:hint="eastAsia" w:ascii="宋体" w:hAnsi="宋体" w:eastAsia="宋体"/>
          <w:b/>
          <w:color w:val="auto"/>
          <w:highlight w:val="none"/>
          <w:lang w:eastAsia="zh-CN"/>
        </w:rPr>
        <w:t>表人</w:t>
      </w:r>
      <w:r>
        <w:rPr>
          <w:rFonts w:hint="eastAsia" w:ascii="宋体" w:hAnsi="宋体" w:eastAsia="宋体"/>
          <w:b/>
          <w:color w:val="auto"/>
          <w:highlight w:val="none"/>
        </w:rPr>
        <w:t>身份证明</w:t>
      </w:r>
      <w:bookmarkEnd w:id="1975"/>
      <w:bookmarkEnd w:id="1976"/>
      <w:bookmarkEnd w:id="1977"/>
      <w:bookmarkEnd w:id="1978"/>
      <w:bookmarkEnd w:id="1979"/>
    </w:p>
    <w:p w14:paraId="5563C74C">
      <w:pPr>
        <w:spacing w:line="440" w:lineRule="exact"/>
        <w:jc w:val="center"/>
        <w:rPr>
          <w:rFonts w:ascii="宋体" w:hAnsi="宋体"/>
          <w:color w:val="auto"/>
          <w:highlight w:val="none"/>
        </w:rPr>
      </w:pPr>
    </w:p>
    <w:p w14:paraId="10073E62">
      <w:pPr>
        <w:spacing w:line="440" w:lineRule="exact"/>
        <w:rPr>
          <w:rFonts w:ascii="宋体" w:hAnsi="宋体"/>
          <w:color w:val="auto"/>
          <w:highlight w:val="none"/>
          <w:u w:val="single"/>
        </w:rPr>
      </w:pPr>
      <w:r>
        <w:rPr>
          <w:rFonts w:hint="eastAsia" w:ascii="宋体" w:hAnsi="宋体"/>
          <w:color w:val="auto"/>
          <w:highlight w:val="none"/>
        </w:rPr>
        <w:t>供应商名称：</w:t>
      </w:r>
      <w:r>
        <w:rPr>
          <w:rFonts w:hint="eastAsia" w:ascii="宋体" w:hAnsi="宋体"/>
          <w:color w:val="auto"/>
          <w:highlight w:val="none"/>
          <w:u w:val="single"/>
        </w:rPr>
        <w:t xml:space="preserve">                        </w:t>
      </w:r>
    </w:p>
    <w:p w14:paraId="038848F1">
      <w:pPr>
        <w:spacing w:line="440" w:lineRule="exact"/>
        <w:rPr>
          <w:rFonts w:ascii="宋体" w:hAnsi="宋体"/>
          <w:color w:val="auto"/>
          <w:highlight w:val="none"/>
          <w:u w:val="single"/>
        </w:rPr>
      </w:pPr>
      <w:r>
        <w:rPr>
          <w:rFonts w:hint="eastAsia" w:ascii="宋体" w:hAnsi="宋体"/>
          <w:color w:val="auto"/>
          <w:highlight w:val="none"/>
        </w:rPr>
        <w:t>单位性质：</w:t>
      </w:r>
      <w:r>
        <w:rPr>
          <w:rFonts w:hint="eastAsia" w:ascii="宋体" w:hAnsi="宋体"/>
          <w:color w:val="auto"/>
          <w:highlight w:val="none"/>
          <w:u w:val="single"/>
        </w:rPr>
        <w:t xml:space="preserve">                          </w:t>
      </w:r>
    </w:p>
    <w:p w14:paraId="0239DD95">
      <w:pPr>
        <w:spacing w:line="440" w:lineRule="exact"/>
        <w:rPr>
          <w:rFonts w:ascii="宋体" w:hAnsi="宋体"/>
          <w:color w:val="auto"/>
          <w:highlight w:val="none"/>
          <w:u w:val="single"/>
        </w:rPr>
      </w:pPr>
      <w:r>
        <w:rPr>
          <w:rFonts w:hint="eastAsia" w:ascii="宋体" w:hAnsi="宋体"/>
          <w:color w:val="auto"/>
          <w:highlight w:val="none"/>
        </w:rPr>
        <w:t>地址：</w:t>
      </w:r>
      <w:r>
        <w:rPr>
          <w:rFonts w:hint="eastAsia" w:ascii="宋体" w:hAnsi="宋体"/>
          <w:color w:val="auto"/>
          <w:highlight w:val="none"/>
          <w:u w:val="single"/>
        </w:rPr>
        <w:t xml:space="preserve">                              </w:t>
      </w:r>
    </w:p>
    <w:p w14:paraId="3A01887C">
      <w:pPr>
        <w:spacing w:line="440" w:lineRule="exact"/>
        <w:rPr>
          <w:rFonts w:ascii="宋体" w:hAnsi="宋体"/>
          <w:color w:val="auto"/>
          <w:highlight w:val="none"/>
        </w:rPr>
      </w:pPr>
      <w:r>
        <w:rPr>
          <w:rFonts w:hint="eastAsia" w:ascii="宋体" w:hAnsi="宋体"/>
          <w:color w:val="auto"/>
          <w:highlight w:val="none"/>
        </w:rPr>
        <w:t>成立时间：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1B7FF2EB">
      <w:pPr>
        <w:spacing w:line="440" w:lineRule="exact"/>
        <w:rPr>
          <w:rFonts w:ascii="宋体" w:hAnsi="宋体"/>
          <w:color w:val="auto"/>
          <w:highlight w:val="none"/>
          <w:u w:val="single"/>
        </w:rPr>
      </w:pPr>
      <w:r>
        <w:rPr>
          <w:rFonts w:hint="eastAsia" w:ascii="宋体" w:hAnsi="宋体"/>
          <w:color w:val="auto"/>
          <w:highlight w:val="none"/>
        </w:rPr>
        <w:t>经营期限：</w:t>
      </w:r>
      <w:r>
        <w:rPr>
          <w:rFonts w:hint="eastAsia" w:ascii="宋体" w:hAnsi="宋体"/>
          <w:color w:val="auto"/>
          <w:highlight w:val="none"/>
          <w:u w:val="single"/>
        </w:rPr>
        <w:t xml:space="preserve">                              </w:t>
      </w:r>
    </w:p>
    <w:p w14:paraId="2505C924">
      <w:pPr>
        <w:spacing w:line="440" w:lineRule="exact"/>
        <w:rPr>
          <w:rFonts w:ascii="宋体" w:hAnsi="宋体"/>
          <w:color w:val="auto"/>
          <w:highlight w:val="none"/>
          <w:u w:val="single"/>
        </w:rPr>
      </w:pPr>
      <w:r>
        <w:rPr>
          <w:rFonts w:hint="eastAsia" w:ascii="宋体" w:hAnsi="宋体"/>
          <w:color w:val="auto"/>
          <w:highlight w:val="none"/>
        </w:rPr>
        <w:t>姓名：</w:t>
      </w:r>
      <w:r>
        <w:rPr>
          <w:rFonts w:hint="eastAsia" w:ascii="宋体" w:hAnsi="宋体"/>
          <w:color w:val="auto"/>
          <w:highlight w:val="none"/>
          <w:u w:val="single"/>
        </w:rPr>
        <w:t xml:space="preserve">      </w:t>
      </w:r>
      <w:r>
        <w:rPr>
          <w:rFonts w:hint="eastAsia" w:ascii="宋体" w:hAnsi="宋体"/>
          <w:color w:val="auto"/>
          <w:highlight w:val="none"/>
        </w:rPr>
        <w:t xml:space="preserve">  性别：</w:t>
      </w:r>
      <w:r>
        <w:rPr>
          <w:rFonts w:hint="eastAsia" w:ascii="宋体" w:hAnsi="宋体"/>
          <w:color w:val="auto"/>
          <w:highlight w:val="none"/>
          <w:u w:val="single"/>
        </w:rPr>
        <w:t xml:space="preserve">      </w:t>
      </w:r>
      <w:r>
        <w:rPr>
          <w:rFonts w:hint="eastAsia" w:ascii="宋体" w:hAnsi="宋体"/>
          <w:color w:val="auto"/>
          <w:highlight w:val="none"/>
        </w:rPr>
        <w:t xml:space="preserve">  年龄：</w:t>
      </w:r>
      <w:r>
        <w:rPr>
          <w:rFonts w:hint="eastAsia" w:ascii="宋体" w:hAnsi="宋体"/>
          <w:color w:val="auto"/>
          <w:highlight w:val="none"/>
          <w:u w:val="single"/>
        </w:rPr>
        <w:t xml:space="preserve">     </w:t>
      </w:r>
      <w:r>
        <w:rPr>
          <w:rFonts w:hint="eastAsia" w:ascii="宋体" w:hAnsi="宋体"/>
          <w:color w:val="auto"/>
          <w:highlight w:val="none"/>
        </w:rPr>
        <w:t xml:space="preserve">    职务：</w:t>
      </w:r>
      <w:r>
        <w:rPr>
          <w:rFonts w:hint="eastAsia" w:ascii="宋体" w:hAnsi="宋体"/>
          <w:color w:val="auto"/>
          <w:highlight w:val="none"/>
          <w:u w:val="single"/>
        </w:rPr>
        <w:t xml:space="preserve">     </w:t>
      </w:r>
    </w:p>
    <w:p w14:paraId="5C707AB6">
      <w:pPr>
        <w:spacing w:line="440" w:lineRule="exact"/>
        <w:rPr>
          <w:rFonts w:ascii="宋体" w:hAnsi="宋体"/>
          <w:color w:val="auto"/>
          <w:highlight w:val="none"/>
        </w:rPr>
      </w:pPr>
      <w:r>
        <w:rPr>
          <w:rFonts w:hint="eastAsia" w:ascii="宋体" w:hAnsi="宋体"/>
          <w:color w:val="auto"/>
          <w:highlight w:val="none"/>
        </w:rPr>
        <w:t>系</w:t>
      </w:r>
      <w:r>
        <w:rPr>
          <w:rFonts w:hint="eastAsia" w:ascii="宋体" w:hAnsi="宋体"/>
          <w:color w:val="auto"/>
          <w:highlight w:val="none"/>
          <w:u w:val="single"/>
        </w:rPr>
        <w:t xml:space="preserve"> （供应商名称）  </w:t>
      </w:r>
      <w:r>
        <w:rPr>
          <w:rFonts w:hint="eastAsia" w:ascii="宋体" w:hAnsi="宋体"/>
          <w:color w:val="auto"/>
          <w:highlight w:val="none"/>
        </w:rPr>
        <w:t>的法定代表人。</w:t>
      </w:r>
    </w:p>
    <w:p w14:paraId="53330ADB">
      <w:pPr>
        <w:spacing w:line="440" w:lineRule="exact"/>
        <w:ind w:firstLine="420" w:firstLineChars="200"/>
        <w:rPr>
          <w:rFonts w:ascii="宋体" w:hAnsi="宋体"/>
          <w:color w:val="auto"/>
          <w:highlight w:val="none"/>
        </w:rPr>
      </w:pPr>
      <w:r>
        <w:rPr>
          <w:rFonts w:hint="eastAsia" w:ascii="宋体" w:hAnsi="宋体"/>
          <w:color w:val="auto"/>
          <w:highlight w:val="none"/>
        </w:rPr>
        <w:t>特此证明。</w:t>
      </w:r>
    </w:p>
    <w:p w14:paraId="4B27F251">
      <w:pPr>
        <w:spacing w:line="440" w:lineRule="exact"/>
        <w:rPr>
          <w:rFonts w:ascii="宋体" w:hAnsi="宋体"/>
          <w:color w:val="auto"/>
          <w:highlight w:val="none"/>
        </w:rPr>
      </w:pPr>
    </w:p>
    <w:p w14:paraId="65D4EB81">
      <w:pPr>
        <w:spacing w:line="440" w:lineRule="exact"/>
        <w:rPr>
          <w:rFonts w:ascii="宋体" w:hAnsi="宋体"/>
          <w:color w:val="auto"/>
          <w:highlight w:val="none"/>
        </w:rPr>
      </w:pPr>
    </w:p>
    <w:p w14:paraId="41F50368">
      <w:pPr>
        <w:spacing w:line="440" w:lineRule="exact"/>
        <w:ind w:firstLine="4620" w:firstLineChars="2200"/>
        <w:jc w:val="left"/>
        <w:rPr>
          <w:rFonts w:ascii="宋体" w:hAnsi="宋体"/>
          <w:color w:val="auto"/>
          <w:highlight w:val="none"/>
        </w:rPr>
      </w:pPr>
      <w:r>
        <w:rPr>
          <w:rFonts w:hint="eastAsia" w:ascii="宋体" w:hAnsi="宋体"/>
          <w:color w:val="auto"/>
          <w:highlight w:val="none"/>
        </w:rPr>
        <w:t>供应商名称（</w:t>
      </w:r>
      <w:r>
        <w:rPr>
          <w:rFonts w:hint="eastAsia" w:ascii="宋体" w:hAnsi="宋体" w:cs="宋体"/>
          <w:color w:val="auto"/>
          <w:highlight w:val="none"/>
        </w:rPr>
        <w:t>单位电子印章</w:t>
      </w:r>
      <w:r>
        <w:rPr>
          <w:rFonts w:hint="eastAsia" w:ascii="宋体" w:hAnsi="宋体"/>
          <w:color w:val="auto"/>
          <w:highlight w:val="none"/>
        </w:rPr>
        <w:t>）：</w:t>
      </w:r>
    </w:p>
    <w:p w14:paraId="7CFBF162">
      <w:pPr>
        <w:spacing w:line="440" w:lineRule="exact"/>
        <w:ind w:firstLine="4620" w:firstLineChars="2200"/>
        <w:rPr>
          <w:rFonts w:ascii="宋体" w:hAnsi="宋体"/>
          <w:color w:val="auto"/>
          <w:highlight w:val="none"/>
        </w:rPr>
      </w:pPr>
      <w:r>
        <w:rPr>
          <w:rFonts w:hint="eastAsia"/>
          <w:color w:val="auto"/>
          <w:highlight w:val="none"/>
        </w:rPr>
        <w:t xml:space="preserve">日期：   </w:t>
      </w:r>
      <w:r>
        <w:rPr>
          <w:rFonts w:hint="eastAsia" w:ascii="宋体" w:hAnsi="宋体"/>
          <w:color w:val="auto"/>
          <w:highlight w:val="none"/>
        </w:rPr>
        <w:t xml:space="preserve">年  月   日 </w:t>
      </w:r>
    </w:p>
    <w:p w14:paraId="38B6D88F">
      <w:pPr>
        <w:spacing w:line="440" w:lineRule="exact"/>
        <w:rPr>
          <w:rFonts w:ascii="宋体" w:hAnsi="宋体"/>
          <w:color w:val="auto"/>
          <w:highlight w:val="none"/>
        </w:rPr>
      </w:pPr>
    </w:p>
    <w:p w14:paraId="05C8F911">
      <w:pPr>
        <w:spacing w:line="440" w:lineRule="exact"/>
        <w:rPr>
          <w:rFonts w:ascii="宋体" w:hAnsi="宋体"/>
          <w:color w:val="auto"/>
          <w:highlight w:val="none"/>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14:paraId="57C6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3" w:hRule="atLeast"/>
          <w:jc w:val="center"/>
        </w:trPr>
        <w:tc>
          <w:tcPr>
            <w:tcW w:w="8540" w:type="dxa"/>
            <w:tcBorders>
              <w:top w:val="single" w:color="auto" w:sz="4" w:space="0"/>
              <w:left w:val="single" w:color="auto" w:sz="4" w:space="0"/>
              <w:bottom w:val="single" w:color="auto" w:sz="4" w:space="0"/>
              <w:right w:val="single" w:color="auto" w:sz="4" w:space="0"/>
            </w:tcBorders>
            <w:vAlign w:val="center"/>
          </w:tcPr>
          <w:p w14:paraId="39ACF775">
            <w:pPr>
              <w:spacing w:line="440" w:lineRule="exact"/>
              <w:jc w:val="center"/>
              <w:rPr>
                <w:rFonts w:ascii="宋体" w:hAnsi="宋体"/>
                <w:color w:val="auto"/>
                <w:highlight w:val="none"/>
              </w:rPr>
            </w:pPr>
            <w:r>
              <w:rPr>
                <w:rFonts w:hint="eastAsia" w:ascii="宋体" w:hAnsi="宋体"/>
                <w:color w:val="auto"/>
                <w:highlight w:val="none"/>
              </w:rPr>
              <w:t>法定代表人身份证原件扫描件</w:t>
            </w:r>
          </w:p>
          <w:p w14:paraId="260B228F">
            <w:pPr>
              <w:spacing w:line="440" w:lineRule="exact"/>
              <w:jc w:val="center"/>
              <w:rPr>
                <w:rFonts w:ascii="宋体" w:hAnsi="宋体"/>
                <w:color w:val="auto"/>
                <w:highlight w:val="none"/>
              </w:rPr>
            </w:pPr>
          </w:p>
        </w:tc>
      </w:tr>
    </w:tbl>
    <w:p w14:paraId="579432E6">
      <w:pPr>
        <w:spacing w:line="440" w:lineRule="exact"/>
        <w:rPr>
          <w:rFonts w:ascii="宋体" w:hAnsi="宋体"/>
          <w:color w:val="auto"/>
          <w:highlight w:val="none"/>
        </w:rPr>
      </w:pPr>
    </w:p>
    <w:p w14:paraId="68970EC8">
      <w:pPr>
        <w:spacing w:line="440" w:lineRule="exact"/>
        <w:rPr>
          <w:rFonts w:ascii="宋体" w:hAnsi="宋体"/>
          <w:color w:val="auto"/>
          <w:highlight w:val="none"/>
        </w:rPr>
      </w:pPr>
    </w:p>
    <w:p w14:paraId="6AA0486E">
      <w:pPr>
        <w:spacing w:line="440" w:lineRule="exact"/>
        <w:rPr>
          <w:rFonts w:ascii="宋体" w:hAnsi="宋体"/>
          <w:color w:val="auto"/>
          <w:highlight w:val="none"/>
        </w:rPr>
      </w:pPr>
    </w:p>
    <w:p w14:paraId="1F338C02">
      <w:pPr>
        <w:spacing w:line="440" w:lineRule="exact"/>
        <w:ind w:firstLine="300"/>
        <w:rPr>
          <w:rFonts w:ascii="宋体" w:hAnsi="宋体"/>
          <w:color w:val="auto"/>
          <w:sz w:val="20"/>
          <w:szCs w:val="20"/>
          <w:highlight w:val="none"/>
        </w:rPr>
      </w:pPr>
    </w:p>
    <w:p w14:paraId="2B12CE33">
      <w:pPr>
        <w:spacing w:line="440" w:lineRule="exact"/>
        <w:ind w:firstLine="300"/>
        <w:rPr>
          <w:rFonts w:ascii="宋体" w:hAnsi="宋体"/>
          <w:color w:val="auto"/>
          <w:sz w:val="20"/>
          <w:szCs w:val="20"/>
          <w:highlight w:val="none"/>
        </w:rPr>
      </w:pPr>
    </w:p>
    <w:p w14:paraId="0D0F5238">
      <w:pPr>
        <w:ind w:firstLine="300"/>
        <w:rPr>
          <w:rFonts w:ascii="宋体" w:hAnsi="宋体"/>
          <w:color w:val="auto"/>
          <w:sz w:val="20"/>
          <w:szCs w:val="20"/>
          <w:highlight w:val="none"/>
        </w:rPr>
      </w:pPr>
      <w:r>
        <w:rPr>
          <w:rFonts w:ascii="宋体" w:hAnsi="宋体"/>
          <w:color w:val="auto"/>
          <w:sz w:val="20"/>
          <w:szCs w:val="20"/>
          <w:highlight w:val="none"/>
        </w:rPr>
        <w:br w:type="page"/>
      </w:r>
    </w:p>
    <w:p w14:paraId="1060D09C">
      <w:pPr>
        <w:pStyle w:val="3"/>
        <w:ind w:firstLine="422"/>
        <w:jc w:val="center"/>
        <w:rPr>
          <w:rFonts w:ascii="宋体" w:hAnsi="宋体" w:eastAsia="宋体"/>
          <w:color w:val="auto"/>
          <w:sz w:val="28"/>
          <w:szCs w:val="28"/>
          <w:highlight w:val="none"/>
        </w:rPr>
      </w:pPr>
      <w:bookmarkStart w:id="1980" w:name="_Toc24861"/>
      <w:bookmarkEnd w:id="1980"/>
      <w:bookmarkStart w:id="1981" w:name="_Toc441791190"/>
      <w:bookmarkEnd w:id="1981"/>
      <w:bookmarkStart w:id="1982" w:name="_Toc202941490"/>
      <w:bookmarkEnd w:id="1982"/>
      <w:bookmarkStart w:id="1983" w:name="_Toc466298162"/>
      <w:bookmarkEnd w:id="1983"/>
      <w:bookmarkStart w:id="1984" w:name="_Toc318989765"/>
      <w:bookmarkEnd w:id="1984"/>
      <w:bookmarkStart w:id="1985" w:name="_Toc509667326"/>
      <w:bookmarkStart w:id="1986" w:name="_Toc29993"/>
      <w:bookmarkStart w:id="1987" w:name="_Toc15472"/>
      <w:bookmarkStart w:id="1988" w:name="_Toc6073"/>
      <w:bookmarkStart w:id="1989" w:name="_Toc12044"/>
      <w:bookmarkStart w:id="1990" w:name="_Toc129073530"/>
      <w:r>
        <w:rPr>
          <w:rFonts w:hint="eastAsia" w:ascii="宋体" w:hAnsi="宋体" w:eastAsia="宋体"/>
          <w:color w:val="auto"/>
          <w:sz w:val="28"/>
          <w:szCs w:val="28"/>
          <w:highlight w:val="none"/>
        </w:rPr>
        <w:t>三、授权委托书</w:t>
      </w:r>
      <w:bookmarkEnd w:id="1985"/>
      <w:bookmarkEnd w:id="1986"/>
      <w:bookmarkEnd w:id="1987"/>
      <w:bookmarkEnd w:id="1988"/>
      <w:bookmarkEnd w:id="1989"/>
      <w:bookmarkEnd w:id="1990"/>
    </w:p>
    <w:p w14:paraId="6099B5B9">
      <w:pPr>
        <w:topLinePunct/>
        <w:spacing w:line="440" w:lineRule="exact"/>
        <w:ind w:firstLine="420" w:firstLineChars="200"/>
        <w:rPr>
          <w:rFonts w:ascii="宋体" w:hAnsi="宋体"/>
          <w:color w:val="auto"/>
          <w:highlight w:val="none"/>
        </w:rPr>
      </w:pPr>
      <w:r>
        <w:rPr>
          <w:rFonts w:hint="eastAsia" w:ascii="宋体" w:hAnsi="宋体"/>
          <w:color w:val="auto"/>
          <w:highlight w:val="none"/>
        </w:rPr>
        <w:t>本人</w:t>
      </w:r>
      <w:r>
        <w:rPr>
          <w:rFonts w:hint="eastAsia" w:ascii="宋体" w:hAnsi="宋体"/>
          <w:color w:val="auto"/>
          <w:highlight w:val="none"/>
          <w:u w:val="single"/>
        </w:rPr>
        <w:t>（姓名）</w:t>
      </w:r>
      <w:r>
        <w:rPr>
          <w:rFonts w:hint="eastAsia" w:ascii="宋体" w:hAnsi="宋体"/>
          <w:color w:val="auto"/>
          <w:highlight w:val="none"/>
        </w:rPr>
        <w:t>系</w:t>
      </w:r>
      <w:r>
        <w:rPr>
          <w:rFonts w:hint="eastAsia" w:ascii="宋体" w:hAnsi="宋体"/>
          <w:color w:val="auto"/>
          <w:highlight w:val="none"/>
          <w:u w:val="single"/>
        </w:rPr>
        <w:t>（供应商名称）</w:t>
      </w:r>
      <w:r>
        <w:rPr>
          <w:rFonts w:hint="eastAsia" w:ascii="宋体" w:hAnsi="宋体"/>
          <w:color w:val="auto"/>
          <w:highlight w:val="none"/>
        </w:rPr>
        <w:t>的法定代表人，现委托</w:t>
      </w:r>
      <w:r>
        <w:rPr>
          <w:rFonts w:hint="eastAsia" w:ascii="宋体" w:hAnsi="宋体"/>
          <w:color w:val="auto"/>
          <w:highlight w:val="none"/>
          <w:u w:val="single"/>
        </w:rPr>
        <w:t>（姓名）</w:t>
      </w:r>
      <w:r>
        <w:rPr>
          <w:rFonts w:hint="eastAsia" w:ascii="宋体" w:hAnsi="宋体"/>
          <w:color w:val="auto"/>
          <w:highlight w:val="none"/>
        </w:rPr>
        <w:t>为我方代理人。代理人根据授权，以我方名义签署、澄清、说明、补正、递交、撤回、修改</w:t>
      </w:r>
      <w:r>
        <w:rPr>
          <w:rFonts w:hint="eastAsia" w:ascii="宋体" w:hAnsi="宋体"/>
          <w:color w:val="auto"/>
          <w:highlight w:val="none"/>
          <w:u w:val="single"/>
          <w:lang w:eastAsia="zh-CN"/>
        </w:rPr>
        <w:t>河南财经政法大学文化路校区部分楼宇防水项目</w:t>
      </w:r>
      <w:r>
        <w:rPr>
          <w:rFonts w:hint="eastAsia" w:ascii="宋体" w:hAnsi="宋体"/>
          <w:color w:val="auto"/>
          <w:highlight w:val="none"/>
        </w:rPr>
        <w:t>响应文件、签订合同和处理有关事宜，其法律后果由我方承担。</w:t>
      </w:r>
    </w:p>
    <w:p w14:paraId="033AA8AE">
      <w:pPr>
        <w:spacing w:line="440" w:lineRule="exact"/>
        <w:rPr>
          <w:rFonts w:ascii="宋体" w:hAnsi="宋体"/>
          <w:color w:val="auto"/>
          <w:highlight w:val="none"/>
        </w:rPr>
      </w:pPr>
      <w:r>
        <w:rPr>
          <w:rFonts w:hint="eastAsia" w:ascii="宋体" w:hAnsi="宋体"/>
          <w:color w:val="auto"/>
          <w:highlight w:val="none"/>
        </w:rPr>
        <w:t xml:space="preserve">    委托期限： </w:t>
      </w:r>
      <w:r>
        <w:rPr>
          <w:rFonts w:hint="eastAsia" w:ascii="宋体" w:hAnsi="宋体"/>
          <w:color w:val="auto"/>
          <w:highlight w:val="none"/>
          <w:u w:val="single"/>
        </w:rPr>
        <w:t xml:space="preserve">                 </w:t>
      </w:r>
      <w:r>
        <w:rPr>
          <w:rFonts w:hint="eastAsia" w:ascii="宋体" w:hAnsi="宋体"/>
          <w:color w:val="auto"/>
          <w:highlight w:val="none"/>
        </w:rPr>
        <w:t>。</w:t>
      </w:r>
    </w:p>
    <w:p w14:paraId="557AFA66">
      <w:pPr>
        <w:spacing w:line="440" w:lineRule="exact"/>
        <w:ind w:firstLine="420" w:firstLineChars="200"/>
        <w:rPr>
          <w:rFonts w:ascii="宋体" w:hAnsi="宋体"/>
          <w:color w:val="auto"/>
          <w:highlight w:val="none"/>
        </w:rPr>
      </w:pPr>
      <w:r>
        <w:rPr>
          <w:rFonts w:hint="eastAsia" w:ascii="宋体" w:hAnsi="宋体"/>
          <w:color w:val="auto"/>
          <w:highlight w:val="none"/>
        </w:rPr>
        <w:t>代理人无转委托权。</w:t>
      </w:r>
    </w:p>
    <w:p w14:paraId="0CCB03A1">
      <w:pPr>
        <w:spacing w:line="440" w:lineRule="exact"/>
        <w:ind w:firstLine="420" w:firstLineChars="200"/>
        <w:rPr>
          <w:rFonts w:ascii="宋体" w:hAnsi="宋体"/>
          <w:color w:val="auto"/>
          <w:highlight w:val="none"/>
        </w:rPr>
      </w:pPr>
      <w:r>
        <w:rPr>
          <w:rFonts w:hint="eastAsia" w:ascii="宋体" w:hAnsi="宋体"/>
          <w:color w:val="auto"/>
          <w:highlight w:val="none"/>
        </w:rPr>
        <w:t>附：法定代表人身份证及委托代理人身份证原件扫描件</w:t>
      </w:r>
    </w:p>
    <w:p w14:paraId="494696C2">
      <w:pPr>
        <w:spacing w:line="440" w:lineRule="exact"/>
        <w:rPr>
          <w:rFonts w:ascii="宋体" w:hAnsi="宋体"/>
          <w:color w:val="auto"/>
          <w:highlight w:val="none"/>
        </w:rPr>
      </w:pPr>
    </w:p>
    <w:p w14:paraId="7B3364A9">
      <w:pPr>
        <w:spacing w:line="440" w:lineRule="exact"/>
        <w:rPr>
          <w:rFonts w:ascii="宋体" w:hAnsi="宋体"/>
          <w:color w:val="auto"/>
          <w:highlight w:val="none"/>
        </w:rPr>
      </w:pPr>
    </w:p>
    <w:p w14:paraId="27DE5E39">
      <w:pPr>
        <w:spacing w:line="440" w:lineRule="exact"/>
        <w:rPr>
          <w:rFonts w:ascii="宋体" w:hAnsi="宋体"/>
          <w:color w:val="auto"/>
          <w:highlight w:val="none"/>
        </w:rPr>
      </w:pPr>
    </w:p>
    <w:p w14:paraId="19CEE5F6">
      <w:pPr>
        <w:spacing w:line="440" w:lineRule="exact"/>
        <w:ind w:firstLine="367" w:firstLineChars="175"/>
        <w:jc w:val="left"/>
        <w:rPr>
          <w:rFonts w:ascii="宋体" w:hAnsi="宋体"/>
          <w:color w:val="auto"/>
          <w:highlight w:val="none"/>
        </w:rPr>
      </w:pPr>
      <w:r>
        <w:rPr>
          <w:rFonts w:hint="eastAsia" w:ascii="宋体" w:hAnsi="宋体"/>
          <w:color w:val="auto"/>
          <w:highlight w:val="none"/>
        </w:rPr>
        <w:t>供应商名称：</w:t>
      </w:r>
      <w:r>
        <w:rPr>
          <w:rFonts w:hint="eastAsia" w:ascii="宋体" w:hAnsi="宋体"/>
          <w:color w:val="auto"/>
          <w:highlight w:val="none"/>
          <w:u w:val="single"/>
        </w:rPr>
        <w:t xml:space="preserve">          </w:t>
      </w:r>
      <w:r>
        <w:rPr>
          <w:rFonts w:hint="eastAsia" w:ascii="宋体" w:hAnsi="宋体"/>
          <w:color w:val="auto"/>
          <w:highlight w:val="none"/>
        </w:rPr>
        <w:t>（</w:t>
      </w:r>
      <w:r>
        <w:rPr>
          <w:rFonts w:hint="eastAsia" w:ascii="宋体" w:hAnsi="宋体" w:cs="宋体"/>
          <w:color w:val="auto"/>
          <w:highlight w:val="none"/>
        </w:rPr>
        <w:t>单位电子印章</w:t>
      </w:r>
      <w:r>
        <w:rPr>
          <w:rFonts w:hint="eastAsia" w:ascii="宋体" w:hAnsi="宋体"/>
          <w:color w:val="auto"/>
          <w:highlight w:val="none"/>
        </w:rPr>
        <w:t>）</w:t>
      </w:r>
    </w:p>
    <w:p w14:paraId="43602C5D">
      <w:pPr>
        <w:spacing w:line="440" w:lineRule="exact"/>
        <w:ind w:firstLine="367" w:firstLineChars="175"/>
        <w:jc w:val="lef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w:t>
      </w:r>
      <w:r>
        <w:rPr>
          <w:rFonts w:hint="eastAsia" w:ascii="宋体" w:hAnsi="宋体" w:cs="宋体"/>
          <w:color w:val="auto"/>
          <w:highlight w:val="none"/>
        </w:rPr>
        <w:t>电子签章</w:t>
      </w:r>
      <w:r>
        <w:rPr>
          <w:rFonts w:hint="eastAsia" w:ascii="宋体" w:hAnsi="宋体"/>
          <w:color w:val="auto"/>
          <w:highlight w:val="none"/>
        </w:rPr>
        <w:t>）</w:t>
      </w:r>
    </w:p>
    <w:p w14:paraId="5D68A2AF">
      <w:pPr>
        <w:spacing w:line="440" w:lineRule="exact"/>
        <w:ind w:firstLine="367" w:firstLineChars="175"/>
        <w:jc w:val="left"/>
        <w:rPr>
          <w:rFonts w:ascii="宋体" w:hAnsi="宋体"/>
          <w:color w:val="auto"/>
          <w:highlight w:val="none"/>
          <w:u w:val="single"/>
        </w:rPr>
      </w:pPr>
      <w:r>
        <w:rPr>
          <w:rFonts w:hint="eastAsia" w:ascii="宋体" w:hAnsi="宋体"/>
          <w:color w:val="auto"/>
          <w:highlight w:val="none"/>
        </w:rPr>
        <w:t>身份证号码：</w:t>
      </w:r>
      <w:r>
        <w:rPr>
          <w:rFonts w:hint="eastAsia" w:ascii="宋体" w:hAnsi="宋体"/>
          <w:color w:val="auto"/>
          <w:highlight w:val="none"/>
          <w:u w:val="single"/>
        </w:rPr>
        <w:t xml:space="preserve">           </w:t>
      </w:r>
    </w:p>
    <w:p w14:paraId="102B3796">
      <w:pPr>
        <w:spacing w:line="440" w:lineRule="exact"/>
        <w:ind w:firstLine="367" w:firstLineChars="175"/>
        <w:jc w:val="left"/>
        <w:rPr>
          <w:rFonts w:ascii="宋体" w:hAnsi="宋体"/>
          <w:color w:val="auto"/>
          <w:highlight w:val="none"/>
        </w:rPr>
      </w:pPr>
      <w:r>
        <w:rPr>
          <w:rFonts w:hint="eastAsia" w:ascii="宋体" w:hAnsi="宋体"/>
          <w:color w:val="auto"/>
          <w:highlight w:val="none"/>
        </w:rPr>
        <w:t>委托代理人：</w:t>
      </w:r>
      <w:r>
        <w:rPr>
          <w:rFonts w:hint="eastAsia" w:ascii="宋体" w:hAnsi="宋体"/>
          <w:color w:val="auto"/>
          <w:highlight w:val="none"/>
          <w:u w:val="single"/>
        </w:rPr>
        <w:t xml:space="preserve">           </w:t>
      </w:r>
      <w:r>
        <w:rPr>
          <w:rFonts w:hint="eastAsia" w:ascii="宋体" w:hAnsi="宋体"/>
          <w:color w:val="auto"/>
          <w:highlight w:val="none"/>
        </w:rPr>
        <w:t>（签字）</w:t>
      </w:r>
    </w:p>
    <w:p w14:paraId="7F289846">
      <w:pPr>
        <w:spacing w:line="440" w:lineRule="exact"/>
        <w:ind w:firstLine="367" w:firstLineChars="175"/>
        <w:jc w:val="left"/>
        <w:rPr>
          <w:rFonts w:ascii="宋体" w:hAnsi="宋体"/>
          <w:color w:val="auto"/>
          <w:highlight w:val="none"/>
          <w:u w:val="single"/>
        </w:rPr>
      </w:pPr>
      <w:r>
        <w:rPr>
          <w:rFonts w:hint="eastAsia" w:ascii="宋体" w:hAnsi="宋体"/>
          <w:color w:val="auto"/>
          <w:highlight w:val="none"/>
        </w:rPr>
        <w:t>身份证号码：</w:t>
      </w:r>
      <w:r>
        <w:rPr>
          <w:rFonts w:hint="eastAsia" w:ascii="宋体" w:hAnsi="宋体"/>
          <w:color w:val="auto"/>
          <w:highlight w:val="none"/>
          <w:u w:val="single"/>
        </w:rPr>
        <w:t xml:space="preserve">           </w:t>
      </w:r>
    </w:p>
    <w:p w14:paraId="5C109A29">
      <w:pPr>
        <w:spacing w:line="440" w:lineRule="exact"/>
        <w:ind w:firstLine="367" w:firstLineChars="175"/>
        <w:jc w:val="left"/>
        <w:rPr>
          <w:rFonts w:ascii="宋体" w:hAnsi="宋体"/>
          <w:color w:val="auto"/>
          <w:highlight w:val="none"/>
          <w:u w:val="single"/>
        </w:rPr>
      </w:pPr>
      <w:r>
        <w:rPr>
          <w:rFonts w:hint="eastAsia" w:ascii="宋体" w:hAnsi="宋体"/>
          <w:color w:val="auto"/>
          <w:highlight w:val="none"/>
        </w:rPr>
        <w:t>联系电话：</w:t>
      </w:r>
      <w:r>
        <w:rPr>
          <w:rFonts w:hint="eastAsia" w:ascii="宋体" w:hAnsi="宋体"/>
          <w:color w:val="auto"/>
          <w:highlight w:val="none"/>
          <w:u w:val="single"/>
        </w:rPr>
        <w:t xml:space="preserve">             </w:t>
      </w:r>
    </w:p>
    <w:p w14:paraId="79EA4014">
      <w:pPr>
        <w:spacing w:line="440" w:lineRule="exact"/>
        <w:ind w:firstLine="367" w:firstLineChars="175"/>
        <w:rPr>
          <w:rFonts w:ascii="宋体" w:hAnsi="宋体"/>
          <w:color w:val="auto"/>
          <w:highlight w:val="none"/>
        </w:rPr>
      </w:pPr>
      <w:r>
        <w:rPr>
          <w:rFonts w:hint="eastAsia" w:ascii="宋体" w:hAnsi="宋体"/>
          <w:color w:val="auto"/>
          <w:highlight w:val="none"/>
        </w:rPr>
        <w:t>日期：</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1D9678F0">
      <w:pPr>
        <w:spacing w:line="440" w:lineRule="exact"/>
        <w:rPr>
          <w:rFonts w:ascii="宋体" w:hAnsi="宋体"/>
          <w:color w:val="auto"/>
          <w:highlight w:val="none"/>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0"/>
      </w:tblGrid>
      <w:tr w14:paraId="0DB5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8600" w:type="dxa"/>
            <w:tcBorders>
              <w:top w:val="single" w:color="auto" w:sz="4" w:space="0"/>
              <w:left w:val="single" w:color="auto" w:sz="4" w:space="0"/>
              <w:bottom w:val="single" w:color="auto" w:sz="4" w:space="0"/>
              <w:right w:val="single" w:color="auto" w:sz="4" w:space="0"/>
            </w:tcBorders>
            <w:vAlign w:val="center"/>
          </w:tcPr>
          <w:p w14:paraId="68F8162E">
            <w:pPr>
              <w:spacing w:line="440" w:lineRule="exact"/>
              <w:jc w:val="center"/>
              <w:rPr>
                <w:rFonts w:ascii="宋体" w:hAnsi="宋体"/>
                <w:color w:val="auto"/>
                <w:highlight w:val="none"/>
              </w:rPr>
            </w:pPr>
            <w:r>
              <w:rPr>
                <w:rFonts w:hint="eastAsia" w:ascii="宋体" w:hAnsi="宋体"/>
                <w:color w:val="auto"/>
                <w:highlight w:val="none"/>
              </w:rPr>
              <w:t>法定代表人身份证原件扫描件</w:t>
            </w:r>
          </w:p>
        </w:tc>
      </w:tr>
      <w:tr w14:paraId="46AD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jc w:val="center"/>
        </w:trPr>
        <w:tc>
          <w:tcPr>
            <w:tcW w:w="8600" w:type="dxa"/>
            <w:tcBorders>
              <w:top w:val="single" w:color="auto" w:sz="4" w:space="0"/>
              <w:left w:val="single" w:color="auto" w:sz="4" w:space="0"/>
              <w:bottom w:val="single" w:color="auto" w:sz="4" w:space="0"/>
              <w:right w:val="single" w:color="auto" w:sz="4" w:space="0"/>
            </w:tcBorders>
            <w:vAlign w:val="center"/>
          </w:tcPr>
          <w:p w14:paraId="2EDE013D">
            <w:pPr>
              <w:spacing w:line="440" w:lineRule="exact"/>
              <w:jc w:val="center"/>
              <w:rPr>
                <w:rFonts w:ascii="宋体" w:hAnsi="宋体"/>
                <w:color w:val="auto"/>
                <w:highlight w:val="none"/>
              </w:rPr>
            </w:pPr>
            <w:r>
              <w:rPr>
                <w:rFonts w:hint="eastAsia" w:ascii="宋体" w:hAnsi="宋体"/>
                <w:color w:val="auto"/>
                <w:highlight w:val="none"/>
              </w:rPr>
              <w:t>委托代理人身份证原件扫描件</w:t>
            </w:r>
          </w:p>
          <w:p w14:paraId="164E7BEA">
            <w:pPr>
              <w:spacing w:line="440" w:lineRule="exact"/>
              <w:jc w:val="center"/>
              <w:rPr>
                <w:rFonts w:ascii="宋体" w:hAnsi="宋体"/>
                <w:color w:val="auto"/>
                <w:highlight w:val="none"/>
              </w:rPr>
            </w:pPr>
          </w:p>
        </w:tc>
      </w:tr>
    </w:tbl>
    <w:p w14:paraId="6925E601">
      <w:pPr>
        <w:ind w:firstLine="422"/>
        <w:jc w:val="center"/>
        <w:rPr>
          <w:rFonts w:ascii="宋体" w:hAnsi="宋体"/>
          <w:color w:val="auto"/>
          <w:highlight w:val="none"/>
        </w:rPr>
      </w:pPr>
      <w:r>
        <w:rPr>
          <w:rFonts w:hint="eastAsia" w:ascii="宋体" w:hAnsi="宋体"/>
          <w:b/>
          <w:bCs/>
          <w:color w:val="auto"/>
          <w:sz w:val="28"/>
          <w:szCs w:val="28"/>
          <w:highlight w:val="none"/>
        </w:rPr>
        <w:br w:type="page"/>
      </w:r>
    </w:p>
    <w:p w14:paraId="42C35260">
      <w:pPr>
        <w:spacing w:before="240" w:after="120" w:line="440" w:lineRule="exact"/>
        <w:ind w:firstLine="422"/>
        <w:jc w:val="center"/>
        <w:outlineLvl w:val="1"/>
        <w:rPr>
          <w:rFonts w:ascii="宋体" w:hAnsi="宋体"/>
          <w:color w:val="auto"/>
          <w:sz w:val="28"/>
          <w:szCs w:val="28"/>
          <w:highlight w:val="none"/>
        </w:rPr>
      </w:pPr>
      <w:bookmarkStart w:id="1991" w:name="_Toc30807"/>
      <w:bookmarkEnd w:id="1991"/>
      <w:bookmarkStart w:id="1992" w:name="_Toc4381"/>
      <w:bookmarkStart w:id="1993" w:name="_Toc129073531"/>
      <w:bookmarkStart w:id="1994" w:name="_Toc32180"/>
      <w:bookmarkStart w:id="1995" w:name="_Toc26124"/>
      <w:bookmarkStart w:id="1996" w:name="_Toc31770"/>
      <w:bookmarkStart w:id="1997" w:name="_Toc21952"/>
      <w:r>
        <w:rPr>
          <w:rFonts w:hint="eastAsia" w:ascii="宋体" w:hAnsi="宋体"/>
          <w:b/>
          <w:bCs/>
          <w:color w:val="auto"/>
          <w:sz w:val="28"/>
          <w:szCs w:val="28"/>
          <w:highlight w:val="none"/>
        </w:rPr>
        <w:t>四、资格审查资料</w:t>
      </w:r>
      <w:bookmarkEnd w:id="1992"/>
    </w:p>
    <w:p w14:paraId="372F84AD">
      <w:pPr>
        <w:spacing w:before="120" w:after="240" w:line="440" w:lineRule="exact"/>
        <w:jc w:val="center"/>
        <w:outlineLvl w:val="2"/>
        <w:rPr>
          <w:rFonts w:ascii="宋体" w:hAnsi="宋体"/>
          <w:color w:val="auto"/>
          <w:sz w:val="24"/>
          <w:szCs w:val="24"/>
          <w:highlight w:val="none"/>
        </w:rPr>
      </w:pPr>
      <w:bookmarkStart w:id="1998" w:name="_Toc12448"/>
      <w:bookmarkStart w:id="1999" w:name="_Toc129073537"/>
      <w:bookmarkStart w:id="2000" w:name="_Toc17606"/>
      <w:bookmarkStart w:id="2001" w:name="_Toc20545"/>
      <w:r>
        <w:rPr>
          <w:rFonts w:hint="eastAsia" w:ascii="宋体" w:hAnsi="宋体"/>
          <w:color w:val="auto"/>
          <w:sz w:val="24"/>
          <w:szCs w:val="24"/>
          <w:highlight w:val="none"/>
        </w:rPr>
        <w:t>（一）供应商基本情况表</w:t>
      </w:r>
      <w:bookmarkEnd w:id="1998"/>
      <w:bookmarkEnd w:id="1999"/>
      <w:bookmarkEnd w:id="2000"/>
      <w:bookmarkEnd w:id="2001"/>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897"/>
        <w:gridCol w:w="1021"/>
        <w:gridCol w:w="1276"/>
        <w:gridCol w:w="1701"/>
        <w:gridCol w:w="709"/>
        <w:gridCol w:w="1416"/>
      </w:tblGrid>
      <w:tr w14:paraId="5C08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3B97144">
            <w:pPr>
              <w:jc w:val="center"/>
              <w:rPr>
                <w:rFonts w:ascii="宋体" w:hAnsi="宋体"/>
                <w:color w:val="auto"/>
                <w:highlight w:val="none"/>
              </w:rPr>
            </w:pPr>
            <w:r>
              <w:rPr>
                <w:rFonts w:hint="eastAsia" w:ascii="宋体" w:hAnsi="宋体"/>
                <w:color w:val="auto"/>
                <w:highlight w:val="none"/>
              </w:rPr>
              <w:t>供应商名称</w:t>
            </w:r>
          </w:p>
        </w:tc>
        <w:tc>
          <w:tcPr>
            <w:tcW w:w="7020" w:type="dxa"/>
            <w:gridSpan w:val="6"/>
            <w:tcBorders>
              <w:top w:val="single" w:color="auto" w:sz="4" w:space="0"/>
              <w:left w:val="single" w:color="auto" w:sz="4" w:space="0"/>
              <w:bottom w:val="single" w:color="auto" w:sz="4" w:space="0"/>
              <w:right w:val="single" w:color="auto" w:sz="4" w:space="0"/>
            </w:tcBorders>
            <w:vAlign w:val="center"/>
          </w:tcPr>
          <w:p w14:paraId="0E5DDB70">
            <w:pPr>
              <w:jc w:val="center"/>
              <w:rPr>
                <w:rFonts w:ascii="宋体" w:hAnsi="宋体"/>
                <w:color w:val="auto"/>
                <w:highlight w:val="none"/>
              </w:rPr>
            </w:pPr>
          </w:p>
        </w:tc>
      </w:tr>
      <w:tr w14:paraId="027F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CD7FE4C">
            <w:pPr>
              <w:jc w:val="center"/>
              <w:rPr>
                <w:rFonts w:ascii="宋体" w:hAnsi="宋体"/>
                <w:color w:val="auto"/>
                <w:highlight w:val="none"/>
              </w:rPr>
            </w:pPr>
            <w:r>
              <w:rPr>
                <w:rFonts w:hint="eastAsia" w:ascii="宋体" w:hAnsi="宋体"/>
                <w:color w:val="auto"/>
                <w:highlight w:val="none"/>
              </w:rPr>
              <w:t>注册地址</w:t>
            </w:r>
          </w:p>
        </w:tc>
        <w:tc>
          <w:tcPr>
            <w:tcW w:w="3194" w:type="dxa"/>
            <w:gridSpan w:val="3"/>
            <w:tcBorders>
              <w:top w:val="single" w:color="auto" w:sz="4" w:space="0"/>
              <w:left w:val="single" w:color="auto" w:sz="4" w:space="0"/>
              <w:bottom w:val="single" w:color="auto" w:sz="4" w:space="0"/>
              <w:right w:val="single" w:color="auto" w:sz="4" w:space="0"/>
            </w:tcBorders>
            <w:vAlign w:val="center"/>
          </w:tcPr>
          <w:p w14:paraId="7BA402ED">
            <w:pPr>
              <w:jc w:val="center"/>
              <w:rPr>
                <w:rFonts w:ascii="宋体" w:hAnsi="宋体"/>
                <w:color w:val="auto"/>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3F730CCE">
            <w:pPr>
              <w:jc w:val="center"/>
              <w:rPr>
                <w:rFonts w:ascii="宋体" w:hAnsi="宋体"/>
                <w:color w:val="auto"/>
                <w:highlight w:val="none"/>
              </w:rPr>
            </w:pPr>
            <w:r>
              <w:rPr>
                <w:rFonts w:hint="eastAsia" w:ascii="宋体" w:hAnsi="宋体"/>
                <w:color w:val="auto"/>
                <w:highlight w:val="none"/>
              </w:rPr>
              <w:t>邮政编码</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5B3D8208">
            <w:pPr>
              <w:jc w:val="center"/>
              <w:rPr>
                <w:rFonts w:ascii="宋体" w:hAnsi="宋体"/>
                <w:color w:val="auto"/>
                <w:highlight w:val="none"/>
              </w:rPr>
            </w:pPr>
          </w:p>
        </w:tc>
      </w:tr>
      <w:tr w14:paraId="1C67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2BBF888E">
            <w:pPr>
              <w:jc w:val="center"/>
              <w:rPr>
                <w:rFonts w:ascii="宋体" w:hAnsi="宋体"/>
                <w:color w:val="auto"/>
                <w:highlight w:val="none"/>
              </w:rPr>
            </w:pPr>
            <w:r>
              <w:rPr>
                <w:rFonts w:hint="eastAsia" w:ascii="宋体" w:hAnsi="宋体"/>
                <w:color w:val="auto"/>
                <w:highlight w:val="none"/>
              </w:rPr>
              <w:t>联系方式</w:t>
            </w:r>
          </w:p>
        </w:tc>
        <w:tc>
          <w:tcPr>
            <w:tcW w:w="897" w:type="dxa"/>
            <w:tcBorders>
              <w:top w:val="single" w:color="auto" w:sz="4" w:space="0"/>
              <w:left w:val="single" w:color="auto" w:sz="4" w:space="0"/>
              <w:bottom w:val="single" w:color="auto" w:sz="4" w:space="0"/>
              <w:right w:val="single" w:color="auto" w:sz="4" w:space="0"/>
            </w:tcBorders>
            <w:vAlign w:val="center"/>
          </w:tcPr>
          <w:p w14:paraId="20B31B7A">
            <w:pPr>
              <w:jc w:val="center"/>
              <w:rPr>
                <w:rFonts w:ascii="宋体" w:hAnsi="宋体"/>
                <w:color w:val="auto"/>
                <w:highlight w:val="none"/>
              </w:rPr>
            </w:pPr>
            <w:r>
              <w:rPr>
                <w:rFonts w:hint="eastAsia" w:ascii="宋体" w:hAnsi="宋体"/>
                <w:color w:val="auto"/>
                <w:highlight w:val="none"/>
              </w:rPr>
              <w:t>联系人</w:t>
            </w:r>
          </w:p>
        </w:tc>
        <w:tc>
          <w:tcPr>
            <w:tcW w:w="2297" w:type="dxa"/>
            <w:gridSpan w:val="2"/>
            <w:tcBorders>
              <w:top w:val="single" w:color="auto" w:sz="4" w:space="0"/>
              <w:left w:val="single" w:color="auto" w:sz="4" w:space="0"/>
              <w:bottom w:val="single" w:color="auto" w:sz="4" w:space="0"/>
              <w:right w:val="single" w:color="auto" w:sz="4" w:space="0"/>
            </w:tcBorders>
            <w:vAlign w:val="center"/>
          </w:tcPr>
          <w:p w14:paraId="153DA585">
            <w:pPr>
              <w:jc w:val="center"/>
              <w:rPr>
                <w:rFonts w:ascii="宋体" w:hAnsi="宋体"/>
                <w:color w:val="auto"/>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424475DA">
            <w:pPr>
              <w:jc w:val="center"/>
              <w:rPr>
                <w:rFonts w:ascii="宋体" w:hAnsi="宋体"/>
                <w:color w:val="auto"/>
                <w:highlight w:val="none"/>
              </w:rPr>
            </w:pPr>
            <w:r>
              <w:rPr>
                <w:rFonts w:hint="eastAsia" w:ascii="宋体" w:hAnsi="宋体"/>
                <w:color w:val="auto"/>
                <w:highlight w:val="none"/>
              </w:rPr>
              <w:t>电  话</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29410796">
            <w:pPr>
              <w:jc w:val="center"/>
              <w:rPr>
                <w:rFonts w:ascii="宋体" w:hAnsi="宋体"/>
                <w:color w:val="auto"/>
                <w:highlight w:val="none"/>
              </w:rPr>
            </w:pPr>
          </w:p>
        </w:tc>
      </w:tr>
      <w:tr w14:paraId="6A85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43D8275">
            <w:pPr>
              <w:widowControl/>
              <w:jc w:val="left"/>
              <w:rPr>
                <w:rFonts w:ascii="宋体" w:hAnsi="宋体"/>
                <w:color w:val="auto"/>
                <w:highlight w:val="none"/>
              </w:rPr>
            </w:pPr>
          </w:p>
        </w:tc>
        <w:tc>
          <w:tcPr>
            <w:tcW w:w="897" w:type="dxa"/>
            <w:tcBorders>
              <w:top w:val="single" w:color="auto" w:sz="4" w:space="0"/>
              <w:left w:val="single" w:color="auto" w:sz="4" w:space="0"/>
              <w:bottom w:val="single" w:color="auto" w:sz="4" w:space="0"/>
              <w:right w:val="single" w:color="auto" w:sz="4" w:space="0"/>
            </w:tcBorders>
            <w:vAlign w:val="center"/>
          </w:tcPr>
          <w:p w14:paraId="5E8E0908">
            <w:pPr>
              <w:jc w:val="center"/>
              <w:rPr>
                <w:rFonts w:ascii="宋体" w:hAnsi="宋体"/>
                <w:color w:val="auto"/>
                <w:highlight w:val="none"/>
              </w:rPr>
            </w:pPr>
            <w:r>
              <w:rPr>
                <w:rFonts w:hint="eastAsia" w:ascii="宋体" w:hAnsi="宋体"/>
                <w:color w:val="auto"/>
                <w:highlight w:val="none"/>
              </w:rPr>
              <w:t>传  真</w:t>
            </w:r>
          </w:p>
        </w:tc>
        <w:tc>
          <w:tcPr>
            <w:tcW w:w="2297" w:type="dxa"/>
            <w:gridSpan w:val="2"/>
            <w:tcBorders>
              <w:top w:val="single" w:color="auto" w:sz="4" w:space="0"/>
              <w:left w:val="single" w:color="auto" w:sz="4" w:space="0"/>
              <w:bottom w:val="single" w:color="auto" w:sz="4" w:space="0"/>
              <w:right w:val="single" w:color="auto" w:sz="4" w:space="0"/>
            </w:tcBorders>
            <w:vAlign w:val="center"/>
          </w:tcPr>
          <w:p w14:paraId="368CD440">
            <w:pPr>
              <w:jc w:val="center"/>
              <w:rPr>
                <w:rFonts w:ascii="宋体" w:hAnsi="宋体"/>
                <w:color w:val="auto"/>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1D771D4E">
            <w:pPr>
              <w:jc w:val="center"/>
              <w:rPr>
                <w:rFonts w:ascii="宋体" w:hAnsi="宋体"/>
                <w:color w:val="auto"/>
                <w:highlight w:val="none"/>
              </w:rPr>
            </w:pPr>
            <w:r>
              <w:rPr>
                <w:rFonts w:hint="eastAsia" w:ascii="宋体" w:hAnsi="宋体"/>
                <w:color w:val="auto"/>
                <w:highlight w:val="none"/>
              </w:rPr>
              <w:t>网  址</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39B0EFBF">
            <w:pPr>
              <w:jc w:val="center"/>
              <w:rPr>
                <w:rFonts w:ascii="宋体" w:hAnsi="宋体"/>
                <w:color w:val="auto"/>
                <w:highlight w:val="none"/>
              </w:rPr>
            </w:pPr>
          </w:p>
        </w:tc>
      </w:tr>
      <w:tr w14:paraId="21C7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305E921">
            <w:pPr>
              <w:jc w:val="center"/>
              <w:rPr>
                <w:rFonts w:ascii="宋体" w:hAnsi="宋体"/>
                <w:color w:val="auto"/>
                <w:highlight w:val="none"/>
              </w:rPr>
            </w:pPr>
            <w:r>
              <w:rPr>
                <w:rFonts w:hint="eastAsia" w:ascii="宋体" w:hAnsi="宋体"/>
                <w:color w:val="auto"/>
                <w:highlight w:val="none"/>
              </w:rPr>
              <w:t>组织结构</w:t>
            </w:r>
          </w:p>
        </w:tc>
        <w:tc>
          <w:tcPr>
            <w:tcW w:w="7020" w:type="dxa"/>
            <w:gridSpan w:val="6"/>
            <w:tcBorders>
              <w:top w:val="single" w:color="auto" w:sz="4" w:space="0"/>
              <w:left w:val="single" w:color="auto" w:sz="4" w:space="0"/>
              <w:bottom w:val="single" w:color="auto" w:sz="4" w:space="0"/>
              <w:right w:val="single" w:color="auto" w:sz="4" w:space="0"/>
            </w:tcBorders>
            <w:vAlign w:val="center"/>
          </w:tcPr>
          <w:p w14:paraId="32968AB1">
            <w:pPr>
              <w:jc w:val="center"/>
              <w:rPr>
                <w:rFonts w:ascii="宋体" w:hAnsi="宋体"/>
                <w:color w:val="auto"/>
                <w:highlight w:val="none"/>
              </w:rPr>
            </w:pPr>
          </w:p>
        </w:tc>
      </w:tr>
      <w:tr w14:paraId="1A02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2370BA95">
            <w:pPr>
              <w:jc w:val="center"/>
              <w:rPr>
                <w:rFonts w:ascii="宋体" w:hAnsi="宋体"/>
                <w:color w:val="auto"/>
                <w:highlight w:val="none"/>
              </w:rPr>
            </w:pPr>
            <w:r>
              <w:rPr>
                <w:rFonts w:hint="eastAsia" w:ascii="宋体" w:hAnsi="宋体"/>
                <w:color w:val="auto"/>
                <w:highlight w:val="none"/>
              </w:rPr>
              <w:t>法定代表人</w:t>
            </w:r>
          </w:p>
        </w:tc>
        <w:tc>
          <w:tcPr>
            <w:tcW w:w="897" w:type="dxa"/>
            <w:tcBorders>
              <w:top w:val="single" w:color="auto" w:sz="4" w:space="0"/>
              <w:left w:val="single" w:color="auto" w:sz="4" w:space="0"/>
              <w:bottom w:val="single" w:color="auto" w:sz="4" w:space="0"/>
              <w:right w:val="single" w:color="auto" w:sz="4" w:space="0"/>
            </w:tcBorders>
            <w:vAlign w:val="center"/>
          </w:tcPr>
          <w:p w14:paraId="7276FE2B">
            <w:pPr>
              <w:jc w:val="center"/>
              <w:rPr>
                <w:rFonts w:ascii="宋体" w:hAnsi="宋体"/>
                <w:color w:val="auto"/>
                <w:highlight w:val="none"/>
              </w:rPr>
            </w:pPr>
            <w:r>
              <w:rPr>
                <w:rFonts w:hint="eastAsia" w:ascii="宋体" w:hAnsi="宋体"/>
                <w:color w:val="auto"/>
                <w:highlight w:val="none"/>
              </w:rPr>
              <w:t>姓名</w:t>
            </w:r>
          </w:p>
        </w:tc>
        <w:tc>
          <w:tcPr>
            <w:tcW w:w="1021" w:type="dxa"/>
            <w:tcBorders>
              <w:top w:val="single" w:color="auto" w:sz="4" w:space="0"/>
              <w:left w:val="single" w:color="auto" w:sz="4" w:space="0"/>
              <w:bottom w:val="single" w:color="auto" w:sz="4" w:space="0"/>
              <w:right w:val="single" w:color="auto" w:sz="4" w:space="0"/>
            </w:tcBorders>
            <w:vAlign w:val="center"/>
          </w:tcPr>
          <w:p w14:paraId="2F210E5F">
            <w:pPr>
              <w:jc w:val="center"/>
              <w:rPr>
                <w:rFonts w:ascii="宋体" w:hAnsi="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325C72FE">
            <w:pPr>
              <w:jc w:val="center"/>
              <w:rPr>
                <w:rFonts w:ascii="宋体" w:hAnsi="宋体"/>
                <w:color w:val="auto"/>
                <w:highlight w:val="none"/>
              </w:rPr>
            </w:pPr>
            <w:r>
              <w:rPr>
                <w:rFonts w:hint="eastAsia" w:ascii="宋体" w:hAnsi="宋体"/>
                <w:color w:val="auto"/>
                <w:highlight w:val="none"/>
              </w:rPr>
              <w:t>技术职称</w:t>
            </w:r>
          </w:p>
        </w:tc>
        <w:tc>
          <w:tcPr>
            <w:tcW w:w="1701" w:type="dxa"/>
            <w:tcBorders>
              <w:top w:val="single" w:color="auto" w:sz="4" w:space="0"/>
              <w:left w:val="single" w:color="auto" w:sz="4" w:space="0"/>
              <w:bottom w:val="single" w:color="auto" w:sz="4" w:space="0"/>
              <w:right w:val="single" w:color="auto" w:sz="4" w:space="0"/>
            </w:tcBorders>
            <w:vAlign w:val="center"/>
          </w:tcPr>
          <w:p w14:paraId="5F1B67DA">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57862D8E">
            <w:pPr>
              <w:jc w:val="center"/>
              <w:rPr>
                <w:rFonts w:ascii="宋体" w:hAnsi="宋体"/>
                <w:color w:val="auto"/>
                <w:highlight w:val="none"/>
              </w:rPr>
            </w:pPr>
            <w:r>
              <w:rPr>
                <w:rFonts w:hint="eastAsia" w:ascii="宋体" w:hAnsi="宋体"/>
                <w:color w:val="auto"/>
                <w:highlight w:val="none"/>
              </w:rPr>
              <w:t>电话</w:t>
            </w:r>
          </w:p>
        </w:tc>
        <w:tc>
          <w:tcPr>
            <w:tcW w:w="1416" w:type="dxa"/>
            <w:tcBorders>
              <w:top w:val="single" w:color="auto" w:sz="4" w:space="0"/>
              <w:left w:val="single" w:color="auto" w:sz="4" w:space="0"/>
              <w:bottom w:val="single" w:color="auto" w:sz="4" w:space="0"/>
              <w:right w:val="single" w:color="auto" w:sz="4" w:space="0"/>
            </w:tcBorders>
            <w:vAlign w:val="center"/>
          </w:tcPr>
          <w:p w14:paraId="7657AD51">
            <w:pPr>
              <w:jc w:val="center"/>
              <w:rPr>
                <w:rFonts w:ascii="宋体" w:hAnsi="宋体"/>
                <w:color w:val="auto"/>
                <w:highlight w:val="none"/>
              </w:rPr>
            </w:pPr>
          </w:p>
        </w:tc>
      </w:tr>
      <w:tr w14:paraId="0696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8AB546D">
            <w:pPr>
              <w:jc w:val="center"/>
              <w:rPr>
                <w:rFonts w:ascii="宋体" w:hAnsi="宋体"/>
                <w:color w:val="auto"/>
                <w:highlight w:val="none"/>
              </w:rPr>
            </w:pPr>
            <w:r>
              <w:rPr>
                <w:rFonts w:hint="eastAsia" w:ascii="宋体" w:hAnsi="宋体"/>
                <w:color w:val="auto"/>
                <w:highlight w:val="none"/>
              </w:rPr>
              <w:t>技术负责人</w:t>
            </w:r>
          </w:p>
        </w:tc>
        <w:tc>
          <w:tcPr>
            <w:tcW w:w="897" w:type="dxa"/>
            <w:tcBorders>
              <w:top w:val="single" w:color="auto" w:sz="4" w:space="0"/>
              <w:left w:val="single" w:color="auto" w:sz="4" w:space="0"/>
              <w:bottom w:val="single" w:color="auto" w:sz="4" w:space="0"/>
              <w:right w:val="single" w:color="auto" w:sz="4" w:space="0"/>
            </w:tcBorders>
            <w:vAlign w:val="center"/>
          </w:tcPr>
          <w:p w14:paraId="5413502D">
            <w:pPr>
              <w:jc w:val="center"/>
              <w:rPr>
                <w:rFonts w:ascii="宋体" w:hAnsi="宋体"/>
                <w:color w:val="auto"/>
                <w:highlight w:val="none"/>
              </w:rPr>
            </w:pPr>
            <w:r>
              <w:rPr>
                <w:rFonts w:hint="eastAsia" w:ascii="宋体" w:hAnsi="宋体"/>
                <w:color w:val="auto"/>
                <w:highlight w:val="none"/>
              </w:rPr>
              <w:t>姓名</w:t>
            </w:r>
          </w:p>
        </w:tc>
        <w:tc>
          <w:tcPr>
            <w:tcW w:w="1021" w:type="dxa"/>
            <w:tcBorders>
              <w:top w:val="single" w:color="auto" w:sz="4" w:space="0"/>
              <w:left w:val="single" w:color="auto" w:sz="4" w:space="0"/>
              <w:bottom w:val="single" w:color="auto" w:sz="4" w:space="0"/>
              <w:right w:val="single" w:color="auto" w:sz="4" w:space="0"/>
            </w:tcBorders>
            <w:vAlign w:val="center"/>
          </w:tcPr>
          <w:p w14:paraId="22D5AF7B">
            <w:pPr>
              <w:jc w:val="center"/>
              <w:rPr>
                <w:rFonts w:ascii="宋体" w:hAnsi="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163B50D0">
            <w:pPr>
              <w:jc w:val="center"/>
              <w:rPr>
                <w:rFonts w:ascii="宋体" w:hAnsi="宋体"/>
                <w:color w:val="auto"/>
                <w:highlight w:val="none"/>
              </w:rPr>
            </w:pPr>
            <w:r>
              <w:rPr>
                <w:rFonts w:hint="eastAsia" w:ascii="宋体" w:hAnsi="宋体"/>
                <w:color w:val="auto"/>
                <w:highlight w:val="none"/>
              </w:rPr>
              <w:t>技术职称</w:t>
            </w:r>
          </w:p>
        </w:tc>
        <w:tc>
          <w:tcPr>
            <w:tcW w:w="1701" w:type="dxa"/>
            <w:tcBorders>
              <w:top w:val="single" w:color="auto" w:sz="4" w:space="0"/>
              <w:left w:val="single" w:color="auto" w:sz="4" w:space="0"/>
              <w:bottom w:val="single" w:color="auto" w:sz="4" w:space="0"/>
              <w:right w:val="single" w:color="auto" w:sz="4" w:space="0"/>
            </w:tcBorders>
            <w:vAlign w:val="center"/>
          </w:tcPr>
          <w:p w14:paraId="5923DB54">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7152216E">
            <w:pPr>
              <w:jc w:val="center"/>
              <w:rPr>
                <w:rFonts w:ascii="宋体" w:hAnsi="宋体"/>
                <w:color w:val="auto"/>
                <w:highlight w:val="none"/>
              </w:rPr>
            </w:pPr>
            <w:r>
              <w:rPr>
                <w:rFonts w:hint="eastAsia" w:ascii="宋体" w:hAnsi="宋体"/>
                <w:color w:val="auto"/>
                <w:highlight w:val="none"/>
              </w:rPr>
              <w:t>电话</w:t>
            </w:r>
          </w:p>
        </w:tc>
        <w:tc>
          <w:tcPr>
            <w:tcW w:w="1416" w:type="dxa"/>
            <w:tcBorders>
              <w:top w:val="single" w:color="auto" w:sz="4" w:space="0"/>
              <w:left w:val="single" w:color="auto" w:sz="4" w:space="0"/>
              <w:bottom w:val="single" w:color="auto" w:sz="4" w:space="0"/>
              <w:right w:val="single" w:color="auto" w:sz="4" w:space="0"/>
            </w:tcBorders>
            <w:vAlign w:val="center"/>
          </w:tcPr>
          <w:p w14:paraId="59674C59">
            <w:pPr>
              <w:jc w:val="center"/>
              <w:rPr>
                <w:rFonts w:ascii="宋体" w:hAnsi="宋体"/>
                <w:color w:val="auto"/>
                <w:highlight w:val="none"/>
              </w:rPr>
            </w:pPr>
          </w:p>
        </w:tc>
      </w:tr>
      <w:tr w14:paraId="29DB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CC62167">
            <w:pPr>
              <w:jc w:val="center"/>
              <w:rPr>
                <w:rFonts w:ascii="宋体" w:hAnsi="宋体"/>
                <w:color w:val="auto"/>
                <w:highlight w:val="none"/>
              </w:rPr>
            </w:pPr>
            <w:r>
              <w:rPr>
                <w:rFonts w:hint="eastAsia" w:ascii="宋体" w:hAnsi="宋体"/>
                <w:color w:val="auto"/>
                <w:highlight w:val="none"/>
              </w:rPr>
              <w:t>成立时间</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124CC68A">
            <w:pPr>
              <w:jc w:val="center"/>
              <w:rPr>
                <w:rFonts w:ascii="宋体" w:hAnsi="宋体"/>
                <w:color w:val="auto"/>
                <w:highlight w:val="none"/>
              </w:rPr>
            </w:pPr>
          </w:p>
        </w:tc>
        <w:tc>
          <w:tcPr>
            <w:tcW w:w="5102" w:type="dxa"/>
            <w:gridSpan w:val="4"/>
            <w:tcBorders>
              <w:top w:val="single" w:color="auto" w:sz="4" w:space="0"/>
              <w:left w:val="single" w:color="auto" w:sz="4" w:space="0"/>
              <w:bottom w:val="single" w:color="auto" w:sz="4" w:space="0"/>
              <w:right w:val="single" w:color="auto" w:sz="4" w:space="0"/>
            </w:tcBorders>
            <w:vAlign w:val="center"/>
          </w:tcPr>
          <w:p w14:paraId="17DF46B4">
            <w:pPr>
              <w:jc w:val="center"/>
              <w:rPr>
                <w:rFonts w:ascii="宋体" w:hAnsi="宋体"/>
                <w:color w:val="auto"/>
                <w:highlight w:val="none"/>
              </w:rPr>
            </w:pPr>
            <w:r>
              <w:rPr>
                <w:rFonts w:hint="eastAsia" w:ascii="宋体" w:hAnsi="宋体"/>
                <w:color w:val="auto"/>
                <w:highlight w:val="none"/>
              </w:rPr>
              <w:t>员工总人数：</w:t>
            </w:r>
          </w:p>
        </w:tc>
      </w:tr>
      <w:tr w14:paraId="5ED4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7D17581">
            <w:pPr>
              <w:jc w:val="center"/>
              <w:rPr>
                <w:rFonts w:ascii="宋体" w:hAnsi="宋体"/>
                <w:color w:val="auto"/>
                <w:highlight w:val="none"/>
              </w:rPr>
            </w:pPr>
            <w:r>
              <w:rPr>
                <w:rFonts w:hint="eastAsia" w:ascii="宋体" w:hAnsi="宋体"/>
                <w:color w:val="auto"/>
                <w:highlight w:val="none"/>
              </w:rPr>
              <w:t>营业执照号</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0891AF78">
            <w:pPr>
              <w:jc w:val="center"/>
              <w:rPr>
                <w:rFonts w:ascii="宋体" w:hAnsi="宋体"/>
                <w:color w:val="auto"/>
                <w:highlight w:val="none"/>
              </w:rPr>
            </w:pPr>
          </w:p>
        </w:tc>
        <w:tc>
          <w:tcPr>
            <w:tcW w:w="1276" w:type="dxa"/>
            <w:vMerge w:val="restart"/>
            <w:tcBorders>
              <w:top w:val="nil"/>
              <w:left w:val="single" w:color="auto" w:sz="4" w:space="0"/>
              <w:bottom w:val="single" w:color="auto" w:sz="4" w:space="0"/>
              <w:right w:val="single" w:color="auto" w:sz="4" w:space="0"/>
            </w:tcBorders>
            <w:vAlign w:val="center"/>
          </w:tcPr>
          <w:p w14:paraId="5A74C4D5">
            <w:pPr>
              <w:jc w:val="center"/>
              <w:rPr>
                <w:rFonts w:ascii="宋体" w:hAnsi="宋体"/>
                <w:color w:val="auto"/>
                <w:highlight w:val="none"/>
              </w:rPr>
            </w:pPr>
            <w:r>
              <w:rPr>
                <w:rFonts w:hint="eastAsia" w:ascii="宋体" w:hAnsi="宋体"/>
                <w:color w:val="auto"/>
                <w:highlight w:val="none"/>
              </w:rPr>
              <w:t>其中</w:t>
            </w:r>
          </w:p>
        </w:tc>
        <w:tc>
          <w:tcPr>
            <w:tcW w:w="1701" w:type="dxa"/>
            <w:tcBorders>
              <w:top w:val="single" w:color="auto" w:sz="4" w:space="0"/>
              <w:left w:val="single" w:color="auto" w:sz="4" w:space="0"/>
              <w:bottom w:val="single" w:color="auto" w:sz="4" w:space="0"/>
              <w:right w:val="single" w:color="auto" w:sz="4" w:space="0"/>
            </w:tcBorders>
            <w:vAlign w:val="center"/>
          </w:tcPr>
          <w:p w14:paraId="49C06206">
            <w:pPr>
              <w:jc w:val="center"/>
              <w:rPr>
                <w:rFonts w:ascii="宋体" w:hAnsi="宋体"/>
                <w:color w:val="auto"/>
                <w:highlight w:val="none"/>
              </w:rPr>
            </w:pPr>
            <w:r>
              <w:rPr>
                <w:rFonts w:hint="eastAsia" w:ascii="宋体" w:hAnsi="宋体"/>
                <w:color w:val="auto"/>
                <w:highlight w:val="none"/>
              </w:rPr>
              <w:t>高级职称人员</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27E07AFE">
            <w:pPr>
              <w:jc w:val="center"/>
              <w:rPr>
                <w:rFonts w:ascii="宋体" w:hAnsi="宋体"/>
                <w:color w:val="auto"/>
                <w:highlight w:val="none"/>
              </w:rPr>
            </w:pPr>
          </w:p>
        </w:tc>
      </w:tr>
      <w:tr w14:paraId="1A48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7555C46">
            <w:pPr>
              <w:jc w:val="center"/>
              <w:rPr>
                <w:rFonts w:ascii="宋体" w:hAnsi="宋体"/>
                <w:color w:val="auto"/>
                <w:highlight w:val="none"/>
              </w:rPr>
            </w:pPr>
            <w:r>
              <w:rPr>
                <w:rFonts w:hint="eastAsia" w:ascii="宋体" w:hAnsi="宋体"/>
                <w:color w:val="auto"/>
                <w:highlight w:val="none"/>
              </w:rPr>
              <w:t>注册资金</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5ECBB84B">
            <w:pPr>
              <w:jc w:val="center"/>
              <w:rPr>
                <w:rFonts w:ascii="宋体" w:hAnsi="宋体"/>
                <w:color w:val="auto"/>
                <w:highlight w:val="none"/>
              </w:rPr>
            </w:pPr>
          </w:p>
        </w:tc>
        <w:tc>
          <w:tcPr>
            <w:tcW w:w="0" w:type="auto"/>
            <w:vMerge w:val="continue"/>
            <w:tcBorders>
              <w:top w:val="nil"/>
              <w:left w:val="single" w:color="auto" w:sz="4" w:space="0"/>
              <w:bottom w:val="single" w:color="auto" w:sz="4" w:space="0"/>
              <w:right w:val="single" w:color="auto" w:sz="4" w:space="0"/>
            </w:tcBorders>
            <w:vAlign w:val="center"/>
          </w:tcPr>
          <w:p w14:paraId="6F843B1C">
            <w:pPr>
              <w:widowControl/>
              <w:jc w:val="left"/>
              <w:rPr>
                <w:rFonts w:ascii="宋体" w:hAnsi="宋体"/>
                <w:color w:val="auto"/>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1E022B22">
            <w:pPr>
              <w:jc w:val="center"/>
              <w:rPr>
                <w:rFonts w:ascii="宋体" w:hAnsi="宋体"/>
                <w:color w:val="auto"/>
                <w:highlight w:val="none"/>
              </w:rPr>
            </w:pPr>
            <w:r>
              <w:rPr>
                <w:rFonts w:hint="eastAsia" w:ascii="宋体" w:hAnsi="宋体"/>
                <w:color w:val="auto"/>
                <w:highlight w:val="none"/>
              </w:rPr>
              <w:t>中级职称人员</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74AD5B66">
            <w:pPr>
              <w:jc w:val="center"/>
              <w:rPr>
                <w:rFonts w:ascii="宋体" w:hAnsi="宋体"/>
                <w:color w:val="auto"/>
                <w:highlight w:val="none"/>
              </w:rPr>
            </w:pPr>
          </w:p>
        </w:tc>
      </w:tr>
      <w:tr w14:paraId="56E5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B6BFA92">
            <w:pPr>
              <w:jc w:val="center"/>
              <w:rPr>
                <w:rFonts w:ascii="宋体" w:hAnsi="宋体"/>
                <w:color w:val="auto"/>
                <w:highlight w:val="none"/>
              </w:rPr>
            </w:pPr>
            <w:r>
              <w:rPr>
                <w:rFonts w:hint="eastAsia" w:ascii="宋体" w:hAnsi="宋体"/>
                <w:color w:val="auto"/>
                <w:highlight w:val="none"/>
              </w:rPr>
              <w:t>开户银行</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5235C5B6">
            <w:pPr>
              <w:jc w:val="center"/>
              <w:rPr>
                <w:rFonts w:ascii="宋体" w:hAnsi="宋体"/>
                <w:color w:val="auto"/>
                <w:highlight w:val="none"/>
              </w:rPr>
            </w:pPr>
          </w:p>
        </w:tc>
        <w:tc>
          <w:tcPr>
            <w:tcW w:w="0" w:type="auto"/>
            <w:vMerge w:val="continue"/>
            <w:tcBorders>
              <w:top w:val="nil"/>
              <w:left w:val="single" w:color="auto" w:sz="4" w:space="0"/>
              <w:bottom w:val="single" w:color="auto" w:sz="4" w:space="0"/>
              <w:right w:val="single" w:color="auto" w:sz="4" w:space="0"/>
            </w:tcBorders>
            <w:vAlign w:val="center"/>
          </w:tcPr>
          <w:p w14:paraId="1B95D3F1">
            <w:pPr>
              <w:widowControl/>
              <w:jc w:val="left"/>
              <w:rPr>
                <w:rFonts w:ascii="宋体" w:hAnsi="宋体"/>
                <w:color w:val="auto"/>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0A44979">
            <w:pPr>
              <w:jc w:val="center"/>
              <w:rPr>
                <w:rFonts w:ascii="宋体" w:hAnsi="宋体"/>
                <w:color w:val="auto"/>
                <w:highlight w:val="none"/>
              </w:rPr>
            </w:pPr>
            <w:r>
              <w:rPr>
                <w:rFonts w:hint="eastAsia" w:ascii="宋体" w:hAnsi="宋体"/>
                <w:color w:val="auto"/>
                <w:highlight w:val="none"/>
              </w:rPr>
              <w:t>初级职称人员</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5B522814">
            <w:pPr>
              <w:jc w:val="center"/>
              <w:rPr>
                <w:rFonts w:ascii="宋体" w:hAnsi="宋体"/>
                <w:color w:val="auto"/>
                <w:highlight w:val="none"/>
              </w:rPr>
            </w:pPr>
          </w:p>
        </w:tc>
      </w:tr>
      <w:tr w14:paraId="1C24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BD9FD1C">
            <w:pPr>
              <w:jc w:val="center"/>
              <w:rPr>
                <w:rFonts w:ascii="宋体" w:hAnsi="宋体"/>
                <w:color w:val="auto"/>
                <w:highlight w:val="none"/>
              </w:rPr>
            </w:pPr>
            <w:r>
              <w:rPr>
                <w:rFonts w:hint="eastAsia" w:ascii="宋体" w:hAnsi="宋体"/>
                <w:color w:val="auto"/>
                <w:highlight w:val="none"/>
              </w:rPr>
              <w:t>账号</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4D34DBF1">
            <w:pPr>
              <w:jc w:val="center"/>
              <w:rPr>
                <w:rFonts w:ascii="宋体" w:hAnsi="宋体"/>
                <w:color w:val="auto"/>
                <w:highlight w:val="none"/>
              </w:rPr>
            </w:pPr>
          </w:p>
        </w:tc>
        <w:tc>
          <w:tcPr>
            <w:tcW w:w="0" w:type="auto"/>
            <w:vMerge w:val="continue"/>
            <w:tcBorders>
              <w:top w:val="nil"/>
              <w:left w:val="single" w:color="auto" w:sz="4" w:space="0"/>
              <w:bottom w:val="single" w:color="auto" w:sz="4" w:space="0"/>
              <w:right w:val="single" w:color="auto" w:sz="4" w:space="0"/>
            </w:tcBorders>
            <w:vAlign w:val="center"/>
          </w:tcPr>
          <w:p w14:paraId="084D0F30">
            <w:pPr>
              <w:widowControl/>
              <w:jc w:val="left"/>
              <w:rPr>
                <w:rFonts w:ascii="宋体" w:hAnsi="宋体"/>
                <w:color w:val="auto"/>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521DD9BF">
            <w:pPr>
              <w:jc w:val="center"/>
              <w:rPr>
                <w:rFonts w:ascii="宋体" w:hAnsi="宋体"/>
                <w:color w:val="auto"/>
                <w:highlight w:val="none"/>
              </w:rPr>
            </w:pPr>
            <w:r>
              <w:rPr>
                <w:rFonts w:hint="eastAsia" w:ascii="宋体" w:hAnsi="宋体"/>
                <w:color w:val="auto"/>
                <w:highlight w:val="none"/>
              </w:rPr>
              <w:t>技  工</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576F40B1">
            <w:pPr>
              <w:jc w:val="center"/>
              <w:rPr>
                <w:rFonts w:ascii="宋体" w:hAnsi="宋体"/>
                <w:color w:val="auto"/>
                <w:highlight w:val="none"/>
              </w:rPr>
            </w:pPr>
          </w:p>
        </w:tc>
      </w:tr>
      <w:tr w14:paraId="02F1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E8F6634">
            <w:pPr>
              <w:jc w:val="center"/>
              <w:rPr>
                <w:rFonts w:ascii="宋体" w:hAnsi="宋体"/>
                <w:color w:val="auto"/>
                <w:highlight w:val="none"/>
              </w:rPr>
            </w:pPr>
            <w:r>
              <w:rPr>
                <w:rFonts w:hint="eastAsia" w:ascii="宋体" w:hAnsi="宋体"/>
                <w:color w:val="auto"/>
                <w:highlight w:val="none"/>
              </w:rPr>
              <w:t>经营范围</w:t>
            </w:r>
          </w:p>
        </w:tc>
        <w:tc>
          <w:tcPr>
            <w:tcW w:w="7020" w:type="dxa"/>
            <w:gridSpan w:val="6"/>
            <w:tcBorders>
              <w:top w:val="single" w:color="auto" w:sz="4" w:space="0"/>
              <w:left w:val="single" w:color="auto" w:sz="4" w:space="0"/>
              <w:bottom w:val="single" w:color="auto" w:sz="4" w:space="0"/>
              <w:right w:val="single" w:color="auto" w:sz="4" w:space="0"/>
            </w:tcBorders>
            <w:vAlign w:val="center"/>
          </w:tcPr>
          <w:p w14:paraId="445D9CEE">
            <w:pPr>
              <w:jc w:val="center"/>
              <w:rPr>
                <w:rFonts w:ascii="宋体" w:hAnsi="宋体"/>
                <w:color w:val="auto"/>
                <w:highlight w:val="none"/>
              </w:rPr>
            </w:pPr>
          </w:p>
        </w:tc>
      </w:tr>
      <w:tr w14:paraId="62A9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334F1C3">
            <w:pPr>
              <w:jc w:val="center"/>
              <w:rPr>
                <w:rFonts w:ascii="宋体" w:hAnsi="宋体"/>
                <w:color w:val="auto"/>
                <w:highlight w:val="none"/>
              </w:rPr>
            </w:pPr>
            <w:r>
              <w:rPr>
                <w:rFonts w:hint="eastAsia" w:ascii="宋体" w:hAnsi="宋体"/>
                <w:color w:val="auto"/>
                <w:highlight w:val="none"/>
              </w:rPr>
              <w:t>备注</w:t>
            </w:r>
          </w:p>
        </w:tc>
        <w:tc>
          <w:tcPr>
            <w:tcW w:w="7020" w:type="dxa"/>
            <w:gridSpan w:val="6"/>
            <w:tcBorders>
              <w:top w:val="single" w:color="auto" w:sz="4" w:space="0"/>
              <w:left w:val="single" w:color="auto" w:sz="4" w:space="0"/>
              <w:bottom w:val="single" w:color="auto" w:sz="4" w:space="0"/>
              <w:right w:val="single" w:color="auto" w:sz="4" w:space="0"/>
            </w:tcBorders>
            <w:vAlign w:val="center"/>
          </w:tcPr>
          <w:p w14:paraId="3A62369C">
            <w:pPr>
              <w:jc w:val="center"/>
              <w:rPr>
                <w:rFonts w:ascii="宋体" w:hAnsi="宋体"/>
                <w:color w:val="auto"/>
                <w:highlight w:val="none"/>
              </w:rPr>
            </w:pPr>
          </w:p>
        </w:tc>
      </w:tr>
    </w:tbl>
    <w:p w14:paraId="247E03C3">
      <w:pPr>
        <w:spacing w:line="440" w:lineRule="exact"/>
        <w:ind w:firstLine="480" w:firstLineChars="200"/>
        <w:rPr>
          <w:rFonts w:ascii="宋体" w:hAnsi="宋体"/>
          <w:color w:val="auto"/>
          <w:sz w:val="24"/>
          <w:szCs w:val="24"/>
          <w:highlight w:val="none"/>
        </w:rPr>
      </w:pPr>
    </w:p>
    <w:p w14:paraId="026F520C">
      <w:pPr>
        <w:spacing w:line="360" w:lineRule="auto"/>
        <w:jc w:val="center"/>
        <w:rPr>
          <w:rFonts w:ascii="宋体" w:hAnsi="宋体" w:cs="宋体"/>
          <w:color w:val="auto"/>
          <w:sz w:val="28"/>
          <w:szCs w:val="28"/>
          <w:highlight w:val="none"/>
        </w:rPr>
      </w:pPr>
      <w:r>
        <w:rPr>
          <w:rFonts w:hint="eastAsia" w:ascii="宋体" w:hAnsi="宋体"/>
          <w:color w:val="auto"/>
          <w:highlight w:val="none"/>
        </w:rPr>
        <w:br w:type="page"/>
      </w:r>
      <w:r>
        <w:rPr>
          <w:rFonts w:hint="eastAsia" w:ascii="宋体" w:hAnsi="宋体"/>
          <w:color w:val="auto"/>
          <w:highlight w:val="none"/>
          <w:lang w:eastAsia="zh-CN"/>
        </w:rPr>
        <w:t>1.</w:t>
      </w:r>
      <w:r>
        <w:rPr>
          <w:rFonts w:hint="eastAsia" w:ascii="宋体" w:hAnsi="宋体" w:cs="宋体"/>
          <w:color w:val="auto"/>
          <w:sz w:val="28"/>
          <w:szCs w:val="28"/>
          <w:highlight w:val="none"/>
        </w:rPr>
        <w:t>具有独立承担民事责任的能力</w:t>
      </w:r>
    </w:p>
    <w:p w14:paraId="63DD8073">
      <w:pPr>
        <w:spacing w:line="360" w:lineRule="auto"/>
        <w:ind w:firstLine="420"/>
        <w:jc w:val="center"/>
        <w:rPr>
          <w:rFonts w:ascii="宋体" w:hAnsi="宋体" w:cs="宋体"/>
          <w:color w:val="auto"/>
          <w:sz w:val="28"/>
          <w:szCs w:val="28"/>
          <w:highlight w:val="none"/>
        </w:rPr>
      </w:pPr>
    </w:p>
    <w:p w14:paraId="7B8A24A7">
      <w:pPr>
        <w:spacing w:line="360" w:lineRule="auto"/>
        <w:ind w:firstLine="420"/>
        <w:jc w:val="center"/>
        <w:rPr>
          <w:rFonts w:ascii="宋体" w:hAnsi="宋体" w:cs="宋体"/>
          <w:color w:val="auto"/>
          <w:sz w:val="28"/>
          <w:szCs w:val="28"/>
          <w:highlight w:val="none"/>
        </w:rPr>
      </w:pPr>
      <w:r>
        <w:rPr>
          <w:rFonts w:hint="eastAsia" w:ascii="宋体" w:hAnsi="宋体" w:cs="宋体"/>
          <w:color w:val="auto"/>
          <w:highlight w:val="none"/>
        </w:rPr>
        <w:t>提供有效的营业执照/事业单位法人证书/社会团体法人登记证书/民办非企业单位登记证书等相关证明文件</w:t>
      </w:r>
    </w:p>
    <w:p w14:paraId="0ED97009">
      <w:pPr>
        <w:spacing w:line="360" w:lineRule="auto"/>
        <w:ind w:firstLine="420"/>
        <w:rPr>
          <w:color w:val="auto"/>
          <w:sz w:val="28"/>
          <w:szCs w:val="28"/>
          <w:highlight w:val="none"/>
        </w:rPr>
      </w:pPr>
      <w:bookmarkStart w:id="2002" w:name="_Toc134452826"/>
    </w:p>
    <w:p w14:paraId="4DBE772A">
      <w:pPr>
        <w:spacing w:line="360" w:lineRule="auto"/>
        <w:ind w:firstLine="420"/>
        <w:rPr>
          <w:color w:val="auto"/>
          <w:sz w:val="28"/>
          <w:szCs w:val="28"/>
          <w:highlight w:val="none"/>
        </w:rPr>
      </w:pPr>
    </w:p>
    <w:p w14:paraId="2527E88B">
      <w:pPr>
        <w:spacing w:line="360" w:lineRule="auto"/>
        <w:ind w:firstLine="420"/>
        <w:jc w:val="center"/>
        <w:rPr>
          <w:rFonts w:ascii="宋体" w:hAnsi="宋体" w:cs="宋体"/>
          <w:color w:val="auto"/>
          <w:sz w:val="28"/>
          <w:szCs w:val="28"/>
          <w:highlight w:val="none"/>
        </w:rPr>
      </w:pPr>
      <w:r>
        <w:rPr>
          <w:rFonts w:hint="eastAsia" w:ascii="宋体" w:hAnsi="宋体" w:cs="宋体"/>
          <w:color w:val="auto"/>
          <w:sz w:val="28"/>
          <w:szCs w:val="28"/>
          <w:highlight w:val="none"/>
          <w:lang w:eastAsia="zh-CN"/>
        </w:rPr>
        <w:t>2.</w:t>
      </w:r>
      <w:r>
        <w:rPr>
          <w:rFonts w:hint="eastAsia" w:ascii="宋体" w:hAnsi="宋体" w:cs="宋体"/>
          <w:color w:val="auto"/>
          <w:sz w:val="28"/>
          <w:szCs w:val="28"/>
          <w:highlight w:val="none"/>
        </w:rPr>
        <w:t>具有良好的商业信誉和健全的财务会计制度</w:t>
      </w:r>
      <w:bookmarkEnd w:id="2002"/>
    </w:p>
    <w:p w14:paraId="6B60072D">
      <w:pPr>
        <w:spacing w:line="360" w:lineRule="auto"/>
        <w:ind w:firstLine="420"/>
        <w:jc w:val="center"/>
        <w:rPr>
          <w:rFonts w:ascii="宋体" w:hAnsi="宋体" w:cs="宋体"/>
          <w:color w:val="auto"/>
          <w:sz w:val="28"/>
          <w:szCs w:val="28"/>
          <w:highlight w:val="none"/>
        </w:rPr>
      </w:pPr>
      <w:r>
        <w:rPr>
          <w:rFonts w:hint="eastAsia" w:ascii="宋体" w:hAnsi="宋体" w:cs="宋体"/>
          <w:color w:val="auto"/>
          <w:highlight w:val="none"/>
        </w:rPr>
        <w:t>提供</w:t>
      </w:r>
      <w:r>
        <w:rPr>
          <w:rFonts w:hint="eastAsia" w:ascii="宋体" w:hAnsi="宋体" w:cs="宋体"/>
          <w:color w:val="auto"/>
          <w:highlight w:val="none"/>
          <w:lang w:val="en-US" w:eastAsia="zh-CN"/>
        </w:rPr>
        <w:t>2025年度</w:t>
      </w:r>
      <w:r>
        <w:rPr>
          <w:rFonts w:hint="eastAsia" w:ascii="宋体" w:hAnsi="宋体" w:cs="宋体"/>
          <w:color w:val="auto"/>
          <w:highlight w:val="none"/>
        </w:rPr>
        <w:t>经审计的财务报告</w:t>
      </w:r>
      <w:r>
        <w:rPr>
          <w:rFonts w:hint="eastAsia" w:ascii="宋体" w:hAnsi="宋体" w:cs="宋体"/>
          <w:color w:val="auto"/>
          <w:highlight w:val="none"/>
          <w:lang w:eastAsia="zh-CN"/>
        </w:rPr>
        <w:t>，</w:t>
      </w:r>
      <w:bookmarkStart w:id="2003" w:name="_Toc134452827"/>
      <w:r>
        <w:rPr>
          <w:rFonts w:hint="eastAsia" w:ascii="宋体" w:hAnsi="宋体" w:cs="宋体"/>
          <w:color w:val="auto"/>
          <w:highlight w:val="none"/>
          <w:lang w:eastAsia="zh-CN"/>
        </w:rPr>
        <w:t>成立时间不足1年的，提供近三个月内其基本开户银行出具的资信证明</w:t>
      </w:r>
    </w:p>
    <w:p w14:paraId="54B19579">
      <w:pPr>
        <w:spacing w:line="360" w:lineRule="auto"/>
        <w:ind w:firstLine="420"/>
        <w:rPr>
          <w:color w:val="auto"/>
          <w:sz w:val="28"/>
          <w:szCs w:val="28"/>
          <w:highlight w:val="none"/>
        </w:rPr>
      </w:pPr>
    </w:p>
    <w:p w14:paraId="34E3A81D">
      <w:pPr>
        <w:spacing w:line="360" w:lineRule="auto"/>
        <w:ind w:firstLine="420"/>
        <w:jc w:val="center"/>
        <w:rPr>
          <w:rFonts w:hint="eastAsia" w:ascii="宋体" w:hAnsi="宋体" w:cs="宋体"/>
          <w:color w:val="auto"/>
          <w:sz w:val="28"/>
          <w:szCs w:val="28"/>
          <w:highlight w:val="none"/>
          <w:lang w:eastAsia="zh-CN"/>
        </w:rPr>
      </w:pPr>
    </w:p>
    <w:p w14:paraId="3DA147A4">
      <w:pPr>
        <w:spacing w:line="360" w:lineRule="auto"/>
        <w:ind w:firstLine="420"/>
        <w:jc w:val="center"/>
        <w:rPr>
          <w:rFonts w:ascii="宋体" w:hAnsi="宋体" w:cs="宋体"/>
          <w:color w:val="auto"/>
          <w:sz w:val="28"/>
          <w:szCs w:val="28"/>
          <w:highlight w:val="none"/>
        </w:rPr>
      </w:pPr>
      <w:r>
        <w:rPr>
          <w:rFonts w:hint="eastAsia" w:ascii="宋体" w:hAnsi="宋体" w:cs="宋体"/>
          <w:color w:val="auto"/>
          <w:sz w:val="28"/>
          <w:szCs w:val="28"/>
          <w:highlight w:val="none"/>
          <w:lang w:eastAsia="zh-CN"/>
        </w:rPr>
        <w:t>3.</w:t>
      </w:r>
      <w:r>
        <w:rPr>
          <w:rFonts w:hint="eastAsia" w:ascii="宋体" w:hAnsi="宋体" w:cs="宋体"/>
          <w:color w:val="auto"/>
          <w:sz w:val="28"/>
          <w:szCs w:val="28"/>
          <w:highlight w:val="none"/>
        </w:rPr>
        <w:t>具有履行合同所必需的设备和专业技术能力</w:t>
      </w:r>
      <w:bookmarkEnd w:id="2003"/>
    </w:p>
    <w:p w14:paraId="4E9A917E">
      <w:pPr>
        <w:spacing w:line="360" w:lineRule="auto"/>
        <w:jc w:val="center"/>
        <w:rPr>
          <w:rFonts w:ascii="宋体" w:hAnsi="宋体" w:cs="宋体"/>
          <w:color w:val="auto"/>
          <w:highlight w:val="none"/>
        </w:rPr>
      </w:pPr>
      <w:r>
        <w:rPr>
          <w:rFonts w:hint="eastAsia" w:ascii="宋体" w:hAnsi="宋体" w:cs="宋体"/>
          <w:color w:val="auto"/>
          <w:highlight w:val="none"/>
          <w:lang w:eastAsia="zh-CN"/>
        </w:rPr>
        <w:t>提供</w:t>
      </w:r>
      <w:r>
        <w:rPr>
          <w:rFonts w:hint="eastAsia" w:ascii="宋体" w:hAnsi="宋体" w:cs="宋体"/>
          <w:color w:val="auto"/>
          <w:highlight w:val="none"/>
        </w:rPr>
        <w:t>承诺</w:t>
      </w:r>
      <w:r>
        <w:rPr>
          <w:rFonts w:hint="eastAsia" w:ascii="宋体" w:hAnsi="宋体" w:cs="宋体"/>
          <w:color w:val="auto"/>
          <w:highlight w:val="none"/>
          <w:lang w:eastAsia="zh-CN"/>
        </w:rPr>
        <w:t>函</w:t>
      </w:r>
      <w:r>
        <w:rPr>
          <w:rFonts w:hint="eastAsia" w:ascii="宋体" w:hAnsi="宋体" w:cs="宋体"/>
          <w:color w:val="auto"/>
          <w:highlight w:val="none"/>
        </w:rPr>
        <w:t>（格式自拟）</w:t>
      </w:r>
    </w:p>
    <w:p w14:paraId="73890D48">
      <w:pPr>
        <w:spacing w:line="360" w:lineRule="auto"/>
        <w:ind w:firstLine="420"/>
        <w:jc w:val="center"/>
        <w:rPr>
          <w:rFonts w:ascii="宋体" w:hAnsi="宋体" w:cs="宋体"/>
          <w:color w:val="auto"/>
          <w:sz w:val="28"/>
          <w:szCs w:val="28"/>
          <w:highlight w:val="none"/>
        </w:rPr>
      </w:pPr>
    </w:p>
    <w:p w14:paraId="0ABB2EFF">
      <w:pPr>
        <w:spacing w:line="360" w:lineRule="auto"/>
        <w:ind w:firstLine="420"/>
        <w:rPr>
          <w:color w:val="auto"/>
          <w:sz w:val="28"/>
          <w:szCs w:val="28"/>
          <w:highlight w:val="none"/>
        </w:rPr>
      </w:pPr>
      <w:bookmarkStart w:id="2004" w:name="_Toc134452828"/>
    </w:p>
    <w:p w14:paraId="08C7C8B2">
      <w:pPr>
        <w:spacing w:line="360" w:lineRule="auto"/>
        <w:ind w:firstLine="420"/>
        <w:jc w:val="center"/>
        <w:rPr>
          <w:rFonts w:ascii="宋体" w:hAnsi="宋体" w:cs="宋体"/>
          <w:color w:val="auto"/>
          <w:sz w:val="28"/>
          <w:szCs w:val="28"/>
          <w:highlight w:val="none"/>
        </w:rPr>
      </w:pPr>
      <w:r>
        <w:rPr>
          <w:rFonts w:hint="eastAsia" w:ascii="宋体" w:hAnsi="宋体" w:cs="宋体"/>
          <w:color w:val="auto"/>
          <w:sz w:val="28"/>
          <w:szCs w:val="28"/>
          <w:highlight w:val="none"/>
          <w:lang w:eastAsia="zh-CN"/>
        </w:rPr>
        <w:t>4.</w:t>
      </w:r>
      <w:r>
        <w:rPr>
          <w:rFonts w:hint="eastAsia" w:ascii="宋体" w:hAnsi="宋体" w:cs="宋体"/>
          <w:color w:val="auto"/>
          <w:sz w:val="28"/>
          <w:szCs w:val="28"/>
          <w:highlight w:val="none"/>
        </w:rPr>
        <w:t>有依法缴纳税收和社会保障资金的良好记录</w:t>
      </w:r>
      <w:bookmarkEnd w:id="2004"/>
    </w:p>
    <w:p w14:paraId="58416240">
      <w:pPr>
        <w:widowControl/>
        <w:spacing w:line="360" w:lineRule="auto"/>
        <w:ind w:firstLine="420" w:firstLineChars="200"/>
        <w:jc w:val="left"/>
        <w:rPr>
          <w:color w:val="auto"/>
          <w:sz w:val="24"/>
          <w:szCs w:val="24"/>
          <w:highlight w:val="none"/>
        </w:rPr>
      </w:pPr>
      <w:r>
        <w:rPr>
          <w:rFonts w:hint="eastAsia"/>
          <w:color w:val="auto"/>
          <w:highlight w:val="none"/>
        </w:rPr>
        <w:t>提供202</w:t>
      </w:r>
      <w:r>
        <w:rPr>
          <w:rFonts w:hint="eastAsia"/>
          <w:color w:val="auto"/>
          <w:highlight w:val="none"/>
          <w:lang w:val="en-US" w:eastAsia="zh-CN"/>
        </w:rPr>
        <w:t>6</w:t>
      </w:r>
      <w:r>
        <w:rPr>
          <w:rFonts w:hint="eastAsia"/>
          <w:color w:val="auto"/>
          <w:highlight w:val="none"/>
        </w:rPr>
        <w:t>年1月1日以来任意</w:t>
      </w:r>
      <w:r>
        <w:rPr>
          <w:rFonts w:hint="eastAsia"/>
          <w:color w:val="auto"/>
          <w:highlight w:val="none"/>
          <w:lang w:val="en-US" w:eastAsia="zh-CN"/>
        </w:rPr>
        <w:t>1</w:t>
      </w:r>
      <w:r>
        <w:rPr>
          <w:rFonts w:hint="eastAsia"/>
          <w:color w:val="auto"/>
          <w:highlight w:val="none"/>
        </w:rPr>
        <w:t>个月的依法缴纳税收和社会保障资金的证明材料，依法免税或不需要缴纳税收、缴纳社会保障资金的供应商，须出具有效证明文件</w:t>
      </w:r>
    </w:p>
    <w:p w14:paraId="55116A38">
      <w:pPr>
        <w:widowControl/>
        <w:spacing w:line="360" w:lineRule="auto"/>
        <w:jc w:val="left"/>
        <w:rPr>
          <w:color w:val="auto"/>
          <w:sz w:val="24"/>
          <w:szCs w:val="24"/>
          <w:highlight w:val="none"/>
        </w:rPr>
      </w:pPr>
    </w:p>
    <w:p w14:paraId="3BFCD106">
      <w:pPr>
        <w:widowControl/>
        <w:spacing w:line="360" w:lineRule="auto"/>
        <w:jc w:val="left"/>
        <w:rPr>
          <w:color w:val="auto"/>
          <w:sz w:val="24"/>
          <w:szCs w:val="24"/>
          <w:highlight w:val="none"/>
        </w:rPr>
      </w:pPr>
      <w:r>
        <w:rPr>
          <w:color w:val="auto"/>
          <w:sz w:val="24"/>
          <w:szCs w:val="24"/>
          <w:highlight w:val="none"/>
        </w:rPr>
        <w:br w:type="page"/>
      </w:r>
    </w:p>
    <w:p w14:paraId="366E7F08">
      <w:pPr>
        <w:spacing w:line="360" w:lineRule="auto"/>
        <w:ind w:firstLine="420"/>
        <w:jc w:val="center"/>
        <w:rPr>
          <w:rFonts w:ascii="宋体" w:hAnsi="宋体" w:cs="宋体"/>
          <w:color w:val="auto"/>
          <w:sz w:val="28"/>
          <w:szCs w:val="28"/>
          <w:highlight w:val="none"/>
        </w:rPr>
      </w:pPr>
      <w:bookmarkStart w:id="2005" w:name="_Toc134452829"/>
      <w:r>
        <w:rPr>
          <w:rFonts w:hint="eastAsia" w:ascii="宋体" w:hAnsi="宋体" w:cs="宋体"/>
          <w:color w:val="auto"/>
          <w:sz w:val="28"/>
          <w:szCs w:val="28"/>
          <w:highlight w:val="none"/>
          <w:lang w:eastAsia="zh-CN"/>
        </w:rPr>
        <w:t>5.</w:t>
      </w:r>
      <w:r>
        <w:rPr>
          <w:rFonts w:hint="eastAsia" w:ascii="宋体" w:hAnsi="宋体" w:cs="宋体"/>
          <w:color w:val="auto"/>
          <w:sz w:val="28"/>
          <w:szCs w:val="28"/>
          <w:highlight w:val="none"/>
        </w:rPr>
        <w:t>参加政府采购活动前三年内，在经营活动中没有重大违法记录声明</w:t>
      </w:r>
      <w:bookmarkEnd w:id="2005"/>
    </w:p>
    <w:p w14:paraId="0933EE2D">
      <w:pPr>
        <w:spacing w:line="360" w:lineRule="auto"/>
        <w:jc w:val="center"/>
        <w:rPr>
          <w:rFonts w:ascii="宋体" w:hAnsi="宋体" w:cs="宋体"/>
          <w:color w:val="auto"/>
          <w:highlight w:val="none"/>
        </w:rPr>
      </w:pPr>
      <w:r>
        <w:rPr>
          <w:rFonts w:hint="eastAsia" w:ascii="宋体" w:hAnsi="宋体" w:cs="宋体"/>
          <w:color w:val="auto"/>
          <w:highlight w:val="none"/>
          <w:lang w:eastAsia="zh-CN"/>
        </w:rPr>
        <w:t>提供承诺函</w:t>
      </w:r>
      <w:r>
        <w:rPr>
          <w:rFonts w:hint="eastAsia" w:ascii="宋体" w:hAnsi="宋体" w:cs="宋体"/>
          <w:color w:val="auto"/>
          <w:highlight w:val="none"/>
        </w:rPr>
        <w:t>（格式自拟）</w:t>
      </w:r>
    </w:p>
    <w:p w14:paraId="7A5266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lang w:val="en-US" w:eastAsia="zh-CN"/>
        </w:rPr>
      </w:pPr>
      <w:bookmarkStart w:id="2006" w:name="_Toc134452830"/>
    </w:p>
    <w:p w14:paraId="3BAC6F0D">
      <w:pPr>
        <w:spacing w:line="360" w:lineRule="auto"/>
        <w:ind w:firstLine="420"/>
        <w:jc w:val="center"/>
        <w:rPr>
          <w:rFonts w:ascii="宋体" w:hAnsi="宋体" w:cs="宋体"/>
          <w:color w:val="auto"/>
          <w:sz w:val="28"/>
          <w:szCs w:val="28"/>
          <w:highlight w:val="none"/>
        </w:rPr>
      </w:pPr>
      <w:r>
        <w:rPr>
          <w:rFonts w:hint="eastAsia" w:ascii="宋体" w:hAnsi="宋体" w:cs="宋体"/>
          <w:color w:val="auto"/>
          <w:sz w:val="28"/>
          <w:szCs w:val="28"/>
          <w:highlight w:val="none"/>
          <w:lang w:eastAsia="zh-CN"/>
        </w:rPr>
        <w:t>6.</w:t>
      </w:r>
      <w:bookmarkEnd w:id="2006"/>
      <w:r>
        <w:rPr>
          <w:rFonts w:hint="eastAsia" w:ascii="宋体" w:hAnsi="宋体" w:cs="宋体"/>
          <w:color w:val="auto"/>
          <w:sz w:val="28"/>
          <w:szCs w:val="28"/>
          <w:highlight w:val="none"/>
        </w:rPr>
        <w:t>特定资格</w:t>
      </w:r>
    </w:p>
    <w:p w14:paraId="7ED9C31B">
      <w:pPr>
        <w:spacing w:line="360" w:lineRule="auto"/>
        <w:ind w:firstLine="420" w:firstLineChars="200"/>
        <w:rPr>
          <w:rFonts w:hint="eastAsia" w:ascii="宋体" w:hAnsi="宋体" w:cs="宋体"/>
          <w:color w:val="auto"/>
          <w:highlight w:val="none"/>
        </w:rPr>
      </w:pPr>
      <w:bookmarkStart w:id="2007" w:name="_Toc134452831"/>
      <w:r>
        <w:rPr>
          <w:rFonts w:hint="eastAsia" w:ascii="宋体" w:hAnsi="宋体" w:cs="宋体"/>
          <w:color w:val="auto"/>
          <w:highlight w:val="none"/>
          <w:lang w:val="en-US" w:eastAsia="zh-CN"/>
        </w:rPr>
        <w:t>（1）</w:t>
      </w:r>
      <w:r>
        <w:rPr>
          <w:rFonts w:hint="eastAsia" w:ascii="宋体" w:hAnsi="宋体" w:cs="宋体"/>
          <w:color w:val="auto"/>
          <w:highlight w:val="none"/>
        </w:rPr>
        <w:t>资质要求：供应商须具有建设行政主管部门核发的</w:t>
      </w:r>
      <w:r>
        <w:rPr>
          <w:rFonts w:hint="eastAsia" w:ascii="宋体" w:hAnsi="宋体" w:cs="宋体"/>
          <w:color w:val="auto"/>
          <w:highlight w:val="none"/>
          <w:lang w:eastAsia="zh-CN"/>
        </w:rPr>
        <w:t>防水防腐保温工程专业承包二级及以上资质，具备有效的安全生产许可证</w:t>
      </w:r>
      <w:r>
        <w:rPr>
          <w:rFonts w:hint="eastAsia" w:ascii="宋体" w:hAnsi="宋体" w:cs="宋体"/>
          <w:color w:val="auto"/>
          <w:highlight w:val="none"/>
        </w:rPr>
        <w:t>，并在人员、设备、资金等方面具备相应的施工能力；</w:t>
      </w:r>
    </w:p>
    <w:p w14:paraId="3487991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w:t>
      </w:r>
      <w:r>
        <w:rPr>
          <w:rFonts w:hint="eastAsia" w:ascii="宋体" w:hAnsi="宋体" w:cs="宋体"/>
          <w:color w:val="auto"/>
          <w:highlight w:val="none"/>
        </w:rPr>
        <w:t>拟派项目经理资格要求：须具有建筑工程专业二级及以上注册建造师资格和有效的安全生产考核合格证，须提供202</w:t>
      </w:r>
      <w:r>
        <w:rPr>
          <w:rFonts w:hint="eastAsia" w:ascii="宋体" w:hAnsi="宋体" w:cs="宋体"/>
          <w:color w:val="auto"/>
          <w:highlight w:val="none"/>
          <w:lang w:val="en-US" w:eastAsia="zh-CN"/>
        </w:rPr>
        <w:t>6</w:t>
      </w:r>
      <w:r>
        <w:rPr>
          <w:rFonts w:hint="eastAsia" w:ascii="宋体" w:hAnsi="宋体" w:cs="宋体"/>
          <w:color w:val="auto"/>
          <w:highlight w:val="none"/>
        </w:rPr>
        <w:t>年1月以来供应商为其缴纳的任意</w:t>
      </w:r>
      <w:r>
        <w:rPr>
          <w:rFonts w:hint="eastAsia" w:ascii="宋体" w:hAnsi="宋体" w:cs="宋体"/>
          <w:color w:val="auto"/>
          <w:highlight w:val="none"/>
          <w:lang w:val="en-US" w:eastAsia="zh-CN"/>
        </w:rPr>
        <w:t>1</w:t>
      </w:r>
      <w:r>
        <w:rPr>
          <w:rFonts w:hint="eastAsia" w:ascii="宋体" w:hAnsi="宋体" w:cs="宋体"/>
          <w:color w:val="auto"/>
          <w:highlight w:val="none"/>
        </w:rPr>
        <w:t>个月养老保险证明，且未在其他在建施工项目担任项目经理（自行承诺）；</w:t>
      </w:r>
    </w:p>
    <w:p w14:paraId="015FE1B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w:t>
      </w:r>
      <w:r>
        <w:rPr>
          <w:rFonts w:hint="eastAsia" w:ascii="宋体" w:hAnsi="宋体" w:cs="宋体"/>
          <w:color w:val="auto"/>
          <w:highlight w:val="none"/>
        </w:rPr>
        <w:t>根据《关于在政府采购活动中查询及使用信用记录有关问题的通知》（财库〔2016〕125号）的规定，对列入失信被执行人、重大税收违法失信主体、政府采购严重违法失信行为记录名单及列入严重违法失信名单（黑名单）的供应商，拒绝参与本项目政府采购活动；采购人或采购代理机构将在资格审查环节通过以下渠道对各供应商信用记录进行查询，信用信息查询记录及相关证据与其他采购文件一并保存：</w:t>
      </w:r>
    </w:p>
    <w:p w14:paraId="587DC7A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失信被执行人查询渠道：“信用中国”网站跳转至“中国执行信息公开网”网站；</w:t>
      </w:r>
    </w:p>
    <w:p w14:paraId="481E00B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重大税收违法失信主体查询渠道：“信用中国”网站；</w:t>
      </w:r>
    </w:p>
    <w:p w14:paraId="16EF3D0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政府采购严重违法失信行为查询渠道：“中国政府采购网”网站；</w:t>
      </w:r>
    </w:p>
    <w:p w14:paraId="7631691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严重违法失信名单（黑名单）查询渠道“国家企业信用信息公示系统”网站；</w:t>
      </w:r>
    </w:p>
    <w:p w14:paraId="48A3DE0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w:t>
      </w:r>
      <w:r>
        <w:rPr>
          <w:rFonts w:hint="eastAsia" w:ascii="宋体" w:hAnsi="宋体" w:cs="宋体"/>
          <w:color w:val="auto"/>
          <w:highlight w:val="none"/>
        </w:rPr>
        <w:t>供应商未处于被责令停产、停业、投标资格被取消或者财产被接管、冻结和破产状态；202</w:t>
      </w:r>
      <w:r>
        <w:rPr>
          <w:rFonts w:hint="eastAsia" w:ascii="宋体" w:hAnsi="宋体" w:cs="宋体"/>
          <w:color w:val="auto"/>
          <w:highlight w:val="none"/>
          <w:lang w:val="en-US" w:eastAsia="zh-CN"/>
        </w:rPr>
        <w:t>3</w:t>
      </w:r>
      <w:r>
        <w:rPr>
          <w:rFonts w:hint="eastAsia" w:ascii="宋体" w:hAnsi="宋体" w:cs="宋体"/>
          <w:color w:val="auto"/>
          <w:highlight w:val="none"/>
        </w:rPr>
        <w:t>年1月1日以来供应商未发生骗取中标或者严重违约以及发生重大工程质量、安全生产事故等问题（自行承诺）；</w:t>
      </w:r>
    </w:p>
    <w:p w14:paraId="480DBA5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cs="宋体"/>
          <w:color w:val="auto"/>
          <w:highlight w:val="none"/>
        </w:rPr>
        <w:t>单位负责人为同一人或者存在直接控股、管理关系的不同供应商，不得参加同一合同项下的政府采购活动（自行承诺）；</w:t>
      </w:r>
    </w:p>
    <w:p w14:paraId="68BCCD4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w:t>
      </w:r>
      <w:r>
        <w:rPr>
          <w:rFonts w:hint="eastAsia" w:ascii="宋体" w:hAnsi="宋体" w:cs="宋体"/>
          <w:color w:val="auto"/>
          <w:highlight w:val="none"/>
        </w:rPr>
        <w:t>为采购项目提供整体设计、规范编制或者项目管理、监理、检测等服务的供应商，不得再参加该次采购项目的其他采购活动（自行承诺）；</w:t>
      </w:r>
    </w:p>
    <w:p w14:paraId="2DBFB437">
      <w:pPr>
        <w:spacing w:line="360" w:lineRule="auto"/>
        <w:ind w:firstLine="420" w:firstLineChars="200"/>
        <w:rPr>
          <w:rFonts w:hint="eastAsia" w:ascii="宋体" w:hAnsi="宋体" w:eastAsia="宋体" w:cs="宋体"/>
          <w:color w:val="auto"/>
          <w:sz w:val="24"/>
          <w:szCs w:val="24"/>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w:t>
      </w:r>
      <w:r>
        <w:rPr>
          <w:rFonts w:hint="eastAsia" w:ascii="宋体" w:hAnsi="宋体" w:cs="宋体"/>
          <w:color w:val="auto"/>
          <w:highlight w:val="none"/>
        </w:rPr>
        <w:t>根据《河南省住房和城乡建设厅关于进一步规范建设工程企业资质管理的通知》（豫建行规〔2024〕7号）规定，被全国和河南省建筑市场监管公共服务平台标注为资质异常的，不能使用标注异常资质承揽本工程（响应文件中须提供全国和河南省建筑市场监管公共服务平台查询截图）。</w:t>
      </w:r>
      <w:bookmarkEnd w:id="2007"/>
    </w:p>
    <w:p w14:paraId="30085840">
      <w:pPr>
        <w:spacing w:line="360" w:lineRule="auto"/>
        <w:ind w:firstLine="420" w:firstLineChars="200"/>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8</w:t>
      </w:r>
      <w:r>
        <w:rPr>
          <w:rFonts w:hint="eastAsia" w:ascii="宋体" w:hAnsi="宋体" w:cs="宋体"/>
          <w:color w:val="auto"/>
          <w:highlight w:val="none"/>
          <w:lang w:eastAsia="zh-CN"/>
        </w:rPr>
        <w:t>）被列入全国和河南省建筑市场监管公共服务平台黑名单且在管理期限内的供应商不得承揽本工程（响应文件中须提供全国和河南省建筑市场监管公共服务平台查询截图）。</w:t>
      </w:r>
    </w:p>
    <w:p w14:paraId="181A51DF">
      <w:pPr>
        <w:rPr>
          <w:rFonts w:hint="eastAsia" w:ascii="宋体" w:hAnsi="宋体"/>
          <w:b/>
          <w:bCs/>
          <w:color w:val="auto"/>
          <w:sz w:val="28"/>
          <w:szCs w:val="28"/>
          <w:highlight w:val="none"/>
        </w:rPr>
      </w:pPr>
    </w:p>
    <w:p w14:paraId="6D00BAA0">
      <w:pPr>
        <w:rPr>
          <w:rFonts w:hint="eastAsia" w:ascii="宋体" w:hAnsi="宋体"/>
          <w:b/>
          <w:bCs/>
          <w:color w:val="auto"/>
          <w:sz w:val="28"/>
          <w:szCs w:val="28"/>
          <w:highlight w:val="none"/>
        </w:rPr>
      </w:pPr>
    </w:p>
    <w:p w14:paraId="057C6CFA">
      <w:pPr>
        <w:rPr>
          <w:rFonts w:hint="eastAsia" w:ascii="宋体" w:hAnsi="宋体"/>
          <w:b/>
          <w:bCs/>
          <w:color w:val="auto"/>
          <w:sz w:val="28"/>
          <w:szCs w:val="28"/>
          <w:highlight w:val="none"/>
        </w:rPr>
      </w:pPr>
    </w:p>
    <w:p w14:paraId="2DCE5C5A">
      <w:pPr>
        <w:rPr>
          <w:rFonts w:hint="eastAsia" w:ascii="宋体" w:hAnsi="宋体"/>
          <w:b/>
          <w:bCs/>
          <w:color w:val="auto"/>
          <w:sz w:val="28"/>
          <w:szCs w:val="28"/>
          <w:highlight w:val="none"/>
        </w:rPr>
      </w:pPr>
      <w:r>
        <w:rPr>
          <w:rFonts w:hint="eastAsia" w:ascii="宋体" w:hAnsi="宋体"/>
          <w:b/>
          <w:bCs/>
          <w:color w:val="auto"/>
          <w:sz w:val="28"/>
          <w:szCs w:val="28"/>
          <w:highlight w:val="none"/>
        </w:rPr>
        <w:br w:type="page"/>
      </w:r>
    </w:p>
    <w:p w14:paraId="6ADC1296">
      <w:pPr>
        <w:spacing w:before="240" w:after="120"/>
        <w:ind w:firstLine="422"/>
        <w:jc w:val="center"/>
        <w:outlineLvl w:val="1"/>
        <w:rPr>
          <w:rFonts w:ascii="宋体" w:hAnsi="宋体"/>
          <w:color w:val="auto"/>
          <w:sz w:val="28"/>
          <w:szCs w:val="28"/>
          <w:highlight w:val="none"/>
        </w:rPr>
      </w:pPr>
      <w:bookmarkStart w:id="2008" w:name="_Toc7690"/>
      <w:r>
        <w:rPr>
          <w:rFonts w:hint="eastAsia" w:ascii="宋体" w:hAnsi="宋体"/>
          <w:b/>
          <w:bCs/>
          <w:color w:val="auto"/>
          <w:sz w:val="28"/>
          <w:szCs w:val="28"/>
          <w:highlight w:val="none"/>
          <w:lang w:val="en-US" w:eastAsia="zh-CN"/>
        </w:rPr>
        <w:t>五、</w:t>
      </w:r>
      <w:r>
        <w:rPr>
          <w:rFonts w:hint="eastAsia" w:ascii="宋体" w:hAnsi="宋体"/>
          <w:b/>
          <w:bCs/>
          <w:color w:val="auto"/>
          <w:sz w:val="28"/>
          <w:szCs w:val="28"/>
          <w:highlight w:val="none"/>
        </w:rPr>
        <w:t>已标价工程量清单</w:t>
      </w:r>
      <w:bookmarkEnd w:id="1993"/>
      <w:bookmarkEnd w:id="1994"/>
      <w:bookmarkEnd w:id="1995"/>
      <w:bookmarkEnd w:id="1996"/>
      <w:bookmarkEnd w:id="1997"/>
      <w:bookmarkEnd w:id="2008"/>
    </w:p>
    <w:p w14:paraId="13BA9C18">
      <w:pPr>
        <w:ind w:firstLine="422"/>
        <w:jc w:val="left"/>
        <w:rPr>
          <w:rFonts w:hint="eastAsia" w:ascii="宋体" w:hAnsi="宋体"/>
          <w:b/>
          <w:bCs/>
          <w:color w:val="auto"/>
          <w:sz w:val="28"/>
          <w:szCs w:val="28"/>
          <w:highlight w:val="none"/>
        </w:rPr>
      </w:pPr>
      <w:bookmarkStart w:id="2009" w:name="_Toc509667331"/>
      <w:bookmarkEnd w:id="2009"/>
      <w:bookmarkStart w:id="2010" w:name="_Toc13920"/>
      <w:bookmarkEnd w:id="2010"/>
      <w:bookmarkStart w:id="2011" w:name="_Toc475624458"/>
      <w:bookmarkEnd w:id="2011"/>
      <w:bookmarkStart w:id="2012" w:name="_Toc18821"/>
      <w:bookmarkEnd w:id="2012"/>
      <w:bookmarkStart w:id="2013" w:name="_Toc22766"/>
      <w:bookmarkStart w:id="2014" w:name="_Toc129073532"/>
    </w:p>
    <w:p w14:paraId="09C51487">
      <w:pPr>
        <w:ind w:firstLine="422"/>
        <w:jc w:val="left"/>
        <w:rPr>
          <w:rFonts w:hint="eastAsia" w:ascii="宋体" w:hAnsi="宋体"/>
          <w:b/>
          <w:bCs/>
          <w:color w:val="auto"/>
          <w:sz w:val="28"/>
          <w:szCs w:val="28"/>
          <w:highlight w:val="none"/>
        </w:rPr>
      </w:pPr>
    </w:p>
    <w:p w14:paraId="1A8EFDDF">
      <w:pPr>
        <w:ind w:firstLine="422"/>
        <w:jc w:val="left"/>
        <w:rPr>
          <w:rFonts w:hint="eastAsia" w:ascii="宋体" w:hAnsi="宋体"/>
          <w:b/>
          <w:bCs/>
          <w:color w:val="auto"/>
          <w:sz w:val="28"/>
          <w:szCs w:val="28"/>
          <w:highlight w:val="none"/>
        </w:rPr>
      </w:pPr>
    </w:p>
    <w:p w14:paraId="4D95ADCA">
      <w:pPr>
        <w:ind w:firstLine="422"/>
        <w:jc w:val="left"/>
        <w:rPr>
          <w:rFonts w:ascii="宋体" w:hAnsi="宋体"/>
          <w:b/>
          <w:bCs/>
          <w:color w:val="auto"/>
          <w:sz w:val="28"/>
          <w:szCs w:val="28"/>
          <w:highlight w:val="none"/>
        </w:rPr>
      </w:pPr>
      <w:r>
        <w:rPr>
          <w:rFonts w:hint="eastAsia" w:ascii="宋体" w:hAnsi="宋体"/>
          <w:b/>
          <w:bCs/>
          <w:color w:val="auto"/>
          <w:sz w:val="28"/>
          <w:szCs w:val="28"/>
          <w:highlight w:val="none"/>
        </w:rPr>
        <w:br w:type="page"/>
      </w:r>
    </w:p>
    <w:p w14:paraId="3843AC93">
      <w:pPr>
        <w:spacing w:before="240" w:after="120"/>
        <w:jc w:val="center"/>
        <w:outlineLvl w:val="1"/>
        <w:rPr>
          <w:rFonts w:hint="eastAsia" w:ascii="宋体" w:hAnsi="宋体" w:eastAsia="宋体"/>
          <w:color w:val="auto"/>
          <w:sz w:val="28"/>
          <w:szCs w:val="28"/>
          <w:highlight w:val="none"/>
          <w:lang w:eastAsia="zh-CN"/>
        </w:rPr>
      </w:pPr>
      <w:bookmarkStart w:id="2015" w:name="_Toc3881"/>
      <w:bookmarkStart w:id="2016" w:name="_Toc15812"/>
      <w:bookmarkStart w:id="2017" w:name="_Toc5605"/>
      <w:bookmarkStart w:id="2018" w:name="_Toc11923"/>
      <w:r>
        <w:rPr>
          <w:rFonts w:hint="eastAsia" w:ascii="宋体" w:hAnsi="宋体"/>
          <w:b/>
          <w:bCs/>
          <w:color w:val="auto"/>
          <w:sz w:val="28"/>
          <w:szCs w:val="28"/>
          <w:highlight w:val="none"/>
          <w:lang w:val="en-US" w:eastAsia="zh-CN"/>
        </w:rPr>
        <w:t>六</w:t>
      </w:r>
      <w:r>
        <w:rPr>
          <w:rFonts w:hint="eastAsia" w:ascii="宋体" w:hAnsi="宋体"/>
          <w:b/>
          <w:bCs/>
          <w:color w:val="auto"/>
          <w:sz w:val="28"/>
          <w:szCs w:val="28"/>
          <w:highlight w:val="none"/>
        </w:rPr>
        <w:t>、</w:t>
      </w:r>
      <w:bookmarkEnd w:id="2013"/>
      <w:bookmarkEnd w:id="2014"/>
      <w:bookmarkEnd w:id="2015"/>
      <w:bookmarkEnd w:id="2016"/>
      <w:bookmarkEnd w:id="2017"/>
      <w:r>
        <w:rPr>
          <w:rFonts w:hint="eastAsia" w:ascii="宋体" w:hAnsi="宋体"/>
          <w:b/>
          <w:bCs/>
          <w:color w:val="auto"/>
          <w:sz w:val="28"/>
          <w:szCs w:val="28"/>
          <w:highlight w:val="none"/>
          <w:lang w:val="en-US" w:eastAsia="zh-CN"/>
        </w:rPr>
        <w:t>技术部分</w:t>
      </w:r>
      <w:bookmarkEnd w:id="2018"/>
    </w:p>
    <w:p w14:paraId="07CFAA92">
      <w:pPr>
        <w:bidi w:val="0"/>
        <w:spacing w:line="360" w:lineRule="auto"/>
        <w:jc w:val="center"/>
        <w:rPr>
          <w:b/>
          <w:bCs/>
          <w:color w:val="auto"/>
        </w:rPr>
      </w:pPr>
      <w:r>
        <w:rPr>
          <w:rFonts w:hint="eastAsia"/>
          <w:b/>
          <w:bCs/>
          <w:color w:val="auto"/>
        </w:rPr>
        <w:t>供应商根据评标办法自行编制，以供评阅。</w:t>
      </w:r>
    </w:p>
    <w:p w14:paraId="387A5E1A">
      <w:pPr>
        <w:bidi w:val="0"/>
        <w:spacing w:line="360" w:lineRule="auto"/>
        <w:rPr>
          <w:rFonts w:hint="eastAsia"/>
          <w:color w:val="auto"/>
        </w:rPr>
      </w:pPr>
    </w:p>
    <w:p w14:paraId="0D99124C">
      <w:pPr>
        <w:bidi w:val="0"/>
        <w:spacing w:line="360" w:lineRule="auto"/>
        <w:rPr>
          <w:rFonts w:hint="eastAsia"/>
          <w:color w:val="auto"/>
        </w:rPr>
      </w:pPr>
    </w:p>
    <w:p w14:paraId="5F622AF6">
      <w:pPr>
        <w:bidi w:val="0"/>
        <w:spacing w:line="360" w:lineRule="auto"/>
        <w:rPr>
          <w:rFonts w:hint="eastAsia"/>
          <w:color w:val="auto"/>
        </w:rPr>
      </w:pPr>
    </w:p>
    <w:p w14:paraId="74B5945B">
      <w:pPr>
        <w:bidi w:val="0"/>
        <w:spacing w:line="360" w:lineRule="auto"/>
        <w:rPr>
          <w:rFonts w:hint="eastAsia"/>
          <w:color w:val="auto"/>
        </w:rPr>
      </w:pPr>
    </w:p>
    <w:p w14:paraId="52385985">
      <w:pPr>
        <w:bidi w:val="0"/>
        <w:spacing w:line="360" w:lineRule="auto"/>
        <w:rPr>
          <w:rFonts w:hint="eastAsia"/>
          <w:color w:val="auto"/>
        </w:rPr>
      </w:pPr>
    </w:p>
    <w:p w14:paraId="346FE51A">
      <w:pPr>
        <w:bidi w:val="0"/>
        <w:spacing w:line="360" w:lineRule="auto"/>
        <w:rPr>
          <w:rFonts w:hint="eastAsia"/>
          <w:color w:val="auto"/>
        </w:rPr>
      </w:pPr>
    </w:p>
    <w:p w14:paraId="112949A0">
      <w:pPr>
        <w:bidi w:val="0"/>
        <w:spacing w:line="360" w:lineRule="auto"/>
        <w:rPr>
          <w:rFonts w:hint="eastAsia"/>
          <w:color w:val="auto"/>
        </w:rPr>
      </w:pPr>
    </w:p>
    <w:p w14:paraId="02A15C75">
      <w:pPr>
        <w:bidi w:val="0"/>
        <w:spacing w:line="360" w:lineRule="auto"/>
        <w:rPr>
          <w:rFonts w:hint="eastAsia"/>
          <w:color w:val="auto"/>
        </w:rPr>
      </w:pPr>
    </w:p>
    <w:p w14:paraId="0FE33900">
      <w:pPr>
        <w:bidi w:val="0"/>
        <w:spacing w:line="360" w:lineRule="auto"/>
        <w:rPr>
          <w:rFonts w:hint="eastAsia"/>
          <w:color w:val="auto"/>
        </w:rPr>
      </w:pPr>
    </w:p>
    <w:p w14:paraId="476ED2AC">
      <w:pPr>
        <w:bidi w:val="0"/>
        <w:spacing w:line="360" w:lineRule="auto"/>
        <w:rPr>
          <w:rFonts w:hint="eastAsia"/>
          <w:color w:val="auto"/>
        </w:rPr>
      </w:pPr>
    </w:p>
    <w:p w14:paraId="62BACCDD">
      <w:pPr>
        <w:bidi w:val="0"/>
        <w:spacing w:line="360" w:lineRule="auto"/>
        <w:rPr>
          <w:rFonts w:hint="eastAsia"/>
          <w:color w:val="auto"/>
        </w:rPr>
      </w:pPr>
      <w:r>
        <w:rPr>
          <w:rFonts w:hint="eastAsia"/>
          <w:color w:val="auto"/>
        </w:rPr>
        <w:br w:type="page"/>
      </w:r>
    </w:p>
    <w:p w14:paraId="72576341">
      <w:pPr>
        <w:wordWrap w:val="0"/>
        <w:spacing w:line="360" w:lineRule="auto"/>
        <w:jc w:val="center"/>
        <w:outlineLvl w:val="1"/>
        <w:rPr>
          <w:rFonts w:hint="eastAsia" w:ascii="宋体" w:hAnsi="宋体" w:eastAsia="宋体" w:cs="宋体"/>
          <w:b/>
          <w:bCs/>
          <w:color w:val="auto"/>
          <w:kern w:val="0"/>
          <w:sz w:val="28"/>
          <w:szCs w:val="28"/>
          <w:highlight w:val="none"/>
        </w:rPr>
      </w:pPr>
      <w:bookmarkStart w:id="2019" w:name="_Toc31665"/>
      <w:bookmarkEnd w:id="2019"/>
      <w:bookmarkStart w:id="2020" w:name="_Toc2554"/>
      <w:bookmarkStart w:id="2021" w:name="_Toc10059"/>
      <w:bookmarkStart w:id="2022" w:name="_Toc129073533"/>
      <w:bookmarkStart w:id="2023" w:name="_Toc7654"/>
      <w:bookmarkStart w:id="2024" w:name="_Toc5491"/>
      <w:bookmarkStart w:id="2025" w:name="_Toc549"/>
      <w:r>
        <w:rPr>
          <w:rFonts w:hint="eastAsia" w:ascii="宋体" w:hAnsi="宋体" w:eastAsia="宋体" w:cs="宋体"/>
          <w:b/>
          <w:bCs/>
          <w:color w:val="auto"/>
          <w:sz w:val="28"/>
          <w:szCs w:val="28"/>
          <w:highlight w:val="none"/>
          <w:lang w:val="en-US" w:eastAsia="zh-CN"/>
        </w:rPr>
        <w:t>七</w:t>
      </w:r>
      <w:r>
        <w:rPr>
          <w:rFonts w:hint="eastAsia" w:ascii="宋体" w:hAnsi="宋体" w:eastAsia="宋体" w:cs="宋体"/>
          <w:b/>
          <w:bCs/>
          <w:color w:val="auto"/>
          <w:sz w:val="28"/>
          <w:szCs w:val="28"/>
          <w:highlight w:val="none"/>
        </w:rPr>
        <w:t>、</w:t>
      </w:r>
      <w:r>
        <w:rPr>
          <w:rFonts w:hint="eastAsia" w:ascii="宋体" w:hAnsi="宋体" w:eastAsia="宋体" w:cs="宋体"/>
          <w:b/>
          <w:bCs/>
          <w:color w:val="auto"/>
          <w:kern w:val="0"/>
          <w:sz w:val="28"/>
          <w:szCs w:val="28"/>
          <w:highlight w:val="none"/>
        </w:rPr>
        <w:t>类似项目业绩</w:t>
      </w:r>
      <w:bookmarkEnd w:id="2020"/>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14:paraId="6873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6D5537E4">
            <w:pPr>
              <w:topLinePunct/>
              <w:spacing w:line="440" w:lineRule="exact"/>
              <w:jc w:val="center"/>
              <w:rPr>
                <w:color w:val="auto"/>
                <w:highlight w:val="none"/>
              </w:rPr>
            </w:pPr>
            <w:r>
              <w:rPr>
                <w:rFonts w:ascii="宋体" w:hAnsi="宋体"/>
                <w:color w:val="auto"/>
                <w:highlight w:val="none"/>
              </w:rPr>
              <w:t>项目名称</w:t>
            </w:r>
          </w:p>
        </w:tc>
        <w:tc>
          <w:tcPr>
            <w:tcW w:w="6253" w:type="dxa"/>
            <w:tcBorders>
              <w:top w:val="single" w:color="auto" w:sz="4" w:space="0"/>
              <w:left w:val="single" w:color="auto" w:sz="4" w:space="0"/>
              <w:bottom w:val="single" w:color="auto" w:sz="4" w:space="0"/>
              <w:right w:val="single" w:color="auto" w:sz="4" w:space="0"/>
            </w:tcBorders>
          </w:tcPr>
          <w:p w14:paraId="2BC33753">
            <w:pPr>
              <w:topLinePunct/>
              <w:spacing w:line="440" w:lineRule="exact"/>
              <w:rPr>
                <w:color w:val="auto"/>
                <w:highlight w:val="none"/>
              </w:rPr>
            </w:pPr>
          </w:p>
        </w:tc>
      </w:tr>
      <w:tr w14:paraId="7606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5975CC1E">
            <w:pPr>
              <w:topLinePunct/>
              <w:spacing w:line="440" w:lineRule="exact"/>
              <w:jc w:val="center"/>
              <w:rPr>
                <w:color w:val="auto"/>
                <w:highlight w:val="none"/>
              </w:rPr>
            </w:pPr>
            <w:r>
              <w:rPr>
                <w:rFonts w:ascii="宋体" w:hAnsi="宋体"/>
                <w:color w:val="auto"/>
                <w:highlight w:val="none"/>
              </w:rPr>
              <w:t>项目所在地</w:t>
            </w:r>
          </w:p>
        </w:tc>
        <w:tc>
          <w:tcPr>
            <w:tcW w:w="6253" w:type="dxa"/>
            <w:tcBorders>
              <w:top w:val="single" w:color="auto" w:sz="4" w:space="0"/>
              <w:left w:val="single" w:color="auto" w:sz="4" w:space="0"/>
              <w:bottom w:val="single" w:color="auto" w:sz="4" w:space="0"/>
              <w:right w:val="single" w:color="auto" w:sz="4" w:space="0"/>
            </w:tcBorders>
          </w:tcPr>
          <w:p w14:paraId="62DC20FF">
            <w:pPr>
              <w:topLinePunct/>
              <w:spacing w:line="440" w:lineRule="exact"/>
              <w:rPr>
                <w:color w:val="auto"/>
                <w:highlight w:val="none"/>
              </w:rPr>
            </w:pPr>
          </w:p>
        </w:tc>
      </w:tr>
      <w:tr w14:paraId="4F9C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5C380B80">
            <w:pPr>
              <w:topLinePunct/>
              <w:spacing w:line="440" w:lineRule="exact"/>
              <w:jc w:val="center"/>
              <w:rPr>
                <w:color w:val="auto"/>
                <w:highlight w:val="none"/>
              </w:rPr>
            </w:pPr>
            <w:r>
              <w:rPr>
                <w:rFonts w:ascii="宋体" w:hAnsi="宋体"/>
                <w:color w:val="auto"/>
                <w:highlight w:val="none"/>
              </w:rPr>
              <w:t>发包人名称</w:t>
            </w:r>
          </w:p>
        </w:tc>
        <w:tc>
          <w:tcPr>
            <w:tcW w:w="6253" w:type="dxa"/>
            <w:tcBorders>
              <w:top w:val="single" w:color="auto" w:sz="4" w:space="0"/>
              <w:left w:val="single" w:color="auto" w:sz="4" w:space="0"/>
              <w:bottom w:val="single" w:color="auto" w:sz="4" w:space="0"/>
              <w:right w:val="single" w:color="auto" w:sz="4" w:space="0"/>
            </w:tcBorders>
          </w:tcPr>
          <w:p w14:paraId="38FF3A81">
            <w:pPr>
              <w:topLinePunct/>
              <w:spacing w:line="440" w:lineRule="exact"/>
              <w:rPr>
                <w:color w:val="auto"/>
                <w:highlight w:val="none"/>
              </w:rPr>
            </w:pPr>
          </w:p>
        </w:tc>
      </w:tr>
      <w:tr w14:paraId="01FE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4DC57100">
            <w:pPr>
              <w:topLinePunct/>
              <w:spacing w:line="440" w:lineRule="exact"/>
              <w:jc w:val="center"/>
              <w:rPr>
                <w:color w:val="auto"/>
                <w:highlight w:val="none"/>
              </w:rPr>
            </w:pPr>
            <w:r>
              <w:rPr>
                <w:rFonts w:ascii="宋体" w:hAnsi="宋体"/>
                <w:color w:val="auto"/>
                <w:highlight w:val="none"/>
              </w:rPr>
              <w:t>发包人地址</w:t>
            </w:r>
          </w:p>
        </w:tc>
        <w:tc>
          <w:tcPr>
            <w:tcW w:w="6253" w:type="dxa"/>
            <w:tcBorders>
              <w:top w:val="single" w:color="auto" w:sz="4" w:space="0"/>
              <w:left w:val="single" w:color="auto" w:sz="4" w:space="0"/>
              <w:bottom w:val="single" w:color="auto" w:sz="4" w:space="0"/>
              <w:right w:val="single" w:color="auto" w:sz="4" w:space="0"/>
            </w:tcBorders>
          </w:tcPr>
          <w:p w14:paraId="15CC307D">
            <w:pPr>
              <w:topLinePunct/>
              <w:spacing w:line="440" w:lineRule="exact"/>
              <w:rPr>
                <w:color w:val="auto"/>
                <w:highlight w:val="none"/>
              </w:rPr>
            </w:pPr>
          </w:p>
        </w:tc>
      </w:tr>
      <w:tr w14:paraId="7229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149B9E7F">
            <w:pPr>
              <w:topLinePunct/>
              <w:spacing w:line="440" w:lineRule="exact"/>
              <w:jc w:val="center"/>
              <w:rPr>
                <w:color w:val="auto"/>
                <w:highlight w:val="none"/>
              </w:rPr>
            </w:pPr>
            <w:r>
              <w:rPr>
                <w:rFonts w:ascii="宋体" w:hAnsi="宋体"/>
                <w:color w:val="auto"/>
                <w:highlight w:val="none"/>
              </w:rPr>
              <w:t>发包人电话</w:t>
            </w:r>
          </w:p>
        </w:tc>
        <w:tc>
          <w:tcPr>
            <w:tcW w:w="6253" w:type="dxa"/>
            <w:tcBorders>
              <w:top w:val="single" w:color="auto" w:sz="4" w:space="0"/>
              <w:left w:val="single" w:color="auto" w:sz="4" w:space="0"/>
              <w:bottom w:val="single" w:color="auto" w:sz="4" w:space="0"/>
              <w:right w:val="single" w:color="auto" w:sz="4" w:space="0"/>
            </w:tcBorders>
          </w:tcPr>
          <w:p w14:paraId="59DEFCBB">
            <w:pPr>
              <w:topLinePunct/>
              <w:spacing w:line="440" w:lineRule="exact"/>
              <w:rPr>
                <w:color w:val="auto"/>
                <w:highlight w:val="none"/>
              </w:rPr>
            </w:pPr>
          </w:p>
        </w:tc>
      </w:tr>
      <w:tr w14:paraId="2D88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198D924F">
            <w:pPr>
              <w:topLinePunct/>
              <w:spacing w:line="440" w:lineRule="exact"/>
              <w:jc w:val="center"/>
              <w:rPr>
                <w:color w:val="auto"/>
                <w:highlight w:val="none"/>
              </w:rPr>
            </w:pPr>
            <w:r>
              <w:rPr>
                <w:rFonts w:ascii="宋体" w:hAnsi="宋体"/>
                <w:color w:val="auto"/>
                <w:highlight w:val="none"/>
              </w:rPr>
              <w:t>合同价格</w:t>
            </w:r>
          </w:p>
        </w:tc>
        <w:tc>
          <w:tcPr>
            <w:tcW w:w="6253" w:type="dxa"/>
            <w:tcBorders>
              <w:top w:val="single" w:color="auto" w:sz="4" w:space="0"/>
              <w:left w:val="single" w:color="auto" w:sz="4" w:space="0"/>
              <w:bottom w:val="single" w:color="auto" w:sz="4" w:space="0"/>
              <w:right w:val="single" w:color="auto" w:sz="4" w:space="0"/>
            </w:tcBorders>
          </w:tcPr>
          <w:p w14:paraId="2222AD2F">
            <w:pPr>
              <w:topLinePunct/>
              <w:spacing w:line="440" w:lineRule="exact"/>
              <w:rPr>
                <w:color w:val="auto"/>
                <w:highlight w:val="none"/>
              </w:rPr>
            </w:pPr>
          </w:p>
        </w:tc>
      </w:tr>
      <w:tr w14:paraId="040F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1FBC81EB">
            <w:pPr>
              <w:topLinePunct/>
              <w:spacing w:line="440" w:lineRule="exact"/>
              <w:jc w:val="center"/>
              <w:rPr>
                <w:color w:val="auto"/>
                <w:highlight w:val="none"/>
              </w:rPr>
            </w:pPr>
            <w:r>
              <w:rPr>
                <w:rFonts w:ascii="宋体" w:hAnsi="宋体"/>
                <w:color w:val="auto"/>
                <w:highlight w:val="none"/>
              </w:rPr>
              <w:t>开工日期</w:t>
            </w:r>
          </w:p>
        </w:tc>
        <w:tc>
          <w:tcPr>
            <w:tcW w:w="6253" w:type="dxa"/>
            <w:tcBorders>
              <w:top w:val="single" w:color="auto" w:sz="4" w:space="0"/>
              <w:left w:val="single" w:color="auto" w:sz="4" w:space="0"/>
              <w:bottom w:val="single" w:color="auto" w:sz="4" w:space="0"/>
              <w:right w:val="single" w:color="auto" w:sz="4" w:space="0"/>
            </w:tcBorders>
          </w:tcPr>
          <w:p w14:paraId="4C36033D">
            <w:pPr>
              <w:topLinePunct/>
              <w:spacing w:line="440" w:lineRule="exact"/>
              <w:rPr>
                <w:color w:val="auto"/>
                <w:highlight w:val="none"/>
              </w:rPr>
            </w:pPr>
          </w:p>
        </w:tc>
      </w:tr>
      <w:tr w14:paraId="6CC4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4891B7C6">
            <w:pPr>
              <w:topLinePunct/>
              <w:spacing w:line="440" w:lineRule="exact"/>
              <w:jc w:val="center"/>
              <w:rPr>
                <w:color w:val="auto"/>
                <w:highlight w:val="none"/>
              </w:rPr>
            </w:pPr>
            <w:r>
              <w:rPr>
                <w:rFonts w:hint="eastAsia" w:ascii="宋体" w:hAnsi="宋体"/>
                <w:color w:val="auto"/>
                <w:highlight w:val="none"/>
              </w:rPr>
              <w:t>竣工</w:t>
            </w:r>
            <w:r>
              <w:rPr>
                <w:rFonts w:ascii="宋体" w:hAnsi="宋体"/>
                <w:color w:val="auto"/>
                <w:highlight w:val="none"/>
              </w:rPr>
              <w:t>日期</w:t>
            </w:r>
          </w:p>
        </w:tc>
        <w:tc>
          <w:tcPr>
            <w:tcW w:w="6253" w:type="dxa"/>
            <w:tcBorders>
              <w:top w:val="single" w:color="auto" w:sz="4" w:space="0"/>
              <w:left w:val="single" w:color="auto" w:sz="4" w:space="0"/>
              <w:bottom w:val="single" w:color="auto" w:sz="4" w:space="0"/>
              <w:right w:val="single" w:color="auto" w:sz="4" w:space="0"/>
            </w:tcBorders>
          </w:tcPr>
          <w:p w14:paraId="191BFD85">
            <w:pPr>
              <w:topLinePunct/>
              <w:spacing w:line="440" w:lineRule="exact"/>
              <w:rPr>
                <w:color w:val="auto"/>
                <w:highlight w:val="none"/>
              </w:rPr>
            </w:pPr>
          </w:p>
        </w:tc>
      </w:tr>
      <w:tr w14:paraId="5387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2FB2B6EF">
            <w:pPr>
              <w:topLinePunct/>
              <w:spacing w:line="440" w:lineRule="exact"/>
              <w:jc w:val="center"/>
              <w:rPr>
                <w:color w:val="auto"/>
                <w:highlight w:val="none"/>
              </w:rPr>
            </w:pPr>
            <w:r>
              <w:rPr>
                <w:rFonts w:ascii="宋体" w:hAnsi="宋体"/>
                <w:color w:val="auto"/>
                <w:highlight w:val="none"/>
              </w:rPr>
              <w:t>承担的工作</w:t>
            </w:r>
          </w:p>
        </w:tc>
        <w:tc>
          <w:tcPr>
            <w:tcW w:w="6253" w:type="dxa"/>
            <w:tcBorders>
              <w:top w:val="single" w:color="auto" w:sz="4" w:space="0"/>
              <w:left w:val="single" w:color="auto" w:sz="4" w:space="0"/>
              <w:bottom w:val="single" w:color="auto" w:sz="4" w:space="0"/>
              <w:right w:val="single" w:color="auto" w:sz="4" w:space="0"/>
            </w:tcBorders>
          </w:tcPr>
          <w:p w14:paraId="589CA09A">
            <w:pPr>
              <w:topLinePunct/>
              <w:spacing w:line="440" w:lineRule="exact"/>
              <w:rPr>
                <w:color w:val="auto"/>
                <w:highlight w:val="none"/>
              </w:rPr>
            </w:pPr>
          </w:p>
        </w:tc>
      </w:tr>
      <w:tr w14:paraId="33A3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64E88A72">
            <w:pPr>
              <w:topLinePunct/>
              <w:spacing w:line="440" w:lineRule="exact"/>
              <w:jc w:val="center"/>
              <w:rPr>
                <w:color w:val="auto"/>
                <w:highlight w:val="none"/>
              </w:rPr>
            </w:pPr>
            <w:r>
              <w:rPr>
                <w:rFonts w:ascii="宋体" w:hAnsi="宋体"/>
                <w:color w:val="auto"/>
                <w:highlight w:val="none"/>
              </w:rPr>
              <w:t>工程质量</w:t>
            </w:r>
          </w:p>
        </w:tc>
        <w:tc>
          <w:tcPr>
            <w:tcW w:w="6253" w:type="dxa"/>
            <w:tcBorders>
              <w:top w:val="single" w:color="auto" w:sz="4" w:space="0"/>
              <w:left w:val="single" w:color="auto" w:sz="4" w:space="0"/>
              <w:bottom w:val="single" w:color="auto" w:sz="4" w:space="0"/>
              <w:right w:val="single" w:color="auto" w:sz="4" w:space="0"/>
            </w:tcBorders>
          </w:tcPr>
          <w:p w14:paraId="478F4613">
            <w:pPr>
              <w:topLinePunct/>
              <w:spacing w:line="440" w:lineRule="exact"/>
              <w:rPr>
                <w:color w:val="auto"/>
                <w:highlight w:val="none"/>
              </w:rPr>
            </w:pPr>
          </w:p>
        </w:tc>
      </w:tr>
      <w:tr w14:paraId="2729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218B6575">
            <w:pPr>
              <w:topLinePunct/>
              <w:spacing w:line="440" w:lineRule="exact"/>
              <w:jc w:val="center"/>
              <w:rPr>
                <w:color w:val="auto"/>
                <w:highlight w:val="none"/>
              </w:rPr>
            </w:pPr>
            <w:r>
              <w:rPr>
                <w:rFonts w:ascii="宋体" w:hAnsi="宋体"/>
                <w:color w:val="auto"/>
                <w:highlight w:val="none"/>
              </w:rPr>
              <w:t>项目经理</w:t>
            </w:r>
          </w:p>
        </w:tc>
        <w:tc>
          <w:tcPr>
            <w:tcW w:w="6253" w:type="dxa"/>
            <w:tcBorders>
              <w:top w:val="single" w:color="auto" w:sz="4" w:space="0"/>
              <w:left w:val="single" w:color="auto" w:sz="4" w:space="0"/>
              <w:bottom w:val="single" w:color="auto" w:sz="4" w:space="0"/>
              <w:right w:val="single" w:color="auto" w:sz="4" w:space="0"/>
            </w:tcBorders>
          </w:tcPr>
          <w:p w14:paraId="7BBF1A52">
            <w:pPr>
              <w:topLinePunct/>
              <w:spacing w:line="440" w:lineRule="exact"/>
              <w:rPr>
                <w:color w:val="auto"/>
                <w:highlight w:val="none"/>
              </w:rPr>
            </w:pPr>
          </w:p>
        </w:tc>
      </w:tr>
      <w:tr w14:paraId="469A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4553B0D3">
            <w:pPr>
              <w:topLinePunct/>
              <w:spacing w:line="440" w:lineRule="exact"/>
              <w:jc w:val="center"/>
              <w:rPr>
                <w:color w:val="auto"/>
                <w:highlight w:val="none"/>
              </w:rPr>
            </w:pPr>
            <w:r>
              <w:rPr>
                <w:rFonts w:ascii="宋体" w:hAnsi="宋体"/>
                <w:color w:val="auto"/>
                <w:highlight w:val="none"/>
              </w:rPr>
              <w:t>技术负责人</w:t>
            </w:r>
          </w:p>
        </w:tc>
        <w:tc>
          <w:tcPr>
            <w:tcW w:w="6253" w:type="dxa"/>
            <w:tcBorders>
              <w:top w:val="single" w:color="auto" w:sz="4" w:space="0"/>
              <w:left w:val="single" w:color="auto" w:sz="4" w:space="0"/>
              <w:bottom w:val="single" w:color="auto" w:sz="4" w:space="0"/>
              <w:right w:val="single" w:color="auto" w:sz="4" w:space="0"/>
            </w:tcBorders>
          </w:tcPr>
          <w:p w14:paraId="229085C6">
            <w:pPr>
              <w:topLinePunct/>
              <w:spacing w:line="440" w:lineRule="exact"/>
              <w:rPr>
                <w:color w:val="auto"/>
                <w:highlight w:val="none"/>
              </w:rPr>
            </w:pPr>
          </w:p>
        </w:tc>
      </w:tr>
      <w:tr w14:paraId="25C0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516E1666">
            <w:pPr>
              <w:topLinePunct/>
              <w:spacing w:line="440" w:lineRule="exact"/>
              <w:jc w:val="center"/>
              <w:rPr>
                <w:color w:val="auto"/>
                <w:highlight w:val="none"/>
              </w:rPr>
            </w:pPr>
            <w:r>
              <w:rPr>
                <w:rFonts w:ascii="宋体" w:hAnsi="宋体"/>
                <w:color w:val="auto"/>
                <w:highlight w:val="none"/>
              </w:rPr>
              <w:t>项目描述</w:t>
            </w:r>
          </w:p>
        </w:tc>
        <w:tc>
          <w:tcPr>
            <w:tcW w:w="6253" w:type="dxa"/>
            <w:tcBorders>
              <w:top w:val="single" w:color="auto" w:sz="4" w:space="0"/>
              <w:left w:val="single" w:color="auto" w:sz="4" w:space="0"/>
              <w:bottom w:val="single" w:color="auto" w:sz="4" w:space="0"/>
              <w:right w:val="single" w:color="auto" w:sz="4" w:space="0"/>
            </w:tcBorders>
          </w:tcPr>
          <w:p w14:paraId="2E8D0774">
            <w:pPr>
              <w:topLinePunct/>
              <w:spacing w:line="440" w:lineRule="exact"/>
              <w:rPr>
                <w:color w:val="auto"/>
                <w:highlight w:val="none"/>
              </w:rPr>
            </w:pPr>
          </w:p>
          <w:p w14:paraId="1A39B32C">
            <w:pPr>
              <w:topLinePunct/>
              <w:spacing w:line="440" w:lineRule="exact"/>
              <w:rPr>
                <w:color w:val="auto"/>
                <w:highlight w:val="none"/>
              </w:rPr>
            </w:pPr>
          </w:p>
          <w:p w14:paraId="24BF6B2E">
            <w:pPr>
              <w:topLinePunct/>
              <w:spacing w:line="440" w:lineRule="exact"/>
              <w:rPr>
                <w:color w:val="auto"/>
                <w:highlight w:val="none"/>
              </w:rPr>
            </w:pPr>
          </w:p>
        </w:tc>
      </w:tr>
      <w:tr w14:paraId="3910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tcBorders>
              <w:top w:val="single" w:color="auto" w:sz="4" w:space="0"/>
              <w:left w:val="single" w:color="auto" w:sz="4" w:space="0"/>
              <w:bottom w:val="single" w:color="auto" w:sz="4" w:space="0"/>
              <w:right w:val="single" w:color="auto" w:sz="4" w:space="0"/>
            </w:tcBorders>
            <w:vAlign w:val="center"/>
          </w:tcPr>
          <w:p w14:paraId="032BD313">
            <w:pPr>
              <w:topLinePunct/>
              <w:spacing w:line="440" w:lineRule="exact"/>
              <w:jc w:val="center"/>
              <w:rPr>
                <w:color w:val="auto"/>
                <w:highlight w:val="none"/>
              </w:rPr>
            </w:pPr>
            <w:r>
              <w:rPr>
                <w:rFonts w:ascii="宋体" w:hAnsi="宋体"/>
                <w:color w:val="auto"/>
                <w:highlight w:val="none"/>
              </w:rPr>
              <w:t>备注</w:t>
            </w:r>
          </w:p>
        </w:tc>
        <w:tc>
          <w:tcPr>
            <w:tcW w:w="6253" w:type="dxa"/>
            <w:tcBorders>
              <w:top w:val="single" w:color="auto" w:sz="4" w:space="0"/>
              <w:left w:val="single" w:color="auto" w:sz="4" w:space="0"/>
              <w:bottom w:val="single" w:color="auto" w:sz="4" w:space="0"/>
              <w:right w:val="single" w:color="auto" w:sz="4" w:space="0"/>
            </w:tcBorders>
          </w:tcPr>
          <w:p w14:paraId="7BB02E71">
            <w:pPr>
              <w:topLinePunct/>
              <w:spacing w:line="440" w:lineRule="exact"/>
              <w:rPr>
                <w:color w:val="auto"/>
                <w:highlight w:val="none"/>
              </w:rPr>
            </w:pPr>
          </w:p>
        </w:tc>
      </w:tr>
    </w:tbl>
    <w:p w14:paraId="168958E6">
      <w:pPr>
        <w:ind w:firstLine="422"/>
        <w:rPr>
          <w:rFonts w:hint="eastAsia" w:ascii="宋体" w:hAnsi="宋体"/>
          <w:b/>
          <w:bCs/>
          <w:color w:val="auto"/>
          <w:sz w:val="28"/>
          <w:szCs w:val="28"/>
          <w:highlight w:val="none"/>
        </w:rPr>
      </w:pPr>
      <w:bookmarkStart w:id="2026" w:name="_Toc8014"/>
      <w:bookmarkEnd w:id="2026"/>
      <w:r>
        <w:rPr>
          <w:rFonts w:hint="eastAsia" w:ascii="宋体" w:hAnsi="宋体"/>
          <w:b/>
          <w:bCs/>
          <w:color w:val="auto"/>
          <w:sz w:val="28"/>
          <w:szCs w:val="28"/>
          <w:highlight w:val="none"/>
        </w:rPr>
        <w:br w:type="page"/>
      </w:r>
    </w:p>
    <w:p w14:paraId="3910A4F2">
      <w:pPr>
        <w:spacing w:line="420" w:lineRule="exact"/>
        <w:jc w:val="center"/>
        <w:outlineLvl w:val="1"/>
        <w:rPr>
          <w:rFonts w:ascii="宋体" w:hAnsi="宋体"/>
          <w:color w:val="auto"/>
          <w:sz w:val="28"/>
          <w:szCs w:val="28"/>
          <w:highlight w:val="none"/>
        </w:rPr>
      </w:pPr>
      <w:bookmarkStart w:id="2027" w:name="_Toc30708"/>
      <w:r>
        <w:rPr>
          <w:rFonts w:hint="eastAsia" w:ascii="宋体" w:hAnsi="宋体"/>
          <w:b/>
          <w:bCs/>
          <w:color w:val="auto"/>
          <w:sz w:val="28"/>
          <w:szCs w:val="28"/>
          <w:highlight w:val="none"/>
          <w:lang w:val="en-US" w:eastAsia="zh-CN"/>
        </w:rPr>
        <w:t>八、</w:t>
      </w:r>
      <w:r>
        <w:rPr>
          <w:rFonts w:hint="eastAsia" w:ascii="宋体" w:hAnsi="宋体"/>
          <w:b/>
          <w:bCs/>
          <w:color w:val="auto"/>
          <w:sz w:val="28"/>
          <w:szCs w:val="28"/>
          <w:highlight w:val="none"/>
        </w:rPr>
        <w:t>项目管理机构</w:t>
      </w:r>
      <w:bookmarkEnd w:id="2021"/>
      <w:bookmarkEnd w:id="2022"/>
      <w:bookmarkEnd w:id="2023"/>
      <w:bookmarkEnd w:id="2024"/>
      <w:bookmarkEnd w:id="2025"/>
      <w:bookmarkEnd w:id="2027"/>
    </w:p>
    <w:p w14:paraId="3B4A5A37">
      <w:pPr>
        <w:spacing w:after="240" w:line="420" w:lineRule="exact"/>
        <w:outlineLvl w:val="2"/>
        <w:rPr>
          <w:rFonts w:ascii="宋体" w:hAnsi="宋体"/>
          <w:color w:val="auto"/>
          <w:sz w:val="24"/>
          <w:szCs w:val="24"/>
          <w:highlight w:val="none"/>
        </w:rPr>
      </w:pPr>
      <w:bookmarkStart w:id="2028" w:name="_Toc2758"/>
      <w:bookmarkStart w:id="2029" w:name="_Toc129073534"/>
      <w:bookmarkStart w:id="2030" w:name="_Toc11553"/>
      <w:bookmarkStart w:id="2031" w:name="_Toc19777"/>
      <w:r>
        <w:rPr>
          <w:rFonts w:hint="eastAsia" w:ascii="宋体" w:hAnsi="宋体"/>
          <w:color w:val="auto"/>
          <w:sz w:val="24"/>
          <w:szCs w:val="24"/>
          <w:highlight w:val="none"/>
        </w:rPr>
        <w:t>（一）项目管理机构组成表</w:t>
      </w:r>
      <w:bookmarkEnd w:id="2028"/>
      <w:bookmarkEnd w:id="2029"/>
      <w:bookmarkEnd w:id="2030"/>
      <w:bookmarkEnd w:id="2031"/>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09"/>
        <w:gridCol w:w="709"/>
        <w:gridCol w:w="1134"/>
        <w:gridCol w:w="771"/>
        <w:gridCol w:w="1409"/>
        <w:gridCol w:w="850"/>
        <w:gridCol w:w="1136"/>
        <w:gridCol w:w="765"/>
      </w:tblGrid>
      <w:tr w14:paraId="7407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761535DC">
            <w:pPr>
              <w:jc w:val="center"/>
              <w:rPr>
                <w:rFonts w:ascii="宋体" w:hAnsi="宋体"/>
                <w:color w:val="auto"/>
                <w:highlight w:val="none"/>
              </w:rPr>
            </w:pPr>
            <w:r>
              <w:rPr>
                <w:rFonts w:hint="eastAsia" w:ascii="宋体" w:hAnsi="宋体"/>
                <w:color w:val="auto"/>
                <w:highlight w:val="none"/>
              </w:rPr>
              <w:t>职务</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3E8E8BA9">
            <w:pPr>
              <w:jc w:val="center"/>
              <w:rPr>
                <w:rFonts w:ascii="宋体" w:hAnsi="宋体"/>
                <w:color w:val="auto"/>
                <w:highlight w:val="none"/>
              </w:rPr>
            </w:pPr>
            <w:r>
              <w:rPr>
                <w:rFonts w:hint="eastAsia" w:ascii="宋体" w:hAnsi="宋体"/>
                <w:color w:val="auto"/>
                <w:highlight w:val="none"/>
              </w:rPr>
              <w:t>姓名</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14B16A5F">
            <w:pPr>
              <w:jc w:val="center"/>
              <w:rPr>
                <w:rFonts w:ascii="宋体" w:hAnsi="宋体"/>
                <w:color w:val="auto"/>
                <w:highlight w:val="none"/>
              </w:rPr>
            </w:pPr>
            <w:r>
              <w:rPr>
                <w:rFonts w:hint="eastAsia" w:ascii="宋体" w:hAnsi="宋体"/>
                <w:color w:val="auto"/>
                <w:highlight w:val="none"/>
              </w:rPr>
              <w:t>职称</w:t>
            </w:r>
          </w:p>
        </w:tc>
        <w:tc>
          <w:tcPr>
            <w:tcW w:w="5300" w:type="dxa"/>
            <w:gridSpan w:val="5"/>
            <w:tcBorders>
              <w:top w:val="single" w:color="auto" w:sz="4" w:space="0"/>
              <w:left w:val="single" w:color="auto" w:sz="4" w:space="0"/>
              <w:bottom w:val="single" w:color="auto" w:sz="4" w:space="0"/>
              <w:right w:val="single" w:color="auto" w:sz="4" w:space="0"/>
            </w:tcBorders>
            <w:vAlign w:val="center"/>
          </w:tcPr>
          <w:p w14:paraId="15FEFE38">
            <w:pPr>
              <w:jc w:val="center"/>
              <w:rPr>
                <w:rFonts w:ascii="宋体" w:hAnsi="宋体"/>
                <w:color w:val="auto"/>
                <w:highlight w:val="none"/>
              </w:rPr>
            </w:pPr>
            <w:r>
              <w:rPr>
                <w:rFonts w:hint="eastAsia" w:ascii="宋体" w:hAnsi="宋体"/>
                <w:color w:val="auto"/>
                <w:highlight w:val="none"/>
              </w:rPr>
              <w:t>执业或职业资格证明</w:t>
            </w:r>
          </w:p>
        </w:tc>
        <w:tc>
          <w:tcPr>
            <w:tcW w:w="765" w:type="dxa"/>
            <w:tcBorders>
              <w:top w:val="single" w:color="auto" w:sz="4" w:space="0"/>
              <w:left w:val="single" w:color="auto" w:sz="4" w:space="0"/>
              <w:bottom w:val="single" w:color="auto" w:sz="4" w:space="0"/>
              <w:right w:val="single" w:color="auto" w:sz="4" w:space="0"/>
            </w:tcBorders>
            <w:vAlign w:val="center"/>
          </w:tcPr>
          <w:p w14:paraId="24D0270A">
            <w:pPr>
              <w:jc w:val="center"/>
              <w:rPr>
                <w:rFonts w:ascii="宋体" w:hAnsi="宋体"/>
                <w:color w:val="auto"/>
                <w:highlight w:val="none"/>
              </w:rPr>
            </w:pPr>
            <w:r>
              <w:rPr>
                <w:rFonts w:hint="eastAsia" w:ascii="宋体" w:hAnsi="宋体"/>
                <w:color w:val="auto"/>
                <w:highlight w:val="none"/>
              </w:rPr>
              <w:t>备注</w:t>
            </w:r>
          </w:p>
        </w:tc>
      </w:tr>
      <w:tr w14:paraId="2828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48E06D3">
            <w:pPr>
              <w:widowControl/>
              <w:jc w:val="left"/>
              <w:rPr>
                <w:rFonts w:ascii="宋体" w:hAnsi="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C5947CB">
            <w:pPr>
              <w:widowControl/>
              <w:jc w:val="left"/>
              <w:rPr>
                <w:rFonts w:ascii="宋体" w:hAnsi="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5687690">
            <w:pPr>
              <w:widowControl/>
              <w:jc w:val="left"/>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05808FF">
            <w:pPr>
              <w:jc w:val="center"/>
              <w:rPr>
                <w:rFonts w:ascii="宋体" w:hAnsi="宋体"/>
                <w:color w:val="auto"/>
                <w:highlight w:val="none"/>
              </w:rPr>
            </w:pPr>
            <w:r>
              <w:rPr>
                <w:rFonts w:hint="eastAsia" w:ascii="宋体" w:hAnsi="宋体"/>
                <w:color w:val="auto"/>
                <w:highlight w:val="none"/>
              </w:rPr>
              <w:t>证书名称</w:t>
            </w:r>
          </w:p>
        </w:tc>
        <w:tc>
          <w:tcPr>
            <w:tcW w:w="771" w:type="dxa"/>
            <w:tcBorders>
              <w:top w:val="single" w:color="auto" w:sz="4" w:space="0"/>
              <w:left w:val="single" w:color="auto" w:sz="4" w:space="0"/>
              <w:bottom w:val="single" w:color="auto" w:sz="4" w:space="0"/>
              <w:right w:val="single" w:color="auto" w:sz="4" w:space="0"/>
            </w:tcBorders>
            <w:vAlign w:val="center"/>
          </w:tcPr>
          <w:p w14:paraId="3B222346">
            <w:pPr>
              <w:jc w:val="center"/>
              <w:rPr>
                <w:rFonts w:ascii="宋体" w:hAnsi="宋体"/>
                <w:color w:val="auto"/>
                <w:highlight w:val="none"/>
              </w:rPr>
            </w:pPr>
            <w:r>
              <w:rPr>
                <w:rFonts w:hint="eastAsia" w:ascii="宋体" w:hAnsi="宋体"/>
                <w:color w:val="auto"/>
                <w:highlight w:val="none"/>
              </w:rPr>
              <w:t>级别</w:t>
            </w:r>
          </w:p>
        </w:tc>
        <w:tc>
          <w:tcPr>
            <w:tcW w:w="1409" w:type="dxa"/>
            <w:tcBorders>
              <w:top w:val="single" w:color="auto" w:sz="4" w:space="0"/>
              <w:left w:val="single" w:color="auto" w:sz="4" w:space="0"/>
              <w:bottom w:val="single" w:color="auto" w:sz="4" w:space="0"/>
              <w:right w:val="single" w:color="auto" w:sz="4" w:space="0"/>
            </w:tcBorders>
            <w:vAlign w:val="center"/>
          </w:tcPr>
          <w:p w14:paraId="442D6349">
            <w:pPr>
              <w:jc w:val="center"/>
              <w:rPr>
                <w:rFonts w:ascii="宋体" w:hAnsi="宋体"/>
                <w:color w:val="auto"/>
                <w:highlight w:val="none"/>
              </w:rPr>
            </w:pPr>
            <w:r>
              <w:rPr>
                <w:rFonts w:hint="eastAsia" w:ascii="宋体" w:hAnsi="宋体"/>
                <w:color w:val="auto"/>
                <w:highlight w:val="none"/>
              </w:rPr>
              <w:t>证号</w:t>
            </w:r>
          </w:p>
        </w:tc>
        <w:tc>
          <w:tcPr>
            <w:tcW w:w="850" w:type="dxa"/>
            <w:tcBorders>
              <w:top w:val="single" w:color="auto" w:sz="4" w:space="0"/>
              <w:left w:val="single" w:color="auto" w:sz="4" w:space="0"/>
              <w:bottom w:val="single" w:color="auto" w:sz="4" w:space="0"/>
              <w:right w:val="single" w:color="auto" w:sz="4" w:space="0"/>
            </w:tcBorders>
            <w:vAlign w:val="center"/>
          </w:tcPr>
          <w:p w14:paraId="18602993">
            <w:pPr>
              <w:jc w:val="center"/>
              <w:rPr>
                <w:rFonts w:ascii="宋体" w:hAnsi="宋体"/>
                <w:color w:val="auto"/>
                <w:highlight w:val="none"/>
              </w:rPr>
            </w:pPr>
            <w:r>
              <w:rPr>
                <w:rFonts w:hint="eastAsia" w:ascii="宋体" w:hAnsi="宋体"/>
                <w:color w:val="auto"/>
                <w:highlight w:val="none"/>
              </w:rPr>
              <w:t>专业</w:t>
            </w:r>
          </w:p>
        </w:tc>
        <w:tc>
          <w:tcPr>
            <w:tcW w:w="1136" w:type="dxa"/>
            <w:tcBorders>
              <w:top w:val="single" w:color="auto" w:sz="4" w:space="0"/>
              <w:left w:val="single" w:color="auto" w:sz="4" w:space="0"/>
              <w:bottom w:val="single" w:color="auto" w:sz="4" w:space="0"/>
              <w:right w:val="single" w:color="auto" w:sz="4" w:space="0"/>
            </w:tcBorders>
            <w:vAlign w:val="center"/>
          </w:tcPr>
          <w:p w14:paraId="60174AE0">
            <w:pPr>
              <w:jc w:val="center"/>
              <w:rPr>
                <w:rFonts w:ascii="宋体" w:hAnsi="宋体"/>
                <w:color w:val="auto"/>
                <w:highlight w:val="none"/>
              </w:rPr>
            </w:pPr>
            <w:r>
              <w:rPr>
                <w:rFonts w:hint="eastAsia" w:ascii="宋体" w:hAnsi="宋体"/>
                <w:color w:val="auto"/>
                <w:highlight w:val="none"/>
              </w:rPr>
              <w:t>养老保险</w:t>
            </w:r>
          </w:p>
        </w:tc>
        <w:tc>
          <w:tcPr>
            <w:tcW w:w="765" w:type="dxa"/>
            <w:tcBorders>
              <w:top w:val="single" w:color="auto" w:sz="4" w:space="0"/>
              <w:left w:val="single" w:color="auto" w:sz="4" w:space="0"/>
              <w:right w:val="single" w:color="auto" w:sz="4" w:space="0"/>
            </w:tcBorders>
            <w:vAlign w:val="center"/>
          </w:tcPr>
          <w:p w14:paraId="04008DF7">
            <w:pPr>
              <w:widowControl/>
              <w:jc w:val="left"/>
              <w:rPr>
                <w:rFonts w:ascii="宋体" w:hAnsi="宋体"/>
                <w:color w:val="auto"/>
                <w:highlight w:val="none"/>
              </w:rPr>
            </w:pPr>
          </w:p>
        </w:tc>
      </w:tr>
      <w:tr w14:paraId="4A99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3B7C4EB">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628F0249">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086EC200">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3E47A95">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258A2738">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39321317">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729221D2">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42CE3961">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476A55FF">
            <w:pPr>
              <w:jc w:val="center"/>
              <w:rPr>
                <w:rFonts w:ascii="宋体" w:hAnsi="宋体"/>
                <w:color w:val="auto"/>
                <w:highlight w:val="none"/>
              </w:rPr>
            </w:pPr>
          </w:p>
        </w:tc>
      </w:tr>
      <w:tr w14:paraId="3B38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126707A">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14A03C3">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478141D3">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D408F35">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36F31AB3">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3950FE4A">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109FBBBA">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032081B3">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7076878B">
            <w:pPr>
              <w:jc w:val="center"/>
              <w:rPr>
                <w:rFonts w:ascii="宋体" w:hAnsi="宋体"/>
                <w:color w:val="auto"/>
                <w:highlight w:val="none"/>
              </w:rPr>
            </w:pPr>
          </w:p>
        </w:tc>
      </w:tr>
      <w:tr w14:paraId="69B5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F580EE9">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1CB8F81E">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6DA4FD33">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1F7D5B3">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7CD90534">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4816794A">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094A5D65">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394414A2">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23A8C125">
            <w:pPr>
              <w:jc w:val="center"/>
              <w:rPr>
                <w:rFonts w:ascii="宋体" w:hAnsi="宋体"/>
                <w:color w:val="auto"/>
                <w:highlight w:val="none"/>
              </w:rPr>
            </w:pPr>
          </w:p>
        </w:tc>
      </w:tr>
      <w:tr w14:paraId="022A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15CF2F2">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8E9AB87">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484F1011">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E38BCAA">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25087E6A">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1480D5B2">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675EDFC0">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2239535D">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1A6C170E">
            <w:pPr>
              <w:jc w:val="center"/>
              <w:rPr>
                <w:rFonts w:ascii="宋体" w:hAnsi="宋体"/>
                <w:color w:val="auto"/>
                <w:highlight w:val="none"/>
              </w:rPr>
            </w:pPr>
          </w:p>
        </w:tc>
      </w:tr>
      <w:tr w14:paraId="76FE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70D53AED">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6220C512">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251BB72C">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E2F0C9F">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5BB26B60">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72AB4BA0">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0C15D6AA">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2FFBC4F8">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30853FC1">
            <w:pPr>
              <w:jc w:val="center"/>
              <w:rPr>
                <w:rFonts w:ascii="宋体" w:hAnsi="宋体"/>
                <w:color w:val="auto"/>
                <w:highlight w:val="none"/>
              </w:rPr>
            </w:pPr>
          </w:p>
        </w:tc>
      </w:tr>
      <w:tr w14:paraId="1E91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49A43D4D">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9EFB275">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7684F57">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75C924B">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35644488">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7038A1A0">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23A8D671">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299366FA">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3BC63E57">
            <w:pPr>
              <w:jc w:val="center"/>
              <w:rPr>
                <w:rFonts w:ascii="宋体" w:hAnsi="宋体"/>
                <w:color w:val="auto"/>
                <w:highlight w:val="none"/>
              </w:rPr>
            </w:pPr>
          </w:p>
        </w:tc>
      </w:tr>
      <w:tr w14:paraId="0283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20D866CD">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69AB8A8C">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1E3DF6D3">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1DE0FD8">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21DAF1BB">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2C41DE3D">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7FB51EE7">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0ED088AD">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770DC0CA">
            <w:pPr>
              <w:jc w:val="center"/>
              <w:rPr>
                <w:rFonts w:ascii="宋体" w:hAnsi="宋体"/>
                <w:color w:val="auto"/>
                <w:highlight w:val="none"/>
              </w:rPr>
            </w:pPr>
          </w:p>
        </w:tc>
      </w:tr>
      <w:tr w14:paraId="66D1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652C2DAA">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14C5D688">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151F6FEF">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B8F1CDF">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39A03BE1">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72D4A5D1">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100EC9C1">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7CB0F071">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51CACF17">
            <w:pPr>
              <w:jc w:val="center"/>
              <w:rPr>
                <w:rFonts w:ascii="宋体" w:hAnsi="宋体"/>
                <w:color w:val="auto"/>
                <w:highlight w:val="none"/>
              </w:rPr>
            </w:pPr>
          </w:p>
        </w:tc>
      </w:tr>
      <w:tr w14:paraId="7E32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8B3ECCE">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7E3CEF55">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47E1430E">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88C62A3">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43BAF6D7">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77C7A113">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5964DB72">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58ED896F">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51ECE49B">
            <w:pPr>
              <w:jc w:val="center"/>
              <w:rPr>
                <w:rFonts w:ascii="宋体" w:hAnsi="宋体"/>
                <w:color w:val="auto"/>
                <w:highlight w:val="none"/>
              </w:rPr>
            </w:pPr>
          </w:p>
        </w:tc>
      </w:tr>
      <w:tr w14:paraId="5457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7464F9E">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0A201C6">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216C8987">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F85996E">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02C4BFFA">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1082F437">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09BA250B">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0D0CDC07">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63227022">
            <w:pPr>
              <w:jc w:val="center"/>
              <w:rPr>
                <w:rFonts w:ascii="宋体" w:hAnsi="宋体"/>
                <w:color w:val="auto"/>
                <w:highlight w:val="none"/>
              </w:rPr>
            </w:pPr>
          </w:p>
        </w:tc>
      </w:tr>
      <w:tr w14:paraId="1BB4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2F9AF983">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11F22D7">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1309482E">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8A9F98B">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2FED14A4">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14E7B52F">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53092349">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7B24061D">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32E305E7">
            <w:pPr>
              <w:jc w:val="center"/>
              <w:rPr>
                <w:rFonts w:ascii="宋体" w:hAnsi="宋体"/>
                <w:color w:val="auto"/>
                <w:highlight w:val="none"/>
              </w:rPr>
            </w:pPr>
          </w:p>
        </w:tc>
      </w:tr>
      <w:tr w14:paraId="433B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30003D0F">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25228303">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280E874F">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2CBBAFB">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45872F23">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2392155D">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12569C49">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2820197E">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6298C496">
            <w:pPr>
              <w:jc w:val="center"/>
              <w:rPr>
                <w:rFonts w:ascii="宋体" w:hAnsi="宋体"/>
                <w:color w:val="auto"/>
                <w:highlight w:val="none"/>
              </w:rPr>
            </w:pPr>
          </w:p>
        </w:tc>
      </w:tr>
      <w:tr w14:paraId="3BD1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44BC26B8">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741B9D06">
            <w:pPr>
              <w:jc w:val="center"/>
              <w:rPr>
                <w:rFonts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2A4C22A7">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00F5C05">
            <w:pPr>
              <w:jc w:val="center"/>
              <w:rPr>
                <w:rFonts w:ascii="宋体" w:hAnsi="宋体"/>
                <w:color w:val="auto"/>
                <w:highlight w:val="none"/>
              </w:rPr>
            </w:pPr>
          </w:p>
        </w:tc>
        <w:tc>
          <w:tcPr>
            <w:tcW w:w="771" w:type="dxa"/>
            <w:tcBorders>
              <w:top w:val="single" w:color="auto" w:sz="4" w:space="0"/>
              <w:left w:val="single" w:color="auto" w:sz="4" w:space="0"/>
              <w:bottom w:val="single" w:color="auto" w:sz="4" w:space="0"/>
              <w:right w:val="single" w:color="auto" w:sz="4" w:space="0"/>
            </w:tcBorders>
            <w:vAlign w:val="center"/>
          </w:tcPr>
          <w:p w14:paraId="14B26AD7">
            <w:pPr>
              <w:jc w:val="center"/>
              <w:rPr>
                <w:rFonts w:ascii="宋体" w:hAnsi="宋体"/>
                <w:color w:val="auto"/>
                <w:highlight w:val="none"/>
              </w:rPr>
            </w:pPr>
          </w:p>
        </w:tc>
        <w:tc>
          <w:tcPr>
            <w:tcW w:w="1409" w:type="dxa"/>
            <w:tcBorders>
              <w:top w:val="single" w:color="auto" w:sz="4" w:space="0"/>
              <w:left w:val="single" w:color="auto" w:sz="4" w:space="0"/>
              <w:bottom w:val="single" w:color="auto" w:sz="4" w:space="0"/>
              <w:right w:val="single" w:color="auto" w:sz="4" w:space="0"/>
            </w:tcBorders>
            <w:vAlign w:val="center"/>
          </w:tcPr>
          <w:p w14:paraId="7657D843">
            <w:pPr>
              <w:jc w:val="center"/>
              <w:rPr>
                <w:rFonts w:ascii="宋体" w:hAnsi="宋体"/>
                <w:color w:val="auto"/>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1EFE57B3">
            <w:pPr>
              <w:jc w:val="center"/>
              <w:rPr>
                <w:rFonts w:ascii="宋体" w:hAnsi="宋体"/>
                <w:color w:val="auto"/>
                <w:highlight w:val="none"/>
              </w:rPr>
            </w:pPr>
          </w:p>
        </w:tc>
        <w:tc>
          <w:tcPr>
            <w:tcW w:w="1136" w:type="dxa"/>
            <w:tcBorders>
              <w:top w:val="single" w:color="auto" w:sz="4" w:space="0"/>
              <w:left w:val="single" w:color="auto" w:sz="4" w:space="0"/>
              <w:bottom w:val="single" w:color="auto" w:sz="4" w:space="0"/>
              <w:right w:val="single" w:color="auto" w:sz="4" w:space="0"/>
            </w:tcBorders>
            <w:vAlign w:val="center"/>
          </w:tcPr>
          <w:p w14:paraId="1D6A00C3">
            <w:pPr>
              <w:jc w:val="center"/>
              <w:rPr>
                <w:rFonts w:ascii="宋体" w:hAnsi="宋体"/>
                <w:color w:val="auto"/>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0F86C563">
            <w:pPr>
              <w:jc w:val="center"/>
              <w:rPr>
                <w:rFonts w:ascii="宋体" w:hAnsi="宋体"/>
                <w:color w:val="auto"/>
                <w:highlight w:val="none"/>
              </w:rPr>
            </w:pPr>
          </w:p>
        </w:tc>
      </w:tr>
    </w:tbl>
    <w:p w14:paraId="49B88B1F">
      <w:pPr>
        <w:spacing w:line="420" w:lineRule="exact"/>
        <w:rPr>
          <w:rFonts w:ascii="宋体" w:hAnsi="宋体"/>
          <w:color w:val="auto"/>
          <w:highlight w:val="none"/>
        </w:rPr>
      </w:pPr>
    </w:p>
    <w:p w14:paraId="01458A01">
      <w:pPr>
        <w:spacing w:before="120" w:after="240" w:line="420" w:lineRule="exact"/>
        <w:ind w:firstLine="422"/>
        <w:outlineLvl w:val="2"/>
        <w:rPr>
          <w:rFonts w:ascii="宋体" w:hAnsi="宋体"/>
          <w:color w:val="auto"/>
          <w:sz w:val="24"/>
          <w:szCs w:val="24"/>
          <w:highlight w:val="none"/>
        </w:rPr>
      </w:pPr>
      <w:r>
        <w:rPr>
          <w:rFonts w:hint="eastAsia" w:ascii="宋体" w:hAnsi="宋体"/>
          <w:b/>
          <w:bCs/>
          <w:color w:val="auto"/>
          <w:sz w:val="28"/>
          <w:szCs w:val="28"/>
          <w:highlight w:val="none"/>
        </w:rPr>
        <w:br w:type="page"/>
      </w:r>
      <w:bookmarkStart w:id="2032" w:name="_Toc129073535"/>
      <w:bookmarkStart w:id="2033" w:name="_Toc28162"/>
      <w:bookmarkStart w:id="2034" w:name="_Toc29027"/>
      <w:bookmarkStart w:id="2035" w:name="_Toc29450"/>
      <w:r>
        <w:rPr>
          <w:rFonts w:hint="eastAsia" w:ascii="宋体" w:hAnsi="宋体"/>
          <w:color w:val="auto"/>
          <w:sz w:val="24"/>
          <w:szCs w:val="24"/>
          <w:highlight w:val="none"/>
        </w:rPr>
        <w:t>（二）主要人员简历表</w:t>
      </w:r>
      <w:bookmarkEnd w:id="2032"/>
      <w:bookmarkEnd w:id="2033"/>
      <w:bookmarkEnd w:id="2034"/>
      <w:bookmarkEnd w:id="2035"/>
    </w:p>
    <w:p w14:paraId="56A61F36">
      <w:pPr>
        <w:spacing w:line="420" w:lineRule="exact"/>
        <w:rPr>
          <w:rFonts w:ascii="宋体" w:hAnsi="宋体"/>
          <w:color w:val="auto"/>
          <w:highlight w:val="none"/>
        </w:rPr>
      </w:pPr>
      <w:r>
        <w:rPr>
          <w:rFonts w:hint="eastAsia" w:ascii="宋体" w:hAnsi="宋体"/>
          <w:color w:val="auto"/>
          <w:highlight w:val="none"/>
        </w:rPr>
        <w:t>附1：项目经理简历表</w:t>
      </w:r>
    </w:p>
    <w:p w14:paraId="33DA0514">
      <w:pPr>
        <w:spacing w:line="420" w:lineRule="exact"/>
        <w:ind w:firstLine="420" w:firstLineChars="200"/>
        <w:rPr>
          <w:rFonts w:ascii="宋体" w:hAnsi="宋体"/>
          <w:color w:val="auto"/>
          <w:highlight w:val="none"/>
        </w:rPr>
      </w:pPr>
      <w:r>
        <w:rPr>
          <w:rFonts w:hint="eastAsia" w:ascii="宋体" w:hAnsi="宋体"/>
          <w:color w:val="auto"/>
          <w:highlight w:val="none"/>
        </w:rPr>
        <w:t>项目经理应附项目经理身份证、注册证、安考证、职称证（如有要求）、学历证（如有要求）、社保证明复印件等。</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1035"/>
        <w:gridCol w:w="1134"/>
        <w:gridCol w:w="1275"/>
        <w:gridCol w:w="1843"/>
        <w:gridCol w:w="2126"/>
      </w:tblGrid>
      <w:tr w14:paraId="7336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05CB12CE">
            <w:pPr>
              <w:jc w:val="center"/>
              <w:rPr>
                <w:rFonts w:ascii="宋体" w:hAnsi="宋体"/>
                <w:color w:val="auto"/>
                <w:highlight w:val="none"/>
              </w:rPr>
            </w:pPr>
            <w:r>
              <w:rPr>
                <w:rFonts w:hint="eastAsia" w:ascii="宋体" w:hAnsi="宋体"/>
                <w:color w:val="auto"/>
                <w:highlight w:val="none"/>
              </w:rPr>
              <w:t>姓  名</w:t>
            </w:r>
          </w:p>
        </w:tc>
        <w:tc>
          <w:tcPr>
            <w:tcW w:w="1035" w:type="dxa"/>
            <w:tcBorders>
              <w:top w:val="single" w:color="auto" w:sz="4" w:space="0"/>
              <w:left w:val="single" w:color="auto" w:sz="4" w:space="0"/>
              <w:bottom w:val="single" w:color="auto" w:sz="4" w:space="0"/>
              <w:right w:val="single" w:color="auto" w:sz="4" w:space="0"/>
            </w:tcBorders>
            <w:vAlign w:val="center"/>
          </w:tcPr>
          <w:p w14:paraId="73D3EBA9">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98648B0">
            <w:pPr>
              <w:jc w:val="center"/>
              <w:rPr>
                <w:rFonts w:ascii="宋体" w:hAnsi="宋体"/>
                <w:color w:val="auto"/>
                <w:highlight w:val="none"/>
              </w:rPr>
            </w:pPr>
            <w:r>
              <w:rPr>
                <w:rFonts w:hint="eastAsia" w:ascii="宋体" w:hAnsi="宋体"/>
                <w:color w:val="auto"/>
                <w:highlight w:val="none"/>
              </w:rPr>
              <w:t>年  龄</w:t>
            </w:r>
          </w:p>
        </w:tc>
        <w:tc>
          <w:tcPr>
            <w:tcW w:w="1275" w:type="dxa"/>
            <w:tcBorders>
              <w:top w:val="single" w:color="auto" w:sz="4" w:space="0"/>
              <w:left w:val="single" w:color="auto" w:sz="4" w:space="0"/>
              <w:bottom w:val="single" w:color="auto" w:sz="4" w:space="0"/>
              <w:right w:val="single" w:color="auto" w:sz="4" w:space="0"/>
            </w:tcBorders>
            <w:vAlign w:val="center"/>
          </w:tcPr>
          <w:p w14:paraId="30971B5B">
            <w:pPr>
              <w:jc w:val="center"/>
              <w:rPr>
                <w:rFonts w:ascii="宋体" w:hAnsi="宋体"/>
                <w:color w:val="auto"/>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77BCEAB5">
            <w:pPr>
              <w:jc w:val="center"/>
              <w:rPr>
                <w:rFonts w:ascii="宋体" w:hAnsi="宋体"/>
                <w:color w:val="auto"/>
                <w:highlight w:val="none"/>
              </w:rPr>
            </w:pPr>
            <w:r>
              <w:rPr>
                <w:rFonts w:hint="eastAsia" w:ascii="宋体" w:hAnsi="宋体"/>
                <w:color w:val="auto"/>
                <w:highlight w:val="none"/>
              </w:rPr>
              <w:t>学历</w:t>
            </w:r>
          </w:p>
        </w:tc>
        <w:tc>
          <w:tcPr>
            <w:tcW w:w="2126" w:type="dxa"/>
            <w:tcBorders>
              <w:top w:val="single" w:color="auto" w:sz="4" w:space="0"/>
              <w:left w:val="single" w:color="auto" w:sz="4" w:space="0"/>
              <w:bottom w:val="single" w:color="auto" w:sz="4" w:space="0"/>
              <w:right w:val="single" w:color="auto" w:sz="4" w:space="0"/>
            </w:tcBorders>
            <w:vAlign w:val="center"/>
          </w:tcPr>
          <w:p w14:paraId="4E447583">
            <w:pPr>
              <w:jc w:val="center"/>
              <w:rPr>
                <w:rFonts w:ascii="宋体" w:hAnsi="宋体"/>
                <w:color w:val="auto"/>
                <w:highlight w:val="none"/>
              </w:rPr>
            </w:pPr>
          </w:p>
        </w:tc>
      </w:tr>
      <w:tr w14:paraId="4270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608C50CF">
            <w:pPr>
              <w:jc w:val="center"/>
              <w:rPr>
                <w:rFonts w:ascii="宋体" w:hAnsi="宋体"/>
                <w:color w:val="auto"/>
                <w:highlight w:val="none"/>
              </w:rPr>
            </w:pPr>
            <w:r>
              <w:rPr>
                <w:rFonts w:hint="eastAsia" w:ascii="宋体" w:hAnsi="宋体"/>
                <w:color w:val="auto"/>
                <w:highlight w:val="none"/>
              </w:rPr>
              <w:t>职  称</w:t>
            </w:r>
          </w:p>
        </w:tc>
        <w:tc>
          <w:tcPr>
            <w:tcW w:w="1035" w:type="dxa"/>
            <w:tcBorders>
              <w:top w:val="single" w:color="auto" w:sz="4" w:space="0"/>
              <w:left w:val="single" w:color="auto" w:sz="4" w:space="0"/>
              <w:bottom w:val="single" w:color="auto" w:sz="4" w:space="0"/>
              <w:right w:val="single" w:color="auto" w:sz="4" w:space="0"/>
            </w:tcBorders>
            <w:vAlign w:val="center"/>
          </w:tcPr>
          <w:p w14:paraId="776B8C7C">
            <w:pPr>
              <w:jc w:val="center"/>
              <w:rPr>
                <w:rFonts w:ascii="宋体" w:hAnsi="宋体"/>
                <w:color w:val="auto"/>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713F793">
            <w:pPr>
              <w:jc w:val="center"/>
              <w:rPr>
                <w:rFonts w:ascii="宋体" w:hAnsi="宋体"/>
                <w:color w:val="auto"/>
                <w:highlight w:val="none"/>
              </w:rPr>
            </w:pPr>
            <w:r>
              <w:rPr>
                <w:rFonts w:hint="eastAsia" w:ascii="宋体" w:hAnsi="宋体"/>
                <w:color w:val="auto"/>
                <w:highlight w:val="none"/>
              </w:rPr>
              <w:t>职  务</w:t>
            </w:r>
          </w:p>
        </w:tc>
        <w:tc>
          <w:tcPr>
            <w:tcW w:w="1275" w:type="dxa"/>
            <w:tcBorders>
              <w:top w:val="single" w:color="auto" w:sz="4" w:space="0"/>
              <w:left w:val="single" w:color="auto" w:sz="4" w:space="0"/>
              <w:bottom w:val="single" w:color="auto" w:sz="4" w:space="0"/>
              <w:right w:val="single" w:color="auto" w:sz="4" w:space="0"/>
            </w:tcBorders>
            <w:vAlign w:val="center"/>
          </w:tcPr>
          <w:p w14:paraId="204A87B8">
            <w:pPr>
              <w:jc w:val="center"/>
              <w:rPr>
                <w:rFonts w:ascii="宋体" w:hAnsi="宋体"/>
                <w:color w:val="auto"/>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3501B165">
            <w:pPr>
              <w:jc w:val="center"/>
              <w:rPr>
                <w:rFonts w:ascii="宋体" w:hAnsi="宋体"/>
                <w:color w:val="auto"/>
                <w:highlight w:val="none"/>
              </w:rPr>
            </w:pPr>
            <w:r>
              <w:rPr>
                <w:rFonts w:hint="eastAsia" w:ascii="宋体" w:hAnsi="宋体"/>
                <w:color w:val="auto"/>
                <w:highlight w:val="none"/>
              </w:rPr>
              <w:t>拟在本工程任职</w:t>
            </w:r>
          </w:p>
        </w:tc>
        <w:tc>
          <w:tcPr>
            <w:tcW w:w="2126" w:type="dxa"/>
            <w:tcBorders>
              <w:top w:val="single" w:color="auto" w:sz="4" w:space="0"/>
              <w:left w:val="single" w:color="auto" w:sz="4" w:space="0"/>
              <w:bottom w:val="single" w:color="auto" w:sz="4" w:space="0"/>
              <w:right w:val="single" w:color="auto" w:sz="4" w:space="0"/>
            </w:tcBorders>
            <w:vAlign w:val="center"/>
          </w:tcPr>
          <w:p w14:paraId="202145C7">
            <w:pPr>
              <w:jc w:val="center"/>
              <w:rPr>
                <w:rFonts w:ascii="宋体" w:hAnsi="宋体"/>
                <w:color w:val="auto"/>
                <w:highlight w:val="none"/>
              </w:rPr>
            </w:pPr>
            <w:r>
              <w:rPr>
                <w:rFonts w:hint="eastAsia" w:ascii="宋体" w:hAnsi="宋体"/>
                <w:color w:val="auto"/>
                <w:highlight w:val="none"/>
              </w:rPr>
              <w:t>项目经理</w:t>
            </w:r>
          </w:p>
        </w:tc>
      </w:tr>
      <w:tr w14:paraId="2EAE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37FC1B65">
            <w:pPr>
              <w:jc w:val="center"/>
              <w:rPr>
                <w:rFonts w:ascii="宋体" w:hAnsi="宋体"/>
                <w:color w:val="auto"/>
                <w:highlight w:val="none"/>
              </w:rPr>
            </w:pPr>
            <w:r>
              <w:rPr>
                <w:rFonts w:hint="eastAsia" w:ascii="宋体" w:hAnsi="宋体"/>
                <w:color w:val="auto"/>
                <w:highlight w:val="none"/>
              </w:rPr>
              <w:t>毕业学校</w:t>
            </w:r>
          </w:p>
        </w:tc>
        <w:tc>
          <w:tcPr>
            <w:tcW w:w="7413" w:type="dxa"/>
            <w:gridSpan w:val="5"/>
            <w:tcBorders>
              <w:top w:val="single" w:color="auto" w:sz="4" w:space="0"/>
              <w:left w:val="single" w:color="auto" w:sz="4" w:space="0"/>
              <w:bottom w:val="single" w:color="auto" w:sz="4" w:space="0"/>
              <w:right w:val="single" w:color="auto" w:sz="4" w:space="0"/>
            </w:tcBorders>
            <w:vAlign w:val="center"/>
          </w:tcPr>
          <w:p w14:paraId="6D697A53">
            <w:pPr>
              <w:ind w:firstLine="360"/>
              <w:rPr>
                <w:rFonts w:ascii="宋体" w:hAnsi="宋体"/>
                <w:color w:val="auto"/>
                <w:highlight w:val="none"/>
              </w:rPr>
            </w:pPr>
            <w:r>
              <w:rPr>
                <w:rFonts w:hint="eastAsia" w:ascii="宋体" w:hAnsi="宋体"/>
                <w:color w:val="auto"/>
                <w:highlight w:val="none"/>
              </w:rPr>
              <w:t>年毕业于                  学校            专业</w:t>
            </w:r>
          </w:p>
        </w:tc>
      </w:tr>
      <w:tr w14:paraId="4959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05" w:type="dxa"/>
            <w:gridSpan w:val="6"/>
            <w:tcBorders>
              <w:top w:val="single" w:color="auto" w:sz="4" w:space="0"/>
              <w:left w:val="single" w:color="auto" w:sz="4" w:space="0"/>
              <w:bottom w:val="single" w:color="auto" w:sz="4" w:space="0"/>
              <w:right w:val="single" w:color="auto" w:sz="4" w:space="0"/>
            </w:tcBorders>
            <w:vAlign w:val="center"/>
          </w:tcPr>
          <w:p w14:paraId="50A5B652">
            <w:pPr>
              <w:jc w:val="center"/>
              <w:rPr>
                <w:rFonts w:ascii="宋体" w:hAnsi="宋体"/>
                <w:color w:val="auto"/>
                <w:highlight w:val="none"/>
              </w:rPr>
            </w:pPr>
            <w:r>
              <w:rPr>
                <w:rFonts w:hint="eastAsia" w:ascii="宋体" w:hAnsi="宋体"/>
                <w:color w:val="auto"/>
                <w:highlight w:val="none"/>
              </w:rPr>
              <w:t>主要工作经历</w:t>
            </w:r>
          </w:p>
        </w:tc>
      </w:tr>
      <w:tr w14:paraId="7E1E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4CD74FE0">
            <w:pPr>
              <w:jc w:val="center"/>
              <w:rPr>
                <w:rFonts w:ascii="宋体" w:hAnsi="宋体"/>
                <w:color w:val="auto"/>
                <w:highlight w:val="none"/>
              </w:rPr>
            </w:pPr>
            <w:r>
              <w:rPr>
                <w:rFonts w:hint="eastAsia" w:ascii="宋体" w:hAnsi="宋体"/>
                <w:color w:val="auto"/>
                <w:highlight w:val="none"/>
              </w:rPr>
              <w:t>时  间</w:t>
            </w:r>
          </w:p>
        </w:tc>
        <w:tc>
          <w:tcPr>
            <w:tcW w:w="3444" w:type="dxa"/>
            <w:gridSpan w:val="3"/>
            <w:tcBorders>
              <w:top w:val="single" w:color="auto" w:sz="4" w:space="0"/>
              <w:left w:val="single" w:color="auto" w:sz="4" w:space="0"/>
              <w:bottom w:val="single" w:color="auto" w:sz="4" w:space="0"/>
              <w:right w:val="single" w:color="auto" w:sz="4" w:space="0"/>
            </w:tcBorders>
            <w:vAlign w:val="center"/>
          </w:tcPr>
          <w:p w14:paraId="65EF9C45">
            <w:pPr>
              <w:jc w:val="center"/>
              <w:rPr>
                <w:rFonts w:ascii="宋体" w:hAnsi="宋体"/>
                <w:color w:val="auto"/>
                <w:highlight w:val="none"/>
              </w:rPr>
            </w:pPr>
            <w:r>
              <w:rPr>
                <w:rFonts w:hint="eastAsia" w:ascii="宋体" w:hAnsi="宋体"/>
                <w:color w:val="auto"/>
                <w:highlight w:val="none"/>
              </w:rPr>
              <w:t>参加过的类似项目名称</w:t>
            </w:r>
          </w:p>
        </w:tc>
        <w:tc>
          <w:tcPr>
            <w:tcW w:w="1843" w:type="dxa"/>
            <w:tcBorders>
              <w:top w:val="single" w:color="auto" w:sz="4" w:space="0"/>
              <w:left w:val="single" w:color="auto" w:sz="4" w:space="0"/>
              <w:bottom w:val="single" w:color="auto" w:sz="4" w:space="0"/>
              <w:right w:val="single" w:color="auto" w:sz="4" w:space="0"/>
            </w:tcBorders>
            <w:vAlign w:val="center"/>
          </w:tcPr>
          <w:p w14:paraId="6AE793E3">
            <w:pPr>
              <w:jc w:val="center"/>
              <w:rPr>
                <w:rFonts w:ascii="宋体" w:hAnsi="宋体"/>
                <w:color w:val="auto"/>
                <w:highlight w:val="none"/>
              </w:rPr>
            </w:pPr>
            <w:r>
              <w:rPr>
                <w:rFonts w:hint="eastAsia" w:ascii="宋体" w:hAnsi="宋体"/>
                <w:color w:val="auto"/>
                <w:highlight w:val="none"/>
              </w:rPr>
              <w:t>工程概况说明</w:t>
            </w:r>
          </w:p>
        </w:tc>
        <w:tc>
          <w:tcPr>
            <w:tcW w:w="2126" w:type="dxa"/>
            <w:tcBorders>
              <w:top w:val="single" w:color="auto" w:sz="4" w:space="0"/>
              <w:left w:val="single" w:color="auto" w:sz="4" w:space="0"/>
              <w:bottom w:val="single" w:color="auto" w:sz="4" w:space="0"/>
              <w:right w:val="single" w:color="auto" w:sz="4" w:space="0"/>
            </w:tcBorders>
            <w:vAlign w:val="center"/>
          </w:tcPr>
          <w:p w14:paraId="00FA5E5F">
            <w:pPr>
              <w:jc w:val="center"/>
              <w:rPr>
                <w:rFonts w:ascii="宋体" w:hAnsi="宋体"/>
                <w:color w:val="auto"/>
                <w:highlight w:val="none"/>
              </w:rPr>
            </w:pPr>
            <w:r>
              <w:rPr>
                <w:rFonts w:hint="eastAsia" w:ascii="宋体" w:hAnsi="宋体"/>
                <w:color w:val="auto"/>
                <w:highlight w:val="none"/>
              </w:rPr>
              <w:t>发包人及联系电话</w:t>
            </w:r>
          </w:p>
        </w:tc>
      </w:tr>
      <w:tr w14:paraId="6AF0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41805734">
            <w:pPr>
              <w:jc w:val="center"/>
              <w:rPr>
                <w:rFonts w:ascii="宋体" w:hAnsi="宋体"/>
                <w:color w:val="auto"/>
                <w:highlight w:val="none"/>
              </w:rPr>
            </w:pPr>
          </w:p>
        </w:tc>
        <w:tc>
          <w:tcPr>
            <w:tcW w:w="3444" w:type="dxa"/>
            <w:gridSpan w:val="3"/>
            <w:tcBorders>
              <w:top w:val="single" w:color="auto" w:sz="4" w:space="0"/>
              <w:left w:val="single" w:color="auto" w:sz="4" w:space="0"/>
              <w:bottom w:val="single" w:color="auto" w:sz="4" w:space="0"/>
              <w:right w:val="single" w:color="auto" w:sz="4" w:space="0"/>
            </w:tcBorders>
            <w:vAlign w:val="center"/>
          </w:tcPr>
          <w:p w14:paraId="0FE58559">
            <w:pPr>
              <w:jc w:val="center"/>
              <w:rPr>
                <w:rFonts w:ascii="宋体" w:hAnsi="宋体"/>
                <w:color w:val="auto"/>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45AD53F4">
            <w:pPr>
              <w:jc w:val="center"/>
              <w:rPr>
                <w:rFonts w:ascii="宋体" w:hAnsi="宋体"/>
                <w:color w:val="auto"/>
                <w:highlight w:val="none"/>
              </w:rPr>
            </w:pPr>
          </w:p>
        </w:tc>
        <w:tc>
          <w:tcPr>
            <w:tcW w:w="2126" w:type="dxa"/>
            <w:tcBorders>
              <w:top w:val="single" w:color="auto" w:sz="4" w:space="0"/>
              <w:left w:val="single" w:color="auto" w:sz="4" w:space="0"/>
              <w:bottom w:val="single" w:color="auto" w:sz="4" w:space="0"/>
              <w:right w:val="single" w:color="auto" w:sz="4" w:space="0"/>
            </w:tcBorders>
            <w:vAlign w:val="center"/>
          </w:tcPr>
          <w:p w14:paraId="1CBD1CD0">
            <w:pPr>
              <w:jc w:val="center"/>
              <w:rPr>
                <w:rFonts w:ascii="宋体" w:hAnsi="宋体"/>
                <w:color w:val="auto"/>
                <w:highlight w:val="none"/>
              </w:rPr>
            </w:pPr>
          </w:p>
        </w:tc>
      </w:tr>
      <w:tr w14:paraId="2B98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2BDDB1AF">
            <w:pPr>
              <w:jc w:val="center"/>
              <w:rPr>
                <w:rFonts w:ascii="宋体" w:hAnsi="宋体"/>
                <w:color w:val="auto"/>
                <w:highlight w:val="none"/>
              </w:rPr>
            </w:pPr>
          </w:p>
        </w:tc>
        <w:tc>
          <w:tcPr>
            <w:tcW w:w="3444" w:type="dxa"/>
            <w:gridSpan w:val="3"/>
            <w:tcBorders>
              <w:top w:val="single" w:color="auto" w:sz="4" w:space="0"/>
              <w:left w:val="single" w:color="auto" w:sz="4" w:space="0"/>
              <w:bottom w:val="single" w:color="auto" w:sz="4" w:space="0"/>
              <w:right w:val="single" w:color="auto" w:sz="4" w:space="0"/>
            </w:tcBorders>
            <w:vAlign w:val="center"/>
          </w:tcPr>
          <w:p w14:paraId="1D588602">
            <w:pPr>
              <w:jc w:val="center"/>
              <w:rPr>
                <w:rFonts w:ascii="宋体" w:hAnsi="宋体"/>
                <w:color w:val="auto"/>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613C117B">
            <w:pPr>
              <w:jc w:val="center"/>
              <w:rPr>
                <w:rFonts w:ascii="宋体" w:hAnsi="宋体"/>
                <w:color w:val="auto"/>
                <w:highlight w:val="none"/>
              </w:rPr>
            </w:pPr>
          </w:p>
        </w:tc>
        <w:tc>
          <w:tcPr>
            <w:tcW w:w="2126" w:type="dxa"/>
            <w:tcBorders>
              <w:top w:val="single" w:color="auto" w:sz="4" w:space="0"/>
              <w:left w:val="single" w:color="auto" w:sz="4" w:space="0"/>
              <w:bottom w:val="single" w:color="auto" w:sz="4" w:space="0"/>
              <w:right w:val="single" w:color="auto" w:sz="4" w:space="0"/>
            </w:tcBorders>
            <w:vAlign w:val="center"/>
          </w:tcPr>
          <w:p w14:paraId="6D559EAB">
            <w:pPr>
              <w:jc w:val="center"/>
              <w:rPr>
                <w:rFonts w:ascii="宋体" w:hAnsi="宋体"/>
                <w:color w:val="auto"/>
                <w:highlight w:val="none"/>
              </w:rPr>
            </w:pPr>
          </w:p>
        </w:tc>
      </w:tr>
      <w:tr w14:paraId="5611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610711E2">
            <w:pPr>
              <w:jc w:val="center"/>
              <w:rPr>
                <w:rFonts w:ascii="宋体" w:hAnsi="宋体"/>
                <w:color w:val="auto"/>
                <w:highlight w:val="none"/>
              </w:rPr>
            </w:pPr>
          </w:p>
        </w:tc>
        <w:tc>
          <w:tcPr>
            <w:tcW w:w="3444" w:type="dxa"/>
            <w:gridSpan w:val="3"/>
            <w:tcBorders>
              <w:top w:val="single" w:color="auto" w:sz="4" w:space="0"/>
              <w:left w:val="single" w:color="auto" w:sz="4" w:space="0"/>
              <w:bottom w:val="single" w:color="auto" w:sz="4" w:space="0"/>
              <w:right w:val="single" w:color="auto" w:sz="4" w:space="0"/>
            </w:tcBorders>
            <w:vAlign w:val="center"/>
          </w:tcPr>
          <w:p w14:paraId="0464AB03">
            <w:pPr>
              <w:jc w:val="center"/>
              <w:rPr>
                <w:rFonts w:ascii="宋体" w:hAnsi="宋体"/>
                <w:color w:val="auto"/>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7A1BC127">
            <w:pPr>
              <w:jc w:val="center"/>
              <w:rPr>
                <w:rFonts w:ascii="宋体" w:hAnsi="宋体"/>
                <w:color w:val="auto"/>
                <w:highlight w:val="none"/>
              </w:rPr>
            </w:pPr>
          </w:p>
        </w:tc>
        <w:tc>
          <w:tcPr>
            <w:tcW w:w="2126" w:type="dxa"/>
            <w:tcBorders>
              <w:top w:val="single" w:color="auto" w:sz="4" w:space="0"/>
              <w:left w:val="single" w:color="auto" w:sz="4" w:space="0"/>
              <w:bottom w:val="single" w:color="auto" w:sz="4" w:space="0"/>
              <w:right w:val="single" w:color="auto" w:sz="4" w:space="0"/>
            </w:tcBorders>
            <w:vAlign w:val="center"/>
          </w:tcPr>
          <w:p w14:paraId="45123A89">
            <w:pPr>
              <w:jc w:val="center"/>
              <w:rPr>
                <w:rFonts w:ascii="宋体" w:hAnsi="宋体"/>
                <w:color w:val="auto"/>
                <w:highlight w:val="none"/>
              </w:rPr>
            </w:pPr>
          </w:p>
        </w:tc>
      </w:tr>
      <w:tr w14:paraId="03B2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39347E57">
            <w:pPr>
              <w:jc w:val="center"/>
              <w:rPr>
                <w:rFonts w:ascii="宋体" w:hAnsi="宋体"/>
                <w:color w:val="auto"/>
                <w:highlight w:val="none"/>
              </w:rPr>
            </w:pPr>
          </w:p>
        </w:tc>
        <w:tc>
          <w:tcPr>
            <w:tcW w:w="3444" w:type="dxa"/>
            <w:gridSpan w:val="3"/>
            <w:tcBorders>
              <w:top w:val="single" w:color="auto" w:sz="4" w:space="0"/>
              <w:left w:val="single" w:color="auto" w:sz="4" w:space="0"/>
              <w:bottom w:val="single" w:color="auto" w:sz="4" w:space="0"/>
              <w:right w:val="single" w:color="auto" w:sz="4" w:space="0"/>
            </w:tcBorders>
            <w:vAlign w:val="center"/>
          </w:tcPr>
          <w:p w14:paraId="2B780499">
            <w:pPr>
              <w:jc w:val="center"/>
              <w:rPr>
                <w:rFonts w:ascii="宋体" w:hAnsi="宋体"/>
                <w:color w:val="auto"/>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178D476D">
            <w:pPr>
              <w:jc w:val="center"/>
              <w:rPr>
                <w:rFonts w:ascii="宋体" w:hAnsi="宋体"/>
                <w:color w:val="auto"/>
                <w:highlight w:val="none"/>
              </w:rPr>
            </w:pPr>
          </w:p>
        </w:tc>
        <w:tc>
          <w:tcPr>
            <w:tcW w:w="2126" w:type="dxa"/>
            <w:tcBorders>
              <w:top w:val="single" w:color="auto" w:sz="4" w:space="0"/>
              <w:left w:val="single" w:color="auto" w:sz="4" w:space="0"/>
              <w:bottom w:val="single" w:color="auto" w:sz="4" w:space="0"/>
              <w:right w:val="single" w:color="auto" w:sz="4" w:space="0"/>
            </w:tcBorders>
            <w:vAlign w:val="center"/>
          </w:tcPr>
          <w:p w14:paraId="327B6924">
            <w:pPr>
              <w:jc w:val="center"/>
              <w:rPr>
                <w:rFonts w:ascii="宋体" w:hAnsi="宋体"/>
                <w:color w:val="auto"/>
                <w:highlight w:val="none"/>
              </w:rPr>
            </w:pPr>
          </w:p>
        </w:tc>
      </w:tr>
      <w:tr w14:paraId="3184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0617BCD2">
            <w:pPr>
              <w:jc w:val="center"/>
              <w:rPr>
                <w:rFonts w:ascii="宋体" w:hAnsi="宋体"/>
                <w:color w:val="auto"/>
                <w:highlight w:val="none"/>
              </w:rPr>
            </w:pPr>
          </w:p>
        </w:tc>
        <w:tc>
          <w:tcPr>
            <w:tcW w:w="3444" w:type="dxa"/>
            <w:gridSpan w:val="3"/>
            <w:tcBorders>
              <w:top w:val="single" w:color="auto" w:sz="4" w:space="0"/>
              <w:left w:val="single" w:color="auto" w:sz="4" w:space="0"/>
              <w:bottom w:val="single" w:color="auto" w:sz="4" w:space="0"/>
              <w:right w:val="single" w:color="auto" w:sz="4" w:space="0"/>
            </w:tcBorders>
            <w:vAlign w:val="center"/>
          </w:tcPr>
          <w:p w14:paraId="49524BBE">
            <w:pPr>
              <w:jc w:val="center"/>
              <w:rPr>
                <w:rFonts w:ascii="宋体" w:hAnsi="宋体"/>
                <w:color w:val="auto"/>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13D53203">
            <w:pPr>
              <w:jc w:val="center"/>
              <w:rPr>
                <w:rFonts w:ascii="宋体" w:hAnsi="宋体"/>
                <w:color w:val="auto"/>
                <w:highlight w:val="none"/>
              </w:rPr>
            </w:pPr>
          </w:p>
        </w:tc>
        <w:tc>
          <w:tcPr>
            <w:tcW w:w="2126" w:type="dxa"/>
            <w:tcBorders>
              <w:top w:val="single" w:color="auto" w:sz="4" w:space="0"/>
              <w:left w:val="single" w:color="auto" w:sz="4" w:space="0"/>
              <w:bottom w:val="single" w:color="auto" w:sz="4" w:space="0"/>
              <w:right w:val="single" w:color="auto" w:sz="4" w:space="0"/>
            </w:tcBorders>
            <w:vAlign w:val="center"/>
          </w:tcPr>
          <w:p w14:paraId="70BFA2F7">
            <w:pPr>
              <w:jc w:val="center"/>
              <w:rPr>
                <w:rFonts w:ascii="宋体" w:hAnsi="宋体"/>
                <w:color w:val="auto"/>
                <w:highlight w:val="none"/>
              </w:rPr>
            </w:pPr>
          </w:p>
        </w:tc>
      </w:tr>
      <w:tr w14:paraId="363A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41F8CBAE">
            <w:pPr>
              <w:jc w:val="center"/>
              <w:rPr>
                <w:rFonts w:ascii="宋体" w:hAnsi="宋体"/>
                <w:color w:val="auto"/>
                <w:highlight w:val="none"/>
              </w:rPr>
            </w:pPr>
          </w:p>
        </w:tc>
        <w:tc>
          <w:tcPr>
            <w:tcW w:w="3444" w:type="dxa"/>
            <w:gridSpan w:val="3"/>
            <w:tcBorders>
              <w:top w:val="single" w:color="auto" w:sz="4" w:space="0"/>
              <w:left w:val="single" w:color="auto" w:sz="4" w:space="0"/>
              <w:bottom w:val="single" w:color="auto" w:sz="4" w:space="0"/>
              <w:right w:val="single" w:color="auto" w:sz="4" w:space="0"/>
            </w:tcBorders>
            <w:vAlign w:val="center"/>
          </w:tcPr>
          <w:p w14:paraId="3FC4D32F">
            <w:pPr>
              <w:jc w:val="center"/>
              <w:rPr>
                <w:rFonts w:ascii="宋体" w:hAnsi="宋体"/>
                <w:color w:val="auto"/>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3B64F03C">
            <w:pPr>
              <w:jc w:val="center"/>
              <w:rPr>
                <w:rFonts w:ascii="宋体" w:hAnsi="宋体"/>
                <w:color w:val="auto"/>
                <w:highlight w:val="none"/>
              </w:rPr>
            </w:pPr>
          </w:p>
        </w:tc>
        <w:tc>
          <w:tcPr>
            <w:tcW w:w="2126" w:type="dxa"/>
            <w:tcBorders>
              <w:top w:val="single" w:color="auto" w:sz="4" w:space="0"/>
              <w:left w:val="single" w:color="auto" w:sz="4" w:space="0"/>
              <w:bottom w:val="single" w:color="auto" w:sz="4" w:space="0"/>
              <w:right w:val="single" w:color="auto" w:sz="4" w:space="0"/>
            </w:tcBorders>
            <w:vAlign w:val="center"/>
          </w:tcPr>
          <w:p w14:paraId="2877EDC9">
            <w:pPr>
              <w:jc w:val="center"/>
              <w:rPr>
                <w:rFonts w:ascii="宋体" w:hAnsi="宋体"/>
                <w:color w:val="auto"/>
                <w:highlight w:val="none"/>
              </w:rPr>
            </w:pPr>
          </w:p>
        </w:tc>
      </w:tr>
      <w:tr w14:paraId="4051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67C630F6">
            <w:pPr>
              <w:jc w:val="center"/>
              <w:rPr>
                <w:rFonts w:ascii="宋体" w:hAnsi="宋体"/>
                <w:color w:val="auto"/>
                <w:highlight w:val="none"/>
              </w:rPr>
            </w:pPr>
          </w:p>
        </w:tc>
        <w:tc>
          <w:tcPr>
            <w:tcW w:w="3444" w:type="dxa"/>
            <w:gridSpan w:val="3"/>
            <w:tcBorders>
              <w:top w:val="single" w:color="auto" w:sz="4" w:space="0"/>
              <w:left w:val="single" w:color="auto" w:sz="4" w:space="0"/>
              <w:bottom w:val="single" w:color="auto" w:sz="4" w:space="0"/>
              <w:right w:val="single" w:color="auto" w:sz="4" w:space="0"/>
            </w:tcBorders>
            <w:vAlign w:val="center"/>
          </w:tcPr>
          <w:p w14:paraId="33C67A85">
            <w:pPr>
              <w:jc w:val="center"/>
              <w:rPr>
                <w:rFonts w:ascii="宋体" w:hAnsi="宋体"/>
                <w:color w:val="auto"/>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5AEE813D">
            <w:pPr>
              <w:jc w:val="center"/>
              <w:rPr>
                <w:rFonts w:ascii="宋体" w:hAnsi="宋体"/>
                <w:color w:val="auto"/>
                <w:highlight w:val="none"/>
              </w:rPr>
            </w:pPr>
          </w:p>
        </w:tc>
        <w:tc>
          <w:tcPr>
            <w:tcW w:w="2126" w:type="dxa"/>
            <w:tcBorders>
              <w:top w:val="single" w:color="auto" w:sz="4" w:space="0"/>
              <w:left w:val="single" w:color="auto" w:sz="4" w:space="0"/>
              <w:bottom w:val="single" w:color="auto" w:sz="4" w:space="0"/>
              <w:right w:val="single" w:color="auto" w:sz="4" w:space="0"/>
            </w:tcBorders>
            <w:vAlign w:val="center"/>
          </w:tcPr>
          <w:p w14:paraId="78C76C4F">
            <w:pPr>
              <w:jc w:val="center"/>
              <w:rPr>
                <w:rFonts w:ascii="宋体" w:hAnsi="宋体"/>
                <w:color w:val="auto"/>
                <w:highlight w:val="none"/>
              </w:rPr>
            </w:pPr>
          </w:p>
        </w:tc>
      </w:tr>
    </w:tbl>
    <w:p w14:paraId="013F4C90">
      <w:pPr>
        <w:spacing w:line="420" w:lineRule="exact"/>
        <w:rPr>
          <w:rFonts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附2：主要项目管理人员简历表</w:t>
      </w:r>
    </w:p>
    <w:p w14:paraId="608C9909">
      <w:pPr>
        <w:spacing w:line="420" w:lineRule="exact"/>
        <w:ind w:firstLine="420" w:firstLineChars="200"/>
        <w:rPr>
          <w:rFonts w:ascii="宋体" w:hAnsi="宋体"/>
          <w:color w:val="auto"/>
          <w:highlight w:val="none"/>
        </w:rPr>
      </w:pPr>
      <w:r>
        <w:rPr>
          <w:rFonts w:hint="eastAsia" w:ascii="宋体" w:hAnsi="宋体"/>
          <w:color w:val="auto"/>
          <w:highlight w:val="none"/>
        </w:rPr>
        <w:t>主要项目管理人员指</w:t>
      </w:r>
      <w:r>
        <w:rPr>
          <w:rFonts w:hint="eastAsia" w:ascii="宋体" w:hAnsi="宋体" w:cs="宋体"/>
          <w:color w:val="auto"/>
          <w:highlight w:val="none"/>
          <w:shd w:val="clear" w:color="auto" w:fill="FFFFFF"/>
        </w:rPr>
        <w:t>施工员、</w:t>
      </w:r>
      <w:r>
        <w:rPr>
          <w:rFonts w:hint="eastAsia" w:ascii="宋体" w:hAnsi="宋体" w:cs="宋体"/>
          <w:color w:val="auto"/>
          <w:highlight w:val="none"/>
          <w:shd w:val="clear" w:color="auto" w:fill="FFFFFF"/>
          <w:lang w:val="en-US" w:eastAsia="zh-CN"/>
        </w:rPr>
        <w:t>材料员、质量员、安全员、资料员</w:t>
      </w:r>
      <w:r>
        <w:rPr>
          <w:rFonts w:hint="eastAsia" w:ascii="宋体" w:hAnsi="宋体"/>
          <w:color w:val="auto"/>
          <w:highlight w:val="none"/>
        </w:rPr>
        <w:t>等岗位人员</w:t>
      </w:r>
      <w:r>
        <w:rPr>
          <w:rFonts w:hint="eastAsia" w:ascii="宋体" w:hAnsi="宋体"/>
          <w:color w:val="auto"/>
          <w:highlight w:val="none"/>
          <w:lang w:eastAsia="zh-CN"/>
        </w:rPr>
        <w:t>。</w:t>
      </w:r>
      <w:r>
        <w:rPr>
          <w:rFonts w:hint="eastAsia" w:ascii="宋体" w:hAnsi="宋体"/>
          <w:color w:val="auto"/>
          <w:highlight w:val="none"/>
        </w:rPr>
        <w:t>应附有效的</w:t>
      </w:r>
      <w:r>
        <w:rPr>
          <w:rFonts w:hint="eastAsia" w:ascii="宋体" w:hAnsi="宋体"/>
          <w:color w:val="auto"/>
          <w:highlight w:val="none"/>
          <w:lang w:val="en-US" w:eastAsia="zh-CN"/>
        </w:rPr>
        <w:t>身份证、</w:t>
      </w:r>
      <w:r>
        <w:rPr>
          <w:rFonts w:hint="eastAsia" w:ascii="宋体" w:hAnsi="宋体"/>
          <w:color w:val="auto"/>
          <w:highlight w:val="none"/>
        </w:rPr>
        <w:t>岗</w:t>
      </w:r>
      <w:r>
        <w:rPr>
          <w:rFonts w:hint="eastAsia" w:ascii="宋体" w:hAnsi="宋体"/>
          <w:color w:val="auto"/>
          <w:highlight w:val="none"/>
          <w:lang w:val="en-US" w:eastAsia="zh-CN"/>
        </w:rPr>
        <w:t>位</w:t>
      </w:r>
      <w:r>
        <w:rPr>
          <w:rFonts w:hint="eastAsia" w:ascii="宋体" w:hAnsi="宋体"/>
          <w:color w:val="auto"/>
          <w:highlight w:val="none"/>
        </w:rPr>
        <w:t>证</w:t>
      </w:r>
      <w:r>
        <w:rPr>
          <w:rFonts w:hint="eastAsia" w:ascii="宋体" w:hAnsi="宋体"/>
          <w:color w:val="auto"/>
          <w:highlight w:val="none"/>
          <w:lang w:val="en-US" w:eastAsia="zh-CN"/>
        </w:rPr>
        <w:t>及供应商</w:t>
      </w:r>
      <w:r>
        <w:rPr>
          <w:rFonts w:hint="eastAsia" w:ascii="宋体" w:hAnsi="宋体" w:eastAsia="宋体" w:cs="宋体"/>
          <w:b w:val="0"/>
          <w:bCs w:val="0"/>
          <w:color w:val="auto"/>
          <w:sz w:val="21"/>
          <w:szCs w:val="21"/>
          <w:highlight w:val="none"/>
        </w:rPr>
        <w:t>202</w:t>
      </w: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年</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月以</w:t>
      </w:r>
      <w:r>
        <w:rPr>
          <w:rFonts w:hint="eastAsia" w:ascii="宋体" w:hAnsi="宋体" w:eastAsia="宋体" w:cs="宋体"/>
          <w:color w:val="auto"/>
          <w:sz w:val="21"/>
          <w:szCs w:val="21"/>
          <w:highlight w:val="none"/>
        </w:rPr>
        <w:t>来为其缴纳的</w:t>
      </w:r>
      <w:r>
        <w:rPr>
          <w:rFonts w:hint="eastAsia" w:ascii="宋体" w:hAnsi="宋体" w:eastAsia="宋体" w:cs="宋体"/>
          <w:color w:val="auto"/>
          <w:sz w:val="21"/>
          <w:szCs w:val="21"/>
          <w:highlight w:val="none"/>
          <w:lang w:val="en-US" w:eastAsia="zh-CN"/>
        </w:rPr>
        <w:t>任意一个月</w:t>
      </w:r>
      <w:r>
        <w:rPr>
          <w:rFonts w:hint="eastAsia" w:ascii="宋体" w:hAnsi="宋体" w:eastAsia="宋体" w:cs="宋体"/>
          <w:color w:val="auto"/>
          <w:sz w:val="21"/>
          <w:szCs w:val="21"/>
          <w:highlight w:val="none"/>
        </w:rPr>
        <w:t>社保证明材料</w:t>
      </w:r>
      <w:r>
        <w:rPr>
          <w:rFonts w:hint="eastAsia" w:ascii="宋体" w:hAnsi="宋体"/>
          <w:color w:val="auto"/>
          <w:highlight w:val="none"/>
        </w:rPr>
        <w:t>复印件。</w:t>
      </w:r>
    </w:p>
    <w:tbl>
      <w:tblPr>
        <w:tblStyle w:val="46"/>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800"/>
        <w:gridCol w:w="799"/>
        <w:gridCol w:w="1603"/>
        <w:gridCol w:w="1599"/>
        <w:gridCol w:w="800"/>
        <w:gridCol w:w="1098"/>
        <w:gridCol w:w="939"/>
      </w:tblGrid>
      <w:tr w14:paraId="4F47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98" w:type="dxa"/>
            <w:tcBorders>
              <w:top w:val="single" w:color="auto" w:sz="4" w:space="0"/>
              <w:left w:val="single" w:color="auto" w:sz="4" w:space="0"/>
              <w:bottom w:val="single" w:color="auto" w:sz="4" w:space="0"/>
              <w:right w:val="single" w:color="auto" w:sz="4" w:space="0"/>
            </w:tcBorders>
            <w:vAlign w:val="center"/>
          </w:tcPr>
          <w:p w14:paraId="2FAA0BF9">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姓 名</w:t>
            </w:r>
          </w:p>
        </w:tc>
        <w:tc>
          <w:tcPr>
            <w:tcW w:w="1599" w:type="dxa"/>
            <w:gridSpan w:val="2"/>
            <w:tcBorders>
              <w:top w:val="single" w:color="auto" w:sz="4" w:space="0"/>
              <w:left w:val="single" w:color="auto" w:sz="4" w:space="0"/>
              <w:bottom w:val="single" w:color="auto" w:sz="4" w:space="0"/>
              <w:right w:val="single" w:color="auto" w:sz="4" w:space="0"/>
            </w:tcBorders>
            <w:vAlign w:val="center"/>
          </w:tcPr>
          <w:p w14:paraId="6D50CB9D">
            <w:pPr>
              <w:autoSpaceDE w:val="0"/>
              <w:autoSpaceDN w:val="0"/>
              <w:adjustRightInd w:val="0"/>
              <w:jc w:val="center"/>
              <w:rPr>
                <w:rFonts w:ascii="宋体" w:hAnsi="宋体"/>
                <w:color w:val="auto"/>
                <w:kern w:val="0"/>
                <w:highlight w:val="none"/>
              </w:rPr>
            </w:pPr>
          </w:p>
        </w:tc>
        <w:tc>
          <w:tcPr>
            <w:tcW w:w="1603" w:type="dxa"/>
            <w:tcBorders>
              <w:top w:val="single" w:color="auto" w:sz="4" w:space="0"/>
              <w:left w:val="single" w:color="auto" w:sz="4" w:space="0"/>
              <w:bottom w:val="single" w:color="auto" w:sz="4" w:space="0"/>
              <w:right w:val="single" w:color="auto" w:sz="4" w:space="0"/>
            </w:tcBorders>
            <w:vAlign w:val="center"/>
          </w:tcPr>
          <w:p w14:paraId="7C68FFB2">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年 龄</w:t>
            </w:r>
          </w:p>
        </w:tc>
        <w:tc>
          <w:tcPr>
            <w:tcW w:w="1599" w:type="dxa"/>
            <w:tcBorders>
              <w:top w:val="single" w:color="auto" w:sz="4" w:space="0"/>
              <w:left w:val="single" w:color="auto" w:sz="4" w:space="0"/>
              <w:bottom w:val="single" w:color="auto" w:sz="4" w:space="0"/>
              <w:right w:val="single" w:color="auto" w:sz="4" w:space="0"/>
            </w:tcBorders>
            <w:vAlign w:val="center"/>
          </w:tcPr>
          <w:p w14:paraId="50F3B4AC">
            <w:pPr>
              <w:autoSpaceDE w:val="0"/>
              <w:autoSpaceDN w:val="0"/>
              <w:adjustRightInd w:val="0"/>
              <w:jc w:val="center"/>
              <w:rPr>
                <w:rFonts w:ascii="宋体" w:hAnsi="宋体"/>
                <w:color w:val="auto"/>
                <w:kern w:val="0"/>
                <w:highlight w:val="none"/>
              </w:rPr>
            </w:pPr>
          </w:p>
        </w:tc>
        <w:tc>
          <w:tcPr>
            <w:tcW w:w="1898" w:type="dxa"/>
            <w:gridSpan w:val="2"/>
            <w:tcBorders>
              <w:top w:val="single" w:color="auto" w:sz="4" w:space="0"/>
              <w:left w:val="single" w:color="auto" w:sz="4" w:space="0"/>
              <w:bottom w:val="single" w:color="auto" w:sz="4" w:space="0"/>
              <w:right w:val="single" w:color="auto" w:sz="4" w:space="0"/>
            </w:tcBorders>
            <w:vAlign w:val="center"/>
          </w:tcPr>
          <w:p w14:paraId="5D5B6E7A">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学 历</w:t>
            </w:r>
          </w:p>
        </w:tc>
        <w:tc>
          <w:tcPr>
            <w:tcW w:w="939" w:type="dxa"/>
            <w:tcBorders>
              <w:top w:val="single" w:color="auto" w:sz="4" w:space="0"/>
              <w:left w:val="single" w:color="auto" w:sz="4" w:space="0"/>
              <w:bottom w:val="single" w:color="auto" w:sz="4" w:space="0"/>
              <w:right w:val="single" w:color="auto" w:sz="4" w:space="0"/>
            </w:tcBorders>
            <w:vAlign w:val="center"/>
          </w:tcPr>
          <w:p w14:paraId="7CD4DC96">
            <w:pPr>
              <w:autoSpaceDE w:val="0"/>
              <w:autoSpaceDN w:val="0"/>
              <w:adjustRightInd w:val="0"/>
              <w:jc w:val="center"/>
              <w:rPr>
                <w:rFonts w:ascii="宋体" w:hAnsi="宋体"/>
                <w:color w:val="auto"/>
                <w:kern w:val="0"/>
                <w:highlight w:val="none"/>
              </w:rPr>
            </w:pPr>
          </w:p>
        </w:tc>
      </w:tr>
      <w:tr w14:paraId="3CFA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598" w:type="dxa"/>
            <w:tcBorders>
              <w:top w:val="single" w:color="auto" w:sz="4" w:space="0"/>
              <w:left w:val="single" w:color="auto" w:sz="4" w:space="0"/>
              <w:bottom w:val="single" w:color="auto" w:sz="4" w:space="0"/>
              <w:right w:val="single" w:color="auto" w:sz="4" w:space="0"/>
            </w:tcBorders>
            <w:vAlign w:val="center"/>
          </w:tcPr>
          <w:p w14:paraId="46AF92CE">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职 称</w:t>
            </w:r>
          </w:p>
        </w:tc>
        <w:tc>
          <w:tcPr>
            <w:tcW w:w="1599" w:type="dxa"/>
            <w:gridSpan w:val="2"/>
            <w:tcBorders>
              <w:top w:val="single" w:color="auto" w:sz="4" w:space="0"/>
              <w:left w:val="single" w:color="auto" w:sz="4" w:space="0"/>
              <w:bottom w:val="single" w:color="auto" w:sz="4" w:space="0"/>
              <w:right w:val="single" w:color="auto" w:sz="4" w:space="0"/>
            </w:tcBorders>
            <w:vAlign w:val="center"/>
          </w:tcPr>
          <w:p w14:paraId="743F7E1E">
            <w:pPr>
              <w:autoSpaceDE w:val="0"/>
              <w:autoSpaceDN w:val="0"/>
              <w:adjustRightInd w:val="0"/>
              <w:jc w:val="center"/>
              <w:rPr>
                <w:rFonts w:ascii="宋体" w:hAnsi="宋体"/>
                <w:color w:val="auto"/>
                <w:kern w:val="0"/>
                <w:highlight w:val="none"/>
              </w:rPr>
            </w:pPr>
          </w:p>
        </w:tc>
        <w:tc>
          <w:tcPr>
            <w:tcW w:w="1603" w:type="dxa"/>
            <w:tcBorders>
              <w:top w:val="single" w:color="auto" w:sz="4" w:space="0"/>
              <w:left w:val="single" w:color="auto" w:sz="4" w:space="0"/>
              <w:bottom w:val="single" w:color="auto" w:sz="4" w:space="0"/>
              <w:right w:val="single" w:color="auto" w:sz="4" w:space="0"/>
            </w:tcBorders>
            <w:vAlign w:val="center"/>
          </w:tcPr>
          <w:p w14:paraId="686696FF">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职 务</w:t>
            </w:r>
          </w:p>
        </w:tc>
        <w:tc>
          <w:tcPr>
            <w:tcW w:w="1599" w:type="dxa"/>
            <w:tcBorders>
              <w:top w:val="single" w:color="auto" w:sz="4" w:space="0"/>
              <w:left w:val="single" w:color="auto" w:sz="4" w:space="0"/>
              <w:bottom w:val="single" w:color="auto" w:sz="4" w:space="0"/>
              <w:right w:val="single" w:color="auto" w:sz="4" w:space="0"/>
            </w:tcBorders>
            <w:vAlign w:val="center"/>
          </w:tcPr>
          <w:p w14:paraId="6B0F3BB7">
            <w:pPr>
              <w:autoSpaceDE w:val="0"/>
              <w:autoSpaceDN w:val="0"/>
              <w:adjustRightInd w:val="0"/>
              <w:jc w:val="center"/>
              <w:rPr>
                <w:rFonts w:ascii="宋体" w:hAnsi="宋体"/>
                <w:color w:val="auto"/>
                <w:kern w:val="0"/>
                <w:highlight w:val="none"/>
              </w:rPr>
            </w:pPr>
          </w:p>
        </w:tc>
        <w:tc>
          <w:tcPr>
            <w:tcW w:w="1898" w:type="dxa"/>
            <w:gridSpan w:val="2"/>
            <w:tcBorders>
              <w:top w:val="single" w:color="auto" w:sz="4" w:space="0"/>
              <w:left w:val="single" w:color="auto" w:sz="4" w:space="0"/>
              <w:bottom w:val="single" w:color="auto" w:sz="4" w:space="0"/>
              <w:right w:val="single" w:color="auto" w:sz="4" w:space="0"/>
            </w:tcBorders>
            <w:vAlign w:val="center"/>
          </w:tcPr>
          <w:p w14:paraId="5F061FA3">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拟在本合同任职</w:t>
            </w:r>
          </w:p>
        </w:tc>
        <w:tc>
          <w:tcPr>
            <w:tcW w:w="939" w:type="dxa"/>
            <w:tcBorders>
              <w:top w:val="single" w:color="auto" w:sz="4" w:space="0"/>
              <w:left w:val="single" w:color="auto" w:sz="4" w:space="0"/>
              <w:bottom w:val="single" w:color="auto" w:sz="4" w:space="0"/>
              <w:right w:val="single" w:color="auto" w:sz="4" w:space="0"/>
            </w:tcBorders>
            <w:vAlign w:val="center"/>
          </w:tcPr>
          <w:p w14:paraId="3D2FD9AD">
            <w:pPr>
              <w:autoSpaceDE w:val="0"/>
              <w:autoSpaceDN w:val="0"/>
              <w:adjustRightInd w:val="0"/>
              <w:jc w:val="center"/>
              <w:rPr>
                <w:rFonts w:ascii="宋体" w:hAnsi="宋体"/>
                <w:color w:val="auto"/>
                <w:kern w:val="0"/>
                <w:highlight w:val="none"/>
              </w:rPr>
            </w:pPr>
          </w:p>
        </w:tc>
      </w:tr>
      <w:tr w14:paraId="6807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98" w:type="dxa"/>
            <w:tcBorders>
              <w:top w:val="single" w:color="auto" w:sz="4" w:space="0"/>
              <w:left w:val="single" w:color="auto" w:sz="4" w:space="0"/>
              <w:bottom w:val="single" w:color="auto" w:sz="4" w:space="0"/>
              <w:right w:val="single" w:color="auto" w:sz="4" w:space="0"/>
            </w:tcBorders>
            <w:vAlign w:val="center"/>
          </w:tcPr>
          <w:p w14:paraId="0D119308">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毕业学校</w:t>
            </w:r>
          </w:p>
        </w:tc>
        <w:tc>
          <w:tcPr>
            <w:tcW w:w="7638" w:type="dxa"/>
            <w:gridSpan w:val="7"/>
            <w:tcBorders>
              <w:top w:val="single" w:color="auto" w:sz="4" w:space="0"/>
              <w:left w:val="single" w:color="auto" w:sz="4" w:space="0"/>
              <w:bottom w:val="single" w:color="auto" w:sz="4" w:space="0"/>
              <w:right w:val="single" w:color="auto" w:sz="4" w:space="0"/>
            </w:tcBorders>
            <w:vAlign w:val="center"/>
          </w:tcPr>
          <w:p w14:paraId="7EC988AD">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 xml:space="preserve">年毕业于                       学校专业         </w:t>
            </w:r>
          </w:p>
        </w:tc>
      </w:tr>
      <w:tr w14:paraId="04D0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9236" w:type="dxa"/>
            <w:gridSpan w:val="8"/>
            <w:tcBorders>
              <w:top w:val="single" w:color="auto" w:sz="4" w:space="0"/>
              <w:left w:val="single" w:color="auto" w:sz="4" w:space="0"/>
              <w:bottom w:val="single" w:color="auto" w:sz="4" w:space="0"/>
              <w:right w:val="single" w:color="auto" w:sz="4" w:space="0"/>
            </w:tcBorders>
            <w:vAlign w:val="center"/>
          </w:tcPr>
          <w:p w14:paraId="3EEF4F9A">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主要工作经历</w:t>
            </w:r>
          </w:p>
        </w:tc>
      </w:tr>
      <w:tr w14:paraId="3B52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398" w:type="dxa"/>
            <w:gridSpan w:val="2"/>
            <w:tcBorders>
              <w:top w:val="single" w:color="auto" w:sz="4" w:space="0"/>
              <w:left w:val="single" w:color="auto" w:sz="4" w:space="0"/>
              <w:bottom w:val="single" w:color="auto" w:sz="4" w:space="0"/>
              <w:right w:val="single" w:color="auto" w:sz="4" w:space="0"/>
            </w:tcBorders>
            <w:vAlign w:val="center"/>
          </w:tcPr>
          <w:p w14:paraId="7A612703">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时 间</w:t>
            </w:r>
          </w:p>
        </w:tc>
        <w:tc>
          <w:tcPr>
            <w:tcW w:w="2402" w:type="dxa"/>
            <w:gridSpan w:val="2"/>
            <w:tcBorders>
              <w:top w:val="single" w:color="auto" w:sz="4" w:space="0"/>
              <w:left w:val="single" w:color="auto" w:sz="4" w:space="0"/>
              <w:bottom w:val="single" w:color="auto" w:sz="4" w:space="0"/>
              <w:right w:val="single" w:color="auto" w:sz="4" w:space="0"/>
            </w:tcBorders>
            <w:vAlign w:val="center"/>
          </w:tcPr>
          <w:p w14:paraId="5476BB7A">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参加过的类似项目</w:t>
            </w:r>
          </w:p>
        </w:tc>
        <w:tc>
          <w:tcPr>
            <w:tcW w:w="2399" w:type="dxa"/>
            <w:gridSpan w:val="2"/>
            <w:tcBorders>
              <w:top w:val="single" w:color="auto" w:sz="4" w:space="0"/>
              <w:left w:val="single" w:color="auto" w:sz="4" w:space="0"/>
              <w:bottom w:val="single" w:color="auto" w:sz="4" w:space="0"/>
              <w:right w:val="single" w:color="auto" w:sz="4" w:space="0"/>
            </w:tcBorders>
            <w:vAlign w:val="center"/>
          </w:tcPr>
          <w:p w14:paraId="2A02966F">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担任职务</w:t>
            </w: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3233D6C3">
            <w:pPr>
              <w:autoSpaceDE w:val="0"/>
              <w:autoSpaceDN w:val="0"/>
              <w:adjustRightInd w:val="0"/>
              <w:jc w:val="center"/>
              <w:rPr>
                <w:rFonts w:ascii="宋体" w:hAnsi="宋体"/>
                <w:color w:val="auto"/>
                <w:kern w:val="0"/>
                <w:highlight w:val="none"/>
              </w:rPr>
            </w:pPr>
            <w:r>
              <w:rPr>
                <w:rFonts w:hint="eastAsia" w:ascii="宋体" w:hAnsi="宋体"/>
                <w:color w:val="auto"/>
                <w:kern w:val="0"/>
                <w:highlight w:val="none"/>
              </w:rPr>
              <w:t>发包人及联系电话</w:t>
            </w:r>
          </w:p>
        </w:tc>
      </w:tr>
      <w:tr w14:paraId="09E2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2398" w:type="dxa"/>
            <w:gridSpan w:val="2"/>
            <w:tcBorders>
              <w:top w:val="single" w:color="auto" w:sz="4" w:space="0"/>
              <w:left w:val="single" w:color="auto" w:sz="4" w:space="0"/>
              <w:bottom w:val="single" w:color="auto" w:sz="4" w:space="0"/>
              <w:right w:val="single" w:color="auto" w:sz="4" w:space="0"/>
            </w:tcBorders>
            <w:vAlign w:val="center"/>
          </w:tcPr>
          <w:p w14:paraId="148D5ED1">
            <w:pPr>
              <w:autoSpaceDE w:val="0"/>
              <w:autoSpaceDN w:val="0"/>
              <w:adjustRightInd w:val="0"/>
              <w:spacing w:line="420" w:lineRule="exact"/>
              <w:jc w:val="center"/>
              <w:rPr>
                <w:rFonts w:ascii="宋体" w:hAnsi="宋体"/>
                <w:color w:val="auto"/>
                <w:kern w:val="0"/>
                <w:highlight w:val="none"/>
              </w:rPr>
            </w:pPr>
          </w:p>
        </w:tc>
        <w:tc>
          <w:tcPr>
            <w:tcW w:w="2402" w:type="dxa"/>
            <w:gridSpan w:val="2"/>
            <w:tcBorders>
              <w:top w:val="single" w:color="auto" w:sz="4" w:space="0"/>
              <w:left w:val="single" w:color="auto" w:sz="4" w:space="0"/>
              <w:bottom w:val="single" w:color="auto" w:sz="4" w:space="0"/>
              <w:right w:val="single" w:color="auto" w:sz="4" w:space="0"/>
            </w:tcBorders>
            <w:vAlign w:val="center"/>
          </w:tcPr>
          <w:p w14:paraId="7789E05B">
            <w:pPr>
              <w:autoSpaceDE w:val="0"/>
              <w:autoSpaceDN w:val="0"/>
              <w:adjustRightInd w:val="0"/>
              <w:spacing w:line="420" w:lineRule="exact"/>
              <w:jc w:val="center"/>
              <w:rPr>
                <w:rFonts w:ascii="宋体" w:hAnsi="宋体"/>
                <w:color w:val="auto"/>
                <w:kern w:val="0"/>
                <w:highlight w:val="none"/>
              </w:rPr>
            </w:pPr>
          </w:p>
        </w:tc>
        <w:tc>
          <w:tcPr>
            <w:tcW w:w="2399" w:type="dxa"/>
            <w:gridSpan w:val="2"/>
            <w:tcBorders>
              <w:top w:val="single" w:color="auto" w:sz="4" w:space="0"/>
              <w:left w:val="single" w:color="auto" w:sz="4" w:space="0"/>
              <w:bottom w:val="single" w:color="auto" w:sz="4" w:space="0"/>
              <w:right w:val="single" w:color="auto" w:sz="4" w:space="0"/>
            </w:tcBorders>
            <w:vAlign w:val="center"/>
          </w:tcPr>
          <w:p w14:paraId="4A69F7A0">
            <w:pPr>
              <w:autoSpaceDE w:val="0"/>
              <w:autoSpaceDN w:val="0"/>
              <w:adjustRightInd w:val="0"/>
              <w:spacing w:line="420" w:lineRule="exact"/>
              <w:jc w:val="center"/>
              <w:rPr>
                <w:rFonts w:ascii="宋体" w:hAnsi="宋体"/>
                <w:color w:val="auto"/>
                <w:kern w:val="0"/>
                <w:highlight w:val="none"/>
              </w:rPr>
            </w:pP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25D03A14">
            <w:pPr>
              <w:autoSpaceDE w:val="0"/>
              <w:autoSpaceDN w:val="0"/>
              <w:adjustRightInd w:val="0"/>
              <w:spacing w:line="420" w:lineRule="exact"/>
              <w:jc w:val="center"/>
              <w:rPr>
                <w:rFonts w:ascii="宋体" w:hAnsi="宋体"/>
                <w:color w:val="auto"/>
                <w:kern w:val="0"/>
                <w:highlight w:val="none"/>
              </w:rPr>
            </w:pPr>
          </w:p>
        </w:tc>
      </w:tr>
      <w:tr w14:paraId="7A2E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2398" w:type="dxa"/>
            <w:gridSpan w:val="2"/>
            <w:tcBorders>
              <w:top w:val="single" w:color="auto" w:sz="4" w:space="0"/>
              <w:left w:val="single" w:color="auto" w:sz="4" w:space="0"/>
              <w:bottom w:val="single" w:color="auto" w:sz="4" w:space="0"/>
              <w:right w:val="single" w:color="auto" w:sz="4" w:space="0"/>
            </w:tcBorders>
            <w:vAlign w:val="center"/>
          </w:tcPr>
          <w:p w14:paraId="52F622DC">
            <w:pPr>
              <w:autoSpaceDE w:val="0"/>
              <w:autoSpaceDN w:val="0"/>
              <w:adjustRightInd w:val="0"/>
              <w:spacing w:line="420" w:lineRule="exact"/>
              <w:jc w:val="center"/>
              <w:rPr>
                <w:rFonts w:ascii="宋体" w:hAnsi="宋体"/>
                <w:color w:val="auto"/>
                <w:kern w:val="0"/>
                <w:highlight w:val="none"/>
              </w:rPr>
            </w:pPr>
          </w:p>
        </w:tc>
        <w:tc>
          <w:tcPr>
            <w:tcW w:w="2402" w:type="dxa"/>
            <w:gridSpan w:val="2"/>
            <w:tcBorders>
              <w:top w:val="single" w:color="auto" w:sz="4" w:space="0"/>
              <w:left w:val="single" w:color="auto" w:sz="4" w:space="0"/>
              <w:bottom w:val="single" w:color="auto" w:sz="4" w:space="0"/>
              <w:right w:val="single" w:color="auto" w:sz="4" w:space="0"/>
            </w:tcBorders>
            <w:vAlign w:val="center"/>
          </w:tcPr>
          <w:p w14:paraId="5BC75045">
            <w:pPr>
              <w:autoSpaceDE w:val="0"/>
              <w:autoSpaceDN w:val="0"/>
              <w:adjustRightInd w:val="0"/>
              <w:spacing w:line="420" w:lineRule="exact"/>
              <w:jc w:val="center"/>
              <w:rPr>
                <w:rFonts w:ascii="宋体" w:hAnsi="宋体"/>
                <w:color w:val="auto"/>
                <w:kern w:val="0"/>
                <w:highlight w:val="none"/>
              </w:rPr>
            </w:pPr>
          </w:p>
        </w:tc>
        <w:tc>
          <w:tcPr>
            <w:tcW w:w="2399" w:type="dxa"/>
            <w:gridSpan w:val="2"/>
            <w:tcBorders>
              <w:top w:val="single" w:color="auto" w:sz="4" w:space="0"/>
              <w:left w:val="single" w:color="auto" w:sz="4" w:space="0"/>
              <w:bottom w:val="single" w:color="auto" w:sz="4" w:space="0"/>
              <w:right w:val="single" w:color="auto" w:sz="4" w:space="0"/>
            </w:tcBorders>
            <w:vAlign w:val="center"/>
          </w:tcPr>
          <w:p w14:paraId="51C9F0B2">
            <w:pPr>
              <w:autoSpaceDE w:val="0"/>
              <w:autoSpaceDN w:val="0"/>
              <w:adjustRightInd w:val="0"/>
              <w:spacing w:line="420" w:lineRule="exact"/>
              <w:jc w:val="center"/>
              <w:rPr>
                <w:rFonts w:ascii="宋体" w:hAnsi="宋体"/>
                <w:color w:val="auto"/>
                <w:kern w:val="0"/>
                <w:highlight w:val="none"/>
              </w:rPr>
            </w:pP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4CBEDF9A">
            <w:pPr>
              <w:autoSpaceDE w:val="0"/>
              <w:autoSpaceDN w:val="0"/>
              <w:adjustRightInd w:val="0"/>
              <w:spacing w:line="420" w:lineRule="exact"/>
              <w:jc w:val="center"/>
              <w:rPr>
                <w:rFonts w:ascii="宋体" w:hAnsi="宋体"/>
                <w:color w:val="auto"/>
                <w:kern w:val="0"/>
                <w:highlight w:val="none"/>
              </w:rPr>
            </w:pPr>
          </w:p>
        </w:tc>
      </w:tr>
      <w:tr w14:paraId="6C6D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2398" w:type="dxa"/>
            <w:gridSpan w:val="2"/>
            <w:tcBorders>
              <w:top w:val="single" w:color="auto" w:sz="4" w:space="0"/>
              <w:left w:val="single" w:color="auto" w:sz="4" w:space="0"/>
              <w:bottom w:val="single" w:color="auto" w:sz="4" w:space="0"/>
              <w:right w:val="single" w:color="auto" w:sz="4" w:space="0"/>
            </w:tcBorders>
            <w:vAlign w:val="center"/>
          </w:tcPr>
          <w:p w14:paraId="495419C6">
            <w:pPr>
              <w:autoSpaceDE w:val="0"/>
              <w:autoSpaceDN w:val="0"/>
              <w:adjustRightInd w:val="0"/>
              <w:spacing w:line="420" w:lineRule="exact"/>
              <w:jc w:val="center"/>
              <w:rPr>
                <w:rFonts w:ascii="宋体" w:hAnsi="宋体"/>
                <w:color w:val="auto"/>
                <w:kern w:val="0"/>
                <w:highlight w:val="none"/>
              </w:rPr>
            </w:pPr>
          </w:p>
        </w:tc>
        <w:tc>
          <w:tcPr>
            <w:tcW w:w="2402" w:type="dxa"/>
            <w:gridSpan w:val="2"/>
            <w:tcBorders>
              <w:top w:val="single" w:color="auto" w:sz="4" w:space="0"/>
              <w:left w:val="single" w:color="auto" w:sz="4" w:space="0"/>
              <w:bottom w:val="single" w:color="auto" w:sz="4" w:space="0"/>
              <w:right w:val="single" w:color="auto" w:sz="4" w:space="0"/>
            </w:tcBorders>
            <w:vAlign w:val="center"/>
          </w:tcPr>
          <w:p w14:paraId="44DA38E2">
            <w:pPr>
              <w:autoSpaceDE w:val="0"/>
              <w:autoSpaceDN w:val="0"/>
              <w:adjustRightInd w:val="0"/>
              <w:spacing w:line="420" w:lineRule="exact"/>
              <w:jc w:val="center"/>
              <w:rPr>
                <w:rFonts w:ascii="宋体" w:hAnsi="宋体"/>
                <w:color w:val="auto"/>
                <w:kern w:val="0"/>
                <w:highlight w:val="none"/>
              </w:rPr>
            </w:pPr>
          </w:p>
        </w:tc>
        <w:tc>
          <w:tcPr>
            <w:tcW w:w="2399" w:type="dxa"/>
            <w:gridSpan w:val="2"/>
            <w:tcBorders>
              <w:top w:val="single" w:color="auto" w:sz="4" w:space="0"/>
              <w:left w:val="single" w:color="auto" w:sz="4" w:space="0"/>
              <w:bottom w:val="single" w:color="auto" w:sz="4" w:space="0"/>
              <w:right w:val="single" w:color="auto" w:sz="4" w:space="0"/>
            </w:tcBorders>
            <w:vAlign w:val="center"/>
          </w:tcPr>
          <w:p w14:paraId="3016B0C0">
            <w:pPr>
              <w:autoSpaceDE w:val="0"/>
              <w:autoSpaceDN w:val="0"/>
              <w:adjustRightInd w:val="0"/>
              <w:spacing w:line="420" w:lineRule="exact"/>
              <w:jc w:val="center"/>
              <w:rPr>
                <w:rFonts w:ascii="宋体" w:hAnsi="宋体"/>
                <w:color w:val="auto"/>
                <w:kern w:val="0"/>
                <w:highlight w:val="none"/>
              </w:rPr>
            </w:pP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24725F67">
            <w:pPr>
              <w:autoSpaceDE w:val="0"/>
              <w:autoSpaceDN w:val="0"/>
              <w:adjustRightInd w:val="0"/>
              <w:spacing w:line="420" w:lineRule="exact"/>
              <w:jc w:val="center"/>
              <w:rPr>
                <w:rFonts w:ascii="宋体" w:hAnsi="宋体"/>
                <w:color w:val="auto"/>
                <w:kern w:val="0"/>
                <w:highlight w:val="none"/>
              </w:rPr>
            </w:pPr>
          </w:p>
        </w:tc>
      </w:tr>
      <w:tr w14:paraId="397A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2398" w:type="dxa"/>
            <w:gridSpan w:val="2"/>
            <w:tcBorders>
              <w:top w:val="single" w:color="auto" w:sz="4" w:space="0"/>
              <w:left w:val="single" w:color="auto" w:sz="4" w:space="0"/>
              <w:bottom w:val="single" w:color="auto" w:sz="4" w:space="0"/>
              <w:right w:val="single" w:color="auto" w:sz="4" w:space="0"/>
            </w:tcBorders>
            <w:vAlign w:val="center"/>
          </w:tcPr>
          <w:p w14:paraId="2EF67622">
            <w:pPr>
              <w:autoSpaceDE w:val="0"/>
              <w:autoSpaceDN w:val="0"/>
              <w:adjustRightInd w:val="0"/>
              <w:spacing w:line="420" w:lineRule="exact"/>
              <w:jc w:val="center"/>
              <w:rPr>
                <w:rFonts w:ascii="宋体" w:hAnsi="宋体"/>
                <w:color w:val="auto"/>
                <w:kern w:val="0"/>
                <w:highlight w:val="none"/>
              </w:rPr>
            </w:pPr>
          </w:p>
        </w:tc>
        <w:tc>
          <w:tcPr>
            <w:tcW w:w="2402" w:type="dxa"/>
            <w:gridSpan w:val="2"/>
            <w:tcBorders>
              <w:top w:val="single" w:color="auto" w:sz="4" w:space="0"/>
              <w:left w:val="single" w:color="auto" w:sz="4" w:space="0"/>
              <w:bottom w:val="single" w:color="auto" w:sz="4" w:space="0"/>
              <w:right w:val="single" w:color="auto" w:sz="4" w:space="0"/>
            </w:tcBorders>
            <w:vAlign w:val="center"/>
          </w:tcPr>
          <w:p w14:paraId="63135BAB">
            <w:pPr>
              <w:autoSpaceDE w:val="0"/>
              <w:autoSpaceDN w:val="0"/>
              <w:adjustRightInd w:val="0"/>
              <w:spacing w:line="420" w:lineRule="exact"/>
              <w:jc w:val="center"/>
              <w:rPr>
                <w:rFonts w:ascii="宋体" w:hAnsi="宋体"/>
                <w:color w:val="auto"/>
                <w:kern w:val="0"/>
                <w:highlight w:val="none"/>
              </w:rPr>
            </w:pPr>
          </w:p>
        </w:tc>
        <w:tc>
          <w:tcPr>
            <w:tcW w:w="2399" w:type="dxa"/>
            <w:gridSpan w:val="2"/>
            <w:tcBorders>
              <w:top w:val="single" w:color="auto" w:sz="4" w:space="0"/>
              <w:left w:val="single" w:color="auto" w:sz="4" w:space="0"/>
              <w:bottom w:val="single" w:color="auto" w:sz="4" w:space="0"/>
              <w:right w:val="single" w:color="auto" w:sz="4" w:space="0"/>
            </w:tcBorders>
            <w:vAlign w:val="center"/>
          </w:tcPr>
          <w:p w14:paraId="3B2E0C3D">
            <w:pPr>
              <w:autoSpaceDE w:val="0"/>
              <w:autoSpaceDN w:val="0"/>
              <w:adjustRightInd w:val="0"/>
              <w:spacing w:line="420" w:lineRule="exact"/>
              <w:jc w:val="center"/>
              <w:rPr>
                <w:rFonts w:ascii="宋体" w:hAnsi="宋体"/>
                <w:color w:val="auto"/>
                <w:kern w:val="0"/>
                <w:highlight w:val="none"/>
              </w:rPr>
            </w:pP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3A437B84">
            <w:pPr>
              <w:autoSpaceDE w:val="0"/>
              <w:autoSpaceDN w:val="0"/>
              <w:adjustRightInd w:val="0"/>
              <w:spacing w:line="420" w:lineRule="exact"/>
              <w:jc w:val="center"/>
              <w:rPr>
                <w:rFonts w:ascii="宋体" w:hAnsi="宋体"/>
                <w:color w:val="auto"/>
                <w:kern w:val="0"/>
                <w:highlight w:val="none"/>
              </w:rPr>
            </w:pPr>
          </w:p>
        </w:tc>
      </w:tr>
      <w:tr w14:paraId="1FBA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2398" w:type="dxa"/>
            <w:gridSpan w:val="2"/>
            <w:tcBorders>
              <w:top w:val="single" w:color="auto" w:sz="4" w:space="0"/>
              <w:left w:val="single" w:color="auto" w:sz="4" w:space="0"/>
              <w:bottom w:val="single" w:color="auto" w:sz="4" w:space="0"/>
              <w:right w:val="single" w:color="auto" w:sz="4" w:space="0"/>
            </w:tcBorders>
            <w:vAlign w:val="center"/>
          </w:tcPr>
          <w:p w14:paraId="3F1CC74E">
            <w:pPr>
              <w:autoSpaceDE w:val="0"/>
              <w:autoSpaceDN w:val="0"/>
              <w:adjustRightInd w:val="0"/>
              <w:spacing w:line="420" w:lineRule="exact"/>
              <w:jc w:val="center"/>
              <w:rPr>
                <w:rFonts w:ascii="宋体" w:hAnsi="宋体"/>
                <w:color w:val="auto"/>
                <w:kern w:val="0"/>
                <w:highlight w:val="none"/>
              </w:rPr>
            </w:pPr>
          </w:p>
        </w:tc>
        <w:tc>
          <w:tcPr>
            <w:tcW w:w="2402" w:type="dxa"/>
            <w:gridSpan w:val="2"/>
            <w:tcBorders>
              <w:top w:val="single" w:color="auto" w:sz="4" w:space="0"/>
              <w:left w:val="single" w:color="auto" w:sz="4" w:space="0"/>
              <w:bottom w:val="single" w:color="auto" w:sz="4" w:space="0"/>
              <w:right w:val="single" w:color="auto" w:sz="4" w:space="0"/>
            </w:tcBorders>
            <w:vAlign w:val="center"/>
          </w:tcPr>
          <w:p w14:paraId="7DBD9C60">
            <w:pPr>
              <w:autoSpaceDE w:val="0"/>
              <w:autoSpaceDN w:val="0"/>
              <w:adjustRightInd w:val="0"/>
              <w:spacing w:line="420" w:lineRule="exact"/>
              <w:jc w:val="center"/>
              <w:rPr>
                <w:rFonts w:ascii="宋体" w:hAnsi="宋体"/>
                <w:color w:val="auto"/>
                <w:kern w:val="0"/>
                <w:highlight w:val="none"/>
              </w:rPr>
            </w:pPr>
          </w:p>
        </w:tc>
        <w:tc>
          <w:tcPr>
            <w:tcW w:w="2399" w:type="dxa"/>
            <w:gridSpan w:val="2"/>
            <w:tcBorders>
              <w:top w:val="single" w:color="auto" w:sz="4" w:space="0"/>
              <w:left w:val="single" w:color="auto" w:sz="4" w:space="0"/>
              <w:bottom w:val="single" w:color="auto" w:sz="4" w:space="0"/>
              <w:right w:val="single" w:color="auto" w:sz="4" w:space="0"/>
            </w:tcBorders>
            <w:vAlign w:val="center"/>
          </w:tcPr>
          <w:p w14:paraId="10BA5F00">
            <w:pPr>
              <w:autoSpaceDE w:val="0"/>
              <w:autoSpaceDN w:val="0"/>
              <w:adjustRightInd w:val="0"/>
              <w:spacing w:line="420" w:lineRule="exact"/>
              <w:jc w:val="center"/>
              <w:rPr>
                <w:rFonts w:ascii="宋体" w:hAnsi="宋体"/>
                <w:color w:val="auto"/>
                <w:kern w:val="0"/>
                <w:highlight w:val="none"/>
              </w:rPr>
            </w:pPr>
          </w:p>
        </w:tc>
        <w:tc>
          <w:tcPr>
            <w:tcW w:w="2037" w:type="dxa"/>
            <w:gridSpan w:val="2"/>
            <w:tcBorders>
              <w:top w:val="single" w:color="auto" w:sz="4" w:space="0"/>
              <w:left w:val="single" w:color="auto" w:sz="4" w:space="0"/>
              <w:bottom w:val="single" w:color="auto" w:sz="4" w:space="0"/>
              <w:right w:val="single" w:color="auto" w:sz="4" w:space="0"/>
            </w:tcBorders>
            <w:vAlign w:val="center"/>
          </w:tcPr>
          <w:p w14:paraId="67464F6E">
            <w:pPr>
              <w:autoSpaceDE w:val="0"/>
              <w:autoSpaceDN w:val="0"/>
              <w:adjustRightInd w:val="0"/>
              <w:spacing w:line="420" w:lineRule="exact"/>
              <w:jc w:val="center"/>
              <w:rPr>
                <w:rFonts w:ascii="宋体" w:hAnsi="宋体"/>
                <w:color w:val="auto"/>
                <w:kern w:val="0"/>
                <w:highlight w:val="none"/>
              </w:rPr>
            </w:pPr>
          </w:p>
        </w:tc>
      </w:tr>
    </w:tbl>
    <w:p w14:paraId="68D5C19F">
      <w:pPr>
        <w:spacing w:before="240" w:after="120" w:line="440" w:lineRule="exact"/>
        <w:jc w:val="center"/>
        <w:rPr>
          <w:rFonts w:ascii="宋体" w:hAnsi="宋体"/>
          <w:b/>
          <w:bCs/>
          <w:color w:val="auto"/>
          <w:sz w:val="28"/>
          <w:szCs w:val="28"/>
          <w:highlight w:val="none"/>
        </w:rPr>
      </w:pPr>
      <w:r>
        <w:rPr>
          <w:rFonts w:hint="eastAsia" w:ascii="宋体" w:hAnsi="宋体"/>
          <w:color w:val="auto"/>
          <w:highlight w:val="none"/>
        </w:rPr>
        <w:br w:type="page"/>
      </w:r>
      <w:bookmarkStart w:id="2036" w:name="_Toc18166"/>
      <w:bookmarkEnd w:id="2036"/>
    </w:p>
    <w:p w14:paraId="4E9851F9">
      <w:pPr>
        <w:spacing w:line="420" w:lineRule="exact"/>
        <w:jc w:val="center"/>
        <w:outlineLvl w:val="1"/>
        <w:rPr>
          <w:rFonts w:hint="eastAsia" w:ascii="宋体" w:hAnsi="宋体"/>
          <w:b/>
          <w:bCs/>
          <w:color w:val="auto"/>
          <w:sz w:val="28"/>
          <w:szCs w:val="28"/>
          <w:highlight w:val="none"/>
          <w:lang w:val="en-US" w:eastAsia="zh-CN"/>
        </w:rPr>
      </w:pPr>
      <w:bookmarkStart w:id="2037" w:name="_Toc25234"/>
      <w:bookmarkEnd w:id="2037"/>
      <w:bookmarkStart w:id="2038" w:name="_Toc11654"/>
      <w:bookmarkStart w:id="2039" w:name="_Toc28561"/>
      <w:bookmarkStart w:id="2040" w:name="_Toc30694"/>
      <w:bookmarkStart w:id="2041" w:name="_Toc29651"/>
      <w:bookmarkStart w:id="2042" w:name="_Toc7978"/>
      <w:bookmarkStart w:id="2043" w:name="_Toc25737"/>
      <w:bookmarkStart w:id="2044" w:name="_Toc5085"/>
      <w:bookmarkStart w:id="2045" w:name="_Toc6351"/>
      <w:bookmarkStart w:id="2046" w:name="_Toc23897"/>
      <w:r>
        <w:rPr>
          <w:rFonts w:hint="eastAsia" w:ascii="宋体" w:hAnsi="宋体"/>
          <w:b/>
          <w:bCs/>
          <w:color w:val="auto"/>
          <w:sz w:val="28"/>
          <w:szCs w:val="28"/>
          <w:highlight w:val="none"/>
          <w:lang w:val="en-US" w:eastAsia="zh-CN"/>
        </w:rPr>
        <w:t>九、服务承诺</w:t>
      </w:r>
      <w:bookmarkEnd w:id="2038"/>
      <w:bookmarkEnd w:id="2039"/>
      <w:bookmarkEnd w:id="2040"/>
      <w:bookmarkEnd w:id="2041"/>
      <w:bookmarkEnd w:id="2042"/>
    </w:p>
    <w:p w14:paraId="75F43CCD">
      <w:pPr>
        <w:rPr>
          <w:color w:val="auto"/>
          <w:sz w:val="32"/>
          <w:szCs w:val="32"/>
          <w:highlight w:val="none"/>
        </w:rPr>
      </w:pPr>
    </w:p>
    <w:p w14:paraId="0BEC191E">
      <w:pPr>
        <w:numPr>
          <w:ilvl w:val="0"/>
          <w:numId w:val="0"/>
        </w:numPr>
        <w:rPr>
          <w:rFonts w:hint="default"/>
          <w:color w:val="auto"/>
          <w:sz w:val="21"/>
          <w:szCs w:val="21"/>
          <w:highlight w:val="none"/>
          <w:lang w:val="en-US" w:eastAsia="zh-CN"/>
        </w:rPr>
      </w:pPr>
    </w:p>
    <w:p w14:paraId="335D1D94">
      <w:pPr>
        <w:rPr>
          <w:color w:val="auto"/>
          <w:sz w:val="32"/>
          <w:szCs w:val="32"/>
          <w:highlight w:val="none"/>
        </w:rPr>
      </w:pPr>
    </w:p>
    <w:p w14:paraId="137D7C65">
      <w:pPr>
        <w:rPr>
          <w:color w:val="auto"/>
          <w:sz w:val="32"/>
          <w:szCs w:val="32"/>
          <w:highlight w:val="none"/>
        </w:rPr>
      </w:pPr>
    </w:p>
    <w:p w14:paraId="685DDA02">
      <w:pPr>
        <w:rPr>
          <w:color w:val="auto"/>
          <w:sz w:val="32"/>
          <w:szCs w:val="32"/>
          <w:highlight w:val="none"/>
        </w:rPr>
      </w:pPr>
    </w:p>
    <w:p w14:paraId="0C68E1CA">
      <w:pPr>
        <w:rPr>
          <w:color w:val="auto"/>
          <w:sz w:val="32"/>
          <w:szCs w:val="32"/>
          <w:highlight w:val="none"/>
        </w:rPr>
      </w:pPr>
    </w:p>
    <w:p w14:paraId="00791C30">
      <w:pPr>
        <w:rPr>
          <w:color w:val="auto"/>
          <w:sz w:val="32"/>
          <w:szCs w:val="32"/>
          <w:highlight w:val="none"/>
        </w:rPr>
      </w:pPr>
    </w:p>
    <w:p w14:paraId="18EB2998">
      <w:pPr>
        <w:rPr>
          <w:color w:val="auto"/>
          <w:sz w:val="32"/>
          <w:szCs w:val="32"/>
          <w:highlight w:val="none"/>
        </w:rPr>
      </w:pPr>
      <w:r>
        <w:rPr>
          <w:color w:val="auto"/>
          <w:sz w:val="32"/>
          <w:szCs w:val="32"/>
          <w:highlight w:val="none"/>
        </w:rPr>
        <w:br w:type="page"/>
      </w:r>
    </w:p>
    <w:p w14:paraId="6485FEF3">
      <w:pPr>
        <w:jc w:val="center"/>
        <w:outlineLvl w:val="1"/>
        <w:rPr>
          <w:b/>
          <w:bCs/>
          <w:color w:val="auto"/>
          <w:sz w:val="32"/>
          <w:szCs w:val="32"/>
          <w:highlight w:val="none"/>
        </w:rPr>
      </w:pPr>
      <w:r>
        <w:rPr>
          <w:rFonts w:hint="eastAsia"/>
          <w:b/>
          <w:bCs/>
          <w:color w:val="auto"/>
          <w:sz w:val="32"/>
          <w:szCs w:val="32"/>
          <w:highlight w:val="none"/>
          <w:lang w:eastAsia="zh-CN"/>
        </w:rPr>
        <w:t>十、</w:t>
      </w:r>
      <w:bookmarkStart w:id="2047" w:name="_Toc1693"/>
      <w:bookmarkStart w:id="2048" w:name="_Toc5692"/>
      <w:bookmarkStart w:id="2049" w:name="_Toc31520"/>
      <w:bookmarkStart w:id="2050" w:name="_Toc3400"/>
      <w:bookmarkStart w:id="2051" w:name="_Toc6356"/>
      <w:r>
        <w:rPr>
          <w:rFonts w:hint="eastAsia"/>
          <w:b/>
          <w:bCs/>
          <w:color w:val="auto"/>
          <w:sz w:val="32"/>
          <w:szCs w:val="32"/>
          <w:highlight w:val="none"/>
        </w:rPr>
        <w:t>其他材料</w:t>
      </w:r>
      <w:bookmarkEnd w:id="2043"/>
      <w:bookmarkEnd w:id="2044"/>
      <w:bookmarkEnd w:id="2045"/>
      <w:bookmarkEnd w:id="2046"/>
      <w:bookmarkEnd w:id="2047"/>
      <w:bookmarkEnd w:id="2048"/>
      <w:bookmarkEnd w:id="2049"/>
      <w:bookmarkEnd w:id="2050"/>
      <w:bookmarkEnd w:id="2051"/>
    </w:p>
    <w:p w14:paraId="7F692AA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bCs/>
          <w:color w:val="auto"/>
          <w:sz w:val="24"/>
          <w:szCs w:val="24"/>
          <w:lang w:val="en-US" w:eastAsia="zh-CN"/>
        </w:rPr>
      </w:pPr>
      <w:bookmarkStart w:id="2052" w:name="_Toc31919"/>
      <w:bookmarkStart w:id="2053" w:name="_Toc25096"/>
      <w:bookmarkStart w:id="2054" w:name="_Toc2514"/>
      <w:bookmarkStart w:id="2055" w:name="_Toc868"/>
      <w:bookmarkStart w:id="2056" w:name="_Toc8747"/>
      <w:r>
        <w:rPr>
          <w:rFonts w:hint="eastAsia" w:ascii="宋体" w:hAnsi="宋体" w:cs="宋体"/>
          <w:b/>
          <w:bCs/>
          <w:color w:val="auto"/>
          <w:sz w:val="24"/>
          <w:szCs w:val="24"/>
          <w:lang w:val="en-US" w:eastAsia="zh-CN"/>
        </w:rPr>
        <w:t>1.</w:t>
      </w:r>
      <w:r>
        <w:rPr>
          <w:rFonts w:hint="eastAsia" w:ascii="宋体" w:hAnsi="宋体" w:eastAsia="宋体" w:cs="宋体"/>
          <w:b/>
          <w:bCs/>
          <w:color w:val="auto"/>
          <w:sz w:val="24"/>
          <w:szCs w:val="24"/>
          <w:lang w:val="en-US" w:eastAsia="zh-CN"/>
        </w:rPr>
        <w:t>落实政府采购政策满足的资格要求</w:t>
      </w:r>
    </w:p>
    <w:p w14:paraId="6842573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（1）中小企业声明函（工程、服务）</w:t>
      </w:r>
    </w:p>
    <w:p w14:paraId="05D61C62">
      <w:pP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（不属于的无需提供）</w:t>
      </w:r>
    </w:p>
    <w:p w14:paraId="020053CC">
      <w:pPr>
        <w:widowControl/>
        <w:spacing w:line="360" w:lineRule="auto"/>
        <w:ind w:firstLine="525" w:firstLineChars="250"/>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本公司（联合体）郑重声明，根据《政府采购促进中小企业发展管理办法》（财库﹝2020﹞46号）的规定，本公司（联合体）参加</w:t>
      </w:r>
      <w:r>
        <w:rPr>
          <w:rFonts w:hint="eastAsia" w:ascii="宋体" w:hAnsi="宋体" w:eastAsia="宋体" w:cs="宋体"/>
          <w:color w:val="auto"/>
          <w:kern w:val="0"/>
          <w:sz w:val="21"/>
          <w:szCs w:val="21"/>
          <w:highlight w:val="none"/>
          <w:u w:val="single"/>
        </w:rPr>
        <w:t>（单位名称）</w:t>
      </w:r>
      <w:r>
        <w:rPr>
          <w:rFonts w:hint="eastAsia" w:ascii="宋体" w:hAnsi="宋体" w:eastAsia="宋体" w:cs="宋体"/>
          <w:color w:val="auto"/>
          <w:kern w:val="0"/>
          <w:sz w:val="21"/>
          <w:szCs w:val="21"/>
          <w:highlight w:val="none"/>
        </w:rPr>
        <w:t>的</w:t>
      </w:r>
      <w:r>
        <w:rPr>
          <w:rFonts w:hint="eastAsia" w:ascii="宋体" w:hAnsi="宋体" w:eastAsia="宋体" w:cs="宋体"/>
          <w:color w:val="auto"/>
          <w:kern w:val="0"/>
          <w:sz w:val="21"/>
          <w:szCs w:val="21"/>
          <w:highlight w:val="none"/>
          <w:u w:val="single"/>
        </w:rPr>
        <w:t>（项目名称）</w:t>
      </w:r>
      <w:r>
        <w:rPr>
          <w:rFonts w:hint="eastAsia" w:ascii="宋体" w:hAnsi="宋体" w:eastAsia="宋体" w:cs="宋体"/>
          <w:color w:val="auto"/>
          <w:kern w:val="0"/>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EE86C0C">
      <w:pPr>
        <w:widowControl/>
        <w:spacing w:line="360" w:lineRule="auto"/>
        <w:ind w:firstLine="480"/>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 </w:t>
      </w:r>
      <w:r>
        <w:rPr>
          <w:rFonts w:hint="eastAsia" w:ascii="宋体" w:hAnsi="宋体" w:eastAsia="宋体" w:cs="宋体"/>
          <w:color w:val="auto"/>
          <w:kern w:val="0"/>
          <w:sz w:val="21"/>
          <w:szCs w:val="21"/>
          <w:highlight w:val="none"/>
          <w:u w:val="single"/>
        </w:rPr>
        <w:t xml:space="preserve">（标的名称）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（竞争性磋商文件中明确的所属行业）</w:t>
      </w:r>
      <w:r>
        <w:rPr>
          <w:rFonts w:hint="eastAsia" w:ascii="宋体" w:hAnsi="宋体" w:eastAsia="宋体" w:cs="宋体"/>
          <w:color w:val="auto"/>
          <w:kern w:val="0"/>
          <w:sz w:val="21"/>
          <w:szCs w:val="21"/>
          <w:highlight w:val="none"/>
        </w:rPr>
        <w:t>；承建（承接）企业为</w:t>
      </w:r>
      <w:r>
        <w:rPr>
          <w:rFonts w:hint="eastAsia" w:ascii="宋体" w:hAnsi="宋体" w:eastAsia="宋体" w:cs="宋体"/>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人，营业收入为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万元，资产总额为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（中型企业、小型企业、微型企业）；</w:t>
      </w:r>
    </w:p>
    <w:p w14:paraId="1D2AF3D8">
      <w:pPr>
        <w:widowControl/>
        <w:spacing w:line="360" w:lineRule="auto"/>
        <w:ind w:firstLine="480"/>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u w:val="single"/>
        </w:rPr>
        <w:t xml:space="preserve"> （标的名称）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（竞争性磋商文件中明确的所属行业）</w:t>
      </w:r>
      <w:r>
        <w:rPr>
          <w:rFonts w:hint="eastAsia" w:ascii="宋体" w:hAnsi="宋体" w:eastAsia="宋体" w:cs="宋体"/>
          <w:color w:val="auto"/>
          <w:kern w:val="0"/>
          <w:sz w:val="21"/>
          <w:szCs w:val="21"/>
          <w:highlight w:val="none"/>
        </w:rPr>
        <w:t>；承建（承接）企业为</w:t>
      </w:r>
      <w:r>
        <w:rPr>
          <w:rFonts w:hint="eastAsia" w:ascii="宋体" w:hAnsi="宋体" w:eastAsia="宋体" w:cs="宋体"/>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人，营业收入为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万元，资产总额为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（中型企业、小型企业、微型企业）；</w:t>
      </w:r>
    </w:p>
    <w:p w14:paraId="7EEEFB41">
      <w:pPr>
        <w:widowControl/>
        <w:spacing w:line="360" w:lineRule="auto"/>
        <w:ind w:firstLine="480"/>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p w14:paraId="1A36834A">
      <w:pPr>
        <w:widowControl/>
        <w:spacing w:line="360" w:lineRule="auto"/>
        <w:ind w:firstLine="480"/>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以上企业，不属于大企业的分支机构，不存在控股股东为大企业的情形，也不存在与大企业的负责人为同一人的情形。</w:t>
      </w:r>
    </w:p>
    <w:p w14:paraId="00C7B062">
      <w:pPr>
        <w:widowControl/>
        <w:spacing w:line="360" w:lineRule="auto"/>
        <w:ind w:firstLine="480"/>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本企业对上述声明内容的真实性负责。如有虚假，将依法承担相应责任。</w:t>
      </w:r>
    </w:p>
    <w:p w14:paraId="0CEDA786">
      <w:pPr>
        <w:widowControl/>
        <w:spacing w:line="360" w:lineRule="auto"/>
        <w:ind w:firstLine="4410" w:firstLineChars="2100"/>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企业名称（</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w:t>
      </w:r>
    </w:p>
    <w:p w14:paraId="11614D94">
      <w:pPr>
        <w:widowControl/>
        <w:spacing w:line="360" w:lineRule="auto"/>
        <w:ind w:firstLine="4410" w:firstLineChars="2100"/>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w:t>
      </w:r>
    </w:p>
    <w:p w14:paraId="6F661E73">
      <w:pPr>
        <w:spacing w:line="360" w:lineRule="auto"/>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说明：</w:t>
      </w:r>
    </w:p>
    <w:p w14:paraId="63222BFA">
      <w:pPr>
        <w:spacing w:line="360" w:lineRule="auto"/>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（1）从业人员、营业收入、资产总额填报上一年度数据，无上一年度数据的新成立企业可不填报。</w:t>
      </w:r>
    </w:p>
    <w:p w14:paraId="3ACD9499">
      <w:pPr>
        <w:spacing w:line="360" w:lineRule="auto"/>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2）中标、成交供应商享受本办法规定的中小企业扶持政策的，中标、成交供应商的《中小企业声明函》将随中标、成交结果公开。响应供应商按照财库〔2020〕46号规定及竞争性磋商文件要求提供声明函，内容不实的，属于提供虚假材料谋取中标、成交行为，将依照《中华人民共和国政府采购法》等有关规定追究相应责任。</w:t>
      </w:r>
    </w:p>
    <w:p w14:paraId="705F560C">
      <w:pPr>
        <w:widowControl/>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br w:type="page"/>
      </w:r>
    </w:p>
    <w:p w14:paraId="023AAEF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（2）残疾人福利性单位声明函</w:t>
      </w:r>
    </w:p>
    <w:p w14:paraId="5CA555DF">
      <w:pPr>
        <w:tabs>
          <w:tab w:val="left" w:pos="840"/>
        </w:tabs>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（不属于的无需提供）</w:t>
      </w:r>
    </w:p>
    <w:p w14:paraId="65BC6797">
      <w:pPr>
        <w:spacing w:line="360" w:lineRule="auto"/>
        <w:ind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单位的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1CE47B83">
      <w:pPr>
        <w:spacing w:line="360" w:lineRule="auto"/>
        <w:ind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13E5A5F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单位名称（盖章）：</w:t>
      </w:r>
    </w:p>
    <w:p w14:paraId="1383617C">
      <w:pPr>
        <w:spacing w:line="360" w:lineRule="auto"/>
        <w:ind w:firstLine="3570" w:firstLineChars="17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1F1988DB">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04083B77">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《财政部 民政部 中国残疾人联合会关于促进残疾人就业政府采购政策的通知》（财库（2017〔141〕号）的规定：</w:t>
      </w:r>
    </w:p>
    <w:p w14:paraId="034E09B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一、享受政府采购支持政策的残疾人福利性单位应当同时满足以下条件：</w:t>
      </w:r>
    </w:p>
    <w:p w14:paraId="11B1404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（一）安置的残疾人占本单位在职职工人数的比例不低于25%（含25%），并且安置的残疾人人数不少于10人（含10人）；</w:t>
      </w:r>
    </w:p>
    <w:p w14:paraId="4229097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（二）依法与安置的每位残疾人签订了一年以上（含一年）的劳动合同或服务协议；</w:t>
      </w:r>
    </w:p>
    <w:p w14:paraId="138853A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（三）为安置的每位残疾人按月足额缴纳了基本养老保险、基本医疗保险、失业保险、工伤保险和生育保险等社会保险费；</w:t>
      </w:r>
    </w:p>
    <w:p w14:paraId="3CA3CFC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（四）通过银行等金融机构向安置的每位残疾人，按月支付了不低于单位所在区县适用的经省级人民政府批准的月最低工资标准的工资；</w:t>
      </w:r>
    </w:p>
    <w:p w14:paraId="60DFAE9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（五）提供本单位制造的货物、承担的工程或者服务（以下简称产品），或者提供其他残疾人福利性单位制造的货物（不包括使用非残疾人福利性单位注册商标的货物）。</w:t>
      </w:r>
    </w:p>
    <w:p w14:paraId="1EC96556">
      <w:pPr>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注意：如果供应商不是残疾人福利性单位，则不需要提供《残疾人福利性单位声明函》。否则，因此导致虚假投标的后果由供应商自行承担。</w:t>
      </w:r>
    </w:p>
    <w:p w14:paraId="6B7E8D87">
      <w:pPr>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57D046AA">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（3）监狱企业证明</w:t>
      </w:r>
    </w:p>
    <w:p w14:paraId="33697BAE">
      <w:pPr>
        <w:widowControl/>
        <w:spacing w:line="360" w:lineRule="auto"/>
        <w:ind w:firstLine="420" w:firstLineChars="200"/>
        <w:jc w:val="center"/>
        <w:textAlignment w:val="baseline"/>
        <w:rPr>
          <w:rFonts w:hint="eastAsia" w:ascii="宋体" w:hAnsi="宋体" w:eastAsia="宋体" w:cs="宋体"/>
          <w:color w:val="auto"/>
          <w:sz w:val="21"/>
          <w:szCs w:val="21"/>
          <w:highlight w:val="none"/>
        </w:rPr>
      </w:pPr>
    </w:p>
    <w:p w14:paraId="7C2278D0">
      <w:pPr>
        <w:widowControl/>
        <w:spacing w:line="360" w:lineRule="auto"/>
        <w:ind w:firstLine="420" w:firstLineChars="20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（不属于的无需提供）</w:t>
      </w:r>
    </w:p>
    <w:p w14:paraId="0487BA5D">
      <w:pPr>
        <w:spacing w:line="360" w:lineRule="auto"/>
        <w:ind w:firstLine="420" w:firstLineChars="200"/>
        <w:jc w:val="left"/>
        <w:rPr>
          <w:rFonts w:hint="eastAsia" w:ascii="宋体" w:hAnsi="宋体" w:eastAsia="宋体" w:cs="宋体"/>
          <w:color w:val="auto"/>
          <w:sz w:val="21"/>
          <w:szCs w:val="21"/>
          <w:highlight w:val="none"/>
        </w:rPr>
      </w:pPr>
    </w:p>
    <w:p w14:paraId="7DC2668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提供省级以上监狱管理局、戒毒管理局（含新疆生产建设兵团）出具的属于监狱企业的证明文件。</w:t>
      </w:r>
    </w:p>
    <w:p w14:paraId="3C4F9ED7">
      <w:pPr>
        <w:widowControl/>
        <w:spacing w:line="360" w:lineRule="auto"/>
        <w:jc w:val="left"/>
        <w:rPr>
          <w:color w:val="auto"/>
          <w:sz w:val="24"/>
          <w:szCs w:val="24"/>
          <w:highlight w:val="none"/>
        </w:rPr>
      </w:pPr>
    </w:p>
    <w:p w14:paraId="40A86842">
      <w:pPr>
        <w:spacing w:line="360" w:lineRule="auto"/>
        <w:ind w:firstLine="420"/>
        <w:rPr>
          <w:color w:val="auto"/>
          <w:sz w:val="28"/>
          <w:szCs w:val="28"/>
          <w:highlight w:val="none"/>
        </w:rPr>
      </w:pPr>
      <w:bookmarkStart w:id="2057" w:name="_Toc134452832"/>
      <w:r>
        <w:rPr>
          <w:rFonts w:hint="eastAsia"/>
          <w:color w:val="auto"/>
          <w:sz w:val="28"/>
          <w:szCs w:val="28"/>
          <w:highlight w:val="none"/>
        </w:rPr>
        <w:br w:type="page"/>
      </w:r>
    </w:p>
    <w:bookmarkEnd w:id="2057"/>
    <w:p w14:paraId="7502EF2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2.</w:t>
      </w:r>
      <w:r>
        <w:rPr>
          <w:rFonts w:hint="eastAsia" w:ascii="宋体" w:hAnsi="宋体" w:eastAsia="宋体" w:cs="宋体"/>
          <w:b/>
          <w:bCs/>
          <w:color w:val="auto"/>
          <w:sz w:val="24"/>
          <w:szCs w:val="24"/>
          <w:lang w:val="en-US" w:eastAsia="zh-CN"/>
        </w:rPr>
        <w:t>反商业贿赂承诺书</w:t>
      </w:r>
      <w:bookmarkEnd w:id="2052"/>
      <w:bookmarkEnd w:id="2053"/>
      <w:bookmarkEnd w:id="2054"/>
      <w:bookmarkEnd w:id="2055"/>
      <w:bookmarkEnd w:id="2056"/>
    </w:p>
    <w:p w14:paraId="43C3BECA">
      <w:pPr>
        <w:spacing w:line="360" w:lineRule="auto"/>
        <w:rPr>
          <w:rFonts w:ascii="宋体" w:hAnsi="宋体"/>
          <w:color w:val="auto"/>
          <w:kern w:val="0"/>
          <w:highlight w:val="none"/>
        </w:rPr>
      </w:pPr>
      <w:r>
        <w:rPr>
          <w:rFonts w:hint="eastAsia" w:ascii="宋体" w:hAnsi="宋体"/>
          <w:color w:val="auto"/>
          <w:kern w:val="0"/>
          <w:highlight w:val="none"/>
        </w:rPr>
        <w:t>我公司承诺：</w:t>
      </w:r>
    </w:p>
    <w:p w14:paraId="44FAC3C3">
      <w:pPr>
        <w:spacing w:line="360" w:lineRule="auto"/>
        <w:ind w:firstLine="360"/>
        <w:rPr>
          <w:rFonts w:ascii="宋体" w:hAnsi="宋体"/>
          <w:color w:val="auto"/>
          <w:kern w:val="0"/>
          <w:highlight w:val="none"/>
        </w:rPr>
      </w:pPr>
      <w:r>
        <w:rPr>
          <w:rFonts w:hint="eastAsia" w:ascii="宋体" w:hAnsi="宋体"/>
          <w:color w:val="auto"/>
          <w:kern w:val="0"/>
          <w:highlight w:val="none"/>
        </w:rPr>
        <w:t>在本次招标活动中，我公司保证做到：</w:t>
      </w:r>
    </w:p>
    <w:p w14:paraId="379DD4D7">
      <w:pPr>
        <w:spacing w:line="360" w:lineRule="auto"/>
        <w:ind w:firstLine="360"/>
        <w:rPr>
          <w:rFonts w:ascii="宋体" w:hAnsi="宋体"/>
          <w:color w:val="auto"/>
          <w:kern w:val="0"/>
          <w:highlight w:val="none"/>
        </w:rPr>
      </w:pPr>
      <w:r>
        <w:rPr>
          <w:rFonts w:hint="eastAsia" w:ascii="宋体" w:hAnsi="宋体"/>
          <w:color w:val="auto"/>
          <w:kern w:val="0"/>
          <w:highlight w:val="none"/>
        </w:rPr>
        <w:t>一、公平竞争参见本次招标活动。</w:t>
      </w:r>
    </w:p>
    <w:p w14:paraId="39F034A1">
      <w:pPr>
        <w:spacing w:line="360" w:lineRule="auto"/>
        <w:ind w:firstLine="360"/>
        <w:rPr>
          <w:rFonts w:ascii="宋体" w:hAnsi="宋体"/>
          <w:color w:val="auto"/>
          <w:kern w:val="0"/>
          <w:highlight w:val="none"/>
        </w:rPr>
      </w:pPr>
      <w:r>
        <w:rPr>
          <w:rFonts w:hint="eastAsia" w:ascii="宋体" w:hAnsi="宋体"/>
          <w:color w:val="auto"/>
          <w:kern w:val="0"/>
          <w:highlight w:val="none"/>
        </w:rPr>
        <w:t>二、杜绝任何形式的商业贿赂行为。不向国家工作人员、政府采购代理机构工作人员、评审专家及亲属提供礼品礼金、有价证券、购物券、回扣、佣金、咨询费、劳务费、资助费、宣传费、宴请；不为其报销各种消费凭证，不支付其旅游、娱乐等费用。</w:t>
      </w:r>
    </w:p>
    <w:p w14:paraId="609E5E60">
      <w:pPr>
        <w:spacing w:line="360" w:lineRule="auto"/>
        <w:ind w:firstLine="360"/>
        <w:rPr>
          <w:rFonts w:ascii="宋体" w:hAnsi="宋体"/>
          <w:color w:val="auto"/>
          <w:kern w:val="0"/>
          <w:highlight w:val="none"/>
        </w:rPr>
      </w:pPr>
      <w:r>
        <w:rPr>
          <w:rFonts w:hint="eastAsia" w:ascii="宋体" w:hAnsi="宋体"/>
          <w:color w:val="auto"/>
          <w:kern w:val="0"/>
          <w:highlight w:val="none"/>
        </w:rPr>
        <w:t>三、若出现上述行为，我公司及参与投标的工作人员愿意接受按照国家法律法规等有关规定给予的处罚。</w:t>
      </w:r>
    </w:p>
    <w:p w14:paraId="0D9D41E2">
      <w:pPr>
        <w:spacing w:line="360" w:lineRule="auto"/>
        <w:ind w:firstLine="360"/>
        <w:rPr>
          <w:rFonts w:ascii="宋体" w:hAnsi="宋体"/>
          <w:color w:val="auto"/>
          <w:kern w:val="0"/>
          <w:highlight w:val="none"/>
        </w:rPr>
      </w:pPr>
    </w:p>
    <w:p w14:paraId="7EB514BD">
      <w:pPr>
        <w:spacing w:line="360" w:lineRule="auto"/>
        <w:ind w:firstLine="360"/>
        <w:rPr>
          <w:rFonts w:ascii="宋体" w:hAnsi="宋体"/>
          <w:color w:val="auto"/>
          <w:kern w:val="0"/>
          <w:highlight w:val="none"/>
        </w:rPr>
      </w:pPr>
    </w:p>
    <w:p w14:paraId="516D50D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供应商名称：</w:t>
      </w:r>
      <w:r>
        <w:rPr>
          <w:rFonts w:hint="eastAsia" w:ascii="宋体" w:hAnsi="宋体" w:cs="宋体"/>
          <w:color w:val="auto"/>
          <w:highlight w:val="none"/>
          <w:u w:val="single"/>
        </w:rPr>
        <w:t xml:space="preserve">                        </w:t>
      </w:r>
      <w:r>
        <w:rPr>
          <w:rFonts w:hint="eastAsia" w:ascii="宋体" w:hAnsi="宋体" w:cs="宋体"/>
          <w:color w:val="auto"/>
          <w:highlight w:val="none"/>
        </w:rPr>
        <w:t>（单位电子印章）</w:t>
      </w:r>
    </w:p>
    <w:p w14:paraId="049ECBA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法定代表人或其委托代理人：</w:t>
      </w:r>
      <w:r>
        <w:rPr>
          <w:rFonts w:hint="eastAsia" w:ascii="宋体" w:hAnsi="宋体" w:cs="宋体"/>
          <w:color w:val="auto"/>
          <w:highlight w:val="none"/>
          <w:u w:val="single"/>
        </w:rPr>
        <w:t xml:space="preserve">          </w:t>
      </w:r>
      <w:r>
        <w:rPr>
          <w:rFonts w:hint="eastAsia" w:ascii="宋体" w:hAnsi="宋体" w:cs="宋体"/>
          <w:color w:val="auto"/>
          <w:highlight w:val="none"/>
        </w:rPr>
        <w:t>（电子签章或签字）</w:t>
      </w:r>
    </w:p>
    <w:p w14:paraId="6DFF9E58">
      <w:pPr>
        <w:spacing w:line="360" w:lineRule="auto"/>
        <w:ind w:firstLine="420" w:firstLineChars="200"/>
        <w:rPr>
          <w:rFonts w:eastAsiaTheme="minorEastAsia"/>
          <w:b/>
          <w:color w:val="auto"/>
          <w:highlight w:val="none"/>
        </w:rPr>
      </w:pPr>
      <w:r>
        <w:rPr>
          <w:rFonts w:hint="eastAsia" w:ascii="宋体" w:hAnsi="宋体" w:cs="宋体"/>
          <w:color w:val="auto"/>
          <w:highlight w:val="none"/>
        </w:rPr>
        <w:t>日      期：   年  月   日</w:t>
      </w:r>
    </w:p>
    <w:p w14:paraId="4C5B4F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p>
    <w:p w14:paraId="1B3879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p>
    <w:p w14:paraId="0EC1E7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14:paraId="27FB7CC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bCs/>
          <w:color w:val="auto"/>
          <w:sz w:val="24"/>
          <w:szCs w:val="24"/>
          <w:lang w:val="en-US" w:eastAsia="zh-CN"/>
        </w:rPr>
      </w:pPr>
      <w:bookmarkStart w:id="2058" w:name="_Toc29864"/>
      <w:bookmarkStart w:id="2059" w:name="_Toc20835"/>
      <w:bookmarkStart w:id="2060" w:name="_Toc11181"/>
      <w:bookmarkStart w:id="2061" w:name="_Toc18870"/>
      <w:bookmarkStart w:id="2062" w:name="_Toc17091"/>
      <w:bookmarkStart w:id="2063" w:name="_Toc27540"/>
      <w:bookmarkStart w:id="2064" w:name="_Toc25774"/>
      <w:bookmarkStart w:id="2065" w:name="_Toc8768"/>
      <w:r>
        <w:rPr>
          <w:rFonts w:hint="eastAsia" w:ascii="宋体" w:hAnsi="宋体" w:cs="宋体"/>
          <w:b/>
          <w:bCs/>
          <w:color w:val="auto"/>
          <w:sz w:val="24"/>
          <w:szCs w:val="24"/>
          <w:lang w:val="en-US" w:eastAsia="zh-CN"/>
        </w:rPr>
        <w:t>3.</w:t>
      </w:r>
      <w:r>
        <w:rPr>
          <w:rFonts w:hint="eastAsia" w:ascii="宋体" w:hAnsi="宋体" w:eastAsia="宋体" w:cs="宋体"/>
          <w:b/>
          <w:bCs/>
          <w:color w:val="auto"/>
          <w:sz w:val="24"/>
          <w:szCs w:val="24"/>
          <w:lang w:val="en-US" w:eastAsia="zh-CN"/>
        </w:rPr>
        <w:t>磋商承诺函</w:t>
      </w:r>
      <w:bookmarkEnd w:id="2058"/>
      <w:bookmarkEnd w:id="2059"/>
      <w:bookmarkEnd w:id="2060"/>
      <w:bookmarkEnd w:id="2061"/>
      <w:bookmarkEnd w:id="2062"/>
      <w:bookmarkEnd w:id="2063"/>
      <w:bookmarkEnd w:id="2064"/>
      <w:bookmarkEnd w:id="2065"/>
    </w:p>
    <w:p w14:paraId="5C6C032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致</w:t>
      </w:r>
      <w:r>
        <w:rPr>
          <w:rFonts w:hint="eastAsia"/>
          <w:color w:val="auto"/>
          <w:highlight w:val="none"/>
          <w:u w:val="single"/>
        </w:rPr>
        <w:t>（采购人或采购代理机构）</w:t>
      </w:r>
      <w:r>
        <w:rPr>
          <w:rFonts w:hint="eastAsia"/>
          <w:color w:val="auto"/>
          <w:highlight w:val="none"/>
        </w:rPr>
        <w:t>：</w:t>
      </w:r>
    </w:p>
    <w:p w14:paraId="0DD593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我公司作为本次采购项目的供应商，根据竞争性磋商文件要求，现郑重承诺如下：</w:t>
      </w:r>
    </w:p>
    <w:p w14:paraId="1D1046E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一、具备《中华人民共和国政府采购法》第二十二条第一款和本项目规定的条件：</w:t>
      </w:r>
    </w:p>
    <w:p w14:paraId="26C763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（一）具有独立承担民事责任的能力；</w:t>
      </w:r>
    </w:p>
    <w:p w14:paraId="6BD5CF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（二）具有良好的商业信誉和健全的财务会计制度；</w:t>
      </w:r>
    </w:p>
    <w:p w14:paraId="322931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（三）具有履行合同所必需的设备和专业技术能力；</w:t>
      </w:r>
    </w:p>
    <w:p w14:paraId="4A9D16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（四）有依法缴纳税收和社会保障资金的良好记录；</w:t>
      </w:r>
    </w:p>
    <w:p w14:paraId="300494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（五）参加政府采购活动前三年内，在经营活动中没有重大违法记录；</w:t>
      </w:r>
    </w:p>
    <w:p w14:paraId="1E989A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（六）法律、行政法规规定的其他条件；</w:t>
      </w:r>
    </w:p>
    <w:p w14:paraId="2860B5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（七）根据采购项目提出的特殊条件。</w:t>
      </w:r>
    </w:p>
    <w:p w14:paraId="74450CE1">
      <w:pPr>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rPr>
      </w:pPr>
      <w:r>
        <w:rPr>
          <w:rFonts w:hint="eastAsia"/>
          <w:color w:val="auto"/>
          <w:highlight w:val="none"/>
        </w:rPr>
        <w:t>二、参加本次招标采购活动，不存在和其他供应商在同一合同项下的采购项目中，同时委托同一个自然人、同一家庭的人员、同一单位的人员作为代理人的行为。</w:t>
      </w:r>
    </w:p>
    <w:p w14:paraId="09B4AE0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三、存在以下行为之一的愿意接受相关部门的处理：</w:t>
      </w:r>
    </w:p>
    <w:p w14:paraId="65AE18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（一</w:t>
      </w:r>
      <w:r>
        <w:rPr>
          <w:rFonts w:hint="eastAsia"/>
          <w:color w:val="auto"/>
          <w:highlight w:val="none"/>
          <w:lang w:eastAsia="zh-CN"/>
        </w:rPr>
        <w:t>）在</w:t>
      </w:r>
      <w:r>
        <w:rPr>
          <w:rFonts w:hint="eastAsia"/>
          <w:color w:val="auto"/>
          <w:highlight w:val="none"/>
        </w:rPr>
        <w:t>磋商有效期内撤销响应文件的；</w:t>
      </w:r>
    </w:p>
    <w:p w14:paraId="637F42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（二）在采购人确定中标人以前放弃中标候选资格的；</w:t>
      </w:r>
    </w:p>
    <w:p w14:paraId="6ECB4C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（三）由于成交供应商的原因未能按照竞争性磋商文件的规定与采购人签订合同；</w:t>
      </w:r>
    </w:p>
    <w:p w14:paraId="6AA4D4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（四）在响应文件中提供虚假材料谋取中标；</w:t>
      </w:r>
    </w:p>
    <w:p w14:paraId="73606C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（五）与采购人、其他供应商或者采购代理机构恶意串通的；</w:t>
      </w:r>
    </w:p>
    <w:p w14:paraId="6C1B07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（六）磋商有效期内，供应商在政府采购活动中有违法、违规、违纪行为。</w:t>
      </w:r>
    </w:p>
    <w:p w14:paraId="3E838C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由此产生的一切法律后果和责任由我公司承担。我公司声明放弃对此提出任何异议和追索的权利。</w:t>
      </w:r>
    </w:p>
    <w:p w14:paraId="30BCB7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color w:val="auto"/>
          <w:highlight w:val="none"/>
        </w:rPr>
        <w:t>本公司对上述承诺的内容事项真实性负责。如经查实上述承诺的内容事项存在虚假，我公司愿意接受以提供虚假材料谋取中标追究法律责任。</w:t>
      </w:r>
    </w:p>
    <w:p w14:paraId="3A863D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highlight w:val="none"/>
        </w:rPr>
      </w:pPr>
      <w:r>
        <w:rPr>
          <w:rFonts w:hint="eastAsia" w:ascii="宋体" w:hAnsi="宋体" w:cs="宋体"/>
          <w:color w:val="auto"/>
          <w:highlight w:val="none"/>
        </w:rPr>
        <w:t>供应商名称：</w:t>
      </w:r>
      <w:r>
        <w:rPr>
          <w:rFonts w:hint="eastAsia" w:ascii="宋体" w:hAnsi="宋体" w:cs="宋体"/>
          <w:color w:val="auto"/>
          <w:highlight w:val="none"/>
          <w:u w:val="single"/>
        </w:rPr>
        <w:t xml:space="preserve">                        </w:t>
      </w:r>
      <w:r>
        <w:rPr>
          <w:rFonts w:hint="eastAsia" w:ascii="宋体" w:hAnsi="宋体" w:cs="宋体"/>
          <w:color w:val="auto"/>
          <w:highlight w:val="none"/>
        </w:rPr>
        <w:t>（单位电子印章）</w:t>
      </w:r>
    </w:p>
    <w:p w14:paraId="03E314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highlight w:val="none"/>
        </w:rPr>
      </w:pPr>
      <w:r>
        <w:rPr>
          <w:rFonts w:hint="eastAsia" w:ascii="宋体" w:hAnsi="宋体" w:cs="宋体"/>
          <w:color w:val="auto"/>
          <w:highlight w:val="none"/>
        </w:rPr>
        <w:t>法定代表人或其委托代理人：</w:t>
      </w:r>
      <w:r>
        <w:rPr>
          <w:rFonts w:hint="eastAsia" w:ascii="宋体" w:hAnsi="宋体" w:cs="宋体"/>
          <w:color w:val="auto"/>
          <w:highlight w:val="none"/>
          <w:u w:val="single"/>
        </w:rPr>
        <w:t xml:space="preserve">          </w:t>
      </w:r>
      <w:r>
        <w:rPr>
          <w:rFonts w:hint="eastAsia" w:ascii="宋体" w:hAnsi="宋体" w:cs="宋体"/>
          <w:color w:val="auto"/>
          <w:highlight w:val="none"/>
        </w:rPr>
        <w:t>（电子签章或签字）</w:t>
      </w:r>
    </w:p>
    <w:p w14:paraId="19FE02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eastAsiaTheme="minorEastAsia"/>
          <w:b/>
          <w:color w:val="auto"/>
          <w:highlight w:val="none"/>
        </w:rPr>
      </w:pPr>
      <w:r>
        <w:rPr>
          <w:rFonts w:hint="eastAsia" w:ascii="宋体" w:hAnsi="宋体" w:cs="宋体"/>
          <w:color w:val="auto"/>
          <w:highlight w:val="none"/>
        </w:rPr>
        <w:t>日      期：   年  月   日</w:t>
      </w:r>
    </w:p>
    <w:p w14:paraId="253A29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p>
    <w:p w14:paraId="73ABFF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14:paraId="48E6D19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bCs/>
          <w:color w:val="auto"/>
          <w:sz w:val="24"/>
          <w:szCs w:val="24"/>
          <w:lang w:val="en-US" w:eastAsia="zh-CN"/>
        </w:rPr>
      </w:pPr>
      <w:bookmarkStart w:id="2066" w:name="_Toc23901"/>
      <w:bookmarkStart w:id="2067" w:name="_Toc30595"/>
      <w:bookmarkStart w:id="2068" w:name="_Toc13454"/>
      <w:bookmarkStart w:id="2069" w:name="_Toc8971"/>
      <w:bookmarkStart w:id="2070" w:name="_Toc5277"/>
      <w:bookmarkStart w:id="2071" w:name="_Toc15903"/>
      <w:bookmarkStart w:id="2072" w:name="_Toc3177"/>
      <w:bookmarkStart w:id="2073" w:name="_Toc21735"/>
      <w:r>
        <w:rPr>
          <w:rFonts w:hint="eastAsia" w:ascii="宋体" w:hAnsi="宋体" w:eastAsia="宋体" w:cs="宋体"/>
          <w:b/>
          <w:bCs/>
          <w:color w:val="auto"/>
          <w:sz w:val="24"/>
          <w:szCs w:val="24"/>
          <w:lang w:val="en-US" w:eastAsia="zh-CN"/>
        </w:rPr>
        <w:t>4.代理服务费承诺函</w:t>
      </w:r>
      <w:bookmarkEnd w:id="2066"/>
      <w:bookmarkEnd w:id="2067"/>
      <w:bookmarkEnd w:id="2068"/>
      <w:bookmarkEnd w:id="2069"/>
      <w:bookmarkEnd w:id="2070"/>
      <w:bookmarkEnd w:id="2071"/>
      <w:bookmarkEnd w:id="2072"/>
      <w:bookmarkEnd w:id="2073"/>
    </w:p>
    <w:p w14:paraId="5A7C7A5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致</w:t>
      </w:r>
      <w:r>
        <w:rPr>
          <w:rFonts w:hint="eastAsia" w:ascii="宋体" w:hAnsi="宋体" w:eastAsia="宋体" w:cs="宋体"/>
          <w:color w:val="auto"/>
          <w:kern w:val="0"/>
          <w:sz w:val="21"/>
          <w:szCs w:val="21"/>
          <w:highlight w:val="none"/>
          <w:u w:val="single"/>
        </w:rPr>
        <w:t>（采购人及采购代理机构）</w:t>
      </w:r>
      <w:r>
        <w:rPr>
          <w:rFonts w:hint="eastAsia" w:ascii="宋体" w:hAnsi="宋体" w:eastAsia="宋体" w:cs="宋体"/>
          <w:color w:val="auto"/>
          <w:kern w:val="0"/>
          <w:sz w:val="21"/>
          <w:szCs w:val="21"/>
          <w:highlight w:val="none"/>
        </w:rPr>
        <w:t>：</w:t>
      </w:r>
    </w:p>
    <w:p w14:paraId="5900BB28">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我们在贵公司组织的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 xml:space="preserve">项目竞争性磋商采购中若获中标（成交），我们保证在中标（成交）公告发布后 5 个工作日内，按采购文件的规定，以支票、银行转账、汇票或现金，向贵公司一次性支付代理服务费用。否则，由此产生的一切法律后果和责任由我公司承担。我公司声明放弃对此提出任何异议和追索的权利。 </w:t>
      </w:r>
    </w:p>
    <w:p w14:paraId="2508E5B1">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特此承诺。 </w:t>
      </w:r>
    </w:p>
    <w:p w14:paraId="6211CA4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（单位电子印章）</w:t>
      </w:r>
    </w:p>
    <w:p w14:paraId="1171F3E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（电子签章或签字）</w:t>
      </w:r>
    </w:p>
    <w:p w14:paraId="6D842BA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   年  月   日</w:t>
      </w:r>
    </w:p>
    <w:p w14:paraId="7A7A9F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bookmarkStart w:id="2074" w:name="_Toc125"/>
    </w:p>
    <w:p w14:paraId="00CEC7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6D63239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5.主要材料汇总表</w:t>
      </w:r>
    </w:p>
    <w:tbl>
      <w:tblPr>
        <w:tblStyle w:val="46"/>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64"/>
        <w:gridCol w:w="1334"/>
        <w:gridCol w:w="1488"/>
        <w:gridCol w:w="1066"/>
        <w:gridCol w:w="1700"/>
        <w:gridCol w:w="1096"/>
      </w:tblGrid>
      <w:tr w14:paraId="601E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51" w:type="dxa"/>
            <w:vAlign w:val="center"/>
          </w:tcPr>
          <w:p w14:paraId="1109E891">
            <w:pPr>
              <w:shd w:val="clear"/>
              <w:jc w:val="center"/>
              <w:rPr>
                <w:rFonts w:hint="eastAsia" w:ascii="宋体" w:hAnsi="宋体" w:eastAsia="仿宋_GB2312"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序号</w:t>
            </w:r>
          </w:p>
        </w:tc>
        <w:tc>
          <w:tcPr>
            <w:tcW w:w="1364" w:type="dxa"/>
            <w:vAlign w:val="center"/>
          </w:tcPr>
          <w:p w14:paraId="3B31FA24">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材料</w:t>
            </w:r>
            <w:r>
              <w:rPr>
                <w:rFonts w:hint="eastAsia" w:ascii="宋体" w:hAnsi="宋体" w:eastAsia="宋体" w:cs="宋体"/>
                <w:b/>
                <w:bCs/>
                <w:color w:val="auto"/>
                <w:sz w:val="21"/>
                <w:szCs w:val="21"/>
                <w:highlight w:val="none"/>
              </w:rPr>
              <w:t>名称</w:t>
            </w:r>
          </w:p>
        </w:tc>
        <w:tc>
          <w:tcPr>
            <w:tcW w:w="1334" w:type="dxa"/>
            <w:vAlign w:val="center"/>
          </w:tcPr>
          <w:p w14:paraId="3C41C10E">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1488" w:type="dxa"/>
            <w:vAlign w:val="center"/>
          </w:tcPr>
          <w:p w14:paraId="27BE4FA4">
            <w:pPr>
              <w:shd w:val="clea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规格型号</w:t>
            </w:r>
          </w:p>
        </w:tc>
        <w:tc>
          <w:tcPr>
            <w:tcW w:w="1066" w:type="dxa"/>
            <w:vAlign w:val="center"/>
          </w:tcPr>
          <w:p w14:paraId="78FB6B10">
            <w:pPr>
              <w:shd w:val="clear"/>
              <w:jc w:val="center"/>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产地</w:t>
            </w:r>
          </w:p>
        </w:tc>
        <w:tc>
          <w:tcPr>
            <w:tcW w:w="1700" w:type="dxa"/>
            <w:shd w:val="clear" w:color="auto" w:fill="auto"/>
            <w:vAlign w:val="center"/>
          </w:tcPr>
          <w:p w14:paraId="3D4EAB00">
            <w:pPr>
              <w:shd w:val="clear"/>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生产商</w:t>
            </w:r>
            <w:r>
              <w:rPr>
                <w:rFonts w:hint="eastAsia" w:ascii="宋体" w:hAnsi="宋体" w:eastAsia="宋体" w:cs="宋体"/>
                <w:b/>
                <w:bCs/>
                <w:color w:val="auto"/>
                <w:sz w:val="21"/>
                <w:szCs w:val="21"/>
                <w:highlight w:val="none"/>
                <w:lang w:val="en-US" w:eastAsia="zh-CN"/>
              </w:rPr>
              <w:t>/制造商</w:t>
            </w:r>
          </w:p>
        </w:tc>
        <w:tc>
          <w:tcPr>
            <w:tcW w:w="1096" w:type="dxa"/>
            <w:vAlign w:val="center"/>
          </w:tcPr>
          <w:p w14:paraId="39C9C092">
            <w:pPr>
              <w:shd w:val="clear"/>
              <w:jc w:val="center"/>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eastAsia="zh-CN"/>
              </w:rPr>
              <w:t>备注</w:t>
            </w:r>
          </w:p>
        </w:tc>
      </w:tr>
      <w:tr w14:paraId="2F17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1" w:type="dxa"/>
          </w:tcPr>
          <w:p w14:paraId="5C1DFE28">
            <w:pPr>
              <w:shd w:val="clear"/>
              <w:jc w:val="center"/>
              <w:rPr>
                <w:rFonts w:ascii="宋体" w:hAnsi="宋体" w:cs="宋体"/>
                <w:color w:val="auto"/>
                <w:szCs w:val="21"/>
                <w:highlight w:val="none"/>
              </w:rPr>
            </w:pPr>
          </w:p>
        </w:tc>
        <w:tc>
          <w:tcPr>
            <w:tcW w:w="1364" w:type="dxa"/>
          </w:tcPr>
          <w:p w14:paraId="5EDB890D">
            <w:pPr>
              <w:shd w:val="clea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防水卷材</w:t>
            </w:r>
          </w:p>
        </w:tc>
        <w:tc>
          <w:tcPr>
            <w:tcW w:w="1334" w:type="dxa"/>
          </w:tcPr>
          <w:p w14:paraId="27708222">
            <w:pPr>
              <w:shd w:val="clear"/>
              <w:jc w:val="center"/>
              <w:rPr>
                <w:rFonts w:hint="eastAsia" w:ascii="宋体" w:hAnsi="宋体" w:eastAsia="宋体" w:cs="宋体"/>
                <w:color w:val="auto"/>
                <w:sz w:val="24"/>
                <w:szCs w:val="24"/>
                <w:highlight w:val="none"/>
              </w:rPr>
            </w:pPr>
          </w:p>
        </w:tc>
        <w:tc>
          <w:tcPr>
            <w:tcW w:w="1488" w:type="dxa"/>
          </w:tcPr>
          <w:p w14:paraId="0E9CD4DC">
            <w:pPr>
              <w:shd w:val="clear"/>
              <w:jc w:val="center"/>
              <w:rPr>
                <w:rFonts w:hint="eastAsia" w:ascii="宋体" w:hAnsi="宋体" w:eastAsia="宋体" w:cs="宋体"/>
                <w:color w:val="auto"/>
                <w:sz w:val="24"/>
                <w:szCs w:val="24"/>
                <w:highlight w:val="none"/>
              </w:rPr>
            </w:pPr>
          </w:p>
        </w:tc>
        <w:tc>
          <w:tcPr>
            <w:tcW w:w="1066" w:type="dxa"/>
          </w:tcPr>
          <w:p w14:paraId="7F0F4EE3">
            <w:pPr>
              <w:shd w:val="clear"/>
              <w:jc w:val="center"/>
              <w:rPr>
                <w:rFonts w:hint="eastAsia" w:ascii="宋体" w:hAnsi="宋体" w:eastAsia="宋体" w:cs="宋体"/>
                <w:color w:val="auto"/>
                <w:sz w:val="24"/>
                <w:szCs w:val="24"/>
                <w:highlight w:val="none"/>
              </w:rPr>
            </w:pPr>
          </w:p>
        </w:tc>
        <w:tc>
          <w:tcPr>
            <w:tcW w:w="1700" w:type="dxa"/>
          </w:tcPr>
          <w:p w14:paraId="1AAFE7C7">
            <w:pPr>
              <w:shd w:val="clear"/>
              <w:jc w:val="center"/>
              <w:rPr>
                <w:rFonts w:hint="eastAsia" w:ascii="宋体" w:hAnsi="宋体" w:eastAsia="宋体" w:cs="宋体"/>
                <w:color w:val="auto"/>
                <w:sz w:val="24"/>
                <w:szCs w:val="24"/>
                <w:highlight w:val="none"/>
              </w:rPr>
            </w:pPr>
          </w:p>
        </w:tc>
        <w:tc>
          <w:tcPr>
            <w:tcW w:w="1096" w:type="dxa"/>
          </w:tcPr>
          <w:p w14:paraId="60C2E75E">
            <w:pPr>
              <w:shd w:val="clear"/>
              <w:jc w:val="center"/>
              <w:rPr>
                <w:rFonts w:hint="eastAsia" w:ascii="宋体" w:hAnsi="宋体" w:eastAsia="宋体" w:cs="宋体"/>
                <w:color w:val="auto"/>
                <w:sz w:val="24"/>
                <w:szCs w:val="24"/>
                <w:highlight w:val="none"/>
              </w:rPr>
            </w:pPr>
          </w:p>
        </w:tc>
      </w:tr>
      <w:tr w14:paraId="42DE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1" w:type="dxa"/>
          </w:tcPr>
          <w:p w14:paraId="0A9139C4">
            <w:pPr>
              <w:shd w:val="clear"/>
              <w:jc w:val="center"/>
              <w:rPr>
                <w:rFonts w:ascii="宋体" w:hAnsi="宋体" w:cs="宋体"/>
                <w:color w:val="auto"/>
                <w:szCs w:val="21"/>
                <w:highlight w:val="none"/>
              </w:rPr>
            </w:pPr>
          </w:p>
        </w:tc>
        <w:tc>
          <w:tcPr>
            <w:tcW w:w="1364" w:type="dxa"/>
          </w:tcPr>
          <w:p w14:paraId="005D88FB">
            <w:pPr>
              <w:shd w:val="clear"/>
              <w:jc w:val="center"/>
              <w:rPr>
                <w:rFonts w:hint="eastAsia" w:ascii="宋体" w:hAnsi="宋体" w:eastAsia="宋体" w:cs="宋体"/>
                <w:color w:val="auto"/>
                <w:sz w:val="24"/>
                <w:szCs w:val="24"/>
                <w:highlight w:val="none"/>
              </w:rPr>
            </w:pPr>
          </w:p>
        </w:tc>
        <w:tc>
          <w:tcPr>
            <w:tcW w:w="1334" w:type="dxa"/>
          </w:tcPr>
          <w:p w14:paraId="16BDB36F">
            <w:pPr>
              <w:shd w:val="clear"/>
              <w:jc w:val="center"/>
              <w:rPr>
                <w:rFonts w:hint="eastAsia" w:ascii="宋体" w:hAnsi="宋体" w:eastAsia="宋体" w:cs="宋体"/>
                <w:color w:val="auto"/>
                <w:sz w:val="24"/>
                <w:szCs w:val="24"/>
                <w:highlight w:val="none"/>
              </w:rPr>
            </w:pPr>
          </w:p>
        </w:tc>
        <w:tc>
          <w:tcPr>
            <w:tcW w:w="1488" w:type="dxa"/>
          </w:tcPr>
          <w:p w14:paraId="1FC20BF8">
            <w:pPr>
              <w:shd w:val="clear"/>
              <w:jc w:val="center"/>
              <w:rPr>
                <w:rFonts w:hint="eastAsia" w:ascii="宋体" w:hAnsi="宋体" w:eastAsia="宋体" w:cs="宋体"/>
                <w:color w:val="auto"/>
                <w:sz w:val="24"/>
                <w:szCs w:val="24"/>
                <w:highlight w:val="none"/>
              </w:rPr>
            </w:pPr>
          </w:p>
        </w:tc>
        <w:tc>
          <w:tcPr>
            <w:tcW w:w="1066" w:type="dxa"/>
          </w:tcPr>
          <w:p w14:paraId="06E5A1AE">
            <w:pPr>
              <w:shd w:val="clear"/>
              <w:jc w:val="center"/>
              <w:rPr>
                <w:rFonts w:hint="eastAsia" w:ascii="宋体" w:hAnsi="宋体" w:eastAsia="宋体" w:cs="宋体"/>
                <w:color w:val="auto"/>
                <w:sz w:val="24"/>
                <w:szCs w:val="24"/>
                <w:highlight w:val="none"/>
              </w:rPr>
            </w:pPr>
          </w:p>
        </w:tc>
        <w:tc>
          <w:tcPr>
            <w:tcW w:w="1700" w:type="dxa"/>
          </w:tcPr>
          <w:p w14:paraId="3F1D9572">
            <w:pPr>
              <w:shd w:val="clear"/>
              <w:jc w:val="center"/>
              <w:rPr>
                <w:rFonts w:hint="eastAsia" w:ascii="宋体" w:hAnsi="宋体" w:eastAsia="宋体" w:cs="宋体"/>
                <w:color w:val="auto"/>
                <w:sz w:val="24"/>
                <w:szCs w:val="24"/>
                <w:highlight w:val="none"/>
              </w:rPr>
            </w:pPr>
          </w:p>
        </w:tc>
        <w:tc>
          <w:tcPr>
            <w:tcW w:w="1096" w:type="dxa"/>
          </w:tcPr>
          <w:p w14:paraId="63A5E0EB">
            <w:pPr>
              <w:shd w:val="clear"/>
              <w:jc w:val="center"/>
              <w:rPr>
                <w:rFonts w:hint="eastAsia" w:ascii="宋体" w:hAnsi="宋体" w:eastAsia="宋体" w:cs="宋体"/>
                <w:color w:val="auto"/>
                <w:sz w:val="24"/>
                <w:szCs w:val="24"/>
                <w:highlight w:val="none"/>
              </w:rPr>
            </w:pPr>
          </w:p>
        </w:tc>
      </w:tr>
      <w:tr w14:paraId="27F4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1" w:type="dxa"/>
          </w:tcPr>
          <w:p w14:paraId="337F97D2">
            <w:pPr>
              <w:shd w:val="clear"/>
              <w:jc w:val="center"/>
              <w:rPr>
                <w:rFonts w:ascii="宋体" w:hAnsi="宋体" w:cs="宋体"/>
                <w:color w:val="auto"/>
                <w:szCs w:val="21"/>
                <w:highlight w:val="none"/>
              </w:rPr>
            </w:pPr>
          </w:p>
        </w:tc>
        <w:tc>
          <w:tcPr>
            <w:tcW w:w="1364" w:type="dxa"/>
          </w:tcPr>
          <w:p w14:paraId="50E9DEA9">
            <w:pPr>
              <w:shd w:val="clear"/>
              <w:jc w:val="center"/>
              <w:rPr>
                <w:rFonts w:hint="eastAsia" w:ascii="宋体" w:hAnsi="宋体" w:eastAsia="宋体" w:cs="宋体"/>
                <w:color w:val="auto"/>
                <w:sz w:val="24"/>
                <w:szCs w:val="24"/>
                <w:highlight w:val="none"/>
              </w:rPr>
            </w:pPr>
          </w:p>
        </w:tc>
        <w:tc>
          <w:tcPr>
            <w:tcW w:w="1334" w:type="dxa"/>
          </w:tcPr>
          <w:p w14:paraId="54EF3B79">
            <w:pPr>
              <w:shd w:val="clear"/>
              <w:jc w:val="center"/>
              <w:rPr>
                <w:rFonts w:hint="eastAsia" w:ascii="宋体" w:hAnsi="宋体" w:eastAsia="宋体" w:cs="宋体"/>
                <w:color w:val="auto"/>
                <w:sz w:val="24"/>
                <w:szCs w:val="24"/>
                <w:highlight w:val="none"/>
              </w:rPr>
            </w:pPr>
          </w:p>
        </w:tc>
        <w:tc>
          <w:tcPr>
            <w:tcW w:w="1488" w:type="dxa"/>
          </w:tcPr>
          <w:p w14:paraId="40B9D5FE">
            <w:pPr>
              <w:shd w:val="clear"/>
              <w:jc w:val="center"/>
              <w:rPr>
                <w:rFonts w:hint="eastAsia" w:ascii="宋体" w:hAnsi="宋体" w:eastAsia="宋体" w:cs="宋体"/>
                <w:color w:val="auto"/>
                <w:sz w:val="24"/>
                <w:szCs w:val="24"/>
                <w:highlight w:val="none"/>
              </w:rPr>
            </w:pPr>
          </w:p>
        </w:tc>
        <w:tc>
          <w:tcPr>
            <w:tcW w:w="1066" w:type="dxa"/>
          </w:tcPr>
          <w:p w14:paraId="3420D268">
            <w:pPr>
              <w:shd w:val="clear"/>
              <w:jc w:val="center"/>
              <w:rPr>
                <w:rFonts w:hint="eastAsia" w:ascii="宋体" w:hAnsi="宋体" w:eastAsia="宋体" w:cs="宋体"/>
                <w:color w:val="auto"/>
                <w:sz w:val="24"/>
                <w:szCs w:val="24"/>
                <w:highlight w:val="none"/>
              </w:rPr>
            </w:pPr>
          </w:p>
        </w:tc>
        <w:tc>
          <w:tcPr>
            <w:tcW w:w="1700" w:type="dxa"/>
          </w:tcPr>
          <w:p w14:paraId="26EF8159">
            <w:pPr>
              <w:shd w:val="clear"/>
              <w:jc w:val="center"/>
              <w:rPr>
                <w:rFonts w:hint="eastAsia" w:ascii="宋体" w:hAnsi="宋体" w:eastAsia="宋体" w:cs="宋体"/>
                <w:color w:val="auto"/>
                <w:sz w:val="24"/>
                <w:szCs w:val="24"/>
                <w:highlight w:val="none"/>
              </w:rPr>
            </w:pPr>
          </w:p>
        </w:tc>
        <w:tc>
          <w:tcPr>
            <w:tcW w:w="1096" w:type="dxa"/>
          </w:tcPr>
          <w:p w14:paraId="3E299D5D">
            <w:pPr>
              <w:shd w:val="clear"/>
              <w:jc w:val="center"/>
              <w:rPr>
                <w:rFonts w:hint="eastAsia" w:ascii="宋体" w:hAnsi="宋体" w:eastAsia="宋体" w:cs="宋体"/>
                <w:color w:val="auto"/>
                <w:sz w:val="24"/>
                <w:szCs w:val="24"/>
                <w:highlight w:val="none"/>
              </w:rPr>
            </w:pPr>
          </w:p>
        </w:tc>
      </w:tr>
      <w:tr w14:paraId="6FA1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1" w:type="dxa"/>
          </w:tcPr>
          <w:p w14:paraId="5FE933B6">
            <w:pPr>
              <w:shd w:val="clear"/>
              <w:jc w:val="center"/>
              <w:rPr>
                <w:rFonts w:ascii="宋体" w:hAnsi="宋体" w:cs="宋体"/>
                <w:color w:val="auto"/>
                <w:szCs w:val="21"/>
                <w:highlight w:val="none"/>
              </w:rPr>
            </w:pPr>
          </w:p>
          <w:p w14:paraId="1326899E">
            <w:pPr>
              <w:shd w:val="clear"/>
              <w:jc w:val="center"/>
              <w:rPr>
                <w:rFonts w:ascii="宋体" w:hAnsi="宋体" w:cs="宋体"/>
                <w:color w:val="auto"/>
                <w:szCs w:val="21"/>
                <w:highlight w:val="none"/>
              </w:rPr>
            </w:pPr>
          </w:p>
        </w:tc>
        <w:tc>
          <w:tcPr>
            <w:tcW w:w="1364" w:type="dxa"/>
          </w:tcPr>
          <w:p w14:paraId="6A78E4AD">
            <w:pPr>
              <w:shd w:val="clear"/>
              <w:jc w:val="center"/>
              <w:rPr>
                <w:rFonts w:hint="eastAsia" w:ascii="宋体" w:hAnsi="宋体" w:eastAsia="宋体" w:cs="宋体"/>
                <w:color w:val="auto"/>
                <w:sz w:val="24"/>
                <w:szCs w:val="24"/>
                <w:highlight w:val="none"/>
              </w:rPr>
            </w:pPr>
          </w:p>
        </w:tc>
        <w:tc>
          <w:tcPr>
            <w:tcW w:w="1334" w:type="dxa"/>
          </w:tcPr>
          <w:p w14:paraId="5EF72AAC">
            <w:pPr>
              <w:shd w:val="clear"/>
              <w:jc w:val="center"/>
              <w:rPr>
                <w:rFonts w:hint="eastAsia" w:ascii="宋体" w:hAnsi="宋体" w:eastAsia="宋体" w:cs="宋体"/>
                <w:color w:val="auto"/>
                <w:sz w:val="24"/>
                <w:szCs w:val="24"/>
                <w:highlight w:val="none"/>
              </w:rPr>
            </w:pPr>
          </w:p>
        </w:tc>
        <w:tc>
          <w:tcPr>
            <w:tcW w:w="1488" w:type="dxa"/>
          </w:tcPr>
          <w:p w14:paraId="49A17C27">
            <w:pPr>
              <w:shd w:val="clear"/>
              <w:jc w:val="center"/>
              <w:rPr>
                <w:rFonts w:hint="eastAsia" w:ascii="宋体" w:hAnsi="宋体" w:eastAsia="宋体" w:cs="宋体"/>
                <w:color w:val="auto"/>
                <w:sz w:val="24"/>
                <w:szCs w:val="24"/>
                <w:highlight w:val="none"/>
              </w:rPr>
            </w:pPr>
          </w:p>
        </w:tc>
        <w:tc>
          <w:tcPr>
            <w:tcW w:w="1066" w:type="dxa"/>
          </w:tcPr>
          <w:p w14:paraId="03D88C88">
            <w:pPr>
              <w:shd w:val="clear"/>
              <w:jc w:val="center"/>
              <w:rPr>
                <w:rFonts w:hint="eastAsia" w:ascii="宋体" w:hAnsi="宋体" w:eastAsia="宋体" w:cs="宋体"/>
                <w:color w:val="auto"/>
                <w:sz w:val="24"/>
                <w:szCs w:val="24"/>
                <w:highlight w:val="none"/>
              </w:rPr>
            </w:pPr>
          </w:p>
        </w:tc>
        <w:tc>
          <w:tcPr>
            <w:tcW w:w="1700" w:type="dxa"/>
          </w:tcPr>
          <w:p w14:paraId="24DA10B4">
            <w:pPr>
              <w:shd w:val="clear"/>
              <w:jc w:val="center"/>
              <w:rPr>
                <w:rFonts w:hint="eastAsia" w:ascii="宋体" w:hAnsi="宋体" w:eastAsia="宋体" w:cs="宋体"/>
                <w:color w:val="auto"/>
                <w:sz w:val="24"/>
                <w:szCs w:val="24"/>
                <w:highlight w:val="none"/>
              </w:rPr>
            </w:pPr>
          </w:p>
        </w:tc>
        <w:tc>
          <w:tcPr>
            <w:tcW w:w="1096" w:type="dxa"/>
          </w:tcPr>
          <w:p w14:paraId="47A4EC26">
            <w:pPr>
              <w:shd w:val="clear"/>
              <w:jc w:val="center"/>
              <w:rPr>
                <w:rFonts w:hint="eastAsia" w:ascii="宋体" w:hAnsi="宋体" w:eastAsia="宋体" w:cs="宋体"/>
                <w:color w:val="auto"/>
                <w:sz w:val="24"/>
                <w:szCs w:val="24"/>
                <w:highlight w:val="none"/>
              </w:rPr>
            </w:pPr>
          </w:p>
        </w:tc>
      </w:tr>
      <w:tr w14:paraId="75C0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1" w:type="dxa"/>
          </w:tcPr>
          <w:p w14:paraId="08417E4A">
            <w:pPr>
              <w:shd w:val="clear"/>
              <w:jc w:val="center"/>
              <w:rPr>
                <w:rFonts w:ascii="宋体" w:hAnsi="宋体" w:cs="宋体"/>
                <w:color w:val="auto"/>
                <w:szCs w:val="21"/>
                <w:highlight w:val="none"/>
              </w:rPr>
            </w:pPr>
          </w:p>
        </w:tc>
        <w:tc>
          <w:tcPr>
            <w:tcW w:w="1364" w:type="dxa"/>
          </w:tcPr>
          <w:p w14:paraId="2E7464FA">
            <w:pPr>
              <w:shd w:val="clear"/>
              <w:jc w:val="center"/>
              <w:rPr>
                <w:rFonts w:hint="eastAsia" w:ascii="宋体" w:hAnsi="宋体" w:eastAsia="宋体" w:cs="宋体"/>
                <w:color w:val="auto"/>
                <w:sz w:val="24"/>
                <w:szCs w:val="24"/>
                <w:highlight w:val="none"/>
              </w:rPr>
            </w:pPr>
          </w:p>
        </w:tc>
        <w:tc>
          <w:tcPr>
            <w:tcW w:w="1334" w:type="dxa"/>
          </w:tcPr>
          <w:p w14:paraId="4806D063">
            <w:pPr>
              <w:shd w:val="clear"/>
              <w:jc w:val="center"/>
              <w:rPr>
                <w:rFonts w:hint="eastAsia" w:ascii="宋体" w:hAnsi="宋体" w:eastAsia="宋体" w:cs="宋体"/>
                <w:color w:val="auto"/>
                <w:sz w:val="24"/>
                <w:szCs w:val="24"/>
                <w:highlight w:val="none"/>
              </w:rPr>
            </w:pPr>
          </w:p>
        </w:tc>
        <w:tc>
          <w:tcPr>
            <w:tcW w:w="1488" w:type="dxa"/>
          </w:tcPr>
          <w:p w14:paraId="68520DB7">
            <w:pPr>
              <w:shd w:val="clear"/>
              <w:jc w:val="center"/>
              <w:rPr>
                <w:rFonts w:hint="eastAsia" w:ascii="宋体" w:hAnsi="宋体" w:eastAsia="宋体" w:cs="宋体"/>
                <w:color w:val="auto"/>
                <w:sz w:val="24"/>
                <w:szCs w:val="24"/>
                <w:highlight w:val="none"/>
              </w:rPr>
            </w:pPr>
          </w:p>
        </w:tc>
        <w:tc>
          <w:tcPr>
            <w:tcW w:w="1066" w:type="dxa"/>
          </w:tcPr>
          <w:p w14:paraId="0BEA4BDF">
            <w:pPr>
              <w:shd w:val="clear"/>
              <w:jc w:val="center"/>
              <w:rPr>
                <w:rFonts w:hint="eastAsia" w:ascii="宋体" w:hAnsi="宋体" w:eastAsia="宋体" w:cs="宋体"/>
                <w:color w:val="auto"/>
                <w:sz w:val="24"/>
                <w:szCs w:val="24"/>
                <w:highlight w:val="none"/>
              </w:rPr>
            </w:pPr>
          </w:p>
        </w:tc>
        <w:tc>
          <w:tcPr>
            <w:tcW w:w="1700" w:type="dxa"/>
          </w:tcPr>
          <w:p w14:paraId="114326BE">
            <w:pPr>
              <w:shd w:val="clear"/>
              <w:jc w:val="center"/>
              <w:rPr>
                <w:rFonts w:hint="eastAsia" w:ascii="宋体" w:hAnsi="宋体" w:eastAsia="宋体" w:cs="宋体"/>
                <w:color w:val="auto"/>
                <w:sz w:val="24"/>
                <w:szCs w:val="24"/>
                <w:highlight w:val="none"/>
              </w:rPr>
            </w:pPr>
          </w:p>
        </w:tc>
        <w:tc>
          <w:tcPr>
            <w:tcW w:w="1096" w:type="dxa"/>
          </w:tcPr>
          <w:p w14:paraId="10677409">
            <w:pPr>
              <w:shd w:val="clear"/>
              <w:jc w:val="center"/>
              <w:rPr>
                <w:rFonts w:hint="eastAsia" w:ascii="宋体" w:hAnsi="宋体" w:eastAsia="宋体" w:cs="宋体"/>
                <w:color w:val="auto"/>
                <w:sz w:val="24"/>
                <w:szCs w:val="24"/>
                <w:highlight w:val="none"/>
              </w:rPr>
            </w:pPr>
          </w:p>
        </w:tc>
      </w:tr>
      <w:tr w14:paraId="1016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1" w:type="dxa"/>
          </w:tcPr>
          <w:p w14:paraId="19F88C77">
            <w:pPr>
              <w:shd w:val="clear"/>
              <w:jc w:val="center"/>
              <w:rPr>
                <w:rFonts w:ascii="宋体" w:hAnsi="宋体" w:cs="宋体"/>
                <w:color w:val="auto"/>
                <w:szCs w:val="21"/>
                <w:highlight w:val="none"/>
              </w:rPr>
            </w:pPr>
          </w:p>
          <w:p w14:paraId="2BC00B3E">
            <w:pPr>
              <w:shd w:val="clear"/>
              <w:jc w:val="center"/>
              <w:rPr>
                <w:rFonts w:ascii="宋体" w:hAnsi="宋体" w:cs="宋体"/>
                <w:color w:val="auto"/>
                <w:szCs w:val="21"/>
                <w:highlight w:val="none"/>
              </w:rPr>
            </w:pPr>
          </w:p>
        </w:tc>
        <w:tc>
          <w:tcPr>
            <w:tcW w:w="1364" w:type="dxa"/>
          </w:tcPr>
          <w:p w14:paraId="0F8666FA">
            <w:pPr>
              <w:shd w:val="clear"/>
              <w:jc w:val="center"/>
              <w:rPr>
                <w:rFonts w:hint="eastAsia" w:ascii="宋体" w:hAnsi="宋体" w:eastAsia="宋体" w:cs="宋体"/>
                <w:color w:val="auto"/>
                <w:sz w:val="24"/>
                <w:szCs w:val="24"/>
                <w:highlight w:val="none"/>
              </w:rPr>
            </w:pPr>
          </w:p>
        </w:tc>
        <w:tc>
          <w:tcPr>
            <w:tcW w:w="1334" w:type="dxa"/>
          </w:tcPr>
          <w:p w14:paraId="71CC0558">
            <w:pPr>
              <w:shd w:val="clear"/>
              <w:jc w:val="center"/>
              <w:rPr>
                <w:rFonts w:hint="eastAsia" w:ascii="宋体" w:hAnsi="宋体" w:eastAsia="宋体" w:cs="宋体"/>
                <w:color w:val="auto"/>
                <w:sz w:val="24"/>
                <w:szCs w:val="24"/>
                <w:highlight w:val="none"/>
              </w:rPr>
            </w:pPr>
          </w:p>
        </w:tc>
        <w:tc>
          <w:tcPr>
            <w:tcW w:w="1488" w:type="dxa"/>
          </w:tcPr>
          <w:p w14:paraId="60EE7799">
            <w:pPr>
              <w:shd w:val="clear"/>
              <w:jc w:val="center"/>
              <w:rPr>
                <w:rFonts w:hint="eastAsia" w:ascii="宋体" w:hAnsi="宋体" w:eastAsia="宋体" w:cs="宋体"/>
                <w:color w:val="auto"/>
                <w:sz w:val="24"/>
                <w:szCs w:val="24"/>
                <w:highlight w:val="none"/>
              </w:rPr>
            </w:pPr>
          </w:p>
        </w:tc>
        <w:tc>
          <w:tcPr>
            <w:tcW w:w="1066" w:type="dxa"/>
          </w:tcPr>
          <w:p w14:paraId="28B5982F">
            <w:pPr>
              <w:shd w:val="clear"/>
              <w:jc w:val="center"/>
              <w:rPr>
                <w:rFonts w:hint="eastAsia" w:ascii="宋体" w:hAnsi="宋体" w:eastAsia="宋体" w:cs="宋体"/>
                <w:color w:val="auto"/>
                <w:sz w:val="24"/>
                <w:szCs w:val="24"/>
                <w:highlight w:val="none"/>
              </w:rPr>
            </w:pPr>
          </w:p>
        </w:tc>
        <w:tc>
          <w:tcPr>
            <w:tcW w:w="1700" w:type="dxa"/>
          </w:tcPr>
          <w:p w14:paraId="5AB78C63">
            <w:pPr>
              <w:shd w:val="clear"/>
              <w:jc w:val="center"/>
              <w:rPr>
                <w:rFonts w:hint="eastAsia" w:ascii="宋体" w:hAnsi="宋体" w:eastAsia="宋体" w:cs="宋体"/>
                <w:color w:val="auto"/>
                <w:sz w:val="24"/>
                <w:szCs w:val="24"/>
                <w:highlight w:val="none"/>
              </w:rPr>
            </w:pPr>
          </w:p>
        </w:tc>
        <w:tc>
          <w:tcPr>
            <w:tcW w:w="1096" w:type="dxa"/>
          </w:tcPr>
          <w:p w14:paraId="7A507980">
            <w:pPr>
              <w:shd w:val="clear"/>
              <w:jc w:val="center"/>
              <w:rPr>
                <w:rFonts w:hint="eastAsia" w:ascii="宋体" w:hAnsi="宋体" w:eastAsia="宋体" w:cs="宋体"/>
                <w:color w:val="auto"/>
                <w:sz w:val="24"/>
                <w:szCs w:val="24"/>
                <w:highlight w:val="none"/>
              </w:rPr>
            </w:pPr>
          </w:p>
        </w:tc>
      </w:tr>
      <w:tr w14:paraId="7701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1" w:type="dxa"/>
          </w:tcPr>
          <w:p w14:paraId="3AEDA8A6">
            <w:pPr>
              <w:shd w:val="clear"/>
              <w:jc w:val="center"/>
              <w:rPr>
                <w:rFonts w:ascii="宋体" w:hAnsi="宋体" w:cs="宋体"/>
                <w:color w:val="auto"/>
                <w:szCs w:val="21"/>
                <w:highlight w:val="none"/>
              </w:rPr>
            </w:pPr>
          </w:p>
        </w:tc>
        <w:tc>
          <w:tcPr>
            <w:tcW w:w="1364" w:type="dxa"/>
          </w:tcPr>
          <w:p w14:paraId="50BEDB2F">
            <w:pPr>
              <w:shd w:val="clear"/>
              <w:jc w:val="center"/>
              <w:rPr>
                <w:rFonts w:hint="eastAsia" w:ascii="宋体" w:hAnsi="宋体" w:eastAsia="宋体" w:cs="宋体"/>
                <w:color w:val="auto"/>
                <w:sz w:val="24"/>
                <w:szCs w:val="24"/>
                <w:highlight w:val="none"/>
              </w:rPr>
            </w:pPr>
          </w:p>
        </w:tc>
        <w:tc>
          <w:tcPr>
            <w:tcW w:w="1334" w:type="dxa"/>
          </w:tcPr>
          <w:p w14:paraId="1021716B">
            <w:pPr>
              <w:shd w:val="clear"/>
              <w:jc w:val="center"/>
              <w:rPr>
                <w:rFonts w:hint="eastAsia" w:ascii="宋体" w:hAnsi="宋体" w:eastAsia="宋体" w:cs="宋体"/>
                <w:color w:val="auto"/>
                <w:sz w:val="24"/>
                <w:szCs w:val="24"/>
                <w:highlight w:val="none"/>
              </w:rPr>
            </w:pPr>
          </w:p>
        </w:tc>
        <w:tc>
          <w:tcPr>
            <w:tcW w:w="1488" w:type="dxa"/>
          </w:tcPr>
          <w:p w14:paraId="3AC481CE">
            <w:pPr>
              <w:shd w:val="clear"/>
              <w:jc w:val="center"/>
              <w:rPr>
                <w:rFonts w:hint="eastAsia" w:ascii="宋体" w:hAnsi="宋体" w:eastAsia="宋体" w:cs="宋体"/>
                <w:color w:val="auto"/>
                <w:sz w:val="24"/>
                <w:szCs w:val="24"/>
                <w:highlight w:val="none"/>
              </w:rPr>
            </w:pPr>
          </w:p>
        </w:tc>
        <w:tc>
          <w:tcPr>
            <w:tcW w:w="1066" w:type="dxa"/>
          </w:tcPr>
          <w:p w14:paraId="6F097111">
            <w:pPr>
              <w:shd w:val="clear"/>
              <w:jc w:val="center"/>
              <w:rPr>
                <w:rFonts w:hint="eastAsia" w:ascii="宋体" w:hAnsi="宋体" w:eastAsia="宋体" w:cs="宋体"/>
                <w:color w:val="auto"/>
                <w:sz w:val="24"/>
                <w:szCs w:val="24"/>
                <w:highlight w:val="none"/>
              </w:rPr>
            </w:pPr>
          </w:p>
        </w:tc>
        <w:tc>
          <w:tcPr>
            <w:tcW w:w="1700" w:type="dxa"/>
          </w:tcPr>
          <w:p w14:paraId="08F1D7CF">
            <w:pPr>
              <w:shd w:val="clear"/>
              <w:jc w:val="center"/>
              <w:rPr>
                <w:rFonts w:hint="eastAsia" w:ascii="宋体" w:hAnsi="宋体" w:eastAsia="宋体" w:cs="宋体"/>
                <w:color w:val="auto"/>
                <w:sz w:val="24"/>
                <w:szCs w:val="24"/>
                <w:highlight w:val="none"/>
              </w:rPr>
            </w:pPr>
          </w:p>
        </w:tc>
        <w:tc>
          <w:tcPr>
            <w:tcW w:w="1096" w:type="dxa"/>
          </w:tcPr>
          <w:p w14:paraId="5338856F">
            <w:pPr>
              <w:shd w:val="clear"/>
              <w:jc w:val="center"/>
              <w:rPr>
                <w:rFonts w:hint="eastAsia" w:ascii="宋体" w:hAnsi="宋体" w:eastAsia="宋体" w:cs="宋体"/>
                <w:color w:val="auto"/>
                <w:sz w:val="24"/>
                <w:szCs w:val="24"/>
                <w:highlight w:val="none"/>
              </w:rPr>
            </w:pPr>
          </w:p>
        </w:tc>
      </w:tr>
    </w:tbl>
    <w:p w14:paraId="1A1D1AA0">
      <w:pPr>
        <w:pStyle w:val="17"/>
        <w:ind w:firstLine="420" w:firstLineChars="200"/>
        <w:jc w:val="both"/>
        <w:rPr>
          <w:rFonts w:hint="eastAsia" w:asciiTheme="minorEastAsia" w:hAnsiTheme="minorEastAsia" w:eastAsiaTheme="minorEastAsia" w:cstheme="minorEastAsia"/>
          <w:b w:val="0"/>
          <w:bCs w:val="0"/>
          <w:color w:val="auto"/>
          <w:sz w:val="21"/>
          <w:szCs w:val="21"/>
          <w:lang w:eastAsia="zh-CN"/>
        </w:rPr>
      </w:pPr>
    </w:p>
    <w:p w14:paraId="6E60CFC2">
      <w:pPr>
        <w:rPr>
          <w:rFonts w:hint="eastAsia" w:asciiTheme="minorEastAsia" w:hAnsiTheme="minorEastAsia" w:eastAsiaTheme="minorEastAsia" w:cstheme="minorEastAsia"/>
          <w:b/>
          <w:bCs/>
          <w:color w:val="auto"/>
          <w:sz w:val="24"/>
          <w:szCs w:val="24"/>
          <w:lang w:val="en-US" w:eastAsia="zh-CN"/>
        </w:rPr>
      </w:pPr>
    </w:p>
    <w:p w14:paraId="02E02C0F">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（单位电子印章）</w:t>
      </w:r>
    </w:p>
    <w:p w14:paraId="47D6A371">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（电子签章或签字）</w:t>
      </w:r>
    </w:p>
    <w:p w14:paraId="791C6BD7">
      <w:pPr>
        <w:ind w:firstLine="630" w:firstLineChars="300"/>
        <w:rPr>
          <w:rFonts w:hint="eastAsia" w:asciiTheme="minorEastAsia" w:hAnsiTheme="minorEastAsia" w:eastAsiaTheme="minorEastAsia" w:cstheme="minorEastAsia"/>
          <w:b/>
          <w:bCs/>
          <w:color w:val="auto"/>
          <w:sz w:val="24"/>
          <w:szCs w:val="24"/>
          <w:lang w:val="en-US" w:eastAsia="zh-CN"/>
        </w:rPr>
      </w:pPr>
      <w:r>
        <w:rPr>
          <w:rFonts w:hint="eastAsia" w:ascii="宋体" w:hAnsi="宋体" w:eastAsia="宋体" w:cs="宋体"/>
          <w:color w:val="auto"/>
          <w:sz w:val="21"/>
          <w:szCs w:val="21"/>
          <w:highlight w:val="none"/>
        </w:rPr>
        <w:t>日      期：   年  月   日</w:t>
      </w:r>
    </w:p>
    <w:p w14:paraId="4691FA0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cs="宋体"/>
          <w:b/>
          <w:bCs/>
          <w:color w:val="auto"/>
          <w:sz w:val="24"/>
          <w:szCs w:val="24"/>
          <w:lang w:val="en-US" w:eastAsia="zh-CN"/>
        </w:rPr>
      </w:pPr>
    </w:p>
    <w:p w14:paraId="501B53FE">
      <w:pPr>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br w:type="page"/>
      </w:r>
    </w:p>
    <w:p w14:paraId="2ECAD240">
      <w:pPr>
        <w:rPr>
          <w:rFonts w:hint="eastAsia" w:ascii="宋体" w:hAnsi="宋体" w:cs="宋体"/>
          <w:b/>
          <w:bCs/>
          <w:color w:val="auto"/>
          <w:sz w:val="24"/>
          <w:szCs w:val="24"/>
          <w:lang w:val="en-US" w:eastAsia="zh-CN"/>
        </w:rPr>
      </w:pPr>
    </w:p>
    <w:p w14:paraId="642BC8B0">
      <w:pPr>
        <w:spacing w:line="360" w:lineRule="auto"/>
        <w:jc w:val="center"/>
        <w:outlineLvl w:val="2"/>
        <w:rPr>
          <w:rFonts w:ascii="宋体" w:hAnsi="宋体" w:cs="宋体"/>
          <w:color w:val="auto"/>
          <w:sz w:val="24"/>
          <w:highlight w:val="none"/>
        </w:rPr>
      </w:pPr>
      <w:r>
        <w:rPr>
          <w:rFonts w:hint="eastAsia" w:ascii="宋体" w:hAnsi="宋体" w:cs="宋体"/>
          <w:b/>
          <w:bCs/>
          <w:color w:val="auto"/>
          <w:sz w:val="24"/>
          <w:szCs w:val="24"/>
          <w:lang w:val="en-US" w:eastAsia="zh-CN"/>
        </w:rPr>
        <w:t>6.</w:t>
      </w:r>
      <w:r>
        <w:rPr>
          <w:rFonts w:hint="eastAsia" w:ascii="宋体" w:hAnsi="宋体" w:cs="宋体"/>
          <w:b/>
          <w:bCs/>
          <w:color w:val="auto"/>
          <w:sz w:val="24"/>
          <w:highlight w:val="none"/>
        </w:rPr>
        <w:t>政府采购优先采购</w:t>
      </w:r>
      <w:r>
        <w:rPr>
          <w:rFonts w:hint="eastAsia" w:ascii="宋体" w:hAnsi="宋体" w:cs="宋体"/>
          <w:b/>
          <w:bCs/>
          <w:color w:val="auto"/>
          <w:sz w:val="24"/>
          <w:highlight w:val="none"/>
          <w:lang w:eastAsia="zh-CN"/>
        </w:rPr>
        <w:t>环境标志</w:t>
      </w:r>
      <w:r>
        <w:rPr>
          <w:rFonts w:hint="eastAsia" w:ascii="宋体" w:hAnsi="宋体" w:cs="宋体"/>
          <w:b/>
          <w:bCs/>
          <w:color w:val="auto"/>
          <w:sz w:val="24"/>
          <w:highlight w:val="none"/>
        </w:rPr>
        <w:t>清单产品（如有）</w:t>
      </w:r>
    </w:p>
    <w:tbl>
      <w:tblPr>
        <w:tblStyle w:val="200"/>
        <w:tblW w:w="79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8"/>
        <w:gridCol w:w="1801"/>
        <w:gridCol w:w="1317"/>
        <w:gridCol w:w="1317"/>
        <w:gridCol w:w="1319"/>
        <w:gridCol w:w="1328"/>
      </w:tblGrid>
      <w:tr w14:paraId="2B545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7920" w:type="dxa"/>
            <w:gridSpan w:val="6"/>
            <w:vAlign w:val="center"/>
          </w:tcPr>
          <w:p w14:paraId="285ED413">
            <w:pPr>
              <w:pStyle w:val="103"/>
              <w:adjustRightInd w:val="0"/>
              <w:snapToGrid w:val="0"/>
              <w:spacing w:line="360" w:lineRule="auto"/>
              <w:jc w:val="center"/>
              <w:rPr>
                <w:color w:val="auto"/>
                <w:sz w:val="21"/>
                <w:szCs w:val="21"/>
                <w:highlight w:val="none"/>
                <w:lang w:eastAsia="zh-CN"/>
              </w:rPr>
            </w:pPr>
            <w:r>
              <w:rPr>
                <w:rFonts w:hint="eastAsia"/>
                <w:color w:val="auto"/>
                <w:spacing w:val="-1"/>
                <w:sz w:val="21"/>
                <w:szCs w:val="21"/>
                <w:highlight w:val="none"/>
                <w:lang w:eastAsia="zh-CN"/>
              </w:rPr>
              <w:t>工程中使用的通过环境标志认证的产品</w:t>
            </w:r>
          </w:p>
        </w:tc>
      </w:tr>
      <w:tr w14:paraId="2BED8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838" w:type="dxa"/>
            <w:vAlign w:val="center"/>
          </w:tcPr>
          <w:p w14:paraId="14A9DE6F">
            <w:pPr>
              <w:pStyle w:val="103"/>
              <w:adjustRightInd w:val="0"/>
              <w:snapToGrid w:val="0"/>
              <w:spacing w:line="360" w:lineRule="auto"/>
              <w:jc w:val="center"/>
              <w:rPr>
                <w:color w:val="auto"/>
                <w:sz w:val="21"/>
                <w:szCs w:val="21"/>
                <w:highlight w:val="none"/>
              </w:rPr>
            </w:pPr>
            <w:r>
              <w:rPr>
                <w:rFonts w:hint="eastAsia"/>
                <w:color w:val="auto"/>
                <w:spacing w:val="-2"/>
                <w:sz w:val="21"/>
                <w:szCs w:val="21"/>
                <w:highlight w:val="none"/>
              </w:rPr>
              <w:t>序号</w:t>
            </w:r>
          </w:p>
        </w:tc>
        <w:tc>
          <w:tcPr>
            <w:tcW w:w="1801" w:type="dxa"/>
            <w:vAlign w:val="center"/>
          </w:tcPr>
          <w:p w14:paraId="009F8749">
            <w:pPr>
              <w:pStyle w:val="103"/>
              <w:adjustRightInd w:val="0"/>
              <w:snapToGrid w:val="0"/>
              <w:spacing w:line="360" w:lineRule="auto"/>
              <w:jc w:val="center"/>
              <w:rPr>
                <w:color w:val="auto"/>
                <w:sz w:val="21"/>
                <w:szCs w:val="21"/>
                <w:highlight w:val="none"/>
              </w:rPr>
            </w:pPr>
            <w:r>
              <w:rPr>
                <w:rFonts w:hint="eastAsia"/>
                <w:color w:val="auto"/>
                <w:spacing w:val="-3"/>
                <w:sz w:val="21"/>
                <w:szCs w:val="21"/>
                <w:highlight w:val="none"/>
                <w:lang w:eastAsia="zh-CN"/>
              </w:rPr>
              <w:t>产品</w:t>
            </w:r>
            <w:r>
              <w:rPr>
                <w:rFonts w:hint="eastAsia"/>
                <w:color w:val="auto"/>
                <w:spacing w:val="-3"/>
                <w:sz w:val="21"/>
                <w:szCs w:val="21"/>
                <w:highlight w:val="none"/>
              </w:rPr>
              <w:t>名称</w:t>
            </w:r>
          </w:p>
        </w:tc>
        <w:tc>
          <w:tcPr>
            <w:tcW w:w="1317" w:type="dxa"/>
            <w:vAlign w:val="center"/>
          </w:tcPr>
          <w:p w14:paraId="33616469">
            <w:pPr>
              <w:pStyle w:val="103"/>
              <w:adjustRightInd w:val="0"/>
              <w:snapToGrid w:val="0"/>
              <w:spacing w:line="360" w:lineRule="auto"/>
              <w:jc w:val="center"/>
              <w:rPr>
                <w:color w:val="auto"/>
                <w:sz w:val="21"/>
                <w:szCs w:val="21"/>
                <w:highlight w:val="none"/>
              </w:rPr>
            </w:pPr>
            <w:r>
              <w:rPr>
                <w:rFonts w:hint="eastAsia"/>
                <w:color w:val="auto"/>
                <w:spacing w:val="-2"/>
                <w:sz w:val="21"/>
                <w:szCs w:val="21"/>
                <w:highlight w:val="none"/>
                <w:lang w:eastAsia="zh-CN"/>
              </w:rPr>
              <w:t>品牌</w:t>
            </w:r>
            <w:r>
              <w:rPr>
                <w:rFonts w:hint="eastAsia"/>
                <w:color w:val="auto"/>
                <w:spacing w:val="-2"/>
                <w:sz w:val="21"/>
                <w:szCs w:val="21"/>
                <w:highlight w:val="none"/>
              </w:rPr>
              <w:t>型号</w:t>
            </w:r>
          </w:p>
        </w:tc>
        <w:tc>
          <w:tcPr>
            <w:tcW w:w="1317" w:type="dxa"/>
            <w:vAlign w:val="center"/>
          </w:tcPr>
          <w:p w14:paraId="2DE1F3BB">
            <w:pPr>
              <w:pStyle w:val="103"/>
              <w:adjustRightInd w:val="0"/>
              <w:snapToGrid w:val="0"/>
              <w:spacing w:line="360" w:lineRule="auto"/>
              <w:jc w:val="center"/>
              <w:rPr>
                <w:color w:val="auto"/>
                <w:sz w:val="21"/>
                <w:szCs w:val="21"/>
                <w:highlight w:val="none"/>
              </w:rPr>
            </w:pPr>
            <w:r>
              <w:rPr>
                <w:rFonts w:hint="eastAsia"/>
                <w:color w:val="auto"/>
                <w:spacing w:val="-2"/>
                <w:sz w:val="21"/>
                <w:szCs w:val="21"/>
                <w:highlight w:val="none"/>
              </w:rPr>
              <w:t>生产厂商</w:t>
            </w:r>
          </w:p>
        </w:tc>
        <w:tc>
          <w:tcPr>
            <w:tcW w:w="1319" w:type="dxa"/>
            <w:vAlign w:val="center"/>
          </w:tcPr>
          <w:p w14:paraId="0B22DDCC">
            <w:pPr>
              <w:pStyle w:val="103"/>
              <w:adjustRightInd w:val="0"/>
              <w:snapToGrid w:val="0"/>
              <w:spacing w:line="360" w:lineRule="auto"/>
              <w:jc w:val="center"/>
              <w:rPr>
                <w:color w:val="auto"/>
                <w:sz w:val="21"/>
                <w:szCs w:val="21"/>
                <w:highlight w:val="none"/>
              </w:rPr>
            </w:pPr>
            <w:r>
              <w:rPr>
                <w:rFonts w:hint="eastAsia"/>
                <w:color w:val="auto"/>
                <w:spacing w:val="-2"/>
                <w:sz w:val="21"/>
                <w:szCs w:val="21"/>
                <w:highlight w:val="none"/>
              </w:rPr>
              <w:t>证书编号</w:t>
            </w:r>
          </w:p>
        </w:tc>
        <w:tc>
          <w:tcPr>
            <w:tcW w:w="1328" w:type="dxa"/>
            <w:vAlign w:val="center"/>
          </w:tcPr>
          <w:p w14:paraId="059716C6">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07BAA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838" w:type="dxa"/>
            <w:vAlign w:val="center"/>
          </w:tcPr>
          <w:p w14:paraId="2BB394B1">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801" w:type="dxa"/>
            <w:vAlign w:val="center"/>
          </w:tcPr>
          <w:p w14:paraId="5A5016BA">
            <w:pPr>
              <w:adjustRightInd w:val="0"/>
              <w:snapToGrid w:val="0"/>
              <w:spacing w:line="360" w:lineRule="auto"/>
              <w:jc w:val="center"/>
              <w:rPr>
                <w:rFonts w:ascii="宋体" w:hAnsi="宋体" w:cs="宋体"/>
                <w:color w:val="auto"/>
                <w:szCs w:val="21"/>
                <w:highlight w:val="none"/>
              </w:rPr>
            </w:pPr>
          </w:p>
        </w:tc>
        <w:tc>
          <w:tcPr>
            <w:tcW w:w="1317" w:type="dxa"/>
            <w:vAlign w:val="center"/>
          </w:tcPr>
          <w:p w14:paraId="116B411B">
            <w:pPr>
              <w:adjustRightInd w:val="0"/>
              <w:snapToGrid w:val="0"/>
              <w:spacing w:line="360" w:lineRule="auto"/>
              <w:jc w:val="center"/>
              <w:rPr>
                <w:rFonts w:ascii="宋体" w:hAnsi="宋体" w:cs="宋体"/>
                <w:color w:val="auto"/>
                <w:szCs w:val="21"/>
                <w:highlight w:val="none"/>
              </w:rPr>
            </w:pPr>
          </w:p>
        </w:tc>
        <w:tc>
          <w:tcPr>
            <w:tcW w:w="1317" w:type="dxa"/>
            <w:vAlign w:val="center"/>
          </w:tcPr>
          <w:p w14:paraId="72ACC477">
            <w:pPr>
              <w:adjustRightInd w:val="0"/>
              <w:snapToGrid w:val="0"/>
              <w:spacing w:line="360" w:lineRule="auto"/>
              <w:jc w:val="center"/>
              <w:rPr>
                <w:rFonts w:ascii="宋体" w:hAnsi="宋体" w:cs="宋体"/>
                <w:color w:val="auto"/>
                <w:szCs w:val="21"/>
                <w:highlight w:val="none"/>
              </w:rPr>
            </w:pPr>
          </w:p>
        </w:tc>
        <w:tc>
          <w:tcPr>
            <w:tcW w:w="1319" w:type="dxa"/>
            <w:vAlign w:val="center"/>
          </w:tcPr>
          <w:p w14:paraId="2F784C77">
            <w:pPr>
              <w:adjustRightInd w:val="0"/>
              <w:snapToGrid w:val="0"/>
              <w:spacing w:line="360" w:lineRule="auto"/>
              <w:jc w:val="center"/>
              <w:rPr>
                <w:rFonts w:ascii="宋体" w:hAnsi="宋体" w:cs="宋体"/>
                <w:color w:val="auto"/>
                <w:szCs w:val="21"/>
                <w:highlight w:val="none"/>
              </w:rPr>
            </w:pPr>
          </w:p>
        </w:tc>
        <w:tc>
          <w:tcPr>
            <w:tcW w:w="1328" w:type="dxa"/>
            <w:vAlign w:val="center"/>
          </w:tcPr>
          <w:p w14:paraId="669300B2">
            <w:pPr>
              <w:adjustRightInd w:val="0"/>
              <w:snapToGrid w:val="0"/>
              <w:spacing w:line="360" w:lineRule="auto"/>
              <w:jc w:val="center"/>
              <w:rPr>
                <w:rFonts w:ascii="宋体" w:hAnsi="宋体" w:cs="宋体"/>
                <w:color w:val="auto"/>
                <w:szCs w:val="21"/>
                <w:highlight w:val="none"/>
              </w:rPr>
            </w:pPr>
          </w:p>
        </w:tc>
      </w:tr>
      <w:tr w14:paraId="70C61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838" w:type="dxa"/>
            <w:vAlign w:val="center"/>
          </w:tcPr>
          <w:p w14:paraId="11FC3F4D">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801" w:type="dxa"/>
            <w:vAlign w:val="center"/>
          </w:tcPr>
          <w:p w14:paraId="71BDC8DA">
            <w:pPr>
              <w:adjustRightInd w:val="0"/>
              <w:snapToGrid w:val="0"/>
              <w:spacing w:line="360" w:lineRule="auto"/>
              <w:jc w:val="center"/>
              <w:rPr>
                <w:rFonts w:ascii="宋体" w:hAnsi="宋体" w:cs="宋体"/>
                <w:color w:val="auto"/>
                <w:szCs w:val="21"/>
                <w:highlight w:val="none"/>
              </w:rPr>
            </w:pPr>
          </w:p>
        </w:tc>
        <w:tc>
          <w:tcPr>
            <w:tcW w:w="1317" w:type="dxa"/>
            <w:vAlign w:val="center"/>
          </w:tcPr>
          <w:p w14:paraId="6BDC8853">
            <w:pPr>
              <w:adjustRightInd w:val="0"/>
              <w:snapToGrid w:val="0"/>
              <w:spacing w:line="360" w:lineRule="auto"/>
              <w:jc w:val="center"/>
              <w:rPr>
                <w:rFonts w:ascii="宋体" w:hAnsi="宋体" w:cs="宋体"/>
                <w:color w:val="auto"/>
                <w:szCs w:val="21"/>
                <w:highlight w:val="none"/>
              </w:rPr>
            </w:pPr>
          </w:p>
        </w:tc>
        <w:tc>
          <w:tcPr>
            <w:tcW w:w="1317" w:type="dxa"/>
            <w:vAlign w:val="center"/>
          </w:tcPr>
          <w:p w14:paraId="43742538">
            <w:pPr>
              <w:adjustRightInd w:val="0"/>
              <w:snapToGrid w:val="0"/>
              <w:spacing w:line="360" w:lineRule="auto"/>
              <w:jc w:val="center"/>
              <w:rPr>
                <w:rFonts w:ascii="宋体" w:hAnsi="宋体" w:cs="宋体"/>
                <w:color w:val="auto"/>
                <w:szCs w:val="21"/>
                <w:highlight w:val="none"/>
              </w:rPr>
            </w:pPr>
          </w:p>
        </w:tc>
        <w:tc>
          <w:tcPr>
            <w:tcW w:w="1319" w:type="dxa"/>
            <w:vAlign w:val="center"/>
          </w:tcPr>
          <w:p w14:paraId="1770E33D">
            <w:pPr>
              <w:adjustRightInd w:val="0"/>
              <w:snapToGrid w:val="0"/>
              <w:spacing w:line="360" w:lineRule="auto"/>
              <w:jc w:val="center"/>
              <w:rPr>
                <w:rFonts w:ascii="宋体" w:hAnsi="宋体" w:cs="宋体"/>
                <w:color w:val="auto"/>
                <w:szCs w:val="21"/>
                <w:highlight w:val="none"/>
              </w:rPr>
            </w:pPr>
          </w:p>
        </w:tc>
        <w:tc>
          <w:tcPr>
            <w:tcW w:w="1328" w:type="dxa"/>
            <w:vAlign w:val="center"/>
          </w:tcPr>
          <w:p w14:paraId="0711B14A">
            <w:pPr>
              <w:adjustRightInd w:val="0"/>
              <w:snapToGrid w:val="0"/>
              <w:spacing w:line="360" w:lineRule="auto"/>
              <w:jc w:val="center"/>
              <w:rPr>
                <w:rFonts w:ascii="宋体" w:hAnsi="宋体" w:cs="宋体"/>
                <w:color w:val="auto"/>
                <w:szCs w:val="21"/>
                <w:highlight w:val="none"/>
              </w:rPr>
            </w:pPr>
          </w:p>
        </w:tc>
      </w:tr>
      <w:tr w14:paraId="49B0E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38" w:type="dxa"/>
            <w:vAlign w:val="center"/>
          </w:tcPr>
          <w:p w14:paraId="2E338D09">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1801" w:type="dxa"/>
            <w:vAlign w:val="center"/>
          </w:tcPr>
          <w:p w14:paraId="57EE0915">
            <w:pPr>
              <w:adjustRightInd w:val="0"/>
              <w:snapToGrid w:val="0"/>
              <w:spacing w:line="360" w:lineRule="auto"/>
              <w:jc w:val="center"/>
              <w:rPr>
                <w:rFonts w:ascii="宋体" w:hAnsi="宋体" w:cs="宋体"/>
                <w:color w:val="auto"/>
                <w:szCs w:val="21"/>
                <w:highlight w:val="none"/>
              </w:rPr>
            </w:pPr>
          </w:p>
        </w:tc>
        <w:tc>
          <w:tcPr>
            <w:tcW w:w="1317" w:type="dxa"/>
            <w:vAlign w:val="center"/>
          </w:tcPr>
          <w:p w14:paraId="336EE440">
            <w:pPr>
              <w:adjustRightInd w:val="0"/>
              <w:snapToGrid w:val="0"/>
              <w:spacing w:line="360" w:lineRule="auto"/>
              <w:jc w:val="center"/>
              <w:rPr>
                <w:rFonts w:ascii="宋体" w:hAnsi="宋体" w:cs="宋体"/>
                <w:color w:val="auto"/>
                <w:szCs w:val="21"/>
                <w:highlight w:val="none"/>
              </w:rPr>
            </w:pPr>
          </w:p>
        </w:tc>
        <w:tc>
          <w:tcPr>
            <w:tcW w:w="1317" w:type="dxa"/>
            <w:vAlign w:val="center"/>
          </w:tcPr>
          <w:p w14:paraId="594FF26D">
            <w:pPr>
              <w:adjustRightInd w:val="0"/>
              <w:snapToGrid w:val="0"/>
              <w:spacing w:line="360" w:lineRule="auto"/>
              <w:jc w:val="center"/>
              <w:rPr>
                <w:rFonts w:ascii="宋体" w:hAnsi="宋体" w:cs="宋体"/>
                <w:color w:val="auto"/>
                <w:szCs w:val="21"/>
                <w:highlight w:val="none"/>
              </w:rPr>
            </w:pPr>
          </w:p>
        </w:tc>
        <w:tc>
          <w:tcPr>
            <w:tcW w:w="1319" w:type="dxa"/>
            <w:vAlign w:val="center"/>
          </w:tcPr>
          <w:p w14:paraId="01EE0F3D">
            <w:pPr>
              <w:adjustRightInd w:val="0"/>
              <w:snapToGrid w:val="0"/>
              <w:spacing w:line="360" w:lineRule="auto"/>
              <w:jc w:val="center"/>
              <w:rPr>
                <w:rFonts w:ascii="宋体" w:hAnsi="宋体" w:cs="宋体"/>
                <w:color w:val="auto"/>
                <w:szCs w:val="21"/>
                <w:highlight w:val="none"/>
              </w:rPr>
            </w:pPr>
          </w:p>
        </w:tc>
        <w:tc>
          <w:tcPr>
            <w:tcW w:w="1328" w:type="dxa"/>
            <w:vAlign w:val="center"/>
          </w:tcPr>
          <w:p w14:paraId="436BAC46">
            <w:pPr>
              <w:adjustRightInd w:val="0"/>
              <w:snapToGrid w:val="0"/>
              <w:spacing w:line="360" w:lineRule="auto"/>
              <w:jc w:val="center"/>
              <w:rPr>
                <w:rFonts w:ascii="宋体" w:hAnsi="宋体" w:cs="宋体"/>
                <w:color w:val="auto"/>
                <w:szCs w:val="21"/>
                <w:highlight w:val="none"/>
              </w:rPr>
            </w:pPr>
          </w:p>
        </w:tc>
      </w:tr>
      <w:tr w14:paraId="0528E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jc w:val="center"/>
        </w:trPr>
        <w:tc>
          <w:tcPr>
            <w:tcW w:w="838" w:type="dxa"/>
            <w:vAlign w:val="center"/>
          </w:tcPr>
          <w:p w14:paraId="198AC472">
            <w:pPr>
              <w:pStyle w:val="103"/>
              <w:adjustRightInd w:val="0"/>
              <w:snapToGrid w:val="0"/>
              <w:spacing w:line="360" w:lineRule="auto"/>
              <w:jc w:val="center"/>
              <w:rPr>
                <w:color w:val="auto"/>
                <w:sz w:val="21"/>
                <w:szCs w:val="21"/>
                <w:highlight w:val="none"/>
              </w:rPr>
            </w:pPr>
            <w:r>
              <w:rPr>
                <w:rFonts w:hint="eastAsia"/>
                <w:color w:val="auto"/>
                <w:spacing w:val="-11"/>
                <w:sz w:val="21"/>
                <w:szCs w:val="21"/>
                <w:highlight w:val="none"/>
              </w:rPr>
              <w:t>…</w:t>
            </w:r>
          </w:p>
        </w:tc>
        <w:tc>
          <w:tcPr>
            <w:tcW w:w="1801" w:type="dxa"/>
            <w:vAlign w:val="center"/>
          </w:tcPr>
          <w:p w14:paraId="76E5A79B">
            <w:pPr>
              <w:pStyle w:val="103"/>
              <w:adjustRightInd w:val="0"/>
              <w:snapToGrid w:val="0"/>
              <w:spacing w:line="360" w:lineRule="auto"/>
              <w:jc w:val="center"/>
              <w:rPr>
                <w:color w:val="auto"/>
                <w:sz w:val="21"/>
                <w:szCs w:val="21"/>
                <w:highlight w:val="none"/>
              </w:rPr>
            </w:pPr>
            <w:r>
              <w:rPr>
                <w:rFonts w:hint="eastAsia"/>
                <w:color w:val="auto"/>
                <w:spacing w:val="-7"/>
                <w:sz w:val="21"/>
                <w:szCs w:val="21"/>
                <w:highlight w:val="none"/>
              </w:rPr>
              <w:t>…</w:t>
            </w:r>
          </w:p>
        </w:tc>
        <w:tc>
          <w:tcPr>
            <w:tcW w:w="1317" w:type="dxa"/>
            <w:vAlign w:val="center"/>
          </w:tcPr>
          <w:p w14:paraId="5AE0D9B4">
            <w:pPr>
              <w:pStyle w:val="103"/>
              <w:adjustRightInd w:val="0"/>
              <w:snapToGrid w:val="0"/>
              <w:spacing w:line="360" w:lineRule="auto"/>
              <w:jc w:val="center"/>
              <w:rPr>
                <w:color w:val="auto"/>
                <w:sz w:val="21"/>
                <w:szCs w:val="21"/>
                <w:highlight w:val="none"/>
              </w:rPr>
            </w:pPr>
            <w:r>
              <w:rPr>
                <w:rFonts w:hint="eastAsia"/>
                <w:color w:val="auto"/>
                <w:spacing w:val="-11"/>
                <w:sz w:val="21"/>
                <w:szCs w:val="21"/>
                <w:highlight w:val="none"/>
              </w:rPr>
              <w:t>…</w:t>
            </w:r>
          </w:p>
        </w:tc>
        <w:tc>
          <w:tcPr>
            <w:tcW w:w="1317" w:type="dxa"/>
            <w:vAlign w:val="center"/>
          </w:tcPr>
          <w:p w14:paraId="02B30FF5">
            <w:pPr>
              <w:pStyle w:val="103"/>
              <w:adjustRightInd w:val="0"/>
              <w:snapToGrid w:val="0"/>
              <w:spacing w:line="360" w:lineRule="auto"/>
              <w:jc w:val="center"/>
              <w:rPr>
                <w:color w:val="auto"/>
                <w:sz w:val="21"/>
                <w:szCs w:val="21"/>
                <w:highlight w:val="none"/>
              </w:rPr>
            </w:pPr>
            <w:r>
              <w:rPr>
                <w:rFonts w:hint="eastAsia"/>
                <w:color w:val="auto"/>
                <w:spacing w:val="-11"/>
                <w:sz w:val="21"/>
                <w:szCs w:val="21"/>
                <w:highlight w:val="none"/>
              </w:rPr>
              <w:t>…</w:t>
            </w:r>
          </w:p>
        </w:tc>
        <w:tc>
          <w:tcPr>
            <w:tcW w:w="1319" w:type="dxa"/>
            <w:vAlign w:val="center"/>
          </w:tcPr>
          <w:p w14:paraId="2AB138C0">
            <w:pPr>
              <w:pStyle w:val="103"/>
              <w:adjustRightInd w:val="0"/>
              <w:snapToGrid w:val="0"/>
              <w:spacing w:line="360" w:lineRule="auto"/>
              <w:jc w:val="center"/>
              <w:rPr>
                <w:color w:val="auto"/>
                <w:sz w:val="21"/>
                <w:szCs w:val="21"/>
                <w:highlight w:val="none"/>
              </w:rPr>
            </w:pPr>
            <w:r>
              <w:rPr>
                <w:rFonts w:hint="eastAsia"/>
                <w:color w:val="auto"/>
                <w:spacing w:val="-7"/>
                <w:sz w:val="21"/>
                <w:szCs w:val="21"/>
                <w:highlight w:val="none"/>
              </w:rPr>
              <w:t>…</w:t>
            </w:r>
          </w:p>
        </w:tc>
        <w:tc>
          <w:tcPr>
            <w:tcW w:w="1328" w:type="dxa"/>
            <w:vAlign w:val="center"/>
          </w:tcPr>
          <w:p w14:paraId="5F14EA79">
            <w:pPr>
              <w:adjustRightInd w:val="0"/>
              <w:snapToGrid w:val="0"/>
              <w:spacing w:line="360" w:lineRule="auto"/>
              <w:jc w:val="center"/>
              <w:rPr>
                <w:rFonts w:ascii="宋体" w:hAnsi="宋体" w:cs="宋体"/>
                <w:color w:val="auto"/>
                <w:szCs w:val="21"/>
                <w:highlight w:val="none"/>
              </w:rPr>
            </w:pPr>
          </w:p>
        </w:tc>
      </w:tr>
    </w:tbl>
    <w:p w14:paraId="0FBB47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szCs w:val="21"/>
          <w:highlight w:val="none"/>
          <w:lang w:eastAsia="zh-CN"/>
        </w:rPr>
      </w:pPr>
    </w:p>
    <w:p w14:paraId="07A2E9A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7CD5761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4203ED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03855E6">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auto"/>
        <w:rPr>
          <w:rFonts w:ascii="宋体" w:hAnsi="宋体" w:cs="宋体"/>
          <w:color w:val="auto"/>
          <w:szCs w:val="21"/>
          <w:highlight w:val="none"/>
        </w:rPr>
      </w:pPr>
      <w:r>
        <w:rPr>
          <w:rFonts w:hint="eastAsia" w:ascii="宋体" w:hAnsi="宋体" w:cs="宋体"/>
          <w:color w:val="auto"/>
          <w:spacing w:val="-14"/>
          <w:szCs w:val="21"/>
          <w:highlight w:val="none"/>
        </w:rPr>
        <w:t>说明：</w:t>
      </w:r>
    </w:p>
    <w:p w14:paraId="67586E0A">
      <w:pPr>
        <w:keepNext w:val="0"/>
        <w:keepLines w:val="0"/>
        <w:pageBreakBefore w:val="0"/>
        <w:widowControl w:val="0"/>
        <w:kinsoku/>
        <w:wordWrap/>
        <w:overflowPunct/>
        <w:topLinePunct w:val="0"/>
        <w:autoSpaceDE/>
        <w:autoSpaceDN/>
        <w:bidi w:val="0"/>
        <w:adjustRightInd w:val="0"/>
        <w:snapToGrid w:val="0"/>
        <w:spacing w:line="360" w:lineRule="auto"/>
        <w:ind w:left="0" w:right="0" w:firstLine="436"/>
        <w:textAlignment w:val="auto"/>
        <w:rPr>
          <w:rFonts w:hint="eastAsia" w:ascii="宋体" w:hAnsi="宋体" w:eastAsia="宋体" w:cs="宋体"/>
          <w:color w:val="auto"/>
          <w:szCs w:val="21"/>
          <w:highlight w:val="none"/>
          <w:lang w:eastAsia="zh-CN"/>
        </w:rPr>
      </w:pPr>
      <w:r>
        <w:rPr>
          <w:rFonts w:hint="eastAsia" w:ascii="宋体" w:hAnsi="宋体" w:cs="宋体"/>
          <w:color w:val="auto"/>
          <w:spacing w:val="-1"/>
          <w:szCs w:val="21"/>
          <w:highlight w:val="none"/>
        </w:rPr>
        <w:t>1.对于投标产品属于“</w:t>
      </w:r>
      <w:r>
        <w:rPr>
          <w:rFonts w:hint="eastAsia" w:ascii="宋体" w:hAnsi="宋体" w:cs="宋体"/>
          <w:color w:val="auto"/>
          <w:spacing w:val="-1"/>
          <w:szCs w:val="21"/>
          <w:highlight w:val="none"/>
          <w:lang w:eastAsia="zh-CN"/>
        </w:rPr>
        <w:t>环境标志</w:t>
      </w:r>
      <w:r>
        <w:rPr>
          <w:rFonts w:hint="eastAsia" w:ascii="宋体" w:hAnsi="宋体" w:cs="宋体"/>
          <w:color w:val="auto"/>
          <w:spacing w:val="-1"/>
          <w:szCs w:val="21"/>
          <w:highlight w:val="none"/>
        </w:rPr>
        <w:t>产品政府采购品</w:t>
      </w:r>
      <w:r>
        <w:rPr>
          <w:rFonts w:hint="eastAsia" w:ascii="宋体" w:hAnsi="宋体" w:cs="宋体"/>
          <w:color w:val="auto"/>
          <w:spacing w:val="-1"/>
          <w:szCs w:val="21"/>
          <w:highlight w:val="none"/>
          <w:lang w:eastAsia="zh-CN"/>
        </w:rPr>
        <w:t>目</w:t>
      </w:r>
      <w:r>
        <w:rPr>
          <w:rFonts w:hint="eastAsia" w:ascii="宋体" w:hAnsi="宋体" w:cs="宋体"/>
          <w:color w:val="auto"/>
          <w:spacing w:val="-1"/>
          <w:szCs w:val="21"/>
          <w:highlight w:val="none"/>
        </w:rPr>
        <w:t>清单”</w:t>
      </w:r>
      <w:r>
        <w:rPr>
          <w:rFonts w:hint="eastAsia" w:ascii="宋体" w:hAnsi="宋体" w:cs="宋体"/>
          <w:color w:val="auto"/>
          <w:spacing w:val="-1"/>
          <w:szCs w:val="21"/>
          <w:highlight w:val="none"/>
          <w:lang w:eastAsia="zh-CN"/>
        </w:rPr>
        <w:t>内产品且</w:t>
      </w:r>
      <w:r>
        <w:rPr>
          <w:rFonts w:hint="eastAsia" w:ascii="宋体" w:hAnsi="宋体" w:cs="宋体"/>
          <w:color w:val="auto"/>
          <w:spacing w:val="-1"/>
          <w:szCs w:val="21"/>
          <w:highlight w:val="none"/>
        </w:rPr>
        <w:t>经“机构名录”中的认证机构</w:t>
      </w:r>
      <w:r>
        <w:rPr>
          <w:rFonts w:hint="eastAsia" w:ascii="宋体" w:hAnsi="宋体" w:cs="宋体"/>
          <w:color w:val="auto"/>
          <w:spacing w:val="-3"/>
          <w:szCs w:val="21"/>
          <w:highlight w:val="none"/>
        </w:rPr>
        <w:t>出具相应的产品认证</w:t>
      </w:r>
      <w:r>
        <w:rPr>
          <w:rFonts w:hint="eastAsia" w:ascii="宋体" w:hAnsi="宋体" w:cs="宋体"/>
          <w:color w:val="auto"/>
          <w:spacing w:val="-3"/>
          <w:szCs w:val="21"/>
          <w:highlight w:val="none"/>
          <w:lang w:eastAsia="zh-CN"/>
        </w:rPr>
        <w:t>的，给予</w:t>
      </w:r>
      <w:r>
        <w:rPr>
          <w:rFonts w:hint="eastAsia" w:ascii="宋体" w:hAnsi="宋体" w:cs="宋体"/>
          <w:color w:val="auto"/>
          <w:spacing w:val="-3"/>
          <w:szCs w:val="21"/>
          <w:highlight w:val="none"/>
        </w:rPr>
        <w:t>优先采购体现</w:t>
      </w:r>
      <w:r>
        <w:rPr>
          <w:rFonts w:hint="eastAsia" w:ascii="宋体" w:hAnsi="宋体" w:cs="宋体"/>
          <w:color w:val="auto"/>
          <w:spacing w:val="-3"/>
          <w:szCs w:val="21"/>
          <w:highlight w:val="none"/>
          <w:lang w:eastAsia="zh-CN"/>
        </w:rPr>
        <w:t>，提供认证信息查询截图或有效期内认证证书，查询方法详见“供应商须知前附表“。</w:t>
      </w:r>
    </w:p>
    <w:p w14:paraId="69421375">
      <w:pPr>
        <w:keepNext w:val="0"/>
        <w:keepLines w:val="0"/>
        <w:pageBreakBefore w:val="0"/>
        <w:widowControl w:val="0"/>
        <w:kinsoku/>
        <w:wordWrap/>
        <w:overflowPunct/>
        <w:topLinePunct w:val="0"/>
        <w:autoSpaceDE/>
        <w:autoSpaceDN/>
        <w:bidi w:val="0"/>
        <w:adjustRightInd w:val="0"/>
        <w:snapToGrid w:val="0"/>
        <w:spacing w:line="360" w:lineRule="auto"/>
        <w:ind w:left="0" w:right="0" w:firstLine="44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2.“机构名录”中的认证机构</w:t>
      </w:r>
      <w:r>
        <w:rPr>
          <w:rFonts w:hint="eastAsia" w:ascii="宋体" w:hAnsi="宋体" w:cs="宋体"/>
          <w:color w:val="auto"/>
          <w:szCs w:val="21"/>
          <w:highlight w:val="none"/>
          <w:lang w:eastAsia="zh-CN"/>
        </w:rPr>
        <w:t>详见《</w:t>
      </w:r>
      <w:r>
        <w:rPr>
          <w:rFonts w:hint="eastAsia" w:ascii="宋体" w:hAnsi="宋体" w:cs="宋体"/>
          <w:color w:val="auto"/>
          <w:szCs w:val="21"/>
          <w:highlight w:val="none"/>
        </w:rPr>
        <w:t>市场监管总局关于发布参与实施政府采购节能产品、环境标志产品认证机构名录的公告</w:t>
      </w:r>
      <w:r>
        <w:rPr>
          <w:rFonts w:hint="eastAsia" w:ascii="宋体" w:hAnsi="宋体" w:cs="宋体"/>
          <w:color w:val="auto"/>
          <w:szCs w:val="21"/>
          <w:highlight w:val="none"/>
          <w:lang w:eastAsia="zh-CN"/>
        </w:rPr>
        <w:t>》（</w:t>
      </w:r>
      <w:r>
        <w:rPr>
          <w:rFonts w:hint="eastAsia" w:ascii="宋体" w:hAnsi="宋体" w:cs="宋体"/>
          <w:color w:val="auto"/>
          <w:szCs w:val="21"/>
          <w:highlight w:val="none"/>
        </w:rPr>
        <w:t>2019年第16号</w:t>
      </w:r>
      <w:r>
        <w:rPr>
          <w:rFonts w:hint="eastAsia" w:ascii="宋体" w:hAnsi="宋体" w:cs="宋体"/>
          <w:color w:val="auto"/>
          <w:szCs w:val="21"/>
          <w:highlight w:val="none"/>
          <w:lang w:eastAsia="zh-CN"/>
        </w:rPr>
        <w:t>）。</w:t>
      </w:r>
    </w:p>
    <w:p w14:paraId="09CA540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cs="宋体"/>
          <w:b/>
          <w:bCs/>
          <w:color w:val="auto"/>
          <w:sz w:val="24"/>
          <w:szCs w:val="24"/>
          <w:lang w:val="en-US" w:eastAsia="zh-CN"/>
        </w:rPr>
      </w:pPr>
    </w:p>
    <w:p w14:paraId="3ADC91F0">
      <w:pPr>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br w:type="page"/>
      </w:r>
    </w:p>
    <w:p w14:paraId="0E8AB7C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lang w:eastAsia="zh-CN"/>
        </w:rPr>
      </w:pPr>
      <w:r>
        <w:rPr>
          <w:rFonts w:hint="eastAsia" w:ascii="宋体" w:hAnsi="宋体" w:cs="宋体"/>
          <w:b/>
          <w:bCs/>
          <w:color w:val="auto"/>
          <w:sz w:val="24"/>
          <w:szCs w:val="24"/>
          <w:lang w:val="en-US" w:eastAsia="zh-CN"/>
        </w:rPr>
        <w:t>7.</w:t>
      </w:r>
      <w:r>
        <w:rPr>
          <w:rFonts w:hint="eastAsia" w:ascii="宋体" w:hAnsi="宋体" w:eastAsia="宋体" w:cs="宋体"/>
          <w:b/>
          <w:bCs/>
          <w:color w:val="auto"/>
          <w:sz w:val="24"/>
          <w:szCs w:val="24"/>
        </w:rPr>
        <w:t>竞争性磋商文件要求或供应商认为需要提交的</w:t>
      </w:r>
      <w:r>
        <w:rPr>
          <w:rFonts w:hint="eastAsia" w:ascii="宋体" w:hAnsi="宋体" w:cs="宋体"/>
          <w:b/>
          <w:bCs/>
          <w:color w:val="auto"/>
          <w:sz w:val="24"/>
          <w:szCs w:val="24"/>
          <w:lang w:eastAsia="zh-CN"/>
        </w:rPr>
        <w:t>其他</w:t>
      </w:r>
      <w:r>
        <w:rPr>
          <w:rFonts w:hint="eastAsia" w:ascii="宋体" w:hAnsi="宋体" w:eastAsia="宋体" w:cs="宋体"/>
          <w:b/>
          <w:bCs/>
          <w:color w:val="auto"/>
          <w:sz w:val="24"/>
          <w:szCs w:val="24"/>
        </w:rPr>
        <w:t>资料（如有）</w:t>
      </w:r>
      <w:bookmarkEnd w:id="2074"/>
      <w:bookmarkStart w:id="2075" w:name="_Toc28531"/>
      <w:bookmarkEnd w:id="2075"/>
    </w:p>
    <w:sectPr>
      <w:headerReference r:id="rId6" w:type="default"/>
      <w:footerReference r:id="rId7" w:type="default"/>
      <w:pgSz w:w="11906" w:h="16838"/>
      <w:pgMar w:top="1440" w:right="1423" w:bottom="1440" w:left="142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9405E66-523E-4B85-8D37-F5B53E55A1BF}"/>
  </w:font>
  <w:font w:name="黑体">
    <w:panose1 w:val="02010609060101010101"/>
    <w:charset w:val="86"/>
    <w:family w:val="auto"/>
    <w:pitch w:val="default"/>
    <w:sig w:usb0="800002BF" w:usb1="38CF7CFA" w:usb2="00000016" w:usb3="00000000" w:csb0="00040001" w:csb1="00000000"/>
    <w:embedRegular r:id="rId2" w:fontKey="{8F08260C-8A67-4750-9D01-AB01DFE1F6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1BA0467-B5F7-446B-8C63-7D4975EAC9D4}"/>
  </w:font>
  <w:font w:name="仿宋_GB2312">
    <w:panose1 w:val="02010609030101010101"/>
    <w:charset w:val="86"/>
    <w:family w:val="modern"/>
    <w:pitch w:val="default"/>
    <w:sig w:usb0="00000001" w:usb1="080E0000" w:usb2="00000000" w:usb3="00000000" w:csb0="00040000" w:csb1="00000000"/>
    <w:embedRegular r:id="rId4" w:fontKey="{51F5337E-AAFB-41FC-B1D4-2DF6F65C45A3}"/>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embedRegular r:id="rId5" w:fontKey="{7041ACA4-44D4-44CD-90C0-977FE3BA42A0}"/>
  </w:font>
  <w:font w:name="Tahoma">
    <w:panose1 w:val="020B0604030504040204"/>
    <w:charset w:val="00"/>
    <w:family w:val="swiss"/>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6" w:fontKey="{D9B762ED-5402-4F68-B48A-503D912418D4}"/>
  </w:font>
  <w:font w:name="仿宋">
    <w:panose1 w:val="02010609060101010101"/>
    <w:charset w:val="86"/>
    <w:family w:val="auto"/>
    <w:pitch w:val="default"/>
    <w:sig w:usb0="800002BF" w:usb1="38CF7CFA" w:usb2="00000016" w:usb3="00000000" w:csb0="00040001" w:csb1="00000000"/>
    <w:embedRegular r:id="rId7" w:fontKey="{0BBC3A16-7C5F-4D32-8060-BC1D9A133C08}"/>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CAD99">
    <w:pPr>
      <w:pStyle w:val="30"/>
      <w:pBdr>
        <w:top w:val="thinThickSmallGap" w:color="974706" w:themeColor="accent6" w:themeShade="7F" w:sz="12" w:space="1"/>
        <w:left w:val="none" w:color="auto" w:sz="0" w:space="4"/>
        <w:bottom w:val="none" w:color="auto" w:sz="0" w:space="1"/>
        <w:right w:val="none" w:color="auto" w:sz="0" w:space="4"/>
      </w:pBdr>
      <w:tabs>
        <w:tab w:val="left" w:pos="5340"/>
        <w:tab w:val="left" w:pos="8190"/>
      </w:tabs>
      <w:ind w:firstLine="419" w:firstLineChars="23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3" name="Text Box 1029"/>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a:effectLst/>
                    </wps:spPr>
                    <wps:txbx>
                      <w:txbxContent>
                        <w:p w14:paraId="5DBD94B4">
                          <w:pPr>
                            <w:pStyle w:val="30"/>
                            <w:tabs>
                              <w:tab w:val="center" w:pos="4153"/>
                              <w:tab w:val="right" w:pos="8306"/>
                            </w:tabs>
                          </w:pPr>
                          <w:r>
                            <w:fldChar w:fldCharType="begin"/>
                          </w:r>
                          <w:r>
                            <w:instrText xml:space="preserve"> PAGE  \* MERGEFORMAT </w:instrText>
                          </w:r>
                          <w:r>
                            <w:fldChar w:fldCharType="separate"/>
                          </w:r>
                          <w:r>
                            <w:t>0</w:t>
                          </w:r>
                          <w:r>
                            <w:fldChar w:fldCharType="end"/>
                          </w:r>
                        </w:p>
                      </w:txbxContent>
                    </wps:txbx>
                    <wps:bodyPr rot="0" vert="horz" wrap="none" lIns="0" tIns="0" rIns="0" bIns="0" anchor="t" anchorCtr="0" upright="1">
                      <a:spAutoFit/>
                    </wps:bodyPr>
                  </wps:wsp>
                </a:graphicData>
              </a:graphic>
            </wp:anchor>
          </w:drawing>
        </mc:Choice>
        <mc:Fallback>
          <w:pict>
            <v:shape id="Text Box 1029"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DLKdBQMCAAASBAAADgAAAGRycy9lMm9Eb2MueG1srVNNb9swDL0P&#10;2H8QdF/spEuXGnGKrkGGAd0H0O4HKLIcC7NEgVJiZ79+lGxnXXfpYReDlshHvsen9W1vWnZS6DXY&#10;ks9nOWfKSqi0PZT8x9Pu3YozH4StRAtWlfysPL/dvH2z7lyhFtBAWylkBGJ90bmSNyG4Isu8bJQR&#10;fgZOWbqsAY0I9IuHrELREbpps0WeX2cdYOUQpPKeTrfDJR8R8TWAUNdaqi3Io1E2DKioWhGIkm+0&#10;83yTpq1rJcO3uvYqsLbkxDSkLzWheB+/2WYtigMK12g5jiBeM8ILTkZoS00vUFsRBDui/gfKaIng&#10;oQ4zCSYbiCRFiMU8f6HNYyOcSlxIau8uovv/Byu/nr4j01XJrzizwtDCn1Qf2Efo2Txf3ESBOucL&#10;ynt0lBl6uiHbJLLePYD86ZmF+0bYg7pDhK5RoqIB57Eye1Y64PgIsu++QEWdxDFAAuprNFE90oMR&#10;Oi3nfFlOnEbS4WJ1fbVacibpav7+w81ymTqIYip26MMnBYbFoORIu0/g4vTgQxxGFFNK7GVhp9s2&#10;7b+1fx1Q4nCikoHG6kglTj/wCP2+H6XZQ3UmUgiDuehpUdAA/uKsI2OV3NI74qz9bEmW6MEpwCnY&#10;T4GwkgpLHjgbwvswePXoUB8awp2EvyPpdjrRioMNM4yCk1US29HW0YvP/1PWn6e8+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f/xsx0gAAAAMBAAAPAAAAAAAAAAEAIAAAACIAAABkcnMvZG93bnJl&#10;di54bWxQSwECFAAUAAAACACHTuJADLKdBQMCAAASBAAADgAAAAAAAAABACAAAAAhAQAAZHJzL2Uy&#10;b0RvYy54bWxQSwUGAAAAAAYABgBZAQAAlgUAAAAA&#10;">
              <v:fill on="f" focussize="0,0"/>
              <v:stroke on="f"/>
              <v:imagedata o:title=""/>
              <o:lock v:ext="edit" aspectratio="f"/>
              <v:textbox inset="0mm,0mm,0mm,0mm" style="mso-fit-shape-to-text:t;">
                <w:txbxContent>
                  <w:p w14:paraId="5DBD94B4">
                    <w:pPr>
                      <w:pStyle w:val="30"/>
                      <w:tabs>
                        <w:tab w:val="center" w:pos="4153"/>
                        <w:tab w:val="right" w:pos="8306"/>
                      </w:tabs>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5C966">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3564CB">
                          <w:pPr>
                            <w:pStyle w:val="3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33564CB">
                    <w:pPr>
                      <w:pStyle w:val="3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1B6D2">
    <w:pPr>
      <w:pStyle w:val="31"/>
      <w:pBdr>
        <w:bottom w:val="thinThickSmallGap" w:color="993300" w:sz="12" w:space="1"/>
      </w:pBdr>
      <w:tabs>
        <w:tab w:val="center" w:pos="4153"/>
        <w:tab w:val="right" w:pos="8306"/>
      </w:tabs>
      <w:jc w:val="left"/>
    </w:pPr>
    <w:r>
      <w:rPr>
        <w:rFonts w:hint="eastAsia"/>
        <w:lang w:eastAsia="zh-CN"/>
      </w:rPr>
      <w:t>河南省科学院协同创新中心材料创新基地纯化制程中心装修改造项目</w:t>
    </w:r>
    <w:r>
      <w:rPr>
        <w:rFonts w:hint="eastAsia"/>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80ADA">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F384F">
    <w:pPr>
      <w:pStyle w:val="31"/>
      <w:pBdr>
        <w:bottom w:val="thinThickSmallGap" w:color="800000" w:sz="12" w:space="1"/>
      </w:pBdr>
      <w:jc w:val="both"/>
      <w:rPr>
        <w:sz w:val="18"/>
        <w:szCs w:val="18"/>
      </w:rPr>
    </w:pPr>
    <w:r>
      <w:rPr>
        <w:rFonts w:hint="eastAsia"/>
        <w:color w:val="auto"/>
        <w:sz w:val="18"/>
        <w:szCs w:val="18"/>
        <w:lang w:eastAsia="zh-CN"/>
      </w:rPr>
      <w:t>河南财经政法大学文化路校区部分楼宇防水项目</w:t>
    </w:r>
    <w:r>
      <w:rPr>
        <w:rFonts w:hint="eastAsia"/>
        <w:color w:val="auto"/>
        <w:sz w:val="18"/>
        <w:szCs w:val="18"/>
        <w:lang w:val="en-US" w:eastAsia="zh-CN"/>
      </w:rPr>
      <w:t xml:space="preserve">                                          </w:t>
    </w:r>
    <w:r>
      <w:rPr>
        <w:rFonts w:hint="eastAsia"/>
        <w:color w:val="auto"/>
        <w:sz w:val="18"/>
        <w:szCs w:val="18"/>
        <w:lang w:eastAsia="zh-CN"/>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decimal"/>
      <w:suff w:val="nothing"/>
      <w:lvlText w:val="（%1）"/>
      <w:lvlJc w:val="left"/>
    </w:lvl>
  </w:abstractNum>
  <w:abstractNum w:abstractNumId="1">
    <w:nsid w:val="1014B662"/>
    <w:multiLevelType w:val="singleLevel"/>
    <w:tmpl w:val="1014B662"/>
    <w:lvl w:ilvl="0" w:tentative="0">
      <w:start w:val="2"/>
      <w:numFmt w:val="decimal"/>
      <w:lvlText w:val="%1."/>
      <w:lvlJc w:val="left"/>
      <w:pPr>
        <w:tabs>
          <w:tab w:val="left" w:pos="312"/>
        </w:tabs>
      </w:pPr>
    </w:lvl>
  </w:abstractNum>
  <w:abstractNum w:abstractNumId="2">
    <w:nsid w:val="6E57C962"/>
    <w:multiLevelType w:val="singleLevel"/>
    <w:tmpl w:val="6E57C962"/>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iNmIxZjNhMjYzM2MyZDUzNjQ5Nzc0NzQzMmE3OWEifQ=="/>
  </w:docVars>
  <w:rsids>
    <w:rsidRoot w:val="000476C9"/>
    <w:rsid w:val="00026639"/>
    <w:rsid w:val="00034701"/>
    <w:rsid w:val="00045082"/>
    <w:rsid w:val="000476C9"/>
    <w:rsid w:val="00057290"/>
    <w:rsid w:val="00062802"/>
    <w:rsid w:val="000668F4"/>
    <w:rsid w:val="000777ED"/>
    <w:rsid w:val="0008223B"/>
    <w:rsid w:val="000A66D4"/>
    <w:rsid w:val="000B6609"/>
    <w:rsid w:val="000D3F0A"/>
    <w:rsid w:val="000F7C87"/>
    <w:rsid w:val="00144FBB"/>
    <w:rsid w:val="0014612A"/>
    <w:rsid w:val="001510F6"/>
    <w:rsid w:val="00151F1C"/>
    <w:rsid w:val="00175831"/>
    <w:rsid w:val="001A14F3"/>
    <w:rsid w:val="001B0DAA"/>
    <w:rsid w:val="001B24B1"/>
    <w:rsid w:val="001C2871"/>
    <w:rsid w:val="001F7133"/>
    <w:rsid w:val="002271F3"/>
    <w:rsid w:val="00240D24"/>
    <w:rsid w:val="002425B6"/>
    <w:rsid w:val="00244C65"/>
    <w:rsid w:val="00275FFB"/>
    <w:rsid w:val="00292550"/>
    <w:rsid w:val="0029733A"/>
    <w:rsid w:val="002A1552"/>
    <w:rsid w:val="002B2621"/>
    <w:rsid w:val="002C1748"/>
    <w:rsid w:val="002E53AA"/>
    <w:rsid w:val="003227E0"/>
    <w:rsid w:val="00322DFC"/>
    <w:rsid w:val="00326937"/>
    <w:rsid w:val="00330614"/>
    <w:rsid w:val="003474C9"/>
    <w:rsid w:val="00367CE5"/>
    <w:rsid w:val="003807AB"/>
    <w:rsid w:val="003C64AF"/>
    <w:rsid w:val="003D5DFE"/>
    <w:rsid w:val="003E20F9"/>
    <w:rsid w:val="003E7BC3"/>
    <w:rsid w:val="00400DE3"/>
    <w:rsid w:val="00405225"/>
    <w:rsid w:val="00424164"/>
    <w:rsid w:val="004663C9"/>
    <w:rsid w:val="004816EF"/>
    <w:rsid w:val="004A0225"/>
    <w:rsid w:val="004A10A5"/>
    <w:rsid w:val="004B11C6"/>
    <w:rsid w:val="004C0E37"/>
    <w:rsid w:val="004E24D6"/>
    <w:rsid w:val="004F456D"/>
    <w:rsid w:val="005005A2"/>
    <w:rsid w:val="00505C81"/>
    <w:rsid w:val="005215D2"/>
    <w:rsid w:val="00532B08"/>
    <w:rsid w:val="00537B29"/>
    <w:rsid w:val="005444BA"/>
    <w:rsid w:val="00550033"/>
    <w:rsid w:val="0057333D"/>
    <w:rsid w:val="00577B8E"/>
    <w:rsid w:val="005917E6"/>
    <w:rsid w:val="005F53E0"/>
    <w:rsid w:val="00602D3C"/>
    <w:rsid w:val="00610CDF"/>
    <w:rsid w:val="0062617D"/>
    <w:rsid w:val="00640840"/>
    <w:rsid w:val="0064742B"/>
    <w:rsid w:val="006710DA"/>
    <w:rsid w:val="00681BD2"/>
    <w:rsid w:val="00683439"/>
    <w:rsid w:val="00684BC4"/>
    <w:rsid w:val="006871EC"/>
    <w:rsid w:val="006E5964"/>
    <w:rsid w:val="006F7044"/>
    <w:rsid w:val="00717CE7"/>
    <w:rsid w:val="0074045A"/>
    <w:rsid w:val="00756D45"/>
    <w:rsid w:val="00760939"/>
    <w:rsid w:val="00764030"/>
    <w:rsid w:val="00776356"/>
    <w:rsid w:val="007D68EE"/>
    <w:rsid w:val="007E7F11"/>
    <w:rsid w:val="00824EE4"/>
    <w:rsid w:val="008365BA"/>
    <w:rsid w:val="00837206"/>
    <w:rsid w:val="00851610"/>
    <w:rsid w:val="008534FF"/>
    <w:rsid w:val="00860F18"/>
    <w:rsid w:val="008649CB"/>
    <w:rsid w:val="00894909"/>
    <w:rsid w:val="008A164C"/>
    <w:rsid w:val="008A2295"/>
    <w:rsid w:val="008A2D9F"/>
    <w:rsid w:val="008A74D6"/>
    <w:rsid w:val="008B3930"/>
    <w:rsid w:val="008B5E4B"/>
    <w:rsid w:val="008B6428"/>
    <w:rsid w:val="008D726A"/>
    <w:rsid w:val="008F29F6"/>
    <w:rsid w:val="009137FC"/>
    <w:rsid w:val="009214B1"/>
    <w:rsid w:val="00952BE2"/>
    <w:rsid w:val="00957CB3"/>
    <w:rsid w:val="00986758"/>
    <w:rsid w:val="009C39BA"/>
    <w:rsid w:val="009F0E01"/>
    <w:rsid w:val="00A1156B"/>
    <w:rsid w:val="00A50E03"/>
    <w:rsid w:val="00A62C7A"/>
    <w:rsid w:val="00A652EC"/>
    <w:rsid w:val="00AE17B1"/>
    <w:rsid w:val="00B22A6B"/>
    <w:rsid w:val="00B33920"/>
    <w:rsid w:val="00B443F9"/>
    <w:rsid w:val="00B5443F"/>
    <w:rsid w:val="00B67F2B"/>
    <w:rsid w:val="00B77E67"/>
    <w:rsid w:val="00B84663"/>
    <w:rsid w:val="00B87CE2"/>
    <w:rsid w:val="00BB029C"/>
    <w:rsid w:val="00BB7B8B"/>
    <w:rsid w:val="00BC1A2E"/>
    <w:rsid w:val="00BD2E83"/>
    <w:rsid w:val="00BD36A1"/>
    <w:rsid w:val="00BE5B5A"/>
    <w:rsid w:val="00BF349F"/>
    <w:rsid w:val="00C209FF"/>
    <w:rsid w:val="00C20AB3"/>
    <w:rsid w:val="00C21D32"/>
    <w:rsid w:val="00C31D5F"/>
    <w:rsid w:val="00C42BBA"/>
    <w:rsid w:val="00C62744"/>
    <w:rsid w:val="00C83482"/>
    <w:rsid w:val="00CA1226"/>
    <w:rsid w:val="00CF5683"/>
    <w:rsid w:val="00D06B18"/>
    <w:rsid w:val="00D14936"/>
    <w:rsid w:val="00D22239"/>
    <w:rsid w:val="00D32D28"/>
    <w:rsid w:val="00D3404E"/>
    <w:rsid w:val="00D36493"/>
    <w:rsid w:val="00D37CC9"/>
    <w:rsid w:val="00D6125F"/>
    <w:rsid w:val="00D72690"/>
    <w:rsid w:val="00D75E70"/>
    <w:rsid w:val="00D801F2"/>
    <w:rsid w:val="00D95568"/>
    <w:rsid w:val="00DA1EA6"/>
    <w:rsid w:val="00DA25C6"/>
    <w:rsid w:val="00DA2E69"/>
    <w:rsid w:val="00DB20ED"/>
    <w:rsid w:val="00DC05CB"/>
    <w:rsid w:val="00DE0AFC"/>
    <w:rsid w:val="00E014B8"/>
    <w:rsid w:val="00E06260"/>
    <w:rsid w:val="00E1171E"/>
    <w:rsid w:val="00E36BAB"/>
    <w:rsid w:val="00E36E21"/>
    <w:rsid w:val="00E44227"/>
    <w:rsid w:val="00E73AA8"/>
    <w:rsid w:val="00EA0870"/>
    <w:rsid w:val="00EC2E02"/>
    <w:rsid w:val="00F30D99"/>
    <w:rsid w:val="00F44504"/>
    <w:rsid w:val="00F45A60"/>
    <w:rsid w:val="00F55064"/>
    <w:rsid w:val="00F5582E"/>
    <w:rsid w:val="00F61FFF"/>
    <w:rsid w:val="00F750C2"/>
    <w:rsid w:val="00F86A25"/>
    <w:rsid w:val="00F90F36"/>
    <w:rsid w:val="00F923B3"/>
    <w:rsid w:val="00F93F1C"/>
    <w:rsid w:val="00F96B8D"/>
    <w:rsid w:val="00FC6419"/>
    <w:rsid w:val="00FD30DF"/>
    <w:rsid w:val="00FD7CE1"/>
    <w:rsid w:val="00FF616C"/>
    <w:rsid w:val="015E4AD6"/>
    <w:rsid w:val="02683E33"/>
    <w:rsid w:val="026B74AB"/>
    <w:rsid w:val="027D71DE"/>
    <w:rsid w:val="02A8425B"/>
    <w:rsid w:val="02E132C9"/>
    <w:rsid w:val="02F60EAF"/>
    <w:rsid w:val="03682B05"/>
    <w:rsid w:val="037203C5"/>
    <w:rsid w:val="03A86F94"/>
    <w:rsid w:val="03B634FC"/>
    <w:rsid w:val="03C710E7"/>
    <w:rsid w:val="043F474B"/>
    <w:rsid w:val="048B5BE2"/>
    <w:rsid w:val="04AD1794"/>
    <w:rsid w:val="04B06280"/>
    <w:rsid w:val="04BE0654"/>
    <w:rsid w:val="04CC622E"/>
    <w:rsid w:val="04D96793"/>
    <w:rsid w:val="04DE4697"/>
    <w:rsid w:val="050413E9"/>
    <w:rsid w:val="05514C39"/>
    <w:rsid w:val="058455DA"/>
    <w:rsid w:val="05C0366A"/>
    <w:rsid w:val="06252B7A"/>
    <w:rsid w:val="06815CF5"/>
    <w:rsid w:val="06FF13BC"/>
    <w:rsid w:val="07352833"/>
    <w:rsid w:val="074D53D1"/>
    <w:rsid w:val="074D717F"/>
    <w:rsid w:val="07A56FBB"/>
    <w:rsid w:val="07BE62CF"/>
    <w:rsid w:val="07EF6488"/>
    <w:rsid w:val="08365E65"/>
    <w:rsid w:val="084D31AF"/>
    <w:rsid w:val="088769B7"/>
    <w:rsid w:val="08EF70D1"/>
    <w:rsid w:val="095706EC"/>
    <w:rsid w:val="096E60B5"/>
    <w:rsid w:val="09C87119"/>
    <w:rsid w:val="09CA5076"/>
    <w:rsid w:val="0A960326"/>
    <w:rsid w:val="0B9A495D"/>
    <w:rsid w:val="0BA22CAA"/>
    <w:rsid w:val="0BC8771C"/>
    <w:rsid w:val="0C4813F5"/>
    <w:rsid w:val="0D036A51"/>
    <w:rsid w:val="0D1C63F1"/>
    <w:rsid w:val="0D2C5A88"/>
    <w:rsid w:val="0D8B0A01"/>
    <w:rsid w:val="0DA22F44"/>
    <w:rsid w:val="0DAB4AF2"/>
    <w:rsid w:val="0DD2668E"/>
    <w:rsid w:val="0E5C239D"/>
    <w:rsid w:val="0EBC4BEA"/>
    <w:rsid w:val="0F3E00E2"/>
    <w:rsid w:val="0F8D6C9D"/>
    <w:rsid w:val="0FDC19E8"/>
    <w:rsid w:val="0FE03B0E"/>
    <w:rsid w:val="104D3C95"/>
    <w:rsid w:val="10545A22"/>
    <w:rsid w:val="107D490A"/>
    <w:rsid w:val="10CB69D9"/>
    <w:rsid w:val="114F643A"/>
    <w:rsid w:val="11812847"/>
    <w:rsid w:val="11CB5870"/>
    <w:rsid w:val="11D64215"/>
    <w:rsid w:val="11DB7351"/>
    <w:rsid w:val="11F900C1"/>
    <w:rsid w:val="12D44BF8"/>
    <w:rsid w:val="13491142"/>
    <w:rsid w:val="13537497"/>
    <w:rsid w:val="13B02346"/>
    <w:rsid w:val="13EC250A"/>
    <w:rsid w:val="149503B7"/>
    <w:rsid w:val="15B8610B"/>
    <w:rsid w:val="15E3318B"/>
    <w:rsid w:val="15E45152"/>
    <w:rsid w:val="161B10D3"/>
    <w:rsid w:val="164E4CC1"/>
    <w:rsid w:val="173739A8"/>
    <w:rsid w:val="17E10708"/>
    <w:rsid w:val="183638DE"/>
    <w:rsid w:val="184243B2"/>
    <w:rsid w:val="18624A54"/>
    <w:rsid w:val="193A32DB"/>
    <w:rsid w:val="19AF5A77"/>
    <w:rsid w:val="19E27BFB"/>
    <w:rsid w:val="19E45CB8"/>
    <w:rsid w:val="1A83342F"/>
    <w:rsid w:val="1B2E70E0"/>
    <w:rsid w:val="1B324BB2"/>
    <w:rsid w:val="1B633CFC"/>
    <w:rsid w:val="1BE712FB"/>
    <w:rsid w:val="1C0320AA"/>
    <w:rsid w:val="1C1D43F4"/>
    <w:rsid w:val="1C444B9D"/>
    <w:rsid w:val="1C9119BE"/>
    <w:rsid w:val="1D0E3BAD"/>
    <w:rsid w:val="1D5F77B4"/>
    <w:rsid w:val="1D615A3B"/>
    <w:rsid w:val="1E9F430C"/>
    <w:rsid w:val="1EB458DE"/>
    <w:rsid w:val="1EE95587"/>
    <w:rsid w:val="1EFC0947"/>
    <w:rsid w:val="1EFF4C2E"/>
    <w:rsid w:val="1F066139"/>
    <w:rsid w:val="1F164F39"/>
    <w:rsid w:val="1F2F15DC"/>
    <w:rsid w:val="1F5E41C7"/>
    <w:rsid w:val="1F6C43B3"/>
    <w:rsid w:val="203467D2"/>
    <w:rsid w:val="2061072D"/>
    <w:rsid w:val="207C385C"/>
    <w:rsid w:val="20942154"/>
    <w:rsid w:val="20D16F97"/>
    <w:rsid w:val="21880C58"/>
    <w:rsid w:val="221A06F2"/>
    <w:rsid w:val="226118D9"/>
    <w:rsid w:val="228A0E3A"/>
    <w:rsid w:val="22B04D5F"/>
    <w:rsid w:val="22C500B9"/>
    <w:rsid w:val="233B389F"/>
    <w:rsid w:val="23B269E6"/>
    <w:rsid w:val="24243753"/>
    <w:rsid w:val="250749B9"/>
    <w:rsid w:val="253840C0"/>
    <w:rsid w:val="25934EDA"/>
    <w:rsid w:val="26312F80"/>
    <w:rsid w:val="265C7D57"/>
    <w:rsid w:val="26E56F7C"/>
    <w:rsid w:val="271765A3"/>
    <w:rsid w:val="274D7C62"/>
    <w:rsid w:val="275029CF"/>
    <w:rsid w:val="2751713C"/>
    <w:rsid w:val="27BB3664"/>
    <w:rsid w:val="27FC457D"/>
    <w:rsid w:val="28777F5F"/>
    <w:rsid w:val="28D920E5"/>
    <w:rsid w:val="29553DA4"/>
    <w:rsid w:val="29704C13"/>
    <w:rsid w:val="29836F76"/>
    <w:rsid w:val="299B1B74"/>
    <w:rsid w:val="2A1262DA"/>
    <w:rsid w:val="2A37125A"/>
    <w:rsid w:val="2ABB39C8"/>
    <w:rsid w:val="2AFB01F2"/>
    <w:rsid w:val="2B2A7653"/>
    <w:rsid w:val="2B5B5A5F"/>
    <w:rsid w:val="2B9E594C"/>
    <w:rsid w:val="2C41055E"/>
    <w:rsid w:val="2C662C1B"/>
    <w:rsid w:val="2C72328F"/>
    <w:rsid w:val="2CEA39CC"/>
    <w:rsid w:val="2D406903"/>
    <w:rsid w:val="2D527F80"/>
    <w:rsid w:val="2E1626D1"/>
    <w:rsid w:val="2ED170B0"/>
    <w:rsid w:val="2F2B7A68"/>
    <w:rsid w:val="2F621DA1"/>
    <w:rsid w:val="2FC61B20"/>
    <w:rsid w:val="2FE75783"/>
    <w:rsid w:val="2FF479A2"/>
    <w:rsid w:val="306727B0"/>
    <w:rsid w:val="3184574F"/>
    <w:rsid w:val="318C0B41"/>
    <w:rsid w:val="31A8136A"/>
    <w:rsid w:val="31AF6288"/>
    <w:rsid w:val="3205569E"/>
    <w:rsid w:val="32CE6B16"/>
    <w:rsid w:val="33122EA7"/>
    <w:rsid w:val="3330065B"/>
    <w:rsid w:val="337E053C"/>
    <w:rsid w:val="351647A5"/>
    <w:rsid w:val="354A72A2"/>
    <w:rsid w:val="354D49DC"/>
    <w:rsid w:val="35B8564A"/>
    <w:rsid w:val="35FA23B0"/>
    <w:rsid w:val="36823889"/>
    <w:rsid w:val="368A369C"/>
    <w:rsid w:val="373115A2"/>
    <w:rsid w:val="37752091"/>
    <w:rsid w:val="37A938D1"/>
    <w:rsid w:val="37FF59C4"/>
    <w:rsid w:val="386615A8"/>
    <w:rsid w:val="386D4D82"/>
    <w:rsid w:val="3899013F"/>
    <w:rsid w:val="38DE5815"/>
    <w:rsid w:val="39082DE2"/>
    <w:rsid w:val="39276F55"/>
    <w:rsid w:val="3962620A"/>
    <w:rsid w:val="39735657"/>
    <w:rsid w:val="3A0F6392"/>
    <w:rsid w:val="3A4B6CA1"/>
    <w:rsid w:val="3A9E7D64"/>
    <w:rsid w:val="3ABC194A"/>
    <w:rsid w:val="3AFA6DCD"/>
    <w:rsid w:val="3B4C2C28"/>
    <w:rsid w:val="3BE11ECB"/>
    <w:rsid w:val="3BE979D8"/>
    <w:rsid w:val="3C20265B"/>
    <w:rsid w:val="3C726A35"/>
    <w:rsid w:val="3C8A1488"/>
    <w:rsid w:val="3CB324B6"/>
    <w:rsid w:val="3CF11D7F"/>
    <w:rsid w:val="3CF413D8"/>
    <w:rsid w:val="3CFF3BB8"/>
    <w:rsid w:val="3D0F14E0"/>
    <w:rsid w:val="3D516CC2"/>
    <w:rsid w:val="3D74167D"/>
    <w:rsid w:val="3DAA0B6A"/>
    <w:rsid w:val="3DBC46B0"/>
    <w:rsid w:val="3DDF42CD"/>
    <w:rsid w:val="3DE877FF"/>
    <w:rsid w:val="3DFA6588"/>
    <w:rsid w:val="3E091A7C"/>
    <w:rsid w:val="3EB2553E"/>
    <w:rsid w:val="3EDE6333"/>
    <w:rsid w:val="3EF9316D"/>
    <w:rsid w:val="3F0B4808"/>
    <w:rsid w:val="3FCF35E7"/>
    <w:rsid w:val="40172CE9"/>
    <w:rsid w:val="402A7764"/>
    <w:rsid w:val="40A517EE"/>
    <w:rsid w:val="423F358D"/>
    <w:rsid w:val="425F6E1E"/>
    <w:rsid w:val="42625A84"/>
    <w:rsid w:val="42786A9F"/>
    <w:rsid w:val="42891119"/>
    <w:rsid w:val="42B27D92"/>
    <w:rsid w:val="433504EC"/>
    <w:rsid w:val="43405C76"/>
    <w:rsid w:val="43642E41"/>
    <w:rsid w:val="4397710C"/>
    <w:rsid w:val="43A83DBD"/>
    <w:rsid w:val="43B14016"/>
    <w:rsid w:val="43BF1FC3"/>
    <w:rsid w:val="44254A04"/>
    <w:rsid w:val="44FA0EC4"/>
    <w:rsid w:val="45246F22"/>
    <w:rsid w:val="455B5566"/>
    <w:rsid w:val="457068BE"/>
    <w:rsid w:val="45C75D73"/>
    <w:rsid w:val="45EA50CF"/>
    <w:rsid w:val="4613418B"/>
    <w:rsid w:val="467D4684"/>
    <w:rsid w:val="46805F22"/>
    <w:rsid w:val="46C95B1B"/>
    <w:rsid w:val="46DA3884"/>
    <w:rsid w:val="470F4311"/>
    <w:rsid w:val="4763241F"/>
    <w:rsid w:val="476D64A6"/>
    <w:rsid w:val="478D604D"/>
    <w:rsid w:val="47CE254F"/>
    <w:rsid w:val="484216E1"/>
    <w:rsid w:val="486C49B0"/>
    <w:rsid w:val="49045382"/>
    <w:rsid w:val="49184B37"/>
    <w:rsid w:val="494900AF"/>
    <w:rsid w:val="49675177"/>
    <w:rsid w:val="4A4554B8"/>
    <w:rsid w:val="4A781DD4"/>
    <w:rsid w:val="4ADA638B"/>
    <w:rsid w:val="4B104B9A"/>
    <w:rsid w:val="4B496369"/>
    <w:rsid w:val="4B534597"/>
    <w:rsid w:val="4B907CAA"/>
    <w:rsid w:val="4BB03EA9"/>
    <w:rsid w:val="4C666927"/>
    <w:rsid w:val="4CA22748"/>
    <w:rsid w:val="4CD945DE"/>
    <w:rsid w:val="4D2B4D16"/>
    <w:rsid w:val="4D317F76"/>
    <w:rsid w:val="4DB0533F"/>
    <w:rsid w:val="4DB15A3A"/>
    <w:rsid w:val="4E3A058F"/>
    <w:rsid w:val="4F3D0E54"/>
    <w:rsid w:val="4F6E3FB9"/>
    <w:rsid w:val="50002C9D"/>
    <w:rsid w:val="500104BA"/>
    <w:rsid w:val="501E4C3B"/>
    <w:rsid w:val="50351CA1"/>
    <w:rsid w:val="50533167"/>
    <w:rsid w:val="50942CF5"/>
    <w:rsid w:val="510D500C"/>
    <w:rsid w:val="51256043"/>
    <w:rsid w:val="517E7983"/>
    <w:rsid w:val="5235306E"/>
    <w:rsid w:val="524B02A0"/>
    <w:rsid w:val="52A02E49"/>
    <w:rsid w:val="52BF26C9"/>
    <w:rsid w:val="52C35B14"/>
    <w:rsid w:val="5322175D"/>
    <w:rsid w:val="53426A39"/>
    <w:rsid w:val="539B5224"/>
    <w:rsid w:val="53BD3C3B"/>
    <w:rsid w:val="5453634E"/>
    <w:rsid w:val="54BD0864"/>
    <w:rsid w:val="54CB5A30"/>
    <w:rsid w:val="551560C9"/>
    <w:rsid w:val="55461BC0"/>
    <w:rsid w:val="55825812"/>
    <w:rsid w:val="55FA184D"/>
    <w:rsid w:val="5637484F"/>
    <w:rsid w:val="56450569"/>
    <w:rsid w:val="566273F2"/>
    <w:rsid w:val="56E147BB"/>
    <w:rsid w:val="57147053"/>
    <w:rsid w:val="57325016"/>
    <w:rsid w:val="57CF44D5"/>
    <w:rsid w:val="57E9601D"/>
    <w:rsid w:val="57FB3E56"/>
    <w:rsid w:val="580E5A83"/>
    <w:rsid w:val="58AB6A17"/>
    <w:rsid w:val="58C008BD"/>
    <w:rsid w:val="593353A4"/>
    <w:rsid w:val="593F66A5"/>
    <w:rsid w:val="59561C0E"/>
    <w:rsid w:val="59981820"/>
    <w:rsid w:val="5A0E3B19"/>
    <w:rsid w:val="5A12169D"/>
    <w:rsid w:val="5AA61FA3"/>
    <w:rsid w:val="5AB64AFF"/>
    <w:rsid w:val="5AC12079"/>
    <w:rsid w:val="5ADC59C5"/>
    <w:rsid w:val="5CA57021"/>
    <w:rsid w:val="5CEE378D"/>
    <w:rsid w:val="5D2426C8"/>
    <w:rsid w:val="5D520385"/>
    <w:rsid w:val="5DB81516"/>
    <w:rsid w:val="5DD45079"/>
    <w:rsid w:val="5DD666D1"/>
    <w:rsid w:val="5DDB7D24"/>
    <w:rsid w:val="5E151A5E"/>
    <w:rsid w:val="5ECE1C7D"/>
    <w:rsid w:val="5F0C446A"/>
    <w:rsid w:val="5F3A33D3"/>
    <w:rsid w:val="5F4A33E1"/>
    <w:rsid w:val="5F83325D"/>
    <w:rsid w:val="5FD059AA"/>
    <w:rsid w:val="602120CC"/>
    <w:rsid w:val="603D3843"/>
    <w:rsid w:val="60636240"/>
    <w:rsid w:val="60912DAE"/>
    <w:rsid w:val="61275B10"/>
    <w:rsid w:val="61360E20"/>
    <w:rsid w:val="61904E8D"/>
    <w:rsid w:val="61A66D2D"/>
    <w:rsid w:val="61AB4C9B"/>
    <w:rsid w:val="61D76EE6"/>
    <w:rsid w:val="61DE2022"/>
    <w:rsid w:val="61DF6086"/>
    <w:rsid w:val="62265778"/>
    <w:rsid w:val="6247450C"/>
    <w:rsid w:val="626A2EA0"/>
    <w:rsid w:val="633839B4"/>
    <w:rsid w:val="6366279D"/>
    <w:rsid w:val="63F5180B"/>
    <w:rsid w:val="64030466"/>
    <w:rsid w:val="6404737B"/>
    <w:rsid w:val="64A729C8"/>
    <w:rsid w:val="64AB1D46"/>
    <w:rsid w:val="64C44EC4"/>
    <w:rsid w:val="64ED07CF"/>
    <w:rsid w:val="65834996"/>
    <w:rsid w:val="65D5198E"/>
    <w:rsid w:val="666B0DCC"/>
    <w:rsid w:val="667A6690"/>
    <w:rsid w:val="66A24825"/>
    <w:rsid w:val="66A76F35"/>
    <w:rsid w:val="66B0410B"/>
    <w:rsid w:val="67204B7D"/>
    <w:rsid w:val="67373FBB"/>
    <w:rsid w:val="673D77EB"/>
    <w:rsid w:val="67521F91"/>
    <w:rsid w:val="675C070F"/>
    <w:rsid w:val="67EC296B"/>
    <w:rsid w:val="680D3662"/>
    <w:rsid w:val="686E1C26"/>
    <w:rsid w:val="68776D2D"/>
    <w:rsid w:val="68802085"/>
    <w:rsid w:val="690C1B6B"/>
    <w:rsid w:val="69110F2F"/>
    <w:rsid w:val="69114541"/>
    <w:rsid w:val="69144798"/>
    <w:rsid w:val="695C12C6"/>
    <w:rsid w:val="69A471EE"/>
    <w:rsid w:val="69E14DA6"/>
    <w:rsid w:val="6A241853"/>
    <w:rsid w:val="6AB778B5"/>
    <w:rsid w:val="6AC16E14"/>
    <w:rsid w:val="6ACC0C75"/>
    <w:rsid w:val="6B3E7FD6"/>
    <w:rsid w:val="6BF13A6A"/>
    <w:rsid w:val="6BFF7124"/>
    <w:rsid w:val="6C21592D"/>
    <w:rsid w:val="6C6A2BC9"/>
    <w:rsid w:val="6CDA3D2E"/>
    <w:rsid w:val="6D2E55A1"/>
    <w:rsid w:val="6D68651B"/>
    <w:rsid w:val="6DD80681"/>
    <w:rsid w:val="6DD9677A"/>
    <w:rsid w:val="6DE8594C"/>
    <w:rsid w:val="6EA564BF"/>
    <w:rsid w:val="6EC46A44"/>
    <w:rsid w:val="6ECD0E99"/>
    <w:rsid w:val="6EDB691B"/>
    <w:rsid w:val="6F453913"/>
    <w:rsid w:val="6F8158C6"/>
    <w:rsid w:val="6FA8409C"/>
    <w:rsid w:val="704A1C3C"/>
    <w:rsid w:val="71135FBD"/>
    <w:rsid w:val="711C2B67"/>
    <w:rsid w:val="71BD40FA"/>
    <w:rsid w:val="72113FFC"/>
    <w:rsid w:val="723D2D95"/>
    <w:rsid w:val="72E117EB"/>
    <w:rsid w:val="730970C1"/>
    <w:rsid w:val="73A155A6"/>
    <w:rsid w:val="73CD0149"/>
    <w:rsid w:val="7403404F"/>
    <w:rsid w:val="74250EE0"/>
    <w:rsid w:val="7435737E"/>
    <w:rsid w:val="756E770A"/>
    <w:rsid w:val="759676D1"/>
    <w:rsid w:val="75E67850"/>
    <w:rsid w:val="76404C02"/>
    <w:rsid w:val="765B7685"/>
    <w:rsid w:val="76BD0DC7"/>
    <w:rsid w:val="771A4B55"/>
    <w:rsid w:val="7735228D"/>
    <w:rsid w:val="775E4B2C"/>
    <w:rsid w:val="77A97B4A"/>
    <w:rsid w:val="77AB6840"/>
    <w:rsid w:val="780C3702"/>
    <w:rsid w:val="795D3D16"/>
    <w:rsid w:val="796C6E19"/>
    <w:rsid w:val="79C53564"/>
    <w:rsid w:val="7A2B7977"/>
    <w:rsid w:val="7A5343EF"/>
    <w:rsid w:val="7A5A025C"/>
    <w:rsid w:val="7A5E7DB1"/>
    <w:rsid w:val="7A670E2C"/>
    <w:rsid w:val="7A707EDB"/>
    <w:rsid w:val="7A961744"/>
    <w:rsid w:val="7A9B107F"/>
    <w:rsid w:val="7A9E4F44"/>
    <w:rsid w:val="7AC45BBA"/>
    <w:rsid w:val="7B0F10E1"/>
    <w:rsid w:val="7B422B82"/>
    <w:rsid w:val="7B9D23E8"/>
    <w:rsid w:val="7BBF0190"/>
    <w:rsid w:val="7CD200A4"/>
    <w:rsid w:val="7CE107C1"/>
    <w:rsid w:val="7CF76632"/>
    <w:rsid w:val="7D1F6AD9"/>
    <w:rsid w:val="7D5F38C4"/>
    <w:rsid w:val="7D704423"/>
    <w:rsid w:val="7DEB2D2E"/>
    <w:rsid w:val="7DF87373"/>
    <w:rsid w:val="7E111057"/>
    <w:rsid w:val="7E7B31DC"/>
    <w:rsid w:val="7ECA1745"/>
    <w:rsid w:val="7F2A46A1"/>
    <w:rsid w:val="7F857B2A"/>
    <w:rsid w:val="7FBB64BE"/>
    <w:rsid w:val="7FCB7F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0"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64"/>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2" w:lineRule="auto"/>
      <w:outlineLvl w:val="1"/>
    </w:pPr>
    <w:rPr>
      <w:rFonts w:ascii="Arial" w:hAnsi="Arial" w:eastAsia="黑体" w:cs="Arial"/>
      <w:b/>
      <w:kern w:val="0"/>
      <w:sz w:val="32"/>
      <w:szCs w:val="32"/>
    </w:rPr>
  </w:style>
  <w:style w:type="paragraph" w:styleId="4">
    <w:name w:val="heading 3"/>
    <w:basedOn w:val="1"/>
    <w:next w:val="1"/>
    <w:link w:val="66"/>
    <w:qFormat/>
    <w:uiPriority w:val="0"/>
    <w:pPr>
      <w:keepNext/>
      <w:keepLines/>
      <w:spacing w:before="260" w:after="260" w:line="412" w:lineRule="auto"/>
      <w:ind w:left="459"/>
      <w:outlineLvl w:val="2"/>
    </w:pPr>
    <w:rPr>
      <w:rFonts w:eastAsia="仿宋_GB2312"/>
      <w:b/>
      <w:bCs/>
      <w:kern w:val="0"/>
      <w:sz w:val="32"/>
      <w:szCs w:val="32"/>
    </w:rPr>
  </w:style>
  <w:style w:type="paragraph" w:styleId="5">
    <w:name w:val="heading 4"/>
    <w:basedOn w:val="1"/>
    <w:next w:val="1"/>
    <w:link w:val="67"/>
    <w:qFormat/>
    <w:uiPriority w:val="0"/>
    <w:pPr>
      <w:keepNext/>
      <w:keepLines/>
      <w:spacing w:before="280" w:after="290" w:line="372" w:lineRule="auto"/>
      <w:outlineLvl w:val="3"/>
    </w:pPr>
    <w:rPr>
      <w:rFonts w:ascii="Arial" w:hAnsi="Arial" w:eastAsia="黑体" w:cs="Arial"/>
      <w:b/>
      <w:bCs/>
      <w:kern w:val="0"/>
      <w:sz w:val="28"/>
      <w:szCs w:val="28"/>
    </w:rPr>
  </w:style>
  <w:style w:type="paragraph" w:styleId="6">
    <w:name w:val="heading 5"/>
    <w:basedOn w:val="1"/>
    <w:next w:val="1"/>
    <w:link w:val="68"/>
    <w:qFormat/>
    <w:uiPriority w:val="0"/>
    <w:pPr>
      <w:keepNext/>
      <w:keepLines/>
      <w:spacing w:before="280" w:after="290" w:line="376" w:lineRule="atLeast"/>
      <w:outlineLvl w:val="4"/>
    </w:pPr>
    <w:rPr>
      <w:b/>
      <w:bCs/>
      <w:sz w:val="28"/>
      <w:szCs w:val="28"/>
    </w:rPr>
  </w:style>
  <w:style w:type="paragraph" w:styleId="7">
    <w:name w:val="heading 6"/>
    <w:basedOn w:val="1"/>
    <w:next w:val="1"/>
    <w:link w:val="69"/>
    <w:qFormat/>
    <w:uiPriority w:val="0"/>
    <w:pPr>
      <w:keepNext/>
      <w:keepLines/>
      <w:spacing w:before="240" w:after="64" w:line="317" w:lineRule="auto"/>
      <w:outlineLvl w:val="5"/>
    </w:pPr>
    <w:rPr>
      <w:rFonts w:ascii="Cambria" w:hAnsi="Cambria"/>
      <w:b/>
      <w:bCs/>
      <w:kern w:val="0"/>
      <w:sz w:val="24"/>
      <w:szCs w:val="24"/>
    </w:rPr>
  </w:style>
  <w:style w:type="paragraph" w:styleId="8">
    <w:name w:val="heading 7"/>
    <w:basedOn w:val="1"/>
    <w:next w:val="1"/>
    <w:link w:val="70"/>
    <w:qFormat/>
    <w:uiPriority w:val="0"/>
    <w:pPr>
      <w:keepNext/>
      <w:keepLines/>
      <w:spacing w:before="240" w:after="64" w:line="317" w:lineRule="auto"/>
      <w:outlineLvl w:val="6"/>
    </w:pPr>
    <w:rPr>
      <w:rFonts w:ascii="Calibri" w:hAnsi="Calibri"/>
      <w:b/>
      <w:bCs/>
      <w:kern w:val="0"/>
      <w:sz w:val="24"/>
      <w:szCs w:val="24"/>
    </w:rPr>
  </w:style>
  <w:style w:type="paragraph" w:styleId="9">
    <w:name w:val="heading 8"/>
    <w:basedOn w:val="1"/>
    <w:next w:val="1"/>
    <w:link w:val="71"/>
    <w:qFormat/>
    <w:uiPriority w:val="0"/>
    <w:pPr>
      <w:keepNext/>
      <w:keepLines/>
      <w:spacing w:before="240" w:after="64" w:line="317" w:lineRule="auto"/>
      <w:outlineLvl w:val="7"/>
    </w:pPr>
    <w:rPr>
      <w:rFonts w:ascii="Cambria" w:hAnsi="Cambria"/>
      <w:kern w:val="0"/>
      <w:sz w:val="24"/>
      <w:szCs w:val="24"/>
    </w:rPr>
  </w:style>
  <w:style w:type="paragraph" w:styleId="10">
    <w:name w:val="heading 9"/>
    <w:basedOn w:val="1"/>
    <w:next w:val="1"/>
    <w:link w:val="72"/>
    <w:qFormat/>
    <w:uiPriority w:val="0"/>
    <w:pPr>
      <w:keepNext/>
      <w:keepLines/>
      <w:spacing w:before="240" w:after="64" w:line="317" w:lineRule="auto"/>
      <w:outlineLvl w:val="8"/>
    </w:pPr>
    <w:rPr>
      <w:rFonts w:ascii="Cambria" w:hAnsi="Cambria"/>
      <w:kern w:val="0"/>
    </w:rPr>
  </w:style>
  <w:style w:type="character" w:default="1" w:styleId="47">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0"/>
    <w:pPr>
      <w:ind w:left="2520" w:leftChars="1200"/>
    </w:pPr>
    <w:rPr>
      <w:rFonts w:asciiTheme="minorHAnsi" w:hAnsiTheme="minorHAnsi" w:eastAsiaTheme="minorEastAsia" w:cstheme="minorBidi"/>
      <w:szCs w:val="22"/>
    </w:rPr>
  </w:style>
  <w:style w:type="paragraph" w:styleId="12">
    <w:name w:val="table of authorities"/>
    <w:basedOn w:val="1"/>
    <w:next w:val="1"/>
    <w:qFormat/>
    <w:uiPriority w:val="0"/>
    <w:pPr>
      <w:ind w:left="420" w:leftChars="200"/>
    </w:pPr>
    <w:rPr>
      <w:rFonts w:ascii="Calibri" w:hAnsi="Calibri"/>
    </w:rPr>
  </w:style>
  <w:style w:type="paragraph" w:styleId="13">
    <w:name w:val="index 8"/>
    <w:basedOn w:val="1"/>
    <w:next w:val="1"/>
    <w:unhideWhenUsed/>
    <w:qFormat/>
    <w:uiPriority w:val="99"/>
    <w:pPr>
      <w:jc w:val="center"/>
    </w:pPr>
    <w:rPr>
      <w:color w:val="000000"/>
      <w:sz w:val="32"/>
      <w:szCs w:val="32"/>
    </w:rPr>
  </w:style>
  <w:style w:type="paragraph" w:styleId="14">
    <w:name w:val="Normal Indent"/>
    <w:basedOn w:val="1"/>
    <w:qFormat/>
    <w:uiPriority w:val="0"/>
    <w:pPr>
      <w:adjustRightInd w:val="0"/>
      <w:spacing w:line="360" w:lineRule="atLeast"/>
      <w:ind w:firstLine="482"/>
      <w:textAlignment w:val="baseline"/>
    </w:pPr>
    <w:rPr>
      <w:kern w:val="0"/>
      <w:sz w:val="24"/>
      <w:szCs w:val="20"/>
    </w:rPr>
  </w:style>
  <w:style w:type="paragraph" w:styleId="15">
    <w:name w:val="caption"/>
    <w:basedOn w:val="1"/>
    <w:next w:val="1"/>
    <w:qFormat/>
    <w:uiPriority w:val="0"/>
    <w:rPr>
      <w:rFonts w:ascii="Cambria" w:hAnsi="Cambria" w:eastAsia="黑体"/>
      <w:sz w:val="20"/>
      <w:szCs w:val="20"/>
    </w:rPr>
  </w:style>
  <w:style w:type="paragraph" w:styleId="16">
    <w:name w:val="Document Map"/>
    <w:basedOn w:val="1"/>
    <w:link w:val="107"/>
    <w:qFormat/>
    <w:uiPriority w:val="0"/>
    <w:pPr>
      <w:shd w:val="clear" w:color="auto" w:fill="000080"/>
      <w:spacing w:line="360" w:lineRule="exact"/>
    </w:pPr>
    <w:rPr>
      <w:szCs w:val="24"/>
    </w:rPr>
  </w:style>
  <w:style w:type="paragraph" w:styleId="17">
    <w:name w:val="annotation text"/>
    <w:basedOn w:val="1"/>
    <w:link w:val="73"/>
    <w:unhideWhenUsed/>
    <w:qFormat/>
    <w:uiPriority w:val="0"/>
    <w:pPr>
      <w:jc w:val="left"/>
    </w:pPr>
    <w:rPr>
      <w:kern w:val="0"/>
      <w:sz w:val="20"/>
      <w:szCs w:val="20"/>
    </w:rPr>
  </w:style>
  <w:style w:type="paragraph" w:styleId="18">
    <w:name w:val="Body Text 3"/>
    <w:basedOn w:val="1"/>
    <w:link w:val="74"/>
    <w:unhideWhenUsed/>
    <w:qFormat/>
    <w:uiPriority w:val="99"/>
    <w:rPr>
      <w:kern w:val="0"/>
      <w:sz w:val="24"/>
      <w:szCs w:val="24"/>
    </w:rPr>
  </w:style>
  <w:style w:type="paragraph" w:styleId="19">
    <w:name w:val="Body Text"/>
    <w:basedOn w:val="1"/>
    <w:link w:val="75"/>
    <w:unhideWhenUsed/>
    <w:qFormat/>
    <w:uiPriority w:val="0"/>
    <w:pPr>
      <w:spacing w:before="100" w:beforeAutospacing="1" w:after="120"/>
    </w:pPr>
    <w:rPr>
      <w:kern w:val="0"/>
      <w:sz w:val="20"/>
      <w:szCs w:val="20"/>
    </w:rPr>
  </w:style>
  <w:style w:type="paragraph" w:styleId="20">
    <w:name w:val="Body Text Indent"/>
    <w:basedOn w:val="1"/>
    <w:next w:val="21"/>
    <w:link w:val="76"/>
    <w:unhideWhenUsed/>
    <w:qFormat/>
    <w:uiPriority w:val="99"/>
    <w:pPr>
      <w:ind w:firstLine="353" w:firstLineChars="147"/>
    </w:pPr>
    <w:rPr>
      <w:rFonts w:ascii="宋体" w:hAnsi="宋体"/>
      <w:kern w:val="0"/>
    </w:rPr>
  </w:style>
  <w:style w:type="paragraph" w:styleId="21">
    <w:name w:val="envelope return"/>
    <w:basedOn w:val="1"/>
    <w:qFormat/>
    <w:uiPriority w:val="0"/>
    <w:pPr>
      <w:snapToGrid w:val="0"/>
    </w:pPr>
    <w:rPr>
      <w:rFonts w:ascii="Arial" w:hAnsi="Arial"/>
    </w:rPr>
  </w:style>
  <w:style w:type="paragraph" w:styleId="22">
    <w:name w:val="List Continue"/>
    <w:basedOn w:val="1"/>
    <w:qFormat/>
    <w:uiPriority w:val="0"/>
    <w:pPr>
      <w:spacing w:after="120"/>
      <w:ind w:left="420" w:leftChars="200"/>
    </w:pPr>
    <w:rPr>
      <w:szCs w:val="24"/>
    </w:rPr>
  </w:style>
  <w:style w:type="paragraph" w:styleId="23">
    <w:name w:val="index 4"/>
    <w:basedOn w:val="1"/>
    <w:next w:val="1"/>
    <w:qFormat/>
    <w:uiPriority w:val="0"/>
    <w:pPr>
      <w:ind w:left="600" w:leftChars="600"/>
    </w:pPr>
  </w:style>
  <w:style w:type="paragraph" w:styleId="24">
    <w:name w:val="toc 5"/>
    <w:basedOn w:val="1"/>
    <w:next w:val="1"/>
    <w:unhideWhenUsed/>
    <w:qFormat/>
    <w:uiPriority w:val="0"/>
    <w:pPr>
      <w:ind w:left="1680" w:leftChars="800"/>
    </w:pPr>
    <w:rPr>
      <w:rFonts w:asciiTheme="minorHAnsi" w:hAnsiTheme="minorHAnsi" w:eastAsiaTheme="minorEastAsia" w:cstheme="minorBidi"/>
      <w:szCs w:val="22"/>
    </w:rPr>
  </w:style>
  <w:style w:type="paragraph" w:styleId="25">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26">
    <w:name w:val="Plain Text"/>
    <w:basedOn w:val="1"/>
    <w:link w:val="77"/>
    <w:unhideWhenUsed/>
    <w:qFormat/>
    <w:uiPriority w:val="0"/>
    <w:rPr>
      <w:rFonts w:hAnsi="Courier New"/>
      <w:kern w:val="0"/>
      <w:sz w:val="20"/>
      <w:szCs w:val="20"/>
    </w:rPr>
  </w:style>
  <w:style w:type="paragraph" w:styleId="27">
    <w:name w:val="toc 8"/>
    <w:basedOn w:val="1"/>
    <w:next w:val="1"/>
    <w:unhideWhenUsed/>
    <w:qFormat/>
    <w:uiPriority w:val="0"/>
    <w:pPr>
      <w:ind w:left="2940" w:leftChars="1400"/>
    </w:pPr>
    <w:rPr>
      <w:rFonts w:asciiTheme="minorHAnsi" w:hAnsiTheme="minorHAnsi" w:eastAsiaTheme="minorEastAsia" w:cstheme="minorBidi"/>
      <w:szCs w:val="22"/>
    </w:rPr>
  </w:style>
  <w:style w:type="paragraph" w:styleId="28">
    <w:name w:val="Date"/>
    <w:basedOn w:val="1"/>
    <w:next w:val="1"/>
    <w:link w:val="78"/>
    <w:qFormat/>
    <w:uiPriority w:val="0"/>
    <w:pPr>
      <w:ind w:left="100" w:leftChars="2500"/>
    </w:pPr>
  </w:style>
  <w:style w:type="paragraph" w:styleId="29">
    <w:name w:val="Balloon Text"/>
    <w:basedOn w:val="1"/>
    <w:link w:val="79"/>
    <w:unhideWhenUsed/>
    <w:qFormat/>
    <w:uiPriority w:val="0"/>
    <w:rPr>
      <w:sz w:val="18"/>
      <w:szCs w:val="18"/>
    </w:rPr>
  </w:style>
  <w:style w:type="paragraph" w:styleId="30">
    <w:name w:val="footer"/>
    <w:basedOn w:val="1"/>
    <w:link w:val="80"/>
    <w:unhideWhenUsed/>
    <w:qFormat/>
    <w:uiPriority w:val="0"/>
    <w:pPr>
      <w:snapToGrid w:val="0"/>
      <w:jc w:val="left"/>
    </w:pPr>
    <w:rPr>
      <w:kern w:val="0"/>
      <w:sz w:val="18"/>
      <w:szCs w:val="18"/>
    </w:rPr>
  </w:style>
  <w:style w:type="paragraph" w:styleId="31">
    <w:name w:val="header"/>
    <w:basedOn w:val="1"/>
    <w:link w:val="81"/>
    <w:unhideWhenUsed/>
    <w:qFormat/>
    <w:uiPriority w:val="0"/>
    <w:pPr>
      <w:pBdr>
        <w:bottom w:val="single" w:color="auto" w:sz="6" w:space="1"/>
      </w:pBdr>
      <w:snapToGrid w:val="0"/>
      <w:jc w:val="center"/>
    </w:pPr>
    <w:rPr>
      <w:kern w:val="0"/>
      <w:sz w:val="18"/>
      <w:szCs w:val="18"/>
    </w:rPr>
  </w:style>
  <w:style w:type="paragraph" w:styleId="32">
    <w:name w:val="toc 1"/>
    <w:basedOn w:val="1"/>
    <w:next w:val="1"/>
    <w:unhideWhenUsed/>
    <w:qFormat/>
    <w:uiPriority w:val="39"/>
    <w:pPr>
      <w:widowControl/>
      <w:spacing w:before="100" w:beforeAutospacing="1" w:after="100" w:line="273" w:lineRule="auto"/>
      <w:jc w:val="center"/>
    </w:pPr>
    <w:rPr>
      <w:rFonts w:ascii="Calibri" w:hAnsi="Calibri" w:cs="Calibri"/>
      <w:kern w:val="0"/>
      <w:sz w:val="22"/>
      <w:szCs w:val="22"/>
    </w:rPr>
  </w:style>
  <w:style w:type="paragraph" w:styleId="33">
    <w:name w:val="toc 4"/>
    <w:basedOn w:val="1"/>
    <w:next w:val="1"/>
    <w:unhideWhenUsed/>
    <w:qFormat/>
    <w:uiPriority w:val="0"/>
    <w:pPr>
      <w:ind w:left="1260" w:leftChars="600"/>
    </w:pPr>
    <w:rPr>
      <w:rFonts w:asciiTheme="minorHAnsi" w:hAnsiTheme="minorHAnsi" w:eastAsiaTheme="minorEastAsia" w:cstheme="minorBidi"/>
      <w:szCs w:val="22"/>
    </w:rPr>
  </w:style>
  <w:style w:type="paragraph" w:styleId="34">
    <w:name w:val="Subtitle"/>
    <w:basedOn w:val="1"/>
    <w:next w:val="1"/>
    <w:link w:val="108"/>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82"/>
    <w:unhideWhenUsed/>
    <w:qFormat/>
    <w:uiPriority w:val="99"/>
    <w:pPr>
      <w:snapToGrid w:val="0"/>
      <w:jc w:val="left"/>
    </w:pPr>
    <w:rPr>
      <w:sz w:val="18"/>
      <w:szCs w:val="18"/>
    </w:rPr>
  </w:style>
  <w:style w:type="paragraph" w:styleId="36">
    <w:name w:val="toc 6"/>
    <w:basedOn w:val="1"/>
    <w:next w:val="1"/>
    <w:unhideWhenUsed/>
    <w:qFormat/>
    <w:uiPriority w:val="0"/>
    <w:pPr>
      <w:ind w:left="2100" w:leftChars="1000"/>
    </w:pPr>
    <w:rPr>
      <w:rFonts w:asciiTheme="minorHAnsi" w:hAnsiTheme="minorHAnsi" w:eastAsiaTheme="minorEastAsia" w:cstheme="minorBidi"/>
      <w:szCs w:val="22"/>
    </w:rPr>
  </w:style>
  <w:style w:type="paragraph" w:styleId="37">
    <w:name w:val="Body Text Indent 3"/>
    <w:basedOn w:val="1"/>
    <w:link w:val="109"/>
    <w:qFormat/>
    <w:uiPriority w:val="0"/>
    <w:pPr>
      <w:spacing w:after="120"/>
      <w:ind w:left="420" w:leftChars="200"/>
    </w:pPr>
    <w:rPr>
      <w:sz w:val="16"/>
      <w:szCs w:val="16"/>
    </w:rPr>
  </w:style>
  <w:style w:type="paragraph" w:styleId="38">
    <w:name w:val="toc 2"/>
    <w:basedOn w:val="1"/>
    <w:next w:val="1"/>
    <w:unhideWhenUsed/>
    <w:qFormat/>
    <w:uiPriority w:val="0"/>
    <w:pPr>
      <w:widowControl/>
      <w:spacing w:before="100" w:beforeAutospacing="1" w:after="100" w:line="273" w:lineRule="auto"/>
      <w:ind w:left="220"/>
      <w:jc w:val="left"/>
    </w:pPr>
    <w:rPr>
      <w:rFonts w:ascii="Calibri" w:hAnsi="Calibri" w:cs="Calibri"/>
      <w:kern w:val="0"/>
      <w:sz w:val="22"/>
      <w:szCs w:val="22"/>
    </w:rPr>
  </w:style>
  <w:style w:type="paragraph" w:styleId="39">
    <w:name w:val="toc 9"/>
    <w:basedOn w:val="1"/>
    <w:next w:val="1"/>
    <w:unhideWhenUsed/>
    <w:qFormat/>
    <w:uiPriority w:val="0"/>
    <w:pPr>
      <w:ind w:left="3360" w:leftChars="1600"/>
    </w:pPr>
    <w:rPr>
      <w:rFonts w:asciiTheme="minorHAnsi" w:hAnsiTheme="minorHAnsi" w:eastAsiaTheme="minorEastAsia" w:cstheme="minorBidi"/>
      <w:szCs w:val="22"/>
    </w:rPr>
  </w:style>
  <w:style w:type="paragraph" w:styleId="40">
    <w:name w:val="Body Text 2"/>
    <w:basedOn w:val="1"/>
    <w:link w:val="110"/>
    <w:qFormat/>
    <w:uiPriority w:val="0"/>
    <w:pPr>
      <w:jc w:val="center"/>
    </w:pPr>
    <w:rPr>
      <w:rFonts w:ascii="楷体_GB2312" w:eastAsia="楷体_GB2312"/>
      <w:b/>
      <w:sz w:val="36"/>
      <w:szCs w:val="48"/>
    </w:rPr>
  </w:style>
  <w:style w:type="paragraph" w:styleId="41">
    <w:name w:val="Normal (Web)"/>
    <w:basedOn w:val="1"/>
    <w:qFormat/>
    <w:uiPriority w:val="0"/>
    <w:pPr>
      <w:spacing w:line="432" w:lineRule="auto"/>
    </w:pPr>
    <w:rPr>
      <w:kern w:val="0"/>
    </w:rPr>
  </w:style>
  <w:style w:type="paragraph" w:styleId="42">
    <w:name w:val="Title"/>
    <w:basedOn w:val="1"/>
    <w:next w:val="1"/>
    <w:link w:val="111"/>
    <w:qFormat/>
    <w:uiPriority w:val="0"/>
    <w:pPr>
      <w:spacing w:before="240" w:after="60"/>
      <w:jc w:val="center"/>
      <w:outlineLvl w:val="0"/>
    </w:pPr>
    <w:rPr>
      <w:rFonts w:ascii="Cambria" w:hAnsi="Cambria"/>
      <w:b/>
      <w:bCs/>
      <w:kern w:val="0"/>
      <w:sz w:val="32"/>
      <w:szCs w:val="32"/>
    </w:rPr>
  </w:style>
  <w:style w:type="paragraph" w:styleId="43">
    <w:name w:val="annotation subject"/>
    <w:basedOn w:val="17"/>
    <w:next w:val="17"/>
    <w:link w:val="83"/>
    <w:unhideWhenUsed/>
    <w:qFormat/>
    <w:uiPriority w:val="0"/>
    <w:rPr>
      <w:b/>
      <w:bCs/>
      <w:kern w:val="2"/>
      <w:sz w:val="21"/>
      <w:szCs w:val="21"/>
    </w:rPr>
  </w:style>
  <w:style w:type="paragraph" w:styleId="44">
    <w:name w:val="Body Text First Indent"/>
    <w:basedOn w:val="19"/>
    <w:next w:val="1"/>
    <w:unhideWhenUsed/>
    <w:qFormat/>
    <w:uiPriority w:val="99"/>
    <w:pPr>
      <w:ind w:firstLine="420" w:firstLineChars="100"/>
    </w:pPr>
    <w:rPr>
      <w:rFonts w:asciiTheme="minorHAnsi" w:hAnsiTheme="minorHAnsi" w:eastAsiaTheme="minorEastAsia" w:cstheme="minorBidi"/>
      <w:kern w:val="2"/>
      <w:sz w:val="21"/>
      <w:szCs w:val="22"/>
    </w:rPr>
  </w:style>
  <w:style w:type="paragraph" w:styleId="45">
    <w:name w:val="Body Text First Indent 2"/>
    <w:basedOn w:val="20"/>
    <w:next w:val="1"/>
    <w:unhideWhenUsed/>
    <w:qFormat/>
    <w:uiPriority w:val="99"/>
    <w:pPr>
      <w:spacing w:after="120"/>
      <w:ind w:left="420" w:leftChars="200" w:firstLine="420" w:firstLineChars="200"/>
    </w:pPr>
    <w:rPr>
      <w:rFonts w:ascii="Times New Roman" w:hAnsi="Times New Roman"/>
      <w:kern w:val="2"/>
    </w:rPr>
  </w:style>
  <w:style w:type="character" w:styleId="48">
    <w:name w:val="Strong"/>
    <w:basedOn w:val="47"/>
    <w:qFormat/>
    <w:uiPriority w:val="0"/>
    <w:rPr>
      <w:b/>
      <w:bCs/>
    </w:rPr>
  </w:style>
  <w:style w:type="character" w:styleId="49">
    <w:name w:val="page number"/>
    <w:basedOn w:val="47"/>
    <w:qFormat/>
    <w:uiPriority w:val="0"/>
  </w:style>
  <w:style w:type="character" w:styleId="50">
    <w:name w:val="FollowedHyperlink"/>
    <w:basedOn w:val="47"/>
    <w:unhideWhenUsed/>
    <w:qFormat/>
    <w:uiPriority w:val="99"/>
    <w:rPr>
      <w:color w:val="800080"/>
      <w:u w:val="single"/>
    </w:rPr>
  </w:style>
  <w:style w:type="character" w:styleId="51">
    <w:name w:val="Emphasis"/>
    <w:qFormat/>
    <w:uiPriority w:val="0"/>
    <w:rPr>
      <w:rFonts w:ascii="Tahoma" w:hAnsi="Tahoma" w:cs="Tahoma"/>
      <w:sz w:val="24"/>
    </w:rPr>
  </w:style>
  <w:style w:type="character" w:styleId="52">
    <w:name w:val="HTML Definition"/>
    <w:qFormat/>
    <w:uiPriority w:val="0"/>
    <w:rPr>
      <w:rFonts w:ascii="Tahoma" w:hAnsi="Tahoma" w:cs="Tahoma"/>
      <w:sz w:val="24"/>
    </w:rPr>
  </w:style>
  <w:style w:type="character" w:styleId="53">
    <w:name w:val="HTML Typewriter"/>
    <w:qFormat/>
    <w:uiPriority w:val="0"/>
    <w:rPr>
      <w:rFonts w:ascii="monospace" w:hAnsi="monospace" w:eastAsia="monospace" w:cs="monospace"/>
      <w:sz w:val="20"/>
    </w:rPr>
  </w:style>
  <w:style w:type="character" w:styleId="54">
    <w:name w:val="HTML Acronym"/>
    <w:qFormat/>
    <w:uiPriority w:val="0"/>
    <w:rPr>
      <w:rFonts w:ascii="Tahoma" w:hAnsi="Tahoma" w:cs="Tahoma"/>
      <w:sz w:val="24"/>
    </w:rPr>
  </w:style>
  <w:style w:type="character" w:styleId="55">
    <w:name w:val="HTML Variable"/>
    <w:qFormat/>
    <w:uiPriority w:val="0"/>
    <w:rPr>
      <w:rFonts w:ascii="Tahoma" w:hAnsi="Tahoma" w:cs="Tahoma"/>
      <w:sz w:val="24"/>
    </w:rPr>
  </w:style>
  <w:style w:type="character" w:styleId="56">
    <w:name w:val="Hyperlink"/>
    <w:basedOn w:val="47"/>
    <w:unhideWhenUsed/>
    <w:qFormat/>
    <w:uiPriority w:val="99"/>
    <w:rPr>
      <w:color w:val="0000FF"/>
      <w:u w:val="single"/>
    </w:rPr>
  </w:style>
  <w:style w:type="character" w:styleId="57">
    <w:name w:val="HTML Code"/>
    <w:qFormat/>
    <w:uiPriority w:val="0"/>
    <w:rPr>
      <w:rFonts w:hint="default" w:ascii="monospace" w:hAnsi="monospace" w:eastAsia="monospace" w:cs="monospace"/>
      <w:sz w:val="20"/>
    </w:rPr>
  </w:style>
  <w:style w:type="character" w:styleId="58">
    <w:name w:val="annotation reference"/>
    <w:basedOn w:val="47"/>
    <w:unhideWhenUsed/>
    <w:qFormat/>
    <w:uiPriority w:val="0"/>
    <w:rPr>
      <w:sz w:val="21"/>
      <w:szCs w:val="21"/>
    </w:rPr>
  </w:style>
  <w:style w:type="character" w:styleId="59">
    <w:name w:val="HTML Cite"/>
    <w:qFormat/>
    <w:uiPriority w:val="0"/>
    <w:rPr>
      <w:rFonts w:ascii="Tahoma" w:hAnsi="Tahoma" w:cs="Tahoma"/>
      <w:sz w:val="24"/>
    </w:rPr>
  </w:style>
  <w:style w:type="character" w:styleId="60">
    <w:name w:val="HTML Keyboard"/>
    <w:qFormat/>
    <w:uiPriority w:val="0"/>
    <w:rPr>
      <w:rFonts w:hint="default" w:ascii="monospace" w:hAnsi="monospace" w:eastAsia="monospace" w:cs="monospace"/>
      <w:sz w:val="20"/>
    </w:rPr>
  </w:style>
  <w:style w:type="character" w:styleId="61">
    <w:name w:val="HTML Sample"/>
    <w:qFormat/>
    <w:uiPriority w:val="0"/>
    <w:rPr>
      <w:rFonts w:hint="default" w:ascii="monospace" w:hAnsi="monospace" w:eastAsia="monospace" w:cs="monospace"/>
      <w:sz w:val="24"/>
    </w:rPr>
  </w:style>
  <w:style w:type="paragraph" w:customStyle="1" w:styleId="62">
    <w:name w:val="正文1"/>
    <w:basedOn w:val="1"/>
    <w:next w:val="63"/>
    <w:qFormat/>
    <w:uiPriority w:val="0"/>
    <w:pPr>
      <w:spacing w:line="380" w:lineRule="exact"/>
      <w:jc w:val="center"/>
    </w:pPr>
    <w:rPr>
      <w:rFonts w:ascii="黑体" w:eastAsia="黑体"/>
    </w:rPr>
  </w:style>
  <w:style w:type="paragraph" w:customStyle="1" w:styleId="63">
    <w:name w:val="表格"/>
    <w:basedOn w:val="1"/>
    <w:next w:val="1"/>
    <w:qFormat/>
    <w:uiPriority w:val="0"/>
    <w:pPr>
      <w:jc w:val="center"/>
    </w:pPr>
    <w:rPr>
      <w:rFonts w:ascii="华文细黑"/>
    </w:rPr>
  </w:style>
  <w:style w:type="character" w:customStyle="1" w:styleId="64">
    <w:name w:val="标题 1 字符"/>
    <w:basedOn w:val="47"/>
    <w:link w:val="2"/>
    <w:qFormat/>
    <w:uiPriority w:val="0"/>
    <w:rPr>
      <w:rFonts w:ascii="Times New Roman" w:hAnsi="Times New Roman" w:eastAsia="宋体" w:cs="Times New Roman"/>
      <w:b/>
      <w:bCs/>
      <w:kern w:val="44"/>
      <w:sz w:val="44"/>
      <w:szCs w:val="44"/>
    </w:rPr>
  </w:style>
  <w:style w:type="character" w:customStyle="1" w:styleId="65">
    <w:name w:val="标题 2 字符"/>
    <w:basedOn w:val="47"/>
    <w:link w:val="3"/>
    <w:qFormat/>
    <w:uiPriority w:val="0"/>
    <w:rPr>
      <w:rFonts w:ascii="Arial" w:hAnsi="Arial" w:eastAsia="黑体" w:cs="Arial"/>
      <w:b/>
      <w:kern w:val="0"/>
      <w:sz w:val="32"/>
      <w:szCs w:val="32"/>
    </w:rPr>
  </w:style>
  <w:style w:type="character" w:customStyle="1" w:styleId="66">
    <w:name w:val="标题 3 字符"/>
    <w:basedOn w:val="47"/>
    <w:link w:val="4"/>
    <w:qFormat/>
    <w:uiPriority w:val="0"/>
    <w:rPr>
      <w:rFonts w:ascii="Times New Roman" w:hAnsi="Times New Roman" w:eastAsia="仿宋_GB2312" w:cs="Times New Roman"/>
      <w:b/>
      <w:bCs/>
      <w:kern w:val="0"/>
      <w:sz w:val="32"/>
      <w:szCs w:val="32"/>
    </w:rPr>
  </w:style>
  <w:style w:type="character" w:customStyle="1" w:styleId="67">
    <w:name w:val="标题 4 字符"/>
    <w:basedOn w:val="47"/>
    <w:link w:val="5"/>
    <w:qFormat/>
    <w:uiPriority w:val="0"/>
    <w:rPr>
      <w:rFonts w:ascii="Arial" w:hAnsi="Arial" w:eastAsia="黑体" w:cs="Arial"/>
      <w:b/>
      <w:bCs/>
      <w:kern w:val="0"/>
      <w:sz w:val="28"/>
      <w:szCs w:val="28"/>
    </w:rPr>
  </w:style>
  <w:style w:type="character" w:customStyle="1" w:styleId="68">
    <w:name w:val="标题 5 字符"/>
    <w:basedOn w:val="47"/>
    <w:link w:val="6"/>
    <w:qFormat/>
    <w:uiPriority w:val="0"/>
    <w:rPr>
      <w:b/>
      <w:bCs/>
      <w:kern w:val="2"/>
      <w:sz w:val="28"/>
      <w:szCs w:val="28"/>
    </w:rPr>
  </w:style>
  <w:style w:type="character" w:customStyle="1" w:styleId="69">
    <w:name w:val="标题 6 字符"/>
    <w:basedOn w:val="47"/>
    <w:link w:val="7"/>
    <w:qFormat/>
    <w:uiPriority w:val="0"/>
    <w:rPr>
      <w:rFonts w:ascii="Cambria" w:hAnsi="Cambria"/>
      <w:b/>
      <w:bCs/>
      <w:sz w:val="24"/>
      <w:szCs w:val="24"/>
    </w:rPr>
  </w:style>
  <w:style w:type="character" w:customStyle="1" w:styleId="70">
    <w:name w:val="标题 7 字符"/>
    <w:basedOn w:val="47"/>
    <w:link w:val="8"/>
    <w:qFormat/>
    <w:uiPriority w:val="0"/>
    <w:rPr>
      <w:rFonts w:ascii="Calibri" w:hAnsi="Calibri"/>
      <w:b/>
      <w:bCs/>
      <w:sz w:val="24"/>
      <w:szCs w:val="24"/>
    </w:rPr>
  </w:style>
  <w:style w:type="character" w:customStyle="1" w:styleId="71">
    <w:name w:val="标题 8 字符"/>
    <w:basedOn w:val="47"/>
    <w:link w:val="9"/>
    <w:qFormat/>
    <w:uiPriority w:val="0"/>
    <w:rPr>
      <w:rFonts w:ascii="Cambria" w:hAnsi="Cambria"/>
      <w:sz w:val="24"/>
      <w:szCs w:val="24"/>
    </w:rPr>
  </w:style>
  <w:style w:type="character" w:customStyle="1" w:styleId="72">
    <w:name w:val="标题 9 字符"/>
    <w:basedOn w:val="47"/>
    <w:link w:val="10"/>
    <w:qFormat/>
    <w:uiPriority w:val="0"/>
    <w:rPr>
      <w:rFonts w:ascii="Cambria" w:hAnsi="Cambria"/>
      <w:sz w:val="21"/>
      <w:szCs w:val="21"/>
    </w:rPr>
  </w:style>
  <w:style w:type="character" w:customStyle="1" w:styleId="73">
    <w:name w:val="批注文字 字符"/>
    <w:basedOn w:val="47"/>
    <w:link w:val="17"/>
    <w:qFormat/>
    <w:uiPriority w:val="0"/>
    <w:rPr>
      <w:rFonts w:ascii="Times New Roman" w:hAnsi="Times New Roman" w:eastAsia="宋体" w:cs="Times New Roman"/>
      <w:kern w:val="0"/>
      <w:sz w:val="20"/>
      <w:szCs w:val="20"/>
    </w:rPr>
  </w:style>
  <w:style w:type="character" w:customStyle="1" w:styleId="74">
    <w:name w:val="正文文本 3 字符"/>
    <w:basedOn w:val="47"/>
    <w:link w:val="18"/>
    <w:qFormat/>
    <w:uiPriority w:val="99"/>
    <w:rPr>
      <w:rFonts w:ascii="Times New Roman" w:hAnsi="Times New Roman" w:eastAsia="宋体" w:cs="Times New Roman"/>
      <w:kern w:val="0"/>
      <w:sz w:val="24"/>
      <w:szCs w:val="24"/>
    </w:rPr>
  </w:style>
  <w:style w:type="character" w:customStyle="1" w:styleId="75">
    <w:name w:val="正文文本 字符"/>
    <w:basedOn w:val="47"/>
    <w:link w:val="19"/>
    <w:qFormat/>
    <w:uiPriority w:val="0"/>
    <w:rPr>
      <w:rFonts w:ascii="Times New Roman" w:hAnsi="Times New Roman" w:eastAsia="宋体" w:cs="Times New Roman"/>
      <w:kern w:val="0"/>
      <w:sz w:val="20"/>
      <w:szCs w:val="20"/>
    </w:rPr>
  </w:style>
  <w:style w:type="character" w:customStyle="1" w:styleId="76">
    <w:name w:val="正文文本缩进 字符"/>
    <w:link w:val="20"/>
    <w:qFormat/>
    <w:uiPriority w:val="99"/>
    <w:rPr>
      <w:rFonts w:ascii="宋体" w:hAnsi="宋体"/>
      <w:sz w:val="21"/>
      <w:szCs w:val="21"/>
    </w:rPr>
  </w:style>
  <w:style w:type="character" w:customStyle="1" w:styleId="77">
    <w:name w:val="纯文本 字符"/>
    <w:basedOn w:val="47"/>
    <w:link w:val="26"/>
    <w:qFormat/>
    <w:uiPriority w:val="0"/>
    <w:rPr>
      <w:rFonts w:ascii="Times New Roman" w:hAnsi="Courier New" w:eastAsia="宋体" w:cs="Times New Roman"/>
      <w:kern w:val="0"/>
      <w:sz w:val="20"/>
      <w:szCs w:val="20"/>
    </w:rPr>
  </w:style>
  <w:style w:type="character" w:customStyle="1" w:styleId="78">
    <w:name w:val="日期 字符"/>
    <w:link w:val="28"/>
    <w:qFormat/>
    <w:uiPriority w:val="0"/>
    <w:rPr>
      <w:kern w:val="2"/>
      <w:sz w:val="21"/>
      <w:szCs w:val="21"/>
    </w:rPr>
  </w:style>
  <w:style w:type="character" w:customStyle="1" w:styleId="79">
    <w:name w:val="批注框文本 字符"/>
    <w:basedOn w:val="47"/>
    <w:link w:val="29"/>
    <w:qFormat/>
    <w:uiPriority w:val="0"/>
    <w:rPr>
      <w:rFonts w:ascii="Times New Roman" w:hAnsi="Times New Roman" w:eastAsia="宋体" w:cs="Times New Roman"/>
      <w:sz w:val="18"/>
      <w:szCs w:val="18"/>
    </w:rPr>
  </w:style>
  <w:style w:type="character" w:customStyle="1" w:styleId="80">
    <w:name w:val="页脚 字符"/>
    <w:basedOn w:val="47"/>
    <w:link w:val="30"/>
    <w:qFormat/>
    <w:uiPriority w:val="0"/>
    <w:rPr>
      <w:rFonts w:ascii="Times New Roman" w:hAnsi="Times New Roman" w:eastAsia="宋体" w:cs="Times New Roman"/>
      <w:kern w:val="0"/>
      <w:sz w:val="18"/>
      <w:szCs w:val="18"/>
    </w:rPr>
  </w:style>
  <w:style w:type="character" w:customStyle="1" w:styleId="81">
    <w:name w:val="页眉 字符"/>
    <w:basedOn w:val="47"/>
    <w:link w:val="31"/>
    <w:qFormat/>
    <w:uiPriority w:val="0"/>
    <w:rPr>
      <w:rFonts w:ascii="Times New Roman" w:hAnsi="Times New Roman" w:eastAsia="宋体" w:cs="Times New Roman"/>
      <w:kern w:val="0"/>
      <w:sz w:val="18"/>
      <w:szCs w:val="18"/>
    </w:rPr>
  </w:style>
  <w:style w:type="character" w:customStyle="1" w:styleId="82">
    <w:name w:val="脚注文本 字符"/>
    <w:basedOn w:val="47"/>
    <w:link w:val="35"/>
    <w:qFormat/>
    <w:uiPriority w:val="99"/>
    <w:rPr>
      <w:rFonts w:ascii="Times New Roman" w:hAnsi="Times New Roman" w:eastAsia="宋体" w:cs="Times New Roman"/>
      <w:sz w:val="18"/>
      <w:szCs w:val="18"/>
    </w:rPr>
  </w:style>
  <w:style w:type="character" w:customStyle="1" w:styleId="83">
    <w:name w:val="批注主题 字符"/>
    <w:basedOn w:val="73"/>
    <w:link w:val="43"/>
    <w:qFormat/>
    <w:uiPriority w:val="0"/>
    <w:rPr>
      <w:rFonts w:ascii="Times New Roman" w:hAnsi="Times New Roman" w:eastAsia="宋体" w:cs="Times New Roman"/>
      <w:b/>
      <w:bCs/>
      <w:kern w:val="2"/>
      <w:sz w:val="21"/>
      <w:szCs w:val="21"/>
    </w:rPr>
  </w:style>
  <w:style w:type="paragraph" w:customStyle="1" w:styleId="84">
    <w:name w:val="Default"/>
    <w:basedOn w:val="1"/>
    <w:next w:val="85"/>
    <w:qFormat/>
    <w:uiPriority w:val="0"/>
    <w:pPr>
      <w:autoSpaceDE w:val="0"/>
      <w:autoSpaceDN w:val="0"/>
      <w:adjustRightInd w:val="0"/>
      <w:jc w:val="left"/>
    </w:pPr>
    <w:rPr>
      <w:rFonts w:ascii="宋体" w:hAnsi="宋体" w:cs="宋体"/>
      <w:color w:val="000000"/>
      <w:kern w:val="0"/>
      <w:sz w:val="24"/>
      <w:szCs w:val="24"/>
    </w:rPr>
  </w:style>
  <w:style w:type="paragraph" w:customStyle="1" w:styleId="85">
    <w:name w:val="Char Char10 Char Char Char Char"/>
    <w:basedOn w:val="1"/>
    <w:next w:val="86"/>
    <w:qFormat/>
    <w:uiPriority w:val="99"/>
  </w:style>
  <w:style w:type="paragraph" w:customStyle="1" w:styleId="86">
    <w:name w:val="xl87"/>
    <w:basedOn w:val="1"/>
    <w:next w:val="87"/>
    <w:qFormat/>
    <w:uiPriority w:val="0"/>
    <w:pPr>
      <w:widowControl/>
      <w:shd w:val="clear" w:color="FFFFFF" w:fill="FFFFFF"/>
      <w:spacing w:before="100" w:beforeAutospacing="1" w:after="100" w:afterAutospacing="1"/>
      <w:jc w:val="right"/>
      <w:textAlignment w:val="top"/>
    </w:pPr>
    <w:rPr>
      <w:rFonts w:ascii="宋体" w:hAnsi="宋体" w:cs="宋体"/>
      <w:kern w:val="0"/>
      <w:sz w:val="24"/>
    </w:rPr>
  </w:style>
  <w:style w:type="paragraph" w:customStyle="1" w:styleId="87">
    <w:name w:val="xl72"/>
    <w:basedOn w:val="1"/>
    <w:next w:val="28"/>
    <w:qFormat/>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88">
    <w:name w:val="大标题"/>
    <w:basedOn w:val="1"/>
    <w:next w:val="45"/>
    <w:qFormat/>
    <w:uiPriority w:val="0"/>
    <w:pPr>
      <w:jc w:val="center"/>
    </w:pPr>
    <w:rPr>
      <w:rFonts w:ascii="Arial" w:hAnsi="Arial"/>
      <w:b/>
      <w:sz w:val="28"/>
      <w:szCs w:val="24"/>
    </w:rPr>
  </w:style>
  <w:style w:type="paragraph" w:customStyle="1" w:styleId="89">
    <w:name w:val="style4"/>
    <w:basedOn w:val="1"/>
    <w:next w:val="90"/>
    <w:qFormat/>
    <w:uiPriority w:val="0"/>
    <w:pPr>
      <w:widowControl/>
      <w:spacing w:before="280" w:after="280"/>
    </w:pPr>
    <w:rPr>
      <w:rFonts w:ascii="宋体" w:hAnsi="宋体" w:cs="宋体"/>
      <w:sz w:val="18"/>
      <w:szCs w:val="18"/>
    </w:rPr>
  </w:style>
  <w:style w:type="paragraph" w:customStyle="1" w:styleId="90">
    <w:name w:val="2"/>
    <w:basedOn w:val="1"/>
    <w:next w:val="1"/>
    <w:qFormat/>
    <w:uiPriority w:val="0"/>
    <w:rPr>
      <w:kern w:val="0"/>
    </w:rPr>
  </w:style>
  <w:style w:type="paragraph" w:customStyle="1" w:styleId="91">
    <w:name w:val="标题 41"/>
    <w:basedOn w:val="1"/>
    <w:qFormat/>
    <w:uiPriority w:val="0"/>
    <w:pPr>
      <w:spacing w:before="100" w:beforeAutospacing="1" w:after="100" w:afterAutospacing="1"/>
      <w:ind w:left="1205" w:hanging="486"/>
      <w:outlineLvl w:val="4"/>
    </w:pPr>
    <w:rPr>
      <w:b/>
      <w:bCs/>
      <w:sz w:val="24"/>
      <w:szCs w:val="24"/>
    </w:rPr>
  </w:style>
  <w:style w:type="paragraph" w:customStyle="1" w:styleId="92">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sz w:val="28"/>
      <w:szCs w:val="28"/>
    </w:rPr>
  </w:style>
  <w:style w:type="paragraph" w:customStyle="1" w:styleId="93">
    <w:name w:val="样式 标题 3 + (中文) 黑体 小四 非加粗 段前: 7.8 磅 段后: 0 磅 行距: 固定值 20 磅"/>
    <w:basedOn w:val="4"/>
    <w:qFormat/>
    <w:uiPriority w:val="0"/>
    <w:pPr>
      <w:spacing w:before="0" w:after="0" w:line="400" w:lineRule="exact"/>
      <w:ind w:left="0"/>
    </w:pPr>
    <w:rPr>
      <w:rFonts w:eastAsia="黑体" w:cs="宋体"/>
      <w:b w:val="0"/>
      <w:bCs w:val="0"/>
      <w:sz w:val="24"/>
      <w:szCs w:val="24"/>
    </w:rPr>
  </w:style>
  <w:style w:type="paragraph" w:customStyle="1" w:styleId="94">
    <w:name w:val="Table Paragraph"/>
    <w:basedOn w:val="1"/>
    <w:qFormat/>
    <w:uiPriority w:val="1"/>
  </w:style>
  <w:style w:type="paragraph" w:customStyle="1" w:styleId="95">
    <w:name w:val="无间隔11"/>
    <w:basedOn w:val="1"/>
    <w:qFormat/>
    <w:uiPriority w:val="0"/>
    <w:rPr>
      <w:rFonts w:ascii="Calibri" w:hAnsi="Calibri" w:cs="Calibri"/>
    </w:rPr>
  </w:style>
  <w:style w:type="paragraph" w:customStyle="1" w:styleId="96">
    <w:name w:val="段"/>
    <w:basedOn w:val="1"/>
    <w:next w:val="1"/>
    <w:qFormat/>
    <w:uiPriority w:val="0"/>
    <w:pPr>
      <w:widowControl/>
      <w:autoSpaceDE w:val="0"/>
      <w:autoSpaceDN w:val="0"/>
      <w:adjustRightInd w:val="0"/>
      <w:snapToGrid w:val="0"/>
      <w:spacing w:line="360" w:lineRule="auto"/>
      <w:ind w:firstLine="200" w:firstLineChars="200"/>
    </w:pPr>
    <w:rPr>
      <w:rFonts w:ascii="宋体" w:hAnsi="宋体" w:cs="宋体"/>
      <w:kern w:val="0"/>
      <w:sz w:val="24"/>
      <w:szCs w:val="24"/>
    </w:rPr>
  </w:style>
  <w:style w:type="character" w:customStyle="1" w:styleId="97">
    <w:name w:val="15"/>
    <w:basedOn w:val="47"/>
    <w:qFormat/>
    <w:uiPriority w:val="0"/>
    <w:rPr>
      <w:rFonts w:hint="default" w:ascii="Arial" w:hAnsi="Arial" w:eastAsia="黑体" w:cs="Arial"/>
      <w:b/>
      <w:sz w:val="32"/>
      <w:szCs w:val="32"/>
    </w:rPr>
  </w:style>
  <w:style w:type="paragraph" w:customStyle="1" w:styleId="98">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99">
    <w:name w:val="List Paragraph"/>
    <w:basedOn w:val="1"/>
    <w:qFormat/>
    <w:uiPriority w:val="0"/>
    <w:pPr>
      <w:ind w:left="112" w:firstLine="436"/>
    </w:pPr>
  </w:style>
  <w:style w:type="character" w:customStyle="1" w:styleId="100">
    <w:name w:val="NormalCharacter"/>
    <w:semiHidden/>
    <w:qFormat/>
    <w:uiPriority w:val="0"/>
  </w:style>
  <w:style w:type="paragraph" w:customStyle="1" w:styleId="101">
    <w:name w:val="PlainText"/>
    <w:basedOn w:val="1"/>
    <w:qFormat/>
    <w:uiPriority w:val="0"/>
    <w:rPr>
      <w:rFonts w:ascii="宋体" w:hAnsi="Courier New"/>
    </w:rPr>
  </w:style>
  <w:style w:type="paragraph" w:customStyle="1" w:styleId="102">
    <w:name w:val="Heading4"/>
    <w:basedOn w:val="1"/>
    <w:next w:val="1"/>
    <w:qFormat/>
    <w:uiPriority w:val="0"/>
    <w:pPr>
      <w:keepNext/>
      <w:keepLines/>
    </w:pPr>
    <w:rPr>
      <w:rFonts w:ascii="Arial" w:hAnsi="Arial"/>
      <w:b/>
    </w:rPr>
  </w:style>
  <w:style w:type="paragraph" w:customStyle="1" w:styleId="103">
    <w:name w:val="Table Text"/>
    <w:basedOn w:val="1"/>
    <w:semiHidden/>
    <w:qFormat/>
    <w:uiPriority w:val="0"/>
    <w:rPr>
      <w:rFonts w:ascii="宋体" w:hAnsi="宋体" w:cs="宋体"/>
      <w:sz w:val="24"/>
      <w:szCs w:val="24"/>
      <w:lang w:eastAsia="en-US"/>
    </w:rPr>
  </w:style>
  <w:style w:type="paragraph" w:customStyle="1" w:styleId="104">
    <w:name w:val="UserStyle_34"/>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10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6">
    <w:name w:val="_Style 2"/>
    <w:basedOn w:val="2"/>
    <w:next w:val="1"/>
    <w:qFormat/>
    <w:uiPriority w:val="0"/>
    <w:pPr>
      <w:spacing w:before="0" w:after="0" w:line="360" w:lineRule="auto"/>
      <w:jc w:val="center"/>
      <w:outlineLvl w:val="9"/>
    </w:pPr>
    <w:rPr>
      <w:sz w:val="24"/>
    </w:rPr>
  </w:style>
  <w:style w:type="character" w:customStyle="1" w:styleId="107">
    <w:name w:val="文档结构图 字符"/>
    <w:basedOn w:val="47"/>
    <w:link w:val="16"/>
    <w:qFormat/>
    <w:uiPriority w:val="0"/>
    <w:rPr>
      <w:kern w:val="2"/>
      <w:sz w:val="21"/>
      <w:szCs w:val="24"/>
      <w:shd w:val="clear" w:color="auto" w:fill="000080"/>
    </w:rPr>
  </w:style>
  <w:style w:type="character" w:customStyle="1" w:styleId="108">
    <w:name w:val="副标题 字符"/>
    <w:basedOn w:val="47"/>
    <w:link w:val="34"/>
    <w:qFormat/>
    <w:uiPriority w:val="0"/>
    <w:rPr>
      <w:rFonts w:ascii="Cambria" w:hAnsi="Cambria"/>
      <w:b/>
      <w:bCs/>
      <w:kern w:val="28"/>
      <w:sz w:val="32"/>
      <w:szCs w:val="32"/>
    </w:rPr>
  </w:style>
  <w:style w:type="character" w:customStyle="1" w:styleId="109">
    <w:name w:val="正文文本缩进 3 字符"/>
    <w:basedOn w:val="47"/>
    <w:link w:val="37"/>
    <w:qFormat/>
    <w:uiPriority w:val="0"/>
    <w:rPr>
      <w:kern w:val="2"/>
      <w:sz w:val="16"/>
      <w:szCs w:val="16"/>
    </w:rPr>
  </w:style>
  <w:style w:type="character" w:customStyle="1" w:styleId="110">
    <w:name w:val="正文文本 2 字符"/>
    <w:basedOn w:val="47"/>
    <w:link w:val="40"/>
    <w:qFormat/>
    <w:uiPriority w:val="0"/>
    <w:rPr>
      <w:rFonts w:ascii="楷体_GB2312" w:eastAsia="楷体_GB2312"/>
      <w:b/>
      <w:kern w:val="2"/>
      <w:sz w:val="36"/>
      <w:szCs w:val="48"/>
    </w:rPr>
  </w:style>
  <w:style w:type="character" w:customStyle="1" w:styleId="111">
    <w:name w:val="标题 字符"/>
    <w:basedOn w:val="47"/>
    <w:link w:val="42"/>
    <w:qFormat/>
    <w:uiPriority w:val="0"/>
    <w:rPr>
      <w:rFonts w:ascii="Cambria" w:hAnsi="Cambria"/>
      <w:b/>
      <w:bCs/>
      <w:sz w:val="32"/>
      <w:szCs w:val="32"/>
    </w:rPr>
  </w:style>
  <w:style w:type="character" w:customStyle="1" w:styleId="112">
    <w:name w:val="副标题 Char2"/>
    <w:qFormat/>
    <w:uiPriority w:val="11"/>
    <w:rPr>
      <w:rFonts w:ascii="Cambria" w:hAnsi="Cambria" w:cs="Times New Roman"/>
      <w:b/>
      <w:bCs/>
      <w:kern w:val="28"/>
      <w:sz w:val="32"/>
      <w:szCs w:val="32"/>
    </w:rPr>
  </w:style>
  <w:style w:type="character" w:customStyle="1" w:styleId="113">
    <w:name w:val="Subtle Emphasis"/>
    <w:qFormat/>
    <w:uiPriority w:val="0"/>
    <w:rPr>
      <w:i/>
      <w:iCs/>
      <w:color w:val="808080"/>
    </w:rPr>
  </w:style>
  <w:style w:type="character" w:customStyle="1" w:styleId="114">
    <w:name w:val="font161"/>
    <w:qFormat/>
    <w:uiPriority w:val="0"/>
    <w:rPr>
      <w:b/>
      <w:bCs/>
      <w:sz w:val="32"/>
      <w:szCs w:val="32"/>
    </w:rPr>
  </w:style>
  <w:style w:type="character" w:customStyle="1" w:styleId="115">
    <w:name w:val="style291"/>
    <w:qFormat/>
    <w:uiPriority w:val="99"/>
    <w:rPr>
      <w:sz w:val="21"/>
    </w:rPr>
  </w:style>
  <w:style w:type="character" w:customStyle="1" w:styleId="116">
    <w:name w:val="Char Char7"/>
    <w:qFormat/>
    <w:uiPriority w:val="0"/>
    <w:rPr>
      <w:rFonts w:eastAsia="宋体"/>
      <w:b/>
      <w:bCs/>
      <w:kern w:val="44"/>
      <w:sz w:val="32"/>
      <w:szCs w:val="44"/>
      <w:lang w:bidi="ar-SA"/>
    </w:rPr>
  </w:style>
  <w:style w:type="character" w:customStyle="1" w:styleId="117">
    <w:name w:val="Subtitle Char1"/>
    <w:qFormat/>
    <w:uiPriority w:val="99"/>
    <w:rPr>
      <w:rFonts w:ascii="Cambria" w:hAnsi="Cambria"/>
      <w:b/>
      <w:kern w:val="28"/>
      <w:sz w:val="32"/>
    </w:rPr>
  </w:style>
  <w:style w:type="character" w:customStyle="1" w:styleId="118">
    <w:name w:val="批注文字 Char Char"/>
    <w:qFormat/>
    <w:uiPriority w:val="0"/>
    <w:rPr>
      <w:rFonts w:ascii="宋体" w:hAnsi="Times New Roman" w:eastAsia="宋体" w:cs="Times New Roman"/>
      <w:sz w:val="28"/>
      <w:szCs w:val="20"/>
    </w:rPr>
  </w:style>
  <w:style w:type="character" w:customStyle="1" w:styleId="119">
    <w:name w:val="标题4 Char Char"/>
    <w:link w:val="120"/>
    <w:qFormat/>
    <w:locked/>
    <w:uiPriority w:val="0"/>
    <w:rPr>
      <w:rFonts w:ascii="Arial" w:hAnsi="Arial"/>
      <w:b/>
      <w:sz w:val="32"/>
    </w:rPr>
  </w:style>
  <w:style w:type="paragraph" w:customStyle="1" w:styleId="120">
    <w:name w:val="标题4"/>
    <w:basedOn w:val="3"/>
    <w:next w:val="23"/>
    <w:link w:val="119"/>
    <w:qFormat/>
    <w:uiPriority w:val="0"/>
    <w:pPr>
      <w:spacing w:line="413" w:lineRule="auto"/>
    </w:pPr>
    <w:rPr>
      <w:rFonts w:eastAsia="宋体" w:cs="Times New Roman"/>
      <w:szCs w:val="20"/>
    </w:rPr>
  </w:style>
  <w:style w:type="character" w:customStyle="1" w:styleId="121">
    <w:name w:val="biaoti331"/>
    <w:qFormat/>
    <w:uiPriority w:val="99"/>
    <w:rPr>
      <w:b/>
      <w:color w:val="000000"/>
      <w:sz w:val="24"/>
      <w:u w:val="none"/>
    </w:rPr>
  </w:style>
  <w:style w:type="character" w:customStyle="1" w:styleId="122">
    <w:name w:val="正文啊 Char"/>
    <w:link w:val="123"/>
    <w:qFormat/>
    <w:uiPriority w:val="0"/>
    <w:rPr>
      <w:rFonts w:ascii="Calibri" w:hAnsi="Calibri"/>
      <w:kern w:val="2"/>
      <w:sz w:val="28"/>
      <w:szCs w:val="28"/>
    </w:rPr>
  </w:style>
  <w:style w:type="paragraph" w:customStyle="1" w:styleId="123">
    <w:name w:val="正文啊"/>
    <w:basedOn w:val="1"/>
    <w:link w:val="122"/>
    <w:qFormat/>
    <w:uiPriority w:val="0"/>
    <w:pPr>
      <w:ind w:firstLine="560" w:firstLineChars="200"/>
    </w:pPr>
    <w:rPr>
      <w:rFonts w:ascii="Calibri" w:hAnsi="Calibri"/>
      <w:sz w:val="28"/>
      <w:szCs w:val="28"/>
    </w:rPr>
  </w:style>
  <w:style w:type="character" w:customStyle="1" w:styleId="124">
    <w:name w:val="副标题 Char3"/>
    <w:qFormat/>
    <w:uiPriority w:val="11"/>
    <w:rPr>
      <w:rFonts w:ascii="Cambria" w:hAnsi="Cambria" w:eastAsia="宋体" w:cs="Times New Roman"/>
      <w:b/>
      <w:bCs/>
      <w:kern w:val="28"/>
      <w:sz w:val="32"/>
      <w:szCs w:val="32"/>
    </w:rPr>
  </w:style>
  <w:style w:type="character" w:customStyle="1" w:styleId="125">
    <w:name w:val="标题 Char4"/>
    <w:qFormat/>
    <w:uiPriority w:val="0"/>
    <w:rPr>
      <w:rFonts w:ascii="Cambria" w:hAnsi="Cambria" w:cs="Times New Roman"/>
      <w:b/>
      <w:bCs/>
      <w:kern w:val="2"/>
      <w:sz w:val="32"/>
      <w:szCs w:val="32"/>
    </w:rPr>
  </w:style>
  <w:style w:type="character" w:customStyle="1" w:styleId="126">
    <w:name w:val="dash6b63_6587__char1"/>
    <w:qFormat/>
    <w:uiPriority w:val="99"/>
    <w:rPr>
      <w:rFonts w:ascii="Calibri" w:hAnsi="Calibri"/>
      <w:sz w:val="20"/>
    </w:rPr>
  </w:style>
  <w:style w:type="character" w:customStyle="1" w:styleId="127">
    <w:name w:val="普通文字1 Char"/>
    <w:qFormat/>
    <w:uiPriority w:val="99"/>
    <w:rPr>
      <w:rFonts w:ascii="宋体" w:hAnsi="Courier New" w:eastAsia="幼圆"/>
      <w:kern w:val="2"/>
      <w:sz w:val="21"/>
    </w:rPr>
  </w:style>
  <w:style w:type="character" w:customStyle="1" w:styleId="128">
    <w:name w:val="明显引用 Char"/>
    <w:link w:val="129"/>
    <w:qFormat/>
    <w:locked/>
    <w:uiPriority w:val="0"/>
    <w:rPr>
      <w:rFonts w:ascii="Calibri" w:hAnsi="Calibri"/>
      <w:b/>
      <w:i/>
      <w:color w:val="4F81BD"/>
    </w:rPr>
  </w:style>
  <w:style w:type="paragraph" w:customStyle="1" w:styleId="129">
    <w:name w:val="明显引用1"/>
    <w:basedOn w:val="1"/>
    <w:next w:val="1"/>
    <w:link w:val="128"/>
    <w:qFormat/>
    <w:uiPriority w:val="0"/>
    <w:pPr>
      <w:pBdr>
        <w:bottom w:val="single" w:color="4F81BD" w:sz="4" w:space="4"/>
      </w:pBdr>
      <w:spacing w:before="200" w:after="280"/>
      <w:ind w:left="936" w:right="936"/>
    </w:pPr>
    <w:rPr>
      <w:rFonts w:ascii="Calibri" w:hAnsi="Calibri"/>
      <w:b/>
      <w:i/>
      <w:color w:val="4F81BD"/>
      <w:kern w:val="0"/>
      <w:sz w:val="20"/>
      <w:szCs w:val="20"/>
    </w:rPr>
  </w:style>
  <w:style w:type="character" w:customStyle="1" w:styleId="130">
    <w:name w:val="Intense Reference"/>
    <w:qFormat/>
    <w:uiPriority w:val="0"/>
    <w:rPr>
      <w:b/>
      <w:bCs/>
      <w:smallCaps/>
      <w:color w:val="C0504D"/>
      <w:spacing w:val="5"/>
      <w:u w:val="single"/>
    </w:rPr>
  </w:style>
  <w:style w:type="character" w:customStyle="1" w:styleId="131">
    <w:name w:val="正文文本 Char1"/>
    <w:qFormat/>
    <w:uiPriority w:val="0"/>
    <w:rPr>
      <w:rFonts w:ascii="Times New Roman" w:hAnsi="Times New Roman" w:eastAsia="宋体" w:cs="Times New Roman"/>
      <w:sz w:val="24"/>
      <w:szCs w:val="20"/>
    </w:rPr>
  </w:style>
  <w:style w:type="character" w:customStyle="1" w:styleId="132">
    <w:name w:val="文档结构图 Char1"/>
    <w:qFormat/>
    <w:uiPriority w:val="0"/>
    <w:rPr>
      <w:rFonts w:ascii="宋体" w:hAnsi="Times New Roman" w:eastAsia="宋体" w:cs="Times New Roman"/>
      <w:sz w:val="18"/>
      <w:szCs w:val="18"/>
    </w:rPr>
  </w:style>
  <w:style w:type="character" w:customStyle="1" w:styleId="133">
    <w:name w:val="Subtle Reference"/>
    <w:qFormat/>
    <w:uiPriority w:val="0"/>
    <w:rPr>
      <w:smallCaps/>
      <w:color w:val="C0504D"/>
      <w:u w:val="single"/>
    </w:rPr>
  </w:style>
  <w:style w:type="character" w:customStyle="1" w:styleId="134">
    <w:name w:val="mini-outputtext1"/>
    <w:basedOn w:val="47"/>
    <w:qFormat/>
    <w:uiPriority w:val="0"/>
  </w:style>
  <w:style w:type="character" w:customStyle="1" w:styleId="135">
    <w:name w:val="样式 标书正文 + 下划线 Char"/>
    <w:link w:val="136"/>
    <w:qFormat/>
    <w:uiPriority w:val="0"/>
    <w:rPr>
      <w:rFonts w:ascii="Tahoma" w:hAnsi="Tahoma" w:eastAsia="楷体_GB2312" w:cs="Tahoma"/>
      <w:kern w:val="2"/>
      <w:sz w:val="28"/>
      <w:szCs w:val="28"/>
      <w:u w:val="single"/>
    </w:rPr>
  </w:style>
  <w:style w:type="paragraph" w:customStyle="1" w:styleId="136">
    <w:name w:val="样式 标书正文 + 下划线"/>
    <w:link w:val="135"/>
    <w:qFormat/>
    <w:uiPriority w:val="0"/>
    <w:rPr>
      <w:rFonts w:ascii="Tahoma" w:hAnsi="Tahoma" w:eastAsia="楷体_GB2312" w:cs="Tahoma"/>
      <w:kern w:val="2"/>
      <w:sz w:val="28"/>
      <w:szCs w:val="28"/>
      <w:u w:val="single"/>
      <w:lang w:val="en-US" w:eastAsia="zh-CN" w:bidi="ar-SA"/>
    </w:rPr>
  </w:style>
  <w:style w:type="character" w:customStyle="1" w:styleId="137">
    <w:name w:val="日期 Char1"/>
    <w:qFormat/>
    <w:uiPriority w:val="0"/>
    <w:rPr>
      <w:rFonts w:ascii="Tahoma" w:hAnsi="Tahoma" w:cs="Tahoma"/>
      <w:kern w:val="2"/>
      <w:sz w:val="21"/>
    </w:rPr>
  </w:style>
  <w:style w:type="character" w:customStyle="1" w:styleId="138">
    <w:name w:val="ca-2"/>
    <w:qFormat/>
    <w:uiPriority w:val="0"/>
    <w:rPr>
      <w:rFonts w:ascii="Tahoma" w:hAnsi="Tahoma" w:cs="Tahoma"/>
      <w:sz w:val="24"/>
    </w:rPr>
  </w:style>
  <w:style w:type="character" w:customStyle="1" w:styleId="139">
    <w:name w:val="标题 Char2"/>
    <w:qFormat/>
    <w:uiPriority w:val="10"/>
    <w:rPr>
      <w:rFonts w:ascii="Cambria" w:hAnsi="Cambria" w:cs="Times New Roman"/>
      <w:b/>
      <w:bCs/>
      <w:kern w:val="2"/>
      <w:sz w:val="32"/>
      <w:szCs w:val="32"/>
    </w:rPr>
  </w:style>
  <w:style w:type="character" w:customStyle="1" w:styleId="140">
    <w:name w:val="批注文字 Char"/>
    <w:qFormat/>
    <w:uiPriority w:val="0"/>
    <w:rPr>
      <w:kern w:val="2"/>
      <w:sz w:val="21"/>
    </w:rPr>
  </w:style>
  <w:style w:type="character" w:customStyle="1" w:styleId="141">
    <w:name w:val="引用 Char"/>
    <w:link w:val="142"/>
    <w:qFormat/>
    <w:locked/>
    <w:uiPriority w:val="0"/>
    <w:rPr>
      <w:rFonts w:ascii="Calibri" w:hAnsi="Calibri"/>
      <w:i/>
      <w:color w:val="000000"/>
    </w:rPr>
  </w:style>
  <w:style w:type="paragraph" w:customStyle="1" w:styleId="142">
    <w:name w:val="引用1"/>
    <w:basedOn w:val="1"/>
    <w:next w:val="1"/>
    <w:link w:val="141"/>
    <w:qFormat/>
    <w:uiPriority w:val="0"/>
    <w:rPr>
      <w:rFonts w:ascii="Calibri" w:hAnsi="Calibri"/>
      <w:i/>
      <w:color w:val="000000"/>
      <w:kern w:val="0"/>
      <w:sz w:val="20"/>
      <w:szCs w:val="20"/>
    </w:rPr>
  </w:style>
  <w:style w:type="character" w:customStyle="1" w:styleId="143">
    <w:name w:val="textcontents"/>
    <w:qFormat/>
    <w:uiPriority w:val="0"/>
    <w:rPr>
      <w:rFonts w:cs="Times New Roman"/>
    </w:rPr>
  </w:style>
  <w:style w:type="character" w:customStyle="1" w:styleId="144">
    <w:name w:val="批注主题 Char1"/>
    <w:qFormat/>
    <w:uiPriority w:val="0"/>
    <w:rPr>
      <w:rFonts w:ascii="Times New Roman" w:hAnsi="Times New Roman" w:eastAsia="宋体" w:cs="Times New Roman"/>
      <w:b/>
      <w:bCs/>
      <w:sz w:val="24"/>
      <w:szCs w:val="20"/>
    </w:rPr>
  </w:style>
  <w:style w:type="character" w:customStyle="1" w:styleId="145">
    <w:name w:val="Title Char1"/>
    <w:qFormat/>
    <w:uiPriority w:val="99"/>
    <w:rPr>
      <w:rFonts w:ascii="Cambria" w:hAnsi="Cambria"/>
      <w:b/>
      <w:sz w:val="32"/>
    </w:rPr>
  </w:style>
  <w:style w:type="character" w:customStyle="1" w:styleId="146">
    <w:name w:val="Plain Text Char"/>
    <w:qFormat/>
    <w:locked/>
    <w:uiPriority w:val="0"/>
    <w:rPr>
      <w:rFonts w:ascii="宋体" w:hAnsi="Courier New"/>
      <w:kern w:val="2"/>
      <w:sz w:val="21"/>
    </w:rPr>
  </w:style>
  <w:style w:type="character" w:customStyle="1" w:styleId="147">
    <w:name w:val="标题5 Char Char"/>
    <w:link w:val="148"/>
    <w:qFormat/>
    <w:locked/>
    <w:uiPriority w:val="0"/>
    <w:rPr>
      <w:rFonts w:ascii="Arial" w:hAnsi="Arial"/>
      <w:b/>
      <w:sz w:val="32"/>
    </w:rPr>
  </w:style>
  <w:style w:type="paragraph" w:customStyle="1" w:styleId="148">
    <w:name w:val="标题5"/>
    <w:basedOn w:val="4"/>
    <w:link w:val="147"/>
    <w:qFormat/>
    <w:uiPriority w:val="0"/>
    <w:pPr>
      <w:spacing w:line="413" w:lineRule="auto"/>
      <w:ind w:left="0"/>
    </w:pPr>
    <w:rPr>
      <w:rFonts w:ascii="Arial" w:hAnsi="Arial" w:eastAsia="宋体"/>
      <w:bCs w:val="0"/>
      <w:szCs w:val="20"/>
    </w:rPr>
  </w:style>
  <w:style w:type="character" w:customStyle="1" w:styleId="149">
    <w:name w:val="Book Title"/>
    <w:qFormat/>
    <w:uiPriority w:val="0"/>
    <w:rPr>
      <w:b/>
      <w:bCs/>
      <w:smallCaps/>
      <w:spacing w:val="5"/>
    </w:rPr>
  </w:style>
  <w:style w:type="character" w:customStyle="1" w:styleId="150">
    <w:name w:val="批注主题 Char3"/>
    <w:basedOn w:val="73"/>
    <w:qFormat/>
    <w:uiPriority w:val="0"/>
    <w:rPr>
      <w:rFonts w:ascii="Times New Roman" w:hAnsi="Times New Roman" w:eastAsia="宋体" w:cs="Times New Roman"/>
      <w:kern w:val="2"/>
      <w:sz w:val="21"/>
      <w:szCs w:val="20"/>
    </w:rPr>
  </w:style>
  <w:style w:type="character" w:customStyle="1" w:styleId="151">
    <w:name w:val="Intense Emphasis"/>
    <w:qFormat/>
    <w:uiPriority w:val="0"/>
    <w:rPr>
      <w:b/>
      <w:bCs/>
      <w:i/>
      <w:iCs/>
      <w:color w:val="4F81BD"/>
    </w:rPr>
  </w:style>
  <w:style w:type="character" w:customStyle="1" w:styleId="152">
    <w:name w:val="明显引用 Char1"/>
    <w:qFormat/>
    <w:uiPriority w:val="99"/>
    <w:rPr>
      <w:b/>
      <w:bCs/>
      <w:i/>
      <w:iCs/>
      <w:color w:val="4F81BD"/>
      <w:kern w:val="2"/>
      <w:sz w:val="21"/>
      <w:szCs w:val="24"/>
    </w:rPr>
  </w:style>
  <w:style w:type="character" w:customStyle="1" w:styleId="153">
    <w:name w:val="标题 Char3"/>
    <w:qFormat/>
    <w:uiPriority w:val="10"/>
    <w:rPr>
      <w:rFonts w:ascii="Cambria" w:hAnsi="Cambria" w:eastAsia="宋体" w:cs="Times New Roman"/>
      <w:b/>
      <w:bCs/>
      <w:sz w:val="32"/>
      <w:szCs w:val="32"/>
    </w:rPr>
  </w:style>
  <w:style w:type="character" w:customStyle="1" w:styleId="154">
    <w:name w:val="引用 Char1"/>
    <w:qFormat/>
    <w:uiPriority w:val="99"/>
    <w:rPr>
      <w:i/>
      <w:iCs/>
      <w:color w:val="000000"/>
      <w:kern w:val="2"/>
      <w:sz w:val="21"/>
      <w:szCs w:val="24"/>
    </w:rPr>
  </w:style>
  <w:style w:type="character" w:customStyle="1" w:styleId="155">
    <w:name w:val="标题 Char1"/>
    <w:qFormat/>
    <w:uiPriority w:val="99"/>
    <w:rPr>
      <w:rFonts w:ascii="Cambria" w:hAnsi="Cambria" w:eastAsia="宋体"/>
      <w:b/>
      <w:sz w:val="32"/>
    </w:rPr>
  </w:style>
  <w:style w:type="character" w:customStyle="1" w:styleId="156">
    <w:name w:val="普通文字 Char Char"/>
    <w:qFormat/>
    <w:uiPriority w:val="99"/>
    <w:rPr>
      <w:rFonts w:ascii="宋体" w:hAnsi="Courier New"/>
      <w:kern w:val="2"/>
      <w:sz w:val="21"/>
    </w:rPr>
  </w:style>
  <w:style w:type="character" w:customStyle="1" w:styleId="157">
    <w:name w:val="副标题 Char1"/>
    <w:qFormat/>
    <w:uiPriority w:val="99"/>
    <w:rPr>
      <w:rFonts w:ascii="Cambria" w:hAnsi="Cambria" w:eastAsia="宋体"/>
      <w:b/>
      <w:kern w:val="28"/>
      <w:sz w:val="32"/>
    </w:rPr>
  </w:style>
  <w:style w:type="character" w:customStyle="1" w:styleId="158">
    <w:name w:val="批注框文本 Char1"/>
    <w:qFormat/>
    <w:uiPriority w:val="0"/>
    <w:rPr>
      <w:rFonts w:ascii="Times New Roman" w:hAnsi="Times New Roman" w:eastAsia="宋体" w:cs="Times New Roman"/>
      <w:sz w:val="18"/>
      <w:szCs w:val="18"/>
    </w:rPr>
  </w:style>
  <w:style w:type="character" w:customStyle="1" w:styleId="159">
    <w:name w:val="文档正文 Char"/>
    <w:link w:val="160"/>
    <w:qFormat/>
    <w:locked/>
    <w:uiPriority w:val="0"/>
    <w:rPr>
      <w:rFonts w:ascii="仿宋_GB2312" w:eastAsia="仿宋_GB2312"/>
      <w:sz w:val="28"/>
    </w:rPr>
  </w:style>
  <w:style w:type="paragraph" w:customStyle="1" w:styleId="160">
    <w:name w:val="文档正文"/>
    <w:basedOn w:val="1"/>
    <w:link w:val="159"/>
    <w:qFormat/>
    <w:uiPriority w:val="0"/>
    <w:pPr>
      <w:adjustRightInd w:val="0"/>
      <w:spacing w:line="480" w:lineRule="atLeast"/>
      <w:ind w:firstLine="567"/>
      <w:textAlignment w:val="baseline"/>
    </w:pPr>
    <w:rPr>
      <w:rFonts w:ascii="仿宋_GB2312" w:eastAsia="仿宋_GB2312"/>
      <w:kern w:val="0"/>
      <w:sz w:val="28"/>
      <w:szCs w:val="20"/>
    </w:rPr>
  </w:style>
  <w:style w:type="character" w:customStyle="1" w:styleId="161">
    <w:name w:val="副标题 Char4"/>
    <w:qFormat/>
    <w:uiPriority w:val="0"/>
    <w:rPr>
      <w:rFonts w:ascii="Cambria" w:hAnsi="Cambria" w:cs="Times New Roman"/>
      <w:b/>
      <w:bCs/>
      <w:kern w:val="28"/>
      <w:sz w:val="32"/>
      <w:szCs w:val="32"/>
    </w:rPr>
  </w:style>
  <w:style w:type="paragraph" w:customStyle="1" w:styleId="162">
    <w:name w:val="xl6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3">
    <w:name w:val="p0"/>
    <w:basedOn w:val="1"/>
    <w:qFormat/>
    <w:uiPriority w:val="0"/>
    <w:pPr>
      <w:widowControl/>
      <w:jc w:val="left"/>
    </w:pPr>
    <w:rPr>
      <w:kern w:val="0"/>
      <w:sz w:val="20"/>
      <w:szCs w:val="20"/>
    </w:rPr>
  </w:style>
  <w:style w:type="paragraph" w:customStyle="1" w:styleId="164">
    <w:name w:val="TOC Heading"/>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6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6">
    <w:name w:val="Char Char Char Char Char Char Char"/>
    <w:basedOn w:val="1"/>
    <w:qFormat/>
    <w:uiPriority w:val="99"/>
    <w:pPr>
      <w:tabs>
        <w:tab w:val="left" w:pos="360"/>
      </w:tabs>
    </w:pPr>
    <w:rPr>
      <w:szCs w:val="24"/>
    </w:rPr>
  </w:style>
  <w:style w:type="paragraph" w:customStyle="1" w:styleId="167">
    <w:name w:val="_Style 40"/>
    <w:basedOn w:val="16"/>
    <w:qFormat/>
    <w:uiPriority w:val="0"/>
    <w:pPr>
      <w:spacing w:line="240" w:lineRule="auto"/>
    </w:pPr>
    <w:rPr>
      <w:rFonts w:ascii="Tahoma" w:hAnsi="Tahoma" w:cs="Tahoma"/>
      <w:sz w:val="24"/>
      <w:szCs w:val="20"/>
    </w:rPr>
  </w:style>
  <w:style w:type="paragraph" w:customStyle="1" w:styleId="168">
    <w:name w:val="默认段落字体 Para Char"/>
    <w:basedOn w:val="1"/>
    <w:qFormat/>
    <w:uiPriority w:val="0"/>
    <w:rPr>
      <w:szCs w:val="24"/>
    </w:rPr>
  </w:style>
  <w:style w:type="paragraph" w:customStyle="1" w:styleId="169">
    <w:name w:val="p15"/>
    <w:basedOn w:val="1"/>
    <w:qFormat/>
    <w:uiPriority w:val="0"/>
    <w:pPr>
      <w:widowControl/>
      <w:snapToGrid w:val="0"/>
      <w:jc w:val="left"/>
    </w:pPr>
    <w:rPr>
      <w:rFonts w:ascii="宋体" w:hAnsi="宋体" w:cs="宋体"/>
      <w:color w:val="000000"/>
      <w:kern w:val="0"/>
      <w:sz w:val="24"/>
      <w:szCs w:val="24"/>
    </w:rPr>
  </w:style>
  <w:style w:type="paragraph" w:customStyle="1" w:styleId="170">
    <w:name w:val="默认段落字体 Para Char Char Char Char"/>
    <w:basedOn w:val="1"/>
    <w:qFormat/>
    <w:uiPriority w:val="0"/>
    <w:pPr>
      <w:spacing w:line="360" w:lineRule="exact"/>
    </w:pPr>
    <w:rPr>
      <w:szCs w:val="24"/>
    </w:rPr>
  </w:style>
  <w:style w:type="paragraph" w:customStyle="1" w:styleId="17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00000"/>
      <w:kern w:val="0"/>
      <w:sz w:val="18"/>
      <w:szCs w:val="18"/>
    </w:rPr>
  </w:style>
  <w:style w:type="paragraph" w:customStyle="1" w:styleId="172">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3">
    <w:name w:val="_Style 31"/>
    <w:next w:val="1"/>
    <w:qFormat/>
    <w:uiPriority w:val="99"/>
    <w:pPr>
      <w:widowControl w:val="0"/>
      <w:jc w:val="both"/>
    </w:pPr>
    <w:rPr>
      <w:rFonts w:ascii="Times New Roman" w:hAnsi="Times New Roman" w:eastAsia="宋体" w:cs="Times New Roman"/>
      <w:kern w:val="2"/>
      <w:sz w:val="21"/>
      <w:lang w:val="en-US" w:eastAsia="zh-CN" w:bidi="ar-SA"/>
    </w:rPr>
  </w:style>
  <w:style w:type="paragraph" w:styleId="174">
    <w:name w:val="Intense Quote"/>
    <w:basedOn w:val="1"/>
    <w:next w:val="1"/>
    <w:link w:val="175"/>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75">
    <w:name w:val="明显引用 字符"/>
    <w:basedOn w:val="47"/>
    <w:link w:val="174"/>
    <w:qFormat/>
    <w:uiPriority w:val="0"/>
    <w:rPr>
      <w:rFonts w:ascii="Calibri" w:hAnsi="Calibri"/>
      <w:b/>
      <w:bCs/>
      <w:i/>
      <w:iCs/>
      <w:color w:val="4F81BD"/>
      <w:kern w:val="2"/>
      <w:sz w:val="21"/>
      <w:szCs w:val="22"/>
    </w:rPr>
  </w:style>
  <w:style w:type="paragraph" w:styleId="176">
    <w:name w:val="Quote"/>
    <w:basedOn w:val="1"/>
    <w:next w:val="1"/>
    <w:link w:val="177"/>
    <w:qFormat/>
    <w:uiPriority w:val="0"/>
    <w:rPr>
      <w:rFonts w:ascii="Calibri" w:hAnsi="Calibri"/>
      <w:i/>
      <w:iCs/>
      <w:color w:val="000000"/>
      <w:szCs w:val="22"/>
    </w:rPr>
  </w:style>
  <w:style w:type="character" w:customStyle="1" w:styleId="177">
    <w:name w:val="引用 字符"/>
    <w:basedOn w:val="47"/>
    <w:link w:val="176"/>
    <w:qFormat/>
    <w:uiPriority w:val="0"/>
    <w:rPr>
      <w:rFonts w:ascii="Calibri" w:hAnsi="Calibri"/>
      <w:i/>
      <w:iCs/>
      <w:color w:val="000000"/>
      <w:kern w:val="2"/>
      <w:sz w:val="21"/>
      <w:szCs w:val="22"/>
    </w:rPr>
  </w:style>
  <w:style w:type="paragraph" w:customStyle="1" w:styleId="178">
    <w:name w:val="font0"/>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179">
    <w:name w:val="列出段落1"/>
    <w:basedOn w:val="1"/>
    <w:unhideWhenUsed/>
    <w:qFormat/>
    <w:uiPriority w:val="99"/>
    <w:pPr>
      <w:ind w:firstLine="420" w:firstLineChars="200"/>
    </w:pPr>
    <w:rPr>
      <w:szCs w:val="20"/>
    </w:rPr>
  </w:style>
  <w:style w:type="paragraph" w:customStyle="1" w:styleId="180">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000000"/>
      <w:kern w:val="0"/>
      <w:sz w:val="18"/>
      <w:szCs w:val="18"/>
    </w:rPr>
  </w:style>
  <w:style w:type="paragraph" w:customStyle="1" w:styleId="181">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cs="宋体"/>
      <w:color w:val="000000"/>
      <w:kern w:val="0"/>
      <w:sz w:val="18"/>
      <w:szCs w:val="18"/>
    </w:rPr>
  </w:style>
  <w:style w:type="paragraph" w:customStyle="1" w:styleId="182">
    <w:name w:val="我的正文"/>
    <w:basedOn w:val="1"/>
    <w:next w:val="1"/>
    <w:qFormat/>
    <w:uiPriority w:val="0"/>
    <w:pPr>
      <w:spacing w:line="360" w:lineRule="auto"/>
      <w:ind w:firstLine="480" w:firstLineChars="200"/>
    </w:pPr>
    <w:rPr>
      <w:rFonts w:ascii="仿宋_GB2312" w:eastAsia="仿宋_GB2312"/>
      <w:sz w:val="24"/>
      <w:szCs w:val="24"/>
    </w:rPr>
  </w:style>
  <w:style w:type="paragraph" w:customStyle="1" w:styleId="183">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cs="宋体"/>
      <w:color w:val="000000"/>
      <w:kern w:val="0"/>
      <w:sz w:val="18"/>
      <w:szCs w:val="18"/>
    </w:rPr>
  </w:style>
  <w:style w:type="paragraph" w:customStyle="1" w:styleId="184">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85">
    <w:name w:val="无间隔12"/>
    <w:basedOn w:val="1"/>
    <w:qFormat/>
    <w:uiPriority w:val="1"/>
    <w:pPr>
      <w:spacing w:line="400" w:lineRule="exact"/>
    </w:pPr>
    <w:rPr>
      <w:sz w:val="24"/>
      <w:szCs w:val="20"/>
    </w:rPr>
  </w:style>
  <w:style w:type="paragraph" w:customStyle="1" w:styleId="186">
    <w:name w:val="默认段落字体 Para Char Char Char Char Char Char Char Char Char1 Char Char Char Char Char Char Char"/>
    <w:basedOn w:val="16"/>
    <w:qFormat/>
    <w:uiPriority w:val="0"/>
    <w:pPr>
      <w:spacing w:line="240" w:lineRule="auto"/>
    </w:pPr>
    <w:rPr>
      <w:rFonts w:ascii="Tahoma" w:hAnsi="Tahoma" w:cs="Tahoma"/>
      <w:sz w:val="24"/>
      <w:szCs w:val="20"/>
    </w:rPr>
  </w:style>
  <w:style w:type="paragraph" w:customStyle="1" w:styleId="187">
    <w:name w:val="Char Char Char Char"/>
    <w:basedOn w:val="1"/>
    <w:qFormat/>
    <w:uiPriority w:val="0"/>
    <w:pPr>
      <w:spacing w:line="360" w:lineRule="exact"/>
    </w:pPr>
    <w:rPr>
      <w:szCs w:val="24"/>
    </w:rPr>
  </w:style>
  <w:style w:type="paragraph" w:customStyle="1" w:styleId="188">
    <w:name w:val="样式1"/>
    <w:basedOn w:val="1"/>
    <w:next w:val="5"/>
    <w:qFormat/>
    <w:uiPriority w:val="0"/>
    <w:pPr>
      <w:spacing w:line="360" w:lineRule="auto"/>
      <w:ind w:firstLine="420" w:firstLineChars="200"/>
    </w:pPr>
    <w:rPr>
      <w:rFonts w:ascii="宋体" w:hAnsi="宋体"/>
    </w:rPr>
  </w:style>
  <w:style w:type="paragraph" w:customStyle="1" w:styleId="18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90">
    <w:name w:val="Char"/>
    <w:basedOn w:val="1"/>
    <w:qFormat/>
    <w:uiPriority w:val="0"/>
    <w:rPr>
      <w:rFonts w:ascii="仿宋_GB2312" w:eastAsia="仿宋_GB2312"/>
      <w:b/>
      <w:sz w:val="32"/>
      <w:szCs w:val="20"/>
    </w:rPr>
  </w:style>
  <w:style w:type="paragraph" w:styleId="19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2">
    <w:name w:val="dash6b63_6587"/>
    <w:basedOn w:val="1"/>
    <w:qFormat/>
    <w:uiPriority w:val="99"/>
    <w:pPr>
      <w:widowControl/>
    </w:pPr>
    <w:rPr>
      <w:rFonts w:ascii="Calibri" w:hAnsi="Calibri" w:cs="Calibri"/>
      <w:kern w:val="0"/>
      <w:sz w:val="20"/>
      <w:szCs w:val="20"/>
    </w:rPr>
  </w:style>
  <w:style w:type="paragraph" w:customStyle="1" w:styleId="193">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94">
    <w:name w:val="dash6b63_65871"/>
    <w:basedOn w:val="1"/>
    <w:qFormat/>
    <w:uiPriority w:val="99"/>
    <w:pPr>
      <w:widowControl/>
    </w:pPr>
    <w:rPr>
      <w:rFonts w:ascii="Calibri" w:hAnsi="Calibri" w:cs="Calibri"/>
      <w:kern w:val="0"/>
      <w:sz w:val="20"/>
      <w:szCs w:val="20"/>
    </w:rPr>
  </w:style>
  <w:style w:type="paragraph" w:customStyle="1" w:styleId="195">
    <w:name w:val="Revision"/>
    <w:unhideWhenUsed/>
    <w:qFormat/>
    <w:uiPriority w:val="0"/>
    <w:rPr>
      <w:rFonts w:ascii="Times New Roman" w:hAnsi="Times New Roman" w:eastAsia="宋体" w:cs="Times New Roman"/>
      <w:kern w:val="2"/>
      <w:sz w:val="21"/>
      <w:lang w:val="en-US" w:eastAsia="zh-CN" w:bidi="ar-SA"/>
    </w:rPr>
  </w:style>
  <w:style w:type="character" w:customStyle="1" w:styleId="196">
    <w:name w:val="hover"/>
    <w:basedOn w:val="47"/>
    <w:qFormat/>
    <w:uiPriority w:val="0"/>
    <w:rPr>
      <w:color w:val="2590EB"/>
    </w:rPr>
  </w:style>
  <w:style w:type="character" w:customStyle="1" w:styleId="197">
    <w:name w:val="hover1"/>
    <w:basedOn w:val="47"/>
    <w:qFormat/>
    <w:uiPriority w:val="0"/>
    <w:rPr>
      <w:color w:val="2590EB"/>
    </w:rPr>
  </w:style>
  <w:style w:type="character" w:customStyle="1" w:styleId="198">
    <w:name w:val="hover2"/>
    <w:basedOn w:val="47"/>
    <w:qFormat/>
    <w:uiPriority w:val="0"/>
  </w:style>
  <w:style w:type="character" w:customStyle="1" w:styleId="199">
    <w:name w:val="hover3"/>
    <w:basedOn w:val="47"/>
    <w:qFormat/>
    <w:uiPriority w:val="0"/>
    <w:rPr>
      <w:color w:val="2590EB"/>
      <w:shd w:val="clear" w:fill="E9F4FD"/>
    </w:rPr>
  </w:style>
  <w:style w:type="table" w:customStyle="1" w:styleId="200">
    <w:name w:val="Table Normal"/>
    <w:semiHidden/>
    <w:unhideWhenUsed/>
    <w:qFormat/>
    <w:uiPriority w:val="0"/>
    <w:tblPr>
      <w:tblCellMar>
        <w:top w:w="0" w:type="dxa"/>
        <w:left w:w="0" w:type="dxa"/>
        <w:bottom w:w="0" w:type="dxa"/>
        <w:right w:w="0" w:type="dxa"/>
      </w:tblCellMar>
    </w:tblPr>
  </w:style>
  <w:style w:type="paragraph" w:customStyle="1" w:styleId="201">
    <w:name w:val="Normal Indent1"/>
    <w:qFormat/>
    <w:uiPriority w:val="0"/>
    <w:pPr>
      <w:spacing w:after="160" w:afterLines="50" w:line="360" w:lineRule="auto"/>
      <w:ind w:firstLine="420" w:firstLineChars="200"/>
    </w:pPr>
    <w:rPr>
      <w:rFonts w:ascii="Times New Roman" w:hAnsi="Times New Roman" w:eastAsia="宋体" w:cs="Times New Roman"/>
      <w:lang w:val="en-US" w:eastAsia="zh-CN" w:bidi="ar-SA"/>
    </w:rPr>
  </w:style>
  <w:style w:type="paragraph" w:customStyle="1" w:styleId="202">
    <w:name w:val="_Style 81"/>
    <w:basedOn w:val="2"/>
    <w:next w:val="1"/>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3.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0.wmf"/><Relationship Id="rId22" Type="http://schemas.openxmlformats.org/officeDocument/2006/relationships/oleObject" Target="embeddings/oleObject5.bin"/><Relationship Id="rId21" Type="http://schemas.openxmlformats.org/officeDocument/2006/relationships/image" Target="media/image9.wmf"/><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3.bin"/><Relationship Id="rId17" Type="http://schemas.openxmlformats.org/officeDocument/2006/relationships/image" Target="media/image7.wmf"/><Relationship Id="rId16" Type="http://schemas.openxmlformats.org/officeDocument/2006/relationships/oleObject" Target="embeddings/oleObject2.bin"/><Relationship Id="rId15" Type="http://schemas.openxmlformats.org/officeDocument/2006/relationships/image" Target="media/image6.wmf"/><Relationship Id="rId14" Type="http://schemas.openxmlformats.org/officeDocument/2006/relationships/oleObject" Target="embeddings/oleObject1.bin"/><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6b37ecc1-4c31-4a90-87d1-f0146c0e1f38</errorID>
      <errorWord>登陆</errorWord>
      <group>L1_Word</group>
      <groupName>字词问题</groupName>
      <ability>L2_Typo</ability>
      <abilityName>字词错误</abilityName>
      <candidateList>
        <item>登录</item>
      </candidateList>
      <explain>〈动〉❶登记：～在案。❷注册▲。</explain>
      <paraID>2290AF66</paraID>
      <start>11</start>
      <end>13</end>
      <status>ignored</status>
      <modifiedWord/>
      <trackRevisions>false</trackRevisions>
    </reviewItem>
    <reviewItem>
      <errorID>7b6d4e16-81e5-425c-9478-107e5ce269a9</errorID>
      <errorWord>.</errorWord>
      <group>L1_Format</group>
      <groupName>格式问题</groupName>
      <ability>L2_HalfPunc_CN</ability>
      <abilityName>全半角问题</abilityName>
      <candidateList>
        <item>。</item>
      </candidateList>
      <explain>文本全半角错误。</explain>
      <paraID>2290AF66</paraID>
      <start>32</start>
      <end>33</end>
      <status>ignored</status>
      <modifiedWord/>
      <trackRevisions>false</trackRevisions>
    </reviewItem>
    <reviewItem>
      <errorID>b1ef7ee5-8eca-4df7-8b71-a35e1c536191</errorID>
      <errorWord>、</errorWord>
      <group>L1_Punc</group>
      <groupName>标点问题</groupName>
      <ability>L2_Punc_CN</ability>
      <abilityName>标点符号问题</abilityName>
      <candidateList>
        <item> </item>
      </candidateList>
      <explain/>
      <paraID>363F94C5</paraID>
      <start>3</start>
      <end>4</end>
      <status>modified</status>
      <modifiedWord> </modifiedWord>
      <trackRevisions>false</trackRevisions>
    </reviewItem>
    <reviewItem>
      <errorID>1c4f21e9-975a-4e39-81d0-74c563f1751a</errorID>
      <errorWord>“</errorWord>
      <group>L1_Punc</group>
      <groupName>标点问题</groupName>
      <ability>L2_Punc_CN</ability>
      <abilityName>标点符号问题</abilityName>
      <candidateList>
        <item>：“</item>
      </candidateList>
      <explain/>
      <paraID>3E294E50</paraID>
      <start>17</start>
      <end>19</end>
      <status>modified</status>
      <modifiedWord>：“</modifiedWord>
      <trackRevisions>false</trackRevisions>
    </reviewItem>
    <reviewItem>
      <errorID>7ee2b2be-e2a9-4924-973a-e22395d1bd92</errorID>
      <errorWord>日至2026年</errorWord>
      <group>L1_Word</group>
      <groupName>字词问题</groupName>
      <ability>L2_Typo</ability>
      <abilityName>字词错误</abilityName>
      <candidateList>
        <item>日起至2026年</item>
      </candidateList>
      <explain/>
      <paraID>6782B61B</paraID>
      <start>17</start>
      <end>24</end>
      <status>ignored</status>
      <modifiedWord/>
      <trackRevisions>false</trackRevisions>
    </reviewItem>
    <reviewItem>
      <errorID>da07227f-8e9f-46a5-976d-79226a85f496</errorID>
      <errorWord>上午00:00</errorWord>
      <group>L1_Knowledge</group>
      <groupName>知识性问题</groupName>
      <ability>L2_Time</ability>
      <abilityName>日期时间</abilityName>
      <candidateList/>
      <explain>时间与前缀不匹配，可能的时间前缀有“下午、晚上、凌晨、午夜”。</explain>
      <paraID>6782B61B</paraID>
      <start>35</start>
      <end>42</end>
      <status>ignored</status>
      <modifiedWord/>
      <trackRevisions>false</trackRevisions>
    </reviewItem>
    <reviewItem>
      <errorID>a779f25c-8f60-46dd-9d86-f4a23cb19c03</errorID>
      <errorWord>。</errorWord>
      <group>L1_Punc</group>
      <groupName>标点问题</groupName>
      <ability>L2_Punc_CN</ability>
      <abilityName>标点符号问题</abilityName>
      <candidateList>
        <item/>
      </candidateList>
      <explain/>
      <paraID>6782B61B</paraID>
      <start>75</start>
      <end>75</end>
      <status>modified</status>
      <modifiedWord/>
      <trackRevisions>false</trackRevisions>
    </reviewItem>
    <reviewItem>
      <errorID>a7ac2f8b-4212-498a-a749-c6ab22078f77</errorID>
      <errorWord>上传的</errorWord>
      <group>L1_Word</group>
      <groupName>字词问题</groupName>
      <ability>L2_Typo</ability>
      <abilityName>字词错误</abilityName>
      <candidateList>
        <item>上传</item>
      </candidateList>
      <explain/>
      <paraID>3146D53C</paraID>
      <start>121</start>
      <end>123</end>
      <status>modified</status>
      <modifiedWord>上传</modifiedWord>
      <trackRevisions>false</trackRevisions>
    </reviewItem>
    <reviewItem>
      <errorID>97a7f0cf-80da-4bda-b36b-68ba5529eb63</errorID>
      <errorWord>指定</errorWord>
      <group>L1_Word</group>
      <groupName>字词问题</groupName>
      <ability>L2_Typo</ability>
      <abilityName>字词错误</abilityName>
      <candidateList>
        <item>至指定</item>
      </candidateList>
      <explain/>
      <paraID>3146D53C</paraID>
      <start>128</start>
      <end>131</end>
      <status>modified</status>
      <modifiedWord>至指定</modifiedWord>
      <trackRevisions>false</trackRevisions>
    </reviewItem>
    <reviewItem>
      <errorID>70bd4cc6-c8ac-4611-90bd-92f44830d9bf</errorID>
      <errorWord>》</errorWord>
      <group>L1_Punc</group>
      <groupName>标点问题</groupName>
      <ability>L2_Punc_CN</ability>
      <abilityName>标点符号问题</abilityName>
      <candidateList>
        <item/>
      </candidateList>
      <explain/>
      <paraID> 4018A7F</paraID>
      <start>47</start>
      <end>48</end>
      <status>ignored</status>
      <modifiedWord/>
      <trackRevisions>false</trackRevisions>
    </reviewItem>
    <reviewItem>
      <errorID>ab0effc3-0f80-4a49-b106-09e428feb3d4</errorID>
      <errorWord>2026年1月1日</errorWord>
      <group>L1_Word</group>
      <groupName>字词问题</groupName>
      <ability>L2_Typo</ability>
      <abilityName>字词错误</abilityName>
      <candidateList>
        <item>2026年1月1日起</item>
      </candidateList>
      <explain/>
      <paraID>1DA1F830</paraID>
      <start>25</start>
      <end>34</end>
      <status>ignored</status>
      <modifiedWord/>
      <trackRevisions>false</trackRevisions>
    </reviewItem>
    <reviewItem>
      <errorID>3eeacf00-e8d2-4d6e-b5af-2d344b3ca4cd</errorID>
      <errorWord>“</errorWord>
      <group>L1_Punc</group>
      <groupName>标点问题</groupName>
      <ability>L2_Punc_CN</ability>
      <abilityName>标点符号问题</abilityName>
      <candidateList>
        <item>：“</item>
      </candidateList>
      <explain/>
      <paraID>4370A6C7</paraID>
      <start>17</start>
      <end>19</end>
      <status>modified</status>
      <modifiedWord>：“</modifiedWord>
      <trackRevisions>false</trackRevisions>
    </reviewItem>
    <reviewItem>
      <errorID>a79ad5a4-294f-46df-a35a-e85bf4d04c03</errorID>
      <errorWord>是</errorWord>
      <group>L1_Word</group>
      <groupName>字词问题</groupName>
      <ability>L2_Typo</ability>
      <abilityName>字词错误</abilityName>
      <candidateList>
        <item>为</item>
      </candidateList>
      <explain/>
      <paraID>36C1EBC9</paraID>
      <start>42</start>
      <end>43</end>
      <status>modified</status>
      <modifiedWord>为</modifiedWord>
      <trackRevisions>false</trackRevisions>
    </reviewItem>
    <reviewItem>
      <errorID>436188ed-8156-4d95-802c-21ec3c42a7a2</errorID>
      <errorWord>在河南省公共资源交易中心电子交易平台上传澄清，供应商</errorWord>
      <group>L1_Word</group>
      <groupName>字词问题</groupName>
      <ability>L2_Typo</ability>
      <abilityName>字词错误</abilityName>
      <candidateList>
        <item>供应商在河南省公共资源交易中心电子交易平台上传澄清，</item>
      </candidateList>
      <explain/>
      <paraID>25C05144</paraID>
      <start>0</start>
      <end>26</end>
      <status>ignored</status>
      <modifiedWord/>
      <trackRevisions>false</trackRevisions>
    </reviewItem>
    <reviewItem>
      <errorID>75c03262-4c3a-4833-b09f-ee0bf91c4e52</errorID>
      <errorWord>收到</errorWord>
      <group>L1_Punc</group>
      <groupName>标点问题</groupName>
      <ability>L2_Punc_CN</ability>
      <abilityName>标点符号问题</abilityName>
      <candidateList>
        <item>收到。</item>
      </candidateList>
      <explain/>
      <paraID>25C05144</paraID>
      <start>58</start>
      <end>61</end>
      <status>modified</status>
      <modifiedWord>收到。</modifiedWord>
      <trackRevisions>false</trackRevisions>
    </reviewItem>
    <reviewItem>
      <errorID>33a83f9b-3cd1-4b93-a997-b32626d6c4cc</errorID>
      <errorWord>在河南省公共资源交易中心电子交易平台上传修改，供应商</errorWord>
      <group>L1_Word</group>
      <groupName>字词问题</groupName>
      <ability>L2_Typo</ability>
      <abilityName>字词错误</abilityName>
      <candidateList>
        <item>供应商在河南省公共资源交易中心电子交易平台上传修改，</item>
      </candidateList>
      <explain/>
      <paraID>38344035</paraID>
      <start>0</start>
      <end>26</end>
      <status>ignored</status>
      <modifiedWord/>
      <trackRevisions>false</trackRevisions>
    </reviewItem>
    <reviewItem>
      <errorID>f90d0e10-f0f3-4fa0-96f1-90552835a707</errorID>
      <errorWord>收到</errorWord>
      <group>L1_Punc</group>
      <groupName>标点问题</groupName>
      <ability>L2_Punc_CN</ability>
      <abilityName>标点符号问题</abilityName>
      <candidateList>
        <item>收到。</item>
      </candidateList>
      <explain/>
      <paraID>38344035</paraID>
      <start>58</start>
      <end>61</end>
      <status>modified</status>
      <modifiedWord>收到。</modifiedWord>
      <trackRevisions>false</trackRevisions>
    </reviewItem>
    <reviewItem>
      <errorID>bbafd060-1230-43e0-990f-a417bff8d3a0</errorID>
      <errorWord>（</errorWord>
      <group>L1_Punc</group>
      <groupName>标点问题</groupName>
      <ability>L2_Punc_CN</ability>
      <abilityName>标点符号问题</abilityName>
      <candidateList>
        <item>；</item>
      </candidateList>
      <explain/>
      <paraID>7548883E</paraID>
      <start>31</start>
      <end>32</end>
      <status>modified</status>
      <modifiedWord>；</modifiedWord>
      <trackRevisions>false</trackRevisions>
    </reviewItem>
    <reviewItem>
      <errorID>f18c4c1d-05fb-479b-9cb6-0703f2adcf42</errorID>
      <errorWord>需盖</errorWord>
      <group>L1_Grammar</group>
      <groupName>语法问题</groupName>
      <ability>L2_Grammar</ability>
      <abilityName>语法错误</abilityName>
      <candidateList>
        <item>，需加盖</item>
      </candidateList>
      <explain/>
      <paraID>7548883E</paraID>
      <start>51</start>
      <end>55</end>
      <status>modified</status>
      <modifiedWord>，需加盖</modifiedWord>
      <trackRevisions>false</trackRevisions>
    </reviewItem>
    <reviewItem>
      <errorID>dcb0d75b-828a-4a5d-847e-e36cf1a14668</errorID>
      <errorWord>及其</errorWord>
      <group>L1_Word</group>
      <groupName>字词问题</groupName>
      <ability>L2_Typo</ability>
      <abilityName>字词错误</abilityName>
      <candidateList>
        <item>、该</item>
      </candidateList>
      <explain/>
      <paraID>7548883E</paraID>
      <start>61</start>
      <end>63</end>
      <status>modified</status>
      <modifiedWord>、该</modifiedWord>
      <trackRevisions>false</trackRevisions>
    </reviewItem>
    <reviewItem>
      <errorID>39a568bc-4f42-47eb-bd5c-6b82fafa01d9</errorID>
      <errorWord>并</errorWord>
      <group>L1_Word</group>
      <groupName>字词问题</groupName>
      <ability>L2_Typo</ability>
      <abilityName>字词错误</abilityName>
      <candidateList>
        <item>同时</item>
      </candidateList>
      <explain/>
      <paraID>7548883E</paraID>
      <start>77</start>
      <end>79</end>
      <status>modified</status>
      <modifiedWord>同时</modifiedWord>
      <trackRevisions>false</trackRevisions>
    </reviewItem>
    <reviewItem>
      <errorID>82fe983c-be3f-460b-afad-047c5f71fe86</errorID>
      <errorWord>）</errorWord>
      <group>L1_Punc</group>
      <groupName>标点问题</groupName>
      <ability>L2_Punc_CN</ability>
      <abilityName>标点符号问题</abilityName>
      <candidateList>
        <item/>
      </candidateList>
      <explain/>
      <paraID>7548883E</paraID>
      <start>86</start>
      <end>86</end>
      <status>modified</status>
      <modifiedWord/>
      <trackRevisions>false</trackRevisions>
    </reviewItem>
    <reviewItem>
      <errorID>112bb59f-2483-46ee-8837-2bbce0a632b9</errorID>
      <errorWord>上传的</errorWord>
      <group>L1_Word</group>
      <groupName>字词问题</groupName>
      <ability>L2_Typo</ability>
      <abilityName>字词错误</abilityName>
      <candidateList>
        <item>上传</item>
      </candidateList>
      <explain/>
      <paraID>5EC183D5</paraID>
      <start>120</start>
      <end>122</end>
      <status>modified</status>
      <modifiedWord>上传</modifiedWord>
      <trackRevisions>false</trackRevisions>
    </reviewItem>
    <reviewItem>
      <errorID>eb9563aa-7ad4-4284-9a4a-a82591b53178</errorID>
      <errorWord>指定</errorWord>
      <group>L1_Word</group>
      <groupName>字词问题</groupName>
      <ability>L2_Typo</ability>
      <abilityName>字词错误</abilityName>
      <candidateList>
        <item>至指定</item>
      </candidateList>
      <explain/>
      <paraID>5EC183D5</paraID>
      <start>127</start>
      <end>130</end>
      <status>modified</status>
      <modifiedWord>至指定</modifiedWord>
      <trackRevisions>false</trackRevisions>
    </reviewItem>
    <reviewItem>
      <errorID>c82bc57f-9009-4780-9dc2-f41ce3562329</errorID>
      <errorWord> </errorWord>
      <group>L1_Punc</group>
      <groupName>标点问题</groupName>
      <ability>L2_Punc_CN</ability>
      <abilityName>标点符号问题</abilityName>
      <candidateList>
        <item/>
      </candidateList>
      <explain>此处空格冗余，建议删除。</explain>
      <paraID>375CA4FF</paraID>
      <start>41</start>
      <end>42</end>
      <status>ignored</status>
      <modifiedWord/>
      <trackRevisions>false</trackRevisions>
    </reviewItem>
    <reviewItem>
      <errorID>19b39920-9122-4f6b-a607-30e53ffea185</errorID>
      <errorWord>-</errorWord>
      <group>L1_Punc</group>
      <groupName>标点问题</groupName>
      <ability>L2_Punc_CN</ability>
      <abilityName>标点符号问题</abilityName>
      <candidateList>
        <item/>
      </candidateList>
      <explain/>
      <paraID>375CA4FF</paraID>
      <start>45</start>
      <end>46</end>
      <status>ignored</status>
      <modifiedWord/>
      <trackRevisions>false</trackRevisions>
    </reviewItem>
    <reviewItem>
      <errorID>4a9ce6e7-4eb6-4f22-b119-51fa7a25af7a</errorID>
      <errorWord>壹分</errorWord>
      <group>L1_Word</group>
      <groupName>字词问题</groupName>
      <ability>L2_Typo</ability>
      <abilityName>字词错误</abilityName>
      <candidateList>
        <item>一分</item>
      </candidateList>
      <explain/>
      <paraID>116C6CB7</paraID>
      <start>19</start>
      <end>21</end>
      <status>ignored</status>
      <modifiedWord/>
      <trackRevisions>false</trackRevisions>
    </reviewItem>
    <reviewItem>
      <errorID>14ae2752-59a6-4fa3-aa1a-6a0c5d5979ff</errorID>
      <errorWord>&lt;</errorWord>
      <group>L1_Punc</group>
      <groupName>标点问题</groupName>
      <ability>L2_Punc_CN</ability>
      <abilityName>标点符号问题</abilityName>
      <candidateList>
        <item>〈</item>
      </candidateList>
      <explain/>
      <paraID>31F6656D</paraID>
      <start>23</start>
      <end>24</end>
      <status>modified</status>
      <modifiedWord>〈</modifiedWord>
      <trackRevisions>false</trackRevisions>
    </reviewItem>
    <reviewItem>
      <errorID>e8712027-cf5c-44f8-9899-b4c4df71359b</errorID>
      <errorWord>&gt;的通知》</errorWord>
      <group>L1_Punc</group>
      <groupName>标点问题</groupName>
      <ability>L2_Punc_CN</ability>
      <abilityName>标点符号问题</abilityName>
      <candidateList>
        <item>〉的通知》</item>
      </candidateList>
      <explain/>
      <paraID>31F6656D</paraID>
      <start>40</start>
      <end>45</end>
      <status>modified</status>
      <modifiedWord>〉的通知》</modifiedWord>
      <trackRevisions>false</trackRevisions>
    </reviewItem>
    <reviewItem>
      <errorID>aaf045be-9160-43b5-9dfb-600925a9be31</errorID>
      <errorWord>。</errorWord>
      <group>L1_Punc</group>
      <groupName>标点问题</groupName>
      <ability>L2_Punc_CN</ability>
      <abilityName>标点符号问题</abilityName>
      <candidateList>
        <item>，</item>
      </candidateList>
      <explain/>
      <paraID>31F6656D</paraID>
      <start>96</start>
      <end>97</end>
      <status>modified</status>
      <modifiedWord>，</modifiedWord>
      <trackRevisions>false</trackRevisions>
    </reviewItem>
    <reviewItem>
      <errorID>705d1c64-0aee-47aa-a97e-4ec4ef9e709f</errorID>
      <errorWord>根据</errorWord>
      <group>L1_Word</group>
      <groupName>字词问题</groupName>
      <ability>L2_Typo</ability>
      <abilityName>字词错误</abilityName>
      <candidateList>
        <item>．根据</item>
      </candidateList>
      <explain/>
      <paraID>61DD0797</paraID>
      <start>1</start>
      <end>4</end>
      <status>modified</status>
      <modifiedWord>．根据</modifiedWord>
      <trackRevisions>false</trackRevisions>
    </reviewItem>
    <reviewItem>
      <errorID>413271ce-cd81-4ca1-9c11-6b9275b84ddd</errorID>
      <errorWord> </errorWord>
      <group>L1_Punc</group>
      <groupName>标点问题</groupName>
      <ability>L2_Punc_CN</ability>
      <abilityName>标点符号问题</abilityName>
      <candidateList>
        <item/>
      </candidateList>
      <explain>此处空格冗余，建议删除。</explain>
      <paraID>61DD0797</paraID>
      <start>73</start>
      <end>73</end>
      <status>modified</status>
      <modifiedWord/>
      <trackRevisions>false</trackRevisions>
    </reviewItem>
    <reviewItem>
      <errorID>da87388b-6eb3-4b71-a5e0-96ff298aa476</errorID>
      <errorWord>,</errorWord>
      <group>L1_Format</group>
      <groupName>格式问题</groupName>
      <ability>L2_HalfPunc_CN</ability>
      <abilityName>全半角问题</abilityName>
      <candidateList>
        <item>，</item>
      </candidateList>
      <explain>文本全半角错误。</explain>
      <paraID>61DD0797</paraID>
      <start>172</start>
      <end>173</end>
      <status>modified</status>
      <modifiedWord>，</modifiedWord>
      <trackRevisions>false</trackRevisions>
    </reviewItem>
    <reviewItem>
      <errorID>4a680a7f-c484-4461-ad1e-3a0fde047e8a</errorID>
      <errorWord>“</errorWord>
      <group>L1_Punc</group>
      <groupName>标点问题</groupName>
      <ability>L2_Punc_CN</ability>
      <abilityName>标点符号问题</abilityName>
      <candidateList>
        <item/>
      </candidateList>
      <explain/>
      <paraID>6E06C1C9</paraID>
      <start>18</start>
      <end>18</end>
      <status>modified</status>
      <modifiedWord/>
      <trackRevisions>false</trackRevisions>
    </reviewItem>
    <reviewItem>
      <errorID>faf29402-2db1-48a9-af10-48df475d076b</errorID>
      <errorWord>财政部文件</errorWord>
      <group>L1_Grammar</group>
      <groupName>语法问题</groupName>
      <ability>L2_Grammar</ability>
      <abilityName>语法错误</abilityName>
      <candidateList>
        <item>财政部</item>
      </candidateList>
      <explain/>
      <paraID>6E06C1C9</paraID>
      <start>43</start>
      <end>46</end>
      <status>modified</status>
      <modifiedWord>财政部</modifiedWord>
      <trackRevisions>false</trackRevisions>
    </reviewItem>
    <reviewItem>
      <errorID>989de6ba-0167-4059-9ec9-ef9bc5f76e2c</errorID>
      <errorWord>”</errorWord>
      <group>L1_Punc</group>
      <groupName>标点问题</groupName>
      <ability>L2_Punc_CN</ability>
      <abilityName>标点符号问题</abilityName>
      <candidateList>
        <item/>
      </candidateList>
      <explain/>
      <paraID>6E06C1C9</paraID>
      <start>83</start>
      <end>83</end>
      <status>modified</status>
      <modifiedWord/>
      <trackRevisions>false</trackRevisions>
    </reviewItem>
    <reviewItem>
      <errorID>c998f699-b35c-4888-a7cb-a808282d52aa</errorID>
      <errorWord>标准为依据</errorWord>
      <group>L1_Grammar</group>
      <groupName>语法问题</groupName>
      <ability>L2_Grammar</ability>
      <abilityName>语法错误</abilityName>
      <candidateList>
        <item>标准</item>
      </candidateList>
      <explain/>
      <paraID>6E06C1C9</paraID>
      <start>88</start>
      <end>90</end>
      <status>modified</status>
      <modifiedWord>标准</modifiedWord>
      <trackRevisions>false</trackRevisions>
    </reviewItem>
    <reviewItem>
      <errorID>4768d363-2ec5-44f0-9d54-38db655bbbcf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5C17275F</paraID>
      <start>49</start>
      <end>50</end>
      <status>unmodified</status>
      <modifiedWord/>
      <trackRevisions>false</trackRevisions>
    </reviewItem>
    <reviewItem>
      <errorID>928b0e36-faf0-4e92-8af2-dc6d788ea6a7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C3E5677</paraID>
      <start>49</start>
      <end>50</end>
      <status>unmodified</status>
      <modifiedWord/>
      <trackRevisions>false</trackRevisions>
    </reviewItem>
    <reviewItem>
      <errorID>e8b9dc70-541e-4c8a-88a9-0aabb7a87a8a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78C15566</paraID>
      <start>35</start>
      <end>36</end>
      <status>unmodified</status>
      <modifiedWord/>
      <trackRevisions>false</trackRevisions>
    </reviewItem>
    <reviewItem>
      <errorID>e0f4653e-b8d8-4fa7-a88f-acc8e3da3a9c</errorID>
      <errorWord>供应商</errorWord>
      <group>L1_Word</group>
      <groupName>字词问题</groupName>
      <ability>L2_Typo</ability>
      <abilityName>字词错误</abilityName>
      <candidateList>
        <item> 供应商</item>
      </candidateList>
      <explain/>
      <paraID>55D1C5FB</paraID>
      <start>5</start>
      <end>8</end>
      <status>unmodified</status>
      <modifiedWord/>
      <trackRevisions>false</trackRevisions>
    </reviewItem>
    <reviewItem>
      <errorID>730378e8-cc19-43a8-9d14-1040995d902d</errorID>
      <errorWord>供应商</errorWord>
      <group>L1_Word</group>
      <groupName>字词问题</groupName>
      <ability>L2_Typo</ability>
      <abilityName>字词错误</abilityName>
      <candidateList>
        <item> 供应商</item>
      </candidateList>
      <explain/>
      <paraID>2892DBC4</paraID>
      <start>5</start>
      <end>8</end>
      <status>unmodified</status>
      <modifiedWord/>
      <trackRevisions>false</trackRevisions>
    </reviewItem>
    <reviewItem>
      <errorID>6cc49810-1e34-4e0d-9bb1-11b165a78c37</errorID>
      <errorWord>投标总</errorWord>
      <group>L1_Grammar</group>
      <groupName>语法问题</groupName>
      <ability>L2_Grammar</ability>
      <abilityName>语法错误</abilityName>
      <candidateList>
        <item>总</item>
      </candidateList>
      <explain/>
      <paraID>72484983</paraID>
      <start>31</start>
      <end>34</end>
      <status>unmodified</status>
      <modifiedWord/>
      <trackRevisions>false</trackRevisions>
    </reviewItem>
    <reviewItem>
      <errorID>b666fa00-b26d-4491-a44a-21084ef66450</errorID>
      <errorWord> 投标</errorWord>
      <group>L1_Grammar</group>
      <groupName>语法问题</groupName>
      <ability>L2_Grammar</ability>
      <abilityName>语法错误</abilityName>
      <candidateList>
        <item> </item>
      </candidateList>
      <explain/>
      <paraID>2E6C38DB</paraID>
      <start>5</start>
      <end>8</end>
      <status>unmodified</status>
      <modifiedWord/>
      <trackRevisions>false</trackRevisions>
    </reviewItem>
    <reviewItem>
      <errorID>e71b0d51-51b6-4f1d-b3f8-1c61b6e356e4</errorID>
      <errorWord>“第七章</errorWord>
      <group>L1_Word</group>
      <groupName>字词问题</groupName>
      <ability>L2_Typo</ability>
      <abilityName>字词错误</abilityName>
      <candidateList>
        <item>第七章“</item>
      </candidateList>
      <explain/>
      <paraID>591F5E2F</paraID>
      <start>12</start>
      <end>16</end>
      <status>unmodified</status>
      <modifiedWord/>
      <trackRevisions>false</trackRevisions>
    </reviewItem>
    <reviewItem>
      <errorID>a1169000-f579-4cbb-a4d4-0add9d1367a1</errorID>
      <errorWord>进</errorWord>
      <group>L1_Word</group>
      <groupName>字词问题</groupName>
      <ability>L2_Typo</ability>
      <abilityName>字词错误</abilityName>
      <candidateList>
        <item>入</item>
      </candidateList>
      <explain/>
      <paraID>5A6C983A</paraID>
      <start>74</start>
      <end>75</end>
      <status>modified</status>
      <modifiedWord>入</modifiedWord>
      <trackRevisions>false</trackRevisions>
    </reviewItem>
    <reviewItem>
      <errorID>33f62d32-58bd-4d38-a37b-b492899a19ff</errorID>
      <errorWord>交易平台内</errorWord>
      <group>L1_Word</group>
      <groupName>字词问题</groupName>
      <ability>L2_Typo</ability>
      <abilityName>字词错误</abilityName>
      <candidateList>
        <item>交易平台</item>
      </candidateList>
      <explain/>
      <paraID>1B31C78A</paraID>
      <start>128</start>
      <end>132</end>
      <status>modified</status>
      <modifiedWord>交易平台</modifiedWord>
      <trackRevisions>false</trackRevisions>
    </reviewItem>
    <reviewItem>
      <errorID>66846b45-d2f1-4830-9d41-8208e9284d56</errorID>
      <errorWord>响应性</errorWord>
      <group>L1_Word</group>
      <groupName>字词问题</groupName>
      <ability>L2_Typo</ability>
      <abilityName>字词错误</abilityName>
      <candidateList>
        <item>响应</item>
      </candidateList>
      <explain/>
      <paraID>504B7530</paraID>
      <start>27</start>
      <end>29</end>
      <status>modified</status>
      <modifiedWord>响应</modifiedWord>
      <trackRevisions>false</trackRevisions>
    </reviewItem>
    <reviewItem>
      <errorID>73158eac-ceef-4d12-af84-78c8187c3387</errorID>
      <errorWord>文件的</errorWord>
      <group>L1_Word</group>
      <groupName>字词问题</groupName>
      <ability>L2_Typo</ability>
      <abilityName>字词错误</abilityName>
      <candidateList>
        <item>文件</item>
      </candidateList>
      <explain/>
      <paraID>42260104</paraID>
      <start>33</start>
      <end>36</end>
      <status>ignored</status>
      <modifiedWord/>
      <trackRevisions>false</trackRevisions>
    </reviewItem>
    <reviewItem>
      <errorID>88b286b0-af63-4d8e-8961-595a495f3555</errorID>
      <errorWord>响应性</errorWord>
      <group>L1_Word</group>
      <groupName>字词问题</groupName>
      <ability>L2_Typo</ability>
      <abilityName>字词错误</abilityName>
      <candidateList>
        <item>响应</item>
      </candidateList>
      <explain/>
      <paraID>3D867763</paraID>
      <start>3</start>
      <end>5</end>
      <status>modified</status>
      <modifiedWord>响应</modifiedWord>
      <trackRevisions>false</trackRevisions>
    </reviewItem>
    <reviewItem>
      <errorID>bf18a3d3-ea78-42ad-af8d-de8878446db8</errorID>
      <errorWord>密封的</errorWord>
      <group>L1_Word</group>
      <groupName>字词问题</groupName>
      <ability>L2_Typo</ability>
      <abilityName>字词错误</abilityName>
      <candidateList>
        <item>密封</item>
      </candidateList>
      <explain/>
      <paraID>3D867763</paraID>
      <start>23</start>
      <end>26</end>
      <status>ignored</status>
      <modifiedWord/>
      <trackRevisions>false</trackRevisions>
    </reviewItem>
    <reviewItem>
      <errorID>110f779e-a7b6-49c0-854f-1a965fec5f69</errorID>
      <errorWord>磋商的</errorWord>
      <group>L1_Word</group>
      <groupName>字词问题</groupName>
      <ability>L2_Typo</ability>
      <abilityName>字词错误</abilityName>
      <candidateList>
        <item>磋商</item>
      </candidateList>
      <explain/>
      <paraID>5DF937B3</paraID>
      <start>20</start>
      <end>23</end>
      <status>unmodified</status>
      <modifiedWord/>
      <trackRevisions>false</trackRevisions>
    </reviewItem>
    <reviewItem>
      <errorID>64073337-12cd-484c-bbeb-0c637b21e83a</errorID>
      <errorWord>提出</errorWord>
      <group>L1_Word</group>
      <groupName>字词问题</groupName>
      <ability>L2_Typo</ability>
      <abilityName>字词错误</abilityName>
      <candidateList>
        <item>中提出</item>
      </candidateList>
      <explain/>
      <paraID>320CAD16</paraID>
      <start>20</start>
      <end>23</end>
      <status>modified</status>
      <modifiedWord>中提出</modifiedWord>
      <trackRevisions>false</trackRevisions>
    </reviewItem>
    <reviewItem>
      <errorID>031c46cd-46f1-4370-8f75-a53f1735c2fc</errorID>
      <errorWord>异常情况</errorWord>
      <group>L1_Word</group>
      <groupName>字词问题</groupName>
      <ability>L2_Typo</ability>
      <abilityName>字词错误</abilityName>
      <candidateList>
        <item> 异常情况</item>
      </candidateList>
      <explain/>
      <paraID>40D1AF03</paraID>
      <start>3</start>
      <end>8</end>
      <status>modified</status>
      <modifiedWord> 异常情况</modifiedWord>
      <trackRevisions>false</trackRevisions>
    </reviewItem>
    <reviewItem>
      <errorID>d80cdbdc-6d56-4c44-b688-97bc840ed978</errorID>
      <errorWord>开标时</errorWord>
      <group>L1_Word</group>
      <groupName>字词问题</groupName>
      <ability>L2_Typo</ability>
      <abilityName>字词错误</abilityName>
      <candidateList>
        <item>开标</item>
      </candidateList>
      <explain/>
      <paraID>351F1CBD</paraID>
      <start>27</start>
      <end>29</end>
      <status>modified</status>
      <modifiedWord>开标</modifiedWord>
      <trackRevisions>false</trackRevisions>
    </reviewItem>
    <reviewItem>
      <errorID>bf549746-17d1-4555-a6db-505566183503</errorID>
      <errorWord>运行的，应由</errorWord>
      <group>L1_Grammar</group>
      <groupName>语法问题</groupName>
      <ability>L2_Grammar</ability>
      <abilityName>语法错误</abilityName>
      <candidateList>
        <item>运行，</item>
      </candidateList>
      <explain/>
      <paraID>351F1CBD</paraID>
      <start>70</start>
      <end>73</end>
      <status>modified</status>
      <modifiedWord>运行，</modifiedWord>
      <trackRevisions>false</trackRevisions>
    </reviewItem>
    <reviewItem>
      <errorID>c1df572a-d79a-426f-a97c-dfe71e18917f</errorID>
      <errorWord>视</errorWord>
      <group>L1_Word</group>
      <groupName>字词问题</groupName>
      <ability>L2_Typo</ability>
      <abilityName>字词错误</abilityName>
      <candidateList>
        <item>应视</item>
      </candidateList>
      <explain/>
      <paraID>351F1CBD</paraID>
      <start>83</start>
      <end>85</end>
      <status>modified</status>
      <modifiedWord>应视</modifiedWord>
      <trackRevisions>false</trackRevisions>
    </reviewItem>
    <reviewItem>
      <errorID>ccb85193-1d47-43ef-b7d4-765bce3a83df</errorID>
      <errorWord>磋商</errorWord>
      <group>L1_Word</group>
      <groupName>字词问题</groupName>
      <ability>L2_Typo</ability>
      <abilityName>字词错误</abilityName>
      <candidateList>
        <item> 磋商</item>
      </candidateList>
      <explain/>
      <paraID>192BEDA4</paraID>
      <start>3</start>
      <end>6</end>
      <status>modified</status>
      <modifiedWord> 磋商</modifiedWord>
      <trackRevisions>false</trackRevisions>
    </reviewItem>
    <reviewItem>
      <errorID>bfea086f-5520-4dfe-aff5-a3658176db9c</errorID>
      <errorWord>负责</errorWord>
      <group>L1_Word</group>
      <groupName>字词问题</groupName>
      <ability>L2_Typo</ability>
      <abilityName>字词错误</abilityName>
      <candidateList>
        <item>进行</item>
      </candidateList>
      <explain/>
      <paraID>45862A78</paraID>
      <start>21</start>
      <end>23</end>
      <status>modified</status>
      <modifiedWord>进行</modifiedWord>
      <trackRevisions>false</trackRevisions>
    </reviewItem>
    <reviewItem>
      <errorID>bd513dc5-2d6b-4696-90de-6c141d4a1d0d</errorID>
      <errorWord>磋商</errorWord>
      <group>L1_Word</group>
      <groupName>字词问题</groupName>
      <ability>L2_Typo</ability>
      <abilityName>字词错误</abilityName>
      <candidateList>
        <item> 磋商</item>
      </candidateList>
      <explain/>
      <paraID>483AF229</paraID>
      <start>5</start>
      <end>8</end>
      <status>modified</status>
      <modifiedWord> 磋商</modifiedWord>
      <trackRevisions>false</trackRevisions>
    </reviewItem>
    <reviewItem>
      <errorID>18a66b26-aa16-4dde-8ac5-636843550213</errorID>
      <errorWord>评标</errorWord>
      <group>L1_Word</group>
      <groupName>字词问题</groupName>
      <ability>L2_Typo</ability>
      <abilityName>字词错误</abilityName>
      <candidateList>
        <item> 磋商</item>
      </candidateList>
      <explain/>
      <paraID>5A164799</paraID>
      <start>5</start>
      <end>8</end>
      <status>modified</status>
      <modifiedWord> 磋商</modifiedWord>
      <trackRevisions>false</trackRevisions>
    </reviewItem>
    <reviewItem>
      <errorID>01806e38-0419-406e-b53f-ac1d1fb89bde</errorID>
      <errorWord>磋商</errorWord>
      <group>L1_Word</group>
      <groupName>字词问题</groupName>
      <ability>L2_Typo</ability>
      <abilityName>字词错误</abilityName>
      <candidateList>
        <item> 磋商</item>
      </candidateList>
      <explain/>
      <paraID>1AAEBFA2</paraID>
      <start>3</start>
      <end>6</end>
      <status>modified</status>
      <modifiedWord> 磋商</modifiedWord>
      <trackRevisions>false</trackRevisions>
    </reviewItem>
    <reviewItem>
      <errorID>ec995ac0-ca81-40be-bc9f-0f616000d982</errorID>
      <errorWord>最终</errorWord>
      <group>L1_Word</group>
      <groupName>字词问题</groupName>
      <ability>L2_Typo</ability>
      <abilityName>字词错误</abilityName>
      <candidateList>
        <item>最后</item>
      </candidateList>
      <explain/>
      <paraID>40A1B3C8</paraID>
      <start>201</start>
      <end>203</end>
      <status>modified</status>
      <modifiedWord>最后</modifiedWord>
      <trackRevisions>false</trackRevisions>
    </reviewItem>
    <reviewItem>
      <errorID>acb5255c-698c-4f81-9766-dbfef782e364</errorID>
      <errorWord>成交公告</errorWord>
      <group>L1_Word</group>
      <groupName>字词问题</groupName>
      <ability>L2_Typo</ability>
      <abilityName>字词错误</abilityName>
      <candidateList>
        <item> 成交通知</item>
      </candidateList>
      <explain/>
      <paraID>7512893A</paraID>
      <start>3</start>
      <end>7</end>
      <status>ignored</status>
      <modifiedWord/>
      <trackRevisions>false</trackRevisions>
    </reviewItem>
    <reviewItem>
      <errorID>97fa448d-ba7c-4757-90b7-9e5419337ad9</errorID>
      <errorWord>成交通知</errorWord>
      <group>L1_Grammar</group>
      <groupName>语法问题</groupName>
      <ability>L2_Grammar</ability>
      <abilityName>语法错误</abilityName>
      <candidateList>
        <item>公告</item>
      </candidateList>
      <explain/>
      <paraID>7512893A</paraID>
      <start>8</start>
      <end>12</end>
      <status>ignored</status>
      <modifiedWord/>
      <trackRevisions>false</trackRevisions>
    </reviewItem>
    <reviewItem>
      <errorID>b42e58ca-ea01-45e3-9df5-26a96a54b0d5</errorID>
      <errorWord> </errorWord>
      <group>L1_Punc</group>
      <groupName>标点问题</groupName>
      <ability>L2_Punc_CN</ability>
      <abilityName>标点符号问题</abilityName>
      <candidateList>
        <item/>
      </candidateList>
      <explain>此处空格冗余，建议删除。</explain>
      <paraID>1B642A58</paraID>
      <start>102</start>
      <end>103</end>
      <status>ignored</status>
      <modifiedWord/>
      <trackRevisions>false</trackRevisions>
    </reviewItem>
    <reviewItem>
      <errorID>08bc6b05-161e-42c5-9689-c8b1fb849117</errorID>
      <errorWord> </errorWord>
      <group>L1_Punc</group>
      <groupName>标点问题</groupName>
      <ability>L2_Punc_CN</ability>
      <abilityName>标点符号问题</abilityName>
      <candidateList>
        <item/>
      </candidateList>
      <explain>此处空格冗余，建议删除。</explain>
      <paraID>1B642A58</paraID>
      <start>104</start>
      <end>105</end>
      <status>ignored</status>
      <modifiedWord/>
      <trackRevisions>false</trackRevisions>
    </reviewItem>
    <reviewItem>
      <errorID>9f7568ce-b654-4913-8d6f-f2d67738fd41</errorID>
      <errorWord> </errorWord>
      <group>L1_Punc</group>
      <groupName>标点问题</groupName>
      <ability>L2_Punc_CN</ability>
      <abilityName>标点符号问题</abilityName>
      <candidateList>
        <item/>
      </candidateList>
      <explain>此处空格冗余，建议删除。</explain>
      <paraID>4767F142</paraID>
      <start>22</start>
      <end>23</end>
      <status>ignored</status>
      <modifiedWord/>
      <trackRevisions>false</trackRevisions>
    </reviewItem>
    <reviewItem>
      <errorID>f25f581f-6caf-4eb7-b7b4-c6cd28de8fef</errorID>
      <errorWord>中标</errorWord>
      <group>L1_Word</group>
      <groupName>字词问题</groupName>
      <ability>L2_Typo</ability>
      <abilityName>字词错误</abilityName>
      <candidateList>
        <item>成交</item>
      </candidateList>
      <explain/>
      <paraID>4767F142</paraID>
      <start>38</start>
      <end>40</end>
      <status>ignored</status>
      <modifiedWord/>
      <trackRevisions>false</trackRevisions>
    </reviewItem>
    <reviewItem>
      <errorID>9f447f74-46c1-429a-909e-bff6222b2605</errorID>
      <errorWord>造成的损失较大</errorWord>
      <group>L1_Grammar</group>
      <groupName>语法问题</groupName>
      <ability>L2_Grammar</ability>
      <abilityName>语法错误</abilityName>
      <candidateList>
        <item>造成损失</item>
      </candidateList>
      <explain/>
      <paraID>4767F142</paraID>
      <start>45</start>
      <end>52</end>
      <status>ignored</status>
      <modifiedWord/>
      <trackRevisions>false</trackRevisions>
    </reviewItem>
    <reviewItem>
      <errorID>88dccf38-8727-42d8-89de-f42eda806c8e</errorID>
      <errorWord>应当对超过部分</errorWord>
      <group>L1_Grammar</group>
      <groupName>语法问题</groupName>
      <ability>L2_Grammar</ability>
      <abilityName>语法错误</abilityName>
      <candidateList>
        <item>应当</item>
      </candidateList>
      <explain/>
      <paraID>4767F142</paraID>
      <start>60</start>
      <end>67</end>
      <status>unmodified</status>
      <modifiedWord/>
      <trackRevisions>false</trackRevisions>
    </reviewItem>
    <reviewItem>
      <errorID>b51c7c18-92f9-4d9b-bf33-127f909fa91a</errorID>
      <errorWord>采购</errorWord>
      <group>L1_Word</group>
      <groupName>字词问题</groupName>
      <ability>L2_Typo</ability>
      <abilityName>字词错误</abilityName>
      <candidateList>
        <item> 采购</item>
      </candidateList>
      <explain/>
      <paraID>499B608D</paraID>
      <start>5</start>
      <end>7</end>
      <status>unmodified</status>
      <modifiedWord/>
      <trackRevisions>false</trackRevisions>
    </reviewItem>
    <reviewItem>
      <errorID>58a754ca-7876-4869-8324-b947f16b8bf0</errorID>
      <errorWord>做</errorWord>
      <group>L1_Word</group>
      <groupName>字词问题</groupName>
      <ability>L2_Typo</ability>
      <abilityName>字词错误</abilityName>
      <candidateList>
        <item>作</item>
      </candidateList>
      <explain/>
      <paraID>499B608D</paraID>
      <start>100</start>
      <end>101</end>
      <status>unmodified</status>
      <modifiedWord/>
      <trackRevisions>false</trackRevisions>
    </reviewItem>
    <reviewItem>
      <errorID>bc517c62-9c1e-4b69-9586-556d05ec4367</errorID>
      <errorWord>代理人、项目经理</errorWord>
      <group>L1_Grammar</group>
      <groupName>语法问题</groupName>
      <ability>L2_Grammar</ability>
      <abilityName>语法错误</abilityName>
      <candidateList>
        <item>代理人</item>
      </candidateList>
      <explain/>
      <paraID>114A0D10</paraID>
      <start>17</start>
      <end>25</end>
      <status>unmodified</status>
      <modifiedWord/>
      <trackRevisions>false</trackRevisions>
    </reviewItem>
    <reviewItem>
      <errorID>77daff26-9001-4833-8d51-8209137a2686</errorID>
      <errorWord>他</errorWord>
      <group>L1_Word</group>
      <groupName>字词问题</groupName>
      <ability>L2_Typo</ability>
      <abilityName>字词错误</abilityName>
      <candidateList>
        <item>其他</item>
      </candidateList>
      <explain/>
      <paraID>4DB80CB1</paraID>
      <start>57</start>
      <end>58</end>
      <status>unmodified</status>
      <modifiedWord/>
      <trackRevisions>false</trackRevisions>
    </reviewItem>
    <reviewItem>
      <errorID>2f543e1a-00cb-4334-ad4d-44c0df61942a</errorID>
      <errorWord>T4754</errorWord>
      <group>L1_Word</group>
      <groupName>字词问题</groupName>
      <ability>L2_Typo</ability>
      <abilityName>字词错误</abilityName>
      <candidateList>
        <item>T 4754</item>
      </candidateList>
      <explain/>
      <paraID>6D920556</paraID>
      <start>26</start>
      <end>31</end>
      <status>unmodified</status>
      <modifiedWord/>
      <trackRevisions>false</trackRevisions>
    </reviewItem>
    <reviewItem>
      <errorID>9198886b-1571-4340-ad80-55fecc077b1b</errorID>
      <errorWord>，</errorWord>
      <group>L1_Punc</group>
      <groupName>标点问题</groupName>
      <ability>L2_Punc_CN</ability>
      <abilityName>标点符号问题</abilityName>
      <candidateList>
        <item>、</item>
      </candidateList>
      <explain/>
      <paraID>6D920556</paraID>
      <start>62</start>
      <end>63</end>
      <status>unmodified</status>
      <modifiedWord/>
      <trackRevisions>false</trackRevisions>
    </reviewItem>
    <reviewItem>
      <errorID>618b600e-66ec-48c3-9789-8e73590d44ad</errorID>
      <errorWord>，</errorWord>
      <group>L1_Punc</group>
      <groupName>标点问题</groupName>
      <ability>L2_Punc_CN</ability>
      <abilityName>标点符号问题</abilityName>
      <candidateList>
        <item>、</item>
      </candidateList>
      <explain/>
      <paraID>6D920556</paraID>
      <start>66</start>
      <end>67</end>
      <status>unmodified</status>
      <modifiedWord/>
      <trackRevisions>false</trackRevisions>
    </reviewItem>
    <reviewItem>
      <errorID>1e13fa22-445d-40d1-8ebe-f9285fff16d1</errorID>
      <errorWord>，</errorWord>
      <group>L1_Punc</group>
      <groupName>标点问题</groupName>
      <ability>L2_Punc_CN</ability>
      <abilityName>标点符号问题</abilityName>
      <candidateList>
        <item>、</item>
      </candidateList>
      <explain/>
      <paraID>6D920556</paraID>
      <start>96</start>
      <end>97</end>
      <status>unmodified</status>
      <modifiedWord/>
      <trackRevisions>false</trackRevisions>
    </reviewItem>
    <reviewItem>
      <errorID>82b7f6a4-07b4-4dbb-a647-11cd5deb84f9</errorID>
      <errorWord>，</errorWord>
      <group>L1_Punc</group>
      <groupName>标点问题</groupName>
      <ability>L2_Punc_CN</ability>
      <abilityName>标点符号问题</abilityName>
      <candidateList>
        <item>、</item>
      </candidateList>
      <explain/>
      <paraID>6D920556</paraID>
      <start>102</start>
      <end>103</end>
      <status>unmodified</status>
      <modifiedWord/>
      <trackRevisions>false</trackRevisions>
    </reviewItem>
    <reviewItem>
      <errorID>31e58e78-d76d-4f2a-bd6d-eda5cb8771ba</errorID>
      <errorWord>，</errorWord>
      <group>L1_Punc</group>
      <groupName>标点问题</groupName>
      <ability>L2_Punc_CN</ability>
      <abilityName>标点符号问题</abilityName>
      <candidateList>
        <item>、</item>
      </candidateList>
      <explain/>
      <paraID>6D920556</paraID>
      <start>108</start>
      <end>109</end>
      <status>unmodified</status>
      <modifiedWord/>
      <trackRevisions>false</trackRevisions>
    </reviewItem>
    <reviewItem>
      <errorID>7e613411-21b9-4b24-a034-f22d68869151</errorID>
      <errorWord>，</errorWord>
      <group>L1_Punc</group>
      <groupName>标点问题</groupName>
      <ability>L2_Punc_CN</ability>
      <abilityName>标点符号问题</abilityName>
      <candidateList>
        <item>、</item>
      </candidateList>
      <explain/>
      <paraID>6D920556</paraID>
      <start>114</start>
      <end>115</end>
      <status>unmodified</status>
      <modifiedWord/>
      <trackRevisions>false</trackRevisions>
    </reviewItem>
    <reviewItem>
      <errorID>7072fbe4-a634-4e42-94d9-d4fd9d8ed97d</errorID>
      <errorWord>，</errorWord>
      <group>L1_Punc</group>
      <groupName>标点问题</groupName>
      <ability>L2_Punc_CN</ability>
      <abilityName>标点符号问题</abilityName>
      <candidateList>
        <item>、</item>
      </candidateList>
      <explain/>
      <paraID>6D920556</paraID>
      <start>149</start>
      <end>150</end>
      <status>unmodified</status>
      <modifiedWord/>
      <trackRevisions>false</trackRevisions>
    </reviewItem>
    <reviewItem>
      <errorID>723f34a9-fe8f-44b0-8635-37659ee6153f</errorID>
      <errorWord>，</errorWord>
      <group>L1_Punc</group>
      <groupName>标点问题</groupName>
      <ability>L2_Punc_CN</ability>
      <abilityName>标点符号问题</abilityName>
      <candidateList>
        <item>、</item>
      </candidateList>
      <explain/>
      <paraID>6D920556</paraID>
      <start>154</start>
      <end>155</end>
      <status>unmodified</status>
      <modifiedWord/>
      <trackRevisions>false</trackRevisions>
    </reviewItem>
    <reviewItem>
      <errorID>fb606ca2-bd95-4ff9-8f08-725ec2be642c</errorID>
      <errorWord>，</errorWord>
      <group>L1_Punc</group>
      <groupName>标点问题</groupName>
      <ability>L2_Punc_CN</ability>
      <abilityName>标点符号问题</abilityName>
      <candidateList>
        <item>、</item>
      </candidateList>
      <explain/>
      <paraID>6D920556</paraID>
      <start>160</start>
      <end>161</end>
      <status>unmodified</status>
      <modifiedWord/>
      <trackRevisions>false</trackRevisions>
    </reviewItem>
    <reviewItem>
      <errorID>31e0ce9d-54ba-4f0a-9e09-b4434095a0cd</errorID>
      <errorWord>，</errorWord>
      <group>L1_Punc</group>
      <groupName>标点问题</groupName>
      <ability>L2_Punc_CN</ability>
      <abilityName>标点符号问题</abilityName>
      <candidateList>
        <item>、</item>
      </candidateList>
      <explain/>
      <paraID>6D920556</paraID>
      <start>172</start>
      <end>173</end>
      <status>unmodified</status>
      <modifiedWord/>
      <trackRevisions>false</trackRevisions>
    </reviewItem>
    <reviewItem>
      <errorID>d2f56a6b-8abf-4044-a61b-11b1a7780984</errorID>
      <errorWord>，</errorWord>
      <group>L1_Punc</group>
      <groupName>标点问题</groupName>
      <ability>L2_Punc_CN</ability>
      <abilityName>标点符号问题</abilityName>
      <candidateList>
        <item>、</item>
      </candidateList>
      <explain/>
      <paraID>6D920556</paraID>
      <start>206</start>
      <end>207</end>
      <status>unmodified</status>
      <modifiedWord/>
      <trackRevisions>false</trackRevisions>
    </reviewItem>
    <reviewItem>
      <errorID>0cda6e14-2d53-4f29-b01b-6a4e1ab1408d</errorID>
      <errorWord>，</errorWord>
      <group>L1_Punc</group>
      <groupName>标点问题</groupName>
      <ability>L2_Punc_CN</ability>
      <abilityName>标点符号问题</abilityName>
      <candidateList>
        <item>、</item>
      </candidateList>
      <explain/>
      <paraID>6D920556</paraID>
      <start>235</start>
      <end>236</end>
      <status>unmodified</status>
      <modifiedWord/>
      <trackRevisions>false</trackRevisions>
    </reviewItem>
    <reviewItem>
      <errorID>2e7d6edd-8efc-44e0-b56a-61f4c643ec18</errorID>
      <errorWord>，</errorWord>
      <group>L1_Punc</group>
      <groupName>标点问题</groupName>
      <ability>L2_Punc_CN</ability>
      <abilityName>标点符号问题</abilityName>
      <candidateList>
        <item>、</item>
      </candidateList>
      <explain/>
      <paraID>6D920556</paraID>
      <start>249</start>
      <end>250</end>
      <status>unmodified</status>
      <modifiedWord/>
      <trackRevisions>false</trackRevisions>
    </reviewItem>
    <reviewItem>
      <errorID>a98dc932-025f-4f7d-9853-444b4813f565</errorID>
      <errorWord>，</errorWord>
      <group>L1_Punc</group>
      <groupName>标点问题</groupName>
      <ability>L2_Punc_CN</ability>
      <abilityName>标点符号问题</abilityName>
      <candidateList>
        <item>、</item>
      </candidateList>
      <explain/>
      <paraID>6D920556</paraID>
      <start>263</start>
      <end>264</end>
      <status>unmodified</status>
      <modifiedWord/>
      <trackRevisions>false</trackRevisions>
    </reviewItem>
    <reviewItem>
      <errorID>a50fe7aa-cdfe-4df9-8c3a-5bb3c0c17a3f</errorID>
      <errorWord>，</errorWord>
      <group>L1_Punc</group>
      <groupName>标点问题</groupName>
      <ability>L2_Punc_CN</ability>
      <abilityName>标点符号问题</abilityName>
      <candidateList>
        <item>、</item>
      </candidateList>
      <explain/>
      <paraID>6D920556</paraID>
      <start>268</start>
      <end>269</end>
      <status>unmodified</status>
      <modifiedWord/>
      <trackRevisions>false</trackRevisions>
    </reviewItem>
    <reviewItem>
      <errorID>9263a206-f9f0-46be-96f6-0d7e5ceab893</errorID>
      <errorWord>，</errorWord>
      <group>L1_Punc</group>
      <groupName>标点问题</groupName>
      <ability>L2_Punc_CN</ability>
      <abilityName>标点符号问题</abilityName>
      <candidateList>
        <item>、</item>
      </candidateList>
      <explain/>
      <paraID>6D920556</paraID>
      <start>288</start>
      <end>289</end>
      <status>unmodified</status>
      <modifiedWord/>
      <trackRevisions>false</trackRevisions>
    </reviewItem>
    <reviewItem>
      <errorID>98bfa305-f0e4-418a-b6f7-fcc2ebcb24ef</errorID>
      <errorWord>2026年1月1日</errorWord>
      <group>L1_Word</group>
      <groupName>字词问题</groupName>
      <ability>L2_Typo</ability>
      <abilityName>字词错误</abilityName>
      <candidateList>
        <item>2026年1月1日起</item>
      </candidateList>
      <explain/>
      <paraID>6FA44E48</paraID>
      <start>2</start>
      <end>11</end>
      <status>unmodified</status>
      <modifiedWord/>
      <trackRevisions>false</trackRevisions>
    </reviewItem>
    <reviewItem>
      <errorID>80aaee5e-133f-424c-b589-7d1679455a60</errorID>
      <errorWord>号</errorWord>
      <group>L1_Word</group>
      <groupName>字词问题</groupName>
      <ability>L2_Typo</ability>
      <abilityName>字词错误</abilityName>
      <candidateList>
        <item>X号</item>
      </candidateList>
      <explain/>
      <paraID>5240323C</paraID>
      <start>48</start>
      <end>49</end>
      <status>unmodified</status>
      <modifiedWord/>
      <trackRevisions>false</trackRevisions>
    </reviewItem>
    <reviewItem>
      <errorID>d8d39aa2-9c20-4436-be26-cdb2b3be65b6</errorID>
      <errorWord>内容集中</errorWord>
      <group>L1_Grammar</group>
      <groupName>语法问题</groupName>
      <ability>L2_Grammar</ability>
      <abilityName>语法错误</abilityName>
      <candidateList>
        <item>内容</item>
      </candidateList>
      <explain/>
      <paraID>26CF93B6</paraID>
      <start>13</start>
      <end>17</end>
      <status>unmodified</status>
      <modifiedWord/>
      <trackRevisions>false</trackRevisions>
    </reviewItem>
    <reviewItem>
      <errorID>b3774fc9-3ff9-4b41-83cf-8a2fb0ace374</errorID>
      <errorWord>若</errorWord>
      <group>L1_Word</group>
      <groupName>字词问题</groupName>
      <ability>L2_Typo</ability>
      <abilityName>字词错误</abilityName>
      <candidateList>
        <item>但</item>
      </candidateList>
      <explain/>
      <paraID>26CF93B6</paraID>
      <start>69</start>
      <end>70</end>
      <status>unmodified</status>
      <modifiedWord/>
      <trackRevisions>false</trackRevisions>
    </reviewItem>
    <reviewItem>
      <errorID>13515091-9e05-4b92-99a4-f0589265d6ab</errorID>
      <errorWord>二次</errorWord>
      <group>L1_Word</group>
      <groupName>字词问题</groupName>
      <ability>L2_Typo</ability>
      <abilityName>字词错误</abilityName>
      <candidateList>
        <item>两次</item>
      </candidateList>
      <explain/>
      <paraID> F7B7B55</paraID>
      <start>27</start>
      <end>29</end>
      <status>unmodified</status>
      <modifiedWord/>
      <trackRevisions>false</trackRevisions>
    </reviewItem>
    <reviewItem>
      <errorID>24335348-8078-43c2-bd6c-782aafebc485</errorID>
      <errorWord>进行详细性</errorWord>
      <group>L1_Grammar</group>
      <groupName>语法问题</groupName>
      <ability>L2_Grammar</ability>
      <abilityName>语法错误</abilityName>
      <candidateList>
        <item>进行</item>
      </candidateList>
      <explain/>
      <paraID>2DCA1FF2</paraID>
      <start>76</start>
      <end>81</end>
      <status>unmodified</status>
      <modifiedWord/>
      <trackRevisions>false</trackRevisions>
    </reviewItem>
    <reviewItem>
      <errorID>eb249ce6-cf6a-4070-b2f4-e2d3bf21faf2</errorID>
      <errorWord>后两位小数点</errorWord>
      <group>L1_Word</group>
      <groupName>字词问题</groupName>
      <ability>L2_Typo</ability>
      <abilityName>字词错误</abilityName>
      <candidateList>
        <item>小数点后两位</item>
      </candidateList>
      <explain/>
      <paraID>5593D52C</paraID>
      <start>9</start>
      <end>15</end>
      <status>unmodified</status>
      <modifiedWord/>
      <trackRevisions>false</trackRevisions>
    </reviewItem>
    <reviewItem>
      <errorID>f09a2c2b-e1ac-4d54-b578-7380881b8baf</errorID>
      <errorWord>；</errorWord>
      <group>L1_Punc</group>
      <groupName>标点问题</groupName>
      <ability>L2_Punc_CN</ability>
      <abilityName>标点符号问题</abilityName>
      <candidateList>
        <item>，</item>
      </candidateList>
      <explain/>
      <paraID>77E54249</paraID>
      <start>52</start>
      <end>53</end>
      <status>unmodified</status>
      <modifiedWord/>
      <trackRevisions>false</trackRevisions>
    </reviewItem>
    <reviewItem>
      <errorID>7aa0c079-39e3-4c9f-be17-87baf1eae491</errorID>
      <errorWord>和</errorWord>
      <group>L1_Word</group>
      <groupName>字词问题</groupName>
      <ability>L2_Typo</ability>
      <abilityName>字词错误</abilityName>
      <candidateList>
        <item>、</item>
      </candidateList>
      <explain/>
      <paraID>77E54249</paraID>
      <start>61</start>
      <end>62</end>
      <status>unmodified</status>
      <modifiedWord/>
      <trackRevisions>false</trackRevisions>
    </reviewItem>
    <reviewItem>
      <errorID>bd70c90c-8226-411d-b2fc-d8a41f130d5e</errorID>
      <errorWord>分</errorWord>
      <group>L1_Punc</group>
      <groupName>标点问题</groupName>
      <ability>L2_Punc_CN</ability>
      <abilityName>标点符号问题</abilityName>
      <candidateList>
        <item>分；</item>
      </candidateList>
      <explain/>
      <paraID>67E2A9C7</paraID>
      <start>54</start>
      <end>55</end>
      <status>unmodified</status>
      <modifiedWord/>
      <trackRevisions>false</trackRevisions>
    </reviewItem>
    <reviewItem>
      <errorID>ffbd5a41-24f6-4e21-a4b7-d2412380e240</errorID>
      <errorWord>、</errorWord>
      <group>L1_Punc</group>
      <groupName>标点问题</groupName>
      <ability>L2_Punc_CN</ability>
      <abilityName>标点符号问题</abilityName>
      <candidateList>
        <item>，</item>
      </candidateList>
      <explain/>
      <paraID>1BBE18F4</paraID>
      <start>52</start>
      <end>53</end>
      <status>unmodified</status>
      <modifiedWord/>
      <trackRevisions>false</trackRevisions>
    </reviewItem>
    <reviewItem>
      <errorID>fa91deae-b38e-431b-9865-4d445ca658eb</errorID>
      <errorWord> </errorWord>
      <group>L1_Punc</group>
      <groupName>标点问题</groupName>
      <ability>L2_Punc_CN</ability>
      <abilityName>标点符号问题</abilityName>
      <candidateList>
        <item>、</item>
      </candidateList>
      <explain/>
      <paraID>31F59AE2</paraID>
      <start>53</start>
      <end>54</end>
      <status>unmodified</status>
      <modifiedWord/>
      <trackRevisions>false</trackRevisions>
    </reviewItem>
    <reviewItem>
      <errorID>971d5943-4e8d-405a-a53c-e46b147c4590</errorID>
      <errorWord>，</errorWord>
      <group>L1_Word</group>
      <groupName>字词问题</groupName>
      <ability>L2_Typo</ability>
      <abilityName>字词错误</abilityName>
      <candidateList>
        <item>的</item>
      </candidateList>
      <explain/>
      <paraID>3874FDA8</paraID>
      <start>27</start>
      <end>28</end>
      <status>unmodified</status>
      <modifiedWord/>
      <trackRevisions>false</trackRevisions>
    </reviewItem>
    <reviewItem>
      <errorID>75d01fe1-ef6b-42d5-8c39-3542e448e109</errorID>
      <errorWord>先进机械设备</errorWord>
      <group>L1_Grammar</group>
      <groupName>语法问题</groupName>
      <ability>L2_Grammar</ability>
      <abilityName>语法错误</abilityName>
      <candidateList>
        <item>先进</item>
      </candidateList>
      <explain/>
      <paraID>5FDA20E6</paraID>
      <start>19</start>
      <end>25</end>
      <status>unmodified</status>
      <modifiedWord/>
      <trackRevisions>false</trackRevisions>
    </reviewItem>
    <reviewItem>
      <errorID>b43b7ebe-475a-4096-8bf6-d82bacc7b957</errorID>
      <errorWord>、先进</errorWord>
      <group>L1_Grammar</group>
      <groupName>语法问题</groupName>
      <ability>L2_Grammar</ability>
      <abilityName>语法错误</abilityName>
      <candidateList>
        <item>的机械设备</item>
      </candidateList>
      <explain/>
      <paraID>5FDA20E6</paraID>
      <start>30</start>
      <end>33</end>
      <status>unmodified</status>
      <modifiedWord/>
      <trackRevisions>false</trackRevisions>
    </reviewItem>
    <reviewItem>
      <errorID>41c74faa-d74d-45c4-9ce5-297e42c4c9a0</errorID>
      <errorWord>调配投入</errorWord>
      <group>L1_Grammar</group>
      <groupName>语法问题</groupName>
      <ability>L2_Grammar</ability>
      <abilityName>语法错误</abilityName>
      <candidateList>
        <item>调配</item>
      </candidateList>
      <explain/>
      <paraID>5FDA20E6</paraID>
      <start>75</start>
      <end>79</end>
      <status>unmodified</status>
      <modifiedWord/>
      <trackRevisions>false</trackRevisions>
    </reviewItem>
    <reviewItem>
      <errorID>967fbb91-a980-441c-8d17-8078507e8179</errorID>
      <errorWord>调配投入</errorWord>
      <group>L1_Grammar</group>
      <groupName>语法问题</groupName>
      <ability>L2_Grammar</ability>
      <abilityName>语法错误</abilityName>
      <candidateList>
        <item>调配</item>
      </candidateList>
      <explain/>
      <paraID>5FDA20E6</paraID>
      <start>119</start>
      <end>123</end>
      <status>unmodified</status>
      <modifiedWord/>
      <trackRevisions>false</trackRevisions>
    </reviewItem>
    <reviewItem>
      <errorID>58be4c6c-1563-432e-8518-4f2e7da2bf2d</errorID>
      <errorWord>准确的</errorWord>
      <group>L1_Word</group>
      <groupName>字词问题</groupName>
      <ability>L2_Typo</ability>
      <abilityName>字词错误</abilityName>
      <candidateList>
        <item>准确</item>
      </candidateList>
      <explain/>
      <paraID>5FDA20E6</paraID>
      <start>128</start>
      <end>131</end>
      <status>unmodified</status>
      <modifiedWord/>
      <trackRevisions>false</trackRevisions>
    </reviewItem>
    <reviewItem>
      <errorID>0472376e-ff74-4154-bfbf-a0f3aa170f1b</errorID>
      <errorWord>调配投入</errorWord>
      <group>L1_Grammar</group>
      <groupName>语法问题</groupName>
      <ability>L2_Grammar</ability>
      <abilityName>语法错误</abilityName>
      <candidateList>
        <item>调配</item>
      </candidateList>
      <explain/>
      <paraID>42E07952</paraID>
      <start>69</start>
      <end>73</end>
      <status>unmodified</status>
      <modifiedWord/>
      <trackRevisions>false</trackRevisions>
    </reviewItem>
    <reviewItem>
      <errorID>0bdeb501-f632-4430-a8b5-624ef78f35cf</errorID>
      <errorWord>调配投入</errorWord>
      <group>L1_Grammar</group>
      <groupName>语法问题</groupName>
      <ability>L2_Grammar</ability>
      <abilityName>语法错误</abilityName>
      <candidateList>
        <item>调配</item>
      </candidateList>
      <explain/>
      <paraID>42E07952</paraID>
      <start>112</start>
      <end>116</end>
      <status>unmodified</status>
      <modifiedWord/>
      <trackRevisions>false</trackRevisions>
    </reviewItem>
    <reviewItem>
      <errorID>ec27a249-1493-4a32-90d3-f1c829a312b2</errorID>
      <errorWord>合理的</errorWord>
      <group>L1_Word</group>
      <groupName>字词问题</groupName>
      <ability>L2_Typo</ability>
      <abilityName>字词错误</abilityName>
      <candidateList>
        <item>合理</item>
      </candidateList>
      <explain/>
      <paraID>42E07952</paraID>
      <start>120</start>
      <end>123</end>
      <status>unmodified</status>
      <modifiedWord/>
      <trackRevisions>false</trackRevisions>
    </reviewItem>
    <reviewItem>
      <errorID>4301f725-3b7f-49d8-b3c1-042cb9056495</errorID>
      <errorWord>1分</errorWord>
      <group>L1_Grammar</group>
      <groupName>语法问题</groupName>
      <ability>L2_Grammar</ability>
      <abilityName>语法错误</abilityName>
      <candidateList>
        <item> 1 分</item>
      </candidateList>
      <explain/>
      <paraID>4374A6AB</paraID>
      <start>27</start>
      <end>29</end>
      <status>unmodified</status>
      <modifiedWord/>
      <trackRevisions>false</trackRevisions>
    </reviewItem>
    <reviewItem>
      <errorID>af481010-6449-4bf7-a736-348ab5af3faa</errorID>
      <errorWord>适用性的</errorWord>
      <group>L1_Word</group>
      <groupName>字词问题</groupName>
      <ability>L2_Typo</ability>
      <abilityName>字词错误</abilityName>
      <candidateList>
        <item>适用性</item>
      </candidateList>
      <explain/>
      <paraID>2AF5D4DD</paraID>
      <start>56</start>
      <end>60</end>
      <status>unmodified</status>
      <modifiedWord/>
      <trackRevisions>false</trackRevisions>
    </reviewItem>
    <reviewItem>
      <errorID>7a080cc1-a8df-46f2-83ef-abeaa3f76fab</errorID>
      <errorWord>针对性的</errorWord>
      <group>L1_Word</group>
      <groupName>字词问题</groupName>
      <ability>L2_Typo</ability>
      <abilityName>字词错误</abilityName>
      <candidateList>
        <item>针对性</item>
      </candidateList>
      <explain/>
      <paraID>319A9256</paraID>
      <start>48</start>
      <end>52</end>
      <status>unmodified</status>
      <modifiedWord/>
      <trackRevisions>false</trackRevisions>
    </reviewItem>
    <reviewItem>
      <errorID>dbe8ead1-46a0-4796-b402-138a323a4b2c</errorID>
      <errorWord>强的</errorWord>
      <group>L1_Word</group>
      <groupName>字词问题</groupName>
      <ability>L2_Typo</ability>
      <abilityName>字词错误</abilityName>
      <candidateList>
        <item>强</item>
      </candidateList>
      <explain/>
      <paraID>37A7CFA5</paraID>
      <start>52</start>
      <end>54</end>
      <status>unmodified</status>
      <modifiedWord/>
      <trackRevisions>false</trackRevisions>
    </reviewItem>
    <reviewItem>
      <errorID>c2831836-3d8e-4e76-a5c2-ccdb328cf242</errorID>
      <errorWord>得力的</errorWord>
      <group>L1_Word</group>
      <groupName>字词问题</groupName>
      <ability>L2_Typo</ability>
      <abilityName>字词错误</abilityName>
      <candidateList>
        <item>得力</item>
      </candidateList>
      <explain/>
      <paraID>72C9BB0F</paraID>
      <start>47</start>
      <end>50</end>
      <status>unmodified</status>
      <modifiedWord/>
      <trackRevisions>false</trackRevisions>
    </reviewItem>
    <reviewItem>
      <errorID>462820e0-f2da-4072-8416-e362a73c92bf</errorID>
      <errorWord>措施的</errorWord>
      <group>L1_Word</group>
      <groupName>字词问题</groupName>
      <ability>L2_Typo</ability>
      <abilityName>字词错误</abilityName>
      <candidateList>
        <item>措施</item>
      </candidateList>
      <explain/>
      <paraID>2FE3F420</paraID>
      <start>50</start>
      <end>53</end>
      <status>unmodified</status>
      <modifiedWord/>
      <trackRevisions>false</trackRevisions>
    </reviewItem>
    <reviewItem>
      <errorID>b4eb48ac-5636-4a33-9d62-5c988846f41e</errorID>
      <errorWord>措施的</errorWord>
      <group>L1_Word</group>
      <groupName>字词问题</groupName>
      <ability>L2_Typo</ability>
      <abilityName>字词错误</abilityName>
      <candidateList>
        <item>措施</item>
      </candidateList>
      <explain/>
      <paraID>17567607</paraID>
      <start>30</start>
      <end>33</end>
      <status>unmodified</status>
      <modifiedWord/>
      <trackRevisions>false</trackRevisions>
    </reviewItem>
    <reviewItem>
      <errorID>cfbf4bdc-8219-4c3f-a8be-f3080640e7a3</errorID>
      <errorWord>承诺的</errorWord>
      <group>L1_Word</group>
      <groupName>字词问题</groupName>
      <ability>L2_Typo</ability>
      <abilityName>字词错误</abilityName>
      <candidateList>
        <item>承诺</item>
      </candidateList>
      <explain/>
      <paraID>6F5D5E7D</paraID>
      <start>37</start>
      <end>40</end>
      <status>unmodified</status>
      <modifiedWord/>
      <trackRevisions>false</trackRevisions>
    </reviewItem>
    <reviewItem>
      <errorID>d9b0acf8-9391-44a9-832d-67782ece9fba</errorID>
      <errorWord>具体的</errorWord>
      <group>L1_Word</group>
      <groupName>字词问题</groupName>
      <ability>L2_Typo</ability>
      <abilityName>字词错误</abilityName>
      <candidateList>
        <item>具体</item>
      </candidateList>
      <explain/>
      <paraID> 6D7FD2B</paraID>
      <start>39</start>
      <end>42</end>
      <status>unmodified</status>
      <modifiedWord/>
      <trackRevisions>false</trackRevisions>
    </reviewItem>
    <reviewItem>
      <errorID>807ecaf0-8711-4685-843d-c5d68807fd42</errorID>
      <errorWord>0分</errorWord>
      <group>L1_Grammar</group>
      <groupName>语法问题</groupName>
      <ability>L2_Grammar</ability>
      <abilityName>语法错误</abilityName>
      <candidateList>
        <item> 0 分</item>
      </candidateList>
      <explain/>
      <paraID>45CEA59A</paraID>
      <start>12</start>
      <end>14</end>
      <status>unmodified</status>
      <modifiedWord/>
      <trackRevisions>false</trackRevisions>
    </reviewItem>
    <reviewItem>
      <errorID>2cadb645-6ff6-4b9a-883e-e9029f53f3c9</errorID>
      <errorWord>年1月1日</errorWord>
      <group>L1_Grammar</group>
      <groupName>语法问题</groupName>
      <ability>L2_Grammar</ability>
      <abilityName>语法错误</abilityName>
      <candidateList>
        <item> 年 1 月 1 日</item>
      </candidateList>
      <explain/>
      <paraID>4DD011C9</paraID>
      <start>13</start>
      <end>18</end>
      <status>unmodified</status>
      <modifiedWord/>
      <trackRevisions>false</trackRevisions>
    </reviewItem>
    <reviewItem>
      <errorID>3b502d5a-1f2e-42fe-89de-5347e56c709e</errorID>
      <errorWord>）的</errorWord>
      <group>L1_Word</group>
      <groupName>字词问题</groupName>
      <ability>L2_Typo</ability>
      <abilityName>字词错误</abilityName>
      <candidateList>
        <item>）</item>
      </candidateList>
      <explain/>
      <paraID>4DD011C9</paraID>
      <start>33</start>
      <end>35</end>
      <status>unmodified</status>
      <modifiedWord/>
      <trackRevisions>false</trackRevisions>
    </reviewItem>
    <reviewItem>
      <errorID>5d955f40-2dca-46f4-ae37-a50c51b5f711</errorID>
      <errorWord>年1月1日</errorWord>
      <group>L1_Grammar</group>
      <groupName>语法问题</groupName>
      <ability>L2_Grammar</ability>
      <abilityName>语法错误</abilityName>
      <candidateList>
        <item> 年 1 月 1 日</item>
      </candidateList>
      <explain/>
      <paraID>68A9507B</paraID>
      <start>12</start>
      <end>17</end>
      <status>unmodified</status>
      <modifiedWord/>
      <trackRevisions>false</trackRevisions>
    </reviewItem>
    <reviewItem>
      <errorID>7beb13b5-6e5f-4a25-adbc-13c9200dfb22</errorID>
      <errorWord>）的</errorWord>
      <group>L1_Word</group>
      <groupName>字词问题</groupName>
      <ability>L2_Typo</ability>
      <abilityName>字词错误</abilityName>
      <candidateList>
        <item>）</item>
      </candidateList>
      <explain/>
      <paraID>68A9507B</paraID>
      <start>32</start>
      <end>34</end>
      <status>unmodified</status>
      <modifiedWord/>
      <trackRevisions>false</trackRevisions>
    </reviewItem>
    <reviewItem>
      <errorID>559a8050-1e2e-418b-a182-6b1dec72dc0e</errorID>
      <errorWord>包含五大员（</errorWord>
      <group>L1_Grammar</group>
      <groupName>语法问题</groupName>
      <ability>L2_Grammar</ability>
      <abilityName>语法错误</abilityName>
      <candidateList>
        <item>包含</item>
      </candidateList>
      <explain/>
      <paraID>11A180D5</paraID>
      <start>23</start>
      <end>29</end>
      <status>unmodified</status>
      <modifiedWord/>
      <trackRevisions>false</trackRevisions>
    </reviewItem>
    <reviewItem>
      <errorID>40c1634a-4c58-4911-aac9-2be218af45f0</errorID>
      <errorWord>）</errorWord>
      <group>L1_Grammar</group>
      <groupName>语法问题</groupName>
      <ability>L2_Grammar</ability>
      <abilityName>语法错误</abilityName>
      <candidateList>
        <item>五大员，</item>
      </candidateList>
      <explain/>
      <paraID>11A180D5</paraID>
      <start>48</start>
      <end>49</end>
      <status>unmodified</status>
      <modifiedWord/>
      <trackRevisions>false</trackRevisions>
    </reviewItem>
    <reviewItem>
      <errorID>aa8825a4-c6e6-46ce-ac4b-de167d03f75f</errorID>
      <errorWord>5分</errorWord>
      <group>L1_Grammar</group>
      <groupName>语法问题</groupName>
      <ability>L2_Grammar</ability>
      <abilityName>语法错误</abilityName>
      <candidateList>
        <item> 5 分</item>
      </candidateList>
      <explain/>
      <paraID>11A180D5</paraID>
      <start>54</start>
      <end>56</end>
      <status>unmodified</status>
      <modifiedWord/>
      <trackRevisions>false</trackRevisions>
    </reviewItem>
    <reviewItem>
      <errorID>88d876b9-121c-4490-becb-97838e6c6a0d</errorID>
      <errorWord>1分</errorWord>
      <group>L1_Grammar</group>
      <groupName>语法问题</groupName>
      <ability>L2_Grammar</ability>
      <abilityName>语法错误</abilityName>
      <candidateList>
        <item> 1 分</item>
      </candidateList>
      <explain/>
      <paraID>11A180D5</paraID>
      <start>62</start>
      <end>64</end>
      <status>unmodified</status>
      <modifiedWord/>
      <trackRevisions>false</trackRevisions>
    </reviewItem>
    <reviewItem>
      <errorID>af262c50-3719-4bed-9c2d-31f3b8c0ecae</errorID>
      <errorWord>2026年1月</errorWord>
      <group>L1_Grammar</group>
      <groupName>语法问题</groupName>
      <ability>L2_Grammar</ability>
      <abilityName>语法错误</abilityName>
      <candidateList>
        <item> 2026 年 1 月</item>
      </candidateList>
      <explain/>
      <paraID>11A180D5</paraID>
      <start>92</start>
      <end>99</end>
      <status>unmodified</status>
      <modifiedWord/>
      <trackRevisions>false</trackRevisions>
    </reviewItem>
    <reviewItem>
      <errorID>a1b1d37d-a614-4597-9d95-e06e7d2e7e50</errorID>
      <errorWord>承诺函的</errorWord>
      <group>L1_Word</group>
      <groupName>字词问题</groupName>
      <ability>L2_Typo</ability>
      <abilityName>字词错误</abilityName>
      <candidateList>
        <item>承诺函</item>
      </candidateList>
      <explain/>
      <paraID>33A328E2</paraID>
      <start>62</start>
      <end>66</end>
      <status>unmodified</status>
      <modifiedWord/>
      <trackRevisions>false</trackRevisions>
    </reviewItem>
    <reviewItem>
      <errorID>781328ff-7faa-4e14-b482-e499b9043139</errorID>
      <errorWord>1分</errorWord>
      <group>L1_Grammar</group>
      <groupName>语法问题</groupName>
      <ability>L2_Grammar</ability>
      <abilityName>语法错误</abilityName>
      <candidateList>
        <item> 1 分</item>
      </candidateList>
      <explain/>
      <paraID>33A328E2</paraID>
      <start>68</start>
      <end>70</end>
      <status>unmodified</status>
      <modifiedWord/>
      <trackRevisions>false</trackRevisions>
    </reviewItem>
    <reviewItem>
      <errorID>04c27177-6797-480e-93cb-891a2f024c41</errorID>
      <errorWord>提供的</errorWord>
      <group>L1_Word</group>
      <groupName>字词问题</groupName>
      <ability>L2_Typo</ability>
      <abilityName>字词错误</abilityName>
      <candidateList>
        <item>提供</item>
      </candidateList>
      <explain/>
      <paraID>33A328E2</paraID>
      <start>72</start>
      <end>75</end>
      <status>unmodified</status>
      <modifiedWord/>
      <trackRevisions>false</trackRevisions>
    </reviewItem>
    <reviewItem>
      <errorID>2c7a981f-c2b5-437b-9a7a-e4c1fe7f436c</errorID>
      <errorWord>外的</errorWord>
      <group>L1_Word</group>
      <groupName>字词问题</groupName>
      <ability>L2_Typo</ability>
      <abilityName>字词错误</abilityName>
      <candidateList>
        <item>外</item>
      </candidateList>
      <explain/>
      <paraID>2D1F6FA8</paraID>
      <start>9</start>
      <end>11</end>
      <status>unmodified</status>
      <modifiedWord/>
      <trackRevisions>false</trackRevisions>
    </reviewItem>
    <reviewItem>
      <errorID>6cb68921-79b6-4954-9fc1-53d3dd7e0c9e</errorID>
      <errorWord>，无</errorWord>
      <group>L1_Word</group>
      <groupName>字词问题</groupName>
      <ability>L2_Typo</ability>
      <abilityName>字词错误</abilityName>
      <candidateList>
        <item>、</item>
      </candidateList>
      <explain/>
      <paraID>4E76CCD0</paraID>
      <start>34</start>
      <end>36</end>
      <status>unmodified</status>
      <modifiedWord/>
      <trackRevisions>false</trackRevisions>
    </reviewItem>
    <reviewItem>
      <errorID>ae2bc4f0-81de-4fa4-905d-a9aa30ba7dfd</errorID>
      <errorWord>由</errorWord>
      <group>L1_Word</group>
      <groupName>字词问题</groupName>
      <ability>L2_Typo</ability>
      <abilityName>字词错误</abilityName>
      <candidateList>
        <item>以</item>
      </candidateList>
      <explain/>
      <paraID>44503952</paraID>
      <start>95</start>
      <end>96</end>
      <status>unmodified</status>
      <modifiedWord/>
      <trackRevisions>false</trackRevisions>
    </reviewItem>
    <reviewItem>
      <errorID>7d4a89fa-d16f-4df2-a1bf-0303f1f291d1</errorID>
      <errorWord>住房城乡建设部</errorWord>
      <group>L1_Word</group>
      <groupName>字词问题</groupName>
      <ability>L2_Typo</ability>
      <abilityName>字词错误</abilityName>
      <candidateList>
        <item>住房和城乡建设部</item>
      </candidateList>
      <explain/>
      <paraID>37C68452</paraID>
      <start>1</start>
      <end>8</end>
      <status>unmodified</status>
      <modifiedWord/>
      <trackRevisions>false</trackRevisions>
    </reviewItem>
    <reviewItem>
      <errorID>51c95d71-68ae-403b-b148-7f927f19d63c</errorID>
      <errorWord>(</errorWord>
      <group>L1_Format</group>
      <groupName>格式问题</groupName>
      <ability>L2_HalfPunc_CN</ability>
      <abilityName>全半角问题</abilityName>
      <candidateList>
        <item>（</item>
      </candidateList>
      <explain>文本全半角错误。</explain>
      <paraID>142D4A75</paraID>
      <start>3</start>
      <end>4</end>
      <status>unmodified</status>
      <modifiedWord/>
      <trackRevisions>false</trackRevisions>
    </reviewItem>
    <reviewItem>
      <errorID>484b311a-8d81-4bc9-8bad-865092c2bec8</errorID>
      <errorWord>(</errorWord>
      <group>L1_Format</group>
      <groupName>格式问题</groupName>
      <ability>L2_HalfPunc_CN</ability>
      <abilityName>全半角问题</abilityName>
      <candidateList>
        <item>（</item>
      </candidateList>
      <explain>文本全半角错误。</explain>
      <paraID>30DC9C2C</paraID>
      <start>3</start>
      <end>4</end>
      <status>unmodified</status>
      <modifiedWord/>
      <trackRevisions>false</trackRevisions>
    </reviewItem>
    <reviewItem>
      <errorID>ffb6b553-db53-48ea-abeb-b087787973e1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414C83F9</paraID>
      <start>13</start>
      <end>16</end>
      <status>unmodified</status>
      <modifiedWord/>
      <trackRevisions>false</trackRevisions>
    </reviewItem>
    <reviewItem>
      <errorID>4701a515-cdd7-406f-b2cc-4b2b75edcdd7</errorID>
      <errorWord>:</errorWord>
      <group>L1_Format</group>
      <groupName>格式问题</groupName>
      <ability>L2_HalfPunc_CN</ability>
      <abilityName>全半角问题</abilityName>
      <candidateList>
        <item>：</item>
      </candidateList>
      <explain>文本全半角错误。</explain>
      <paraID>38A3671F</paraID>
      <start>6</start>
      <end>7</end>
      <status>unmodified</status>
      <modifiedWord/>
      <trackRevisions>false</trackRevisions>
    </reviewItem>
    <reviewItem>
      <errorID>26a5b043-5fb2-46e2-b39e-b919ad3f51fb</errorID>
      <errorWord>:</errorWord>
      <group>L1_Format</group>
      <groupName>格式问题</groupName>
      <ability>L2_HalfPunc_CN</ability>
      <abilityName>全半角问题</abilityName>
      <candidateList>
        <item>：</item>
      </candidateList>
      <explain>文本全半角错误。</explain>
      <paraID>4C19011C</paraID>
      <start>10</start>
      <end>11</end>
      <status>unmodified</status>
      <modifiedWord/>
      <trackRevisions>false</trackRevisions>
    </reviewItem>
    <reviewItem>
      <errorID>f92f03ef-5be6-4e73-9215-e9b4dc1762aa</errorID>
      <errorWord>:</errorWord>
      <group>L1_Format</group>
      <groupName>格式问题</groupName>
      <ability>L2_HalfPunc_CN</ability>
      <abilityName>全半角问题</abilityName>
      <candidateList>
        <item>：</item>
      </candidateList>
      <explain>文本全半角错误。</explain>
      <paraID>1354B1A2</paraID>
      <start>6</start>
      <end>7</end>
      <status>unmodified</status>
      <modifiedWord/>
      <trackRevisions>false</trackRevisions>
    </reviewItem>
    <reviewItem>
      <errorID>c30826f0-491d-4c9e-81cf-5885b69d24e3</errorID>
      <errorWord>:</errorWord>
      <group>L1_Format</group>
      <groupName>格式问题</groupName>
      <ability>L2_HalfPunc_CN</ability>
      <abilityName>全半角问题</abilityName>
      <candidateList>
        <item>：</item>
      </candidateList>
      <explain>文本全半角错误。</explain>
      <paraID>22632F15</paraID>
      <start>8</start>
      <end>9</end>
      <status>unmodified</status>
      <modifiedWord/>
      <trackRevisions>false</trackRevisions>
    </reviewItem>
    <reviewItem>
      <errorID>41e05356-2edf-4af2-a563-66f9735c9aba</errorID>
      <errorWord>)</errorWord>
      <group>L1_Format</group>
      <groupName>格式问题</groupName>
      <ability>L2_HalfPunc_CN</ability>
      <abilityName>全半角问题</abilityName>
      <candidateList>
        <item>）</item>
      </candidateList>
      <explain>文本全半角错误。</explain>
      <paraID>5F93DA9C</paraID>
      <start>6</start>
      <end>7</end>
      <status>unmodified</status>
      <modifiedWord/>
      <trackRevisions>false</trackRevisions>
    </reviewItem>
    <reviewItem>
      <errorID>5c50ba92-178b-4110-b5f4-548f710fff9f</errorID>
      <errorWord>)</errorWord>
      <group>L1_Format</group>
      <groupName>格式问题</groupName>
      <ability>L2_HalfPunc_CN</ability>
      <abilityName>全半角问题</abilityName>
      <candidateList>
        <item>）</item>
      </candidateList>
      <explain>文本全半角错误。</explain>
      <paraID>5F93DA9C</paraID>
      <start>41</start>
      <end>42</end>
      <status>unmodified</status>
      <modifiedWord/>
      <trackRevisions>false</trackRevisions>
    </reviewItem>
    <reviewItem>
      <errorID>fbd3f9b7-0884-43c3-8a54-f175feca37e9</errorID>
      <errorWord>(</errorWord>
      <group>L1_Format</group>
      <groupName>格式问题</groupName>
      <ability>L2_HalfPunc_CN</ability>
      <abilityName>全半角问题</abilityName>
      <candidateList>
        <item>（</item>
      </candidateList>
      <explain>文本全半角错误。</explain>
      <paraID>5E7BEE4D</paraID>
      <start>3</start>
      <end>4</end>
      <status>unmodified</status>
      <modifiedWord/>
      <trackRevisions>false</trackRevisions>
    </reviewItem>
    <reviewItem>
      <errorID>2e817135-4de4-4f87-9e2d-742bf41f8ca8</errorID>
      <errorWord>)</errorWord>
      <group>L1_Format</group>
      <groupName>格式问题</groupName>
      <ability>L2_HalfPunc_CN</ability>
      <abilityName>全半角问题</abilityName>
      <candidateList>
        <item>）</item>
      </candidateList>
      <explain>文本全半角错误。</explain>
      <paraID>5E7BEE4D</paraID>
      <start>6</start>
      <end>7</end>
      <status>unmodified</status>
      <modifiedWord/>
      <trackRevisions>false</trackRevisions>
    </reviewItem>
    <reviewItem>
      <errorID>00550803-e388-4b64-bdad-b35ec00b2996</errorID>
      <errorWord>)</errorWord>
      <group>L1_Format</group>
      <groupName>格式问题</groupName>
      <ability>L2_HalfPunc_CN</ability>
      <abilityName>全半角问题</abilityName>
      <candidateList>
        <item>）</item>
      </candidateList>
      <explain>文本全半角错误。</explain>
      <paraID>  E1B6D5</paraID>
      <start>6</start>
      <end>7</end>
      <status>unmodified</status>
      <modifiedWord/>
      <trackRevisions>false</trackRevisions>
    </reviewItem>
    <reviewItem>
      <errorID>b859b207-a366-40dc-8e18-734ae6e21487</errorID>
      <errorWord>(</errorWord>
      <group>L1_Format</group>
      <groupName>格式问题</groupName>
      <ability>L2_HalfPunc_CN</ability>
      <abilityName>全半角问题</abilityName>
      <candidateList>
        <item>（</item>
      </candidateList>
      <explain>文本全半角错误。</explain>
      <paraID>30F6D067</paraID>
      <start>3</start>
      <end>4</end>
      <status>unmodified</status>
      <modifiedWord/>
      <trackRevisions>false</trackRevisions>
    </reviewItem>
    <reviewItem>
      <errorID>47f49770-d967-49fb-937c-8bc13b4d403f</errorID>
      <errorWord>:</errorWord>
      <group>L1_Format</group>
      <groupName>格式问题</groupName>
      <ability>L2_HalfPunc_CN</ability>
      <abilityName>全半角问题</abilityName>
      <candidateList>
        <item>：</item>
      </candidateList>
      <explain>文本全半角错误。</explain>
      <paraID>16FC87C8</paraID>
      <start>8</start>
      <end>9</end>
      <status>unmodified</status>
      <modifiedWord/>
      <trackRevisions>false</trackRevisions>
    </reviewItem>
    <reviewItem>
      <errorID>03988e8f-f07a-47ae-baae-7b83db86437f</errorID>
      <errorWord>;</errorWord>
      <group>L1_Format</group>
      <groupName>格式问题</groupName>
      <ability>L2_HalfPunc_CN</ability>
      <abilityName>全半角问题</abilityName>
      <candidateList>
        <item>；</item>
      </candidateList>
      <explain>文本全半角错误。</explain>
      <paraID>396C5D6C</paraID>
      <start>8</start>
      <end>9</end>
      <status>unmodified</status>
      <modifiedWord/>
      <trackRevisions>false</trackRevisions>
    </reviewItem>
    <reviewItem>
      <errorID>f2eaee62-94b6-4c2e-abdc-a46f478c07a7</errorID>
      <errorWord>;</errorWord>
      <group>L1_Format</group>
      <groupName>格式问题</groupName>
      <ability>L2_HalfPunc_CN</ability>
      <abilityName>全半角问题</abilityName>
      <candidateList>
        <item>；</item>
      </candidateList>
      <explain>文本全半角错误。</explain>
      <paraID>54EBE1E3</paraID>
      <start>9</start>
      <end>10</end>
      <status>unmodified</status>
      <modifiedWord/>
      <trackRevisions>false</trackRevisions>
    </reviewItem>
    <reviewItem>
      <errorID>d24a7b6a-7521-4d0b-b214-9ededf2e3112</errorID>
      <errorWord>(</errorWord>
      <group>L1_Format</group>
      <groupName>格式问题</groupName>
      <ability>L2_HalfPunc_CN</ability>
      <abilityName>全半角问题</abilityName>
      <candidateList>
        <item>（</item>
      </candidateList>
      <explain>文本全半角错误。</explain>
      <paraID>5F193B69</paraID>
      <start>6</start>
      <end>7</end>
      <status>unmodified</status>
      <modifiedWord/>
      <trackRevisions>false</trackRevisions>
    </reviewItem>
    <reviewItem>
      <errorID>e76a3c32-5552-4177-82c1-acff33756943</errorID>
      <errorWord>:</errorWord>
      <group>L1_Format</group>
      <groupName>格式问题</groupName>
      <ability>L2_HalfPunc_CN</ability>
      <abilityName>全半角问题</abilityName>
      <candidateList>
        <item>：</item>
      </candidateList>
      <explain>文本全半角错误。</explain>
      <paraID>5E19F27D</paraID>
      <start>25</start>
      <end>26</end>
      <status>unmodified</status>
      <modifiedWord/>
      <trackRevisions>false</trackRevisions>
    </reviewItem>
    <reviewItem>
      <errorID>53df33ca-1463-4362-8478-57494e3a9acc</errorID>
      <errorWord>(</errorWord>
      <group>L1_Format</group>
      <groupName>格式问题</groupName>
      <ability>L2_HalfPunc_CN</ability>
      <abilityName>全半角问题</abilityName>
      <candidateList>
        <item>（</item>
      </candidateList>
      <explain>文本全半角错误。</explain>
      <paraID>52CBCCFD</paraID>
      <start>0</start>
      <end>1</end>
      <status>unmodified</status>
      <modifiedWord/>
      <trackRevisions>false</trackRevisions>
    </reviewItem>
    <reviewItem>
      <errorID>a6ac56f9-6853-40f1-8996-09c7a15093bd</errorID>
      <errorWord>)</errorWord>
      <group>L1_Format</group>
      <groupName>格式问题</groupName>
      <ability>L2_HalfPunc_CN</ability>
      <abilityName>全半角问题</abilityName>
      <candidateList>
        <item>）</item>
      </candidateList>
      <explain>文本全半角错误。</explain>
      <paraID>52CBCCFD</paraID>
      <start>3</start>
      <end>4</end>
      <status>unmodified</status>
      <modifiedWord/>
      <trackRevisions>false</trackRevisions>
    </reviewItem>
    <reviewItem>
      <errorID>11cb4169-87c1-4d42-96b1-87756c8211e2</errorID>
      <errorWord>:</errorWord>
      <group>L1_Format</group>
      <groupName>格式问题</groupName>
      <ability>L2_HalfPunc_CN</ability>
      <abilityName>全半角问题</abilityName>
      <candidateList>
        <item>：</item>
      </candidateList>
      <explain>文本全半角错误。</explain>
      <paraID>5422FF34</paraID>
      <start>4</start>
      <end>5</end>
      <status>unmodified</status>
      <modifiedWord/>
      <trackRevisions>false</trackRevisions>
    </reviewItem>
    <reviewItem>
      <errorID>47cd1255-ad13-414c-a1e4-7ff41ed1abe4</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2886E53D</paraID>
      <start>127</start>
      <end>129</end>
      <status>unmodified</status>
      <modifiedWord/>
      <trackRevisions>false</trackRevisions>
    </reviewItem>
    <reviewItem>
      <errorID>b3691fa2-a46c-44a9-97c9-40826cd36fc8</errorID>
      <errorWord>送达至</errorWord>
      <group>L1_Word</group>
      <groupName>字词问题</groupName>
      <ability>L2_Typo</ability>
      <abilityName>字词错误</abilityName>
      <candidateList>
        <item>送达</item>
      </candidateList>
      <explain/>
      <paraID>627715D1</paraID>
      <start>22</start>
      <end>25</end>
      <status>unmodified</status>
      <modifiedWord/>
      <trackRevisions>false</trackRevisions>
    </reviewItem>
    <reviewItem>
      <errorID>d3203f2b-5de6-47e6-998a-391866426450</errorID>
      <errorWord>涵义</errorWord>
      <group>L1_Word</group>
      <groupName>字词问题</groupName>
      <ability>L2_Alias</ability>
      <abilityName>也作/曾用词</abilityName>
      <candidateList>
        <item>含义</item>
      </candidateList>
      <explain>词汇[涵义]为不规范表述或旧称，其规范书面表述为[含义]。</explain>
      <paraID> C3AC210</paraID>
      <start>31</start>
      <end>33</end>
      <status>unmodified</status>
      <modifiedWord/>
      <trackRevisions>false</trackRevisions>
    </reviewItem>
    <reviewItem>
      <errorID>dcb89251-4edc-47c9-82dd-37a4d66df0c1</errorID>
      <errorWord>涵义</errorWord>
      <group>L1_Word</group>
      <groupName>字词问题</groupName>
      <ability>L2_Alias</ability>
      <abilityName>也作/曾用词</abilityName>
      <candidateList>
        <item>含义</item>
      </candidateList>
      <explain>词汇[涵义]为不规范表述或旧称，其规范书面表述为[含义]。</explain>
      <paraID> C3AC210</paraID>
      <start>77</start>
      <end>79</end>
      <status>unmodified</status>
      <modifiedWord/>
      <trackRevisions>false</trackRevisions>
    </reviewItem>
    <reviewItem>
      <errorID>858b477d-e971-4a0c-8bfc-9b86c53aaab8</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485DEB24</paraID>
      <start>28</start>
      <end>35</end>
      <status>unmodified</status>
      <modifiedWord/>
      <trackRevisions>false</trackRevisions>
    </reviewItem>
    <reviewItem>
      <errorID>0bd8f9a2-2361-4eb0-894e-a05464324d6b</errorID>
      <errorWord>做出</errorWord>
      <group>L1_Word</group>
      <groupName>字词问题</groupName>
      <ability>L2_Typo</ability>
      <abilityName>字词错误</abilityName>
      <candidateList>
        <item>作出</item>
      </candidateList>
      <explain/>
      <paraID>3CE8A246</paraID>
      <start>63</start>
      <end>65</end>
      <status>unmodified</status>
      <modifiedWord/>
      <trackRevisions>false</trackRevisions>
    </reviewItem>
    <reviewItem>
      <errorID>571a1423-63f4-4da3-9619-ce670bf911e0</errorID>
      <errorWord>作</errorWord>
      <group>L1_Word</group>
      <groupName>字词问题</groupName>
      <ability>L2_Typo</ability>
      <abilityName>字词错误</abilityName>
      <candidateList>
        <item>做</item>
      </candidateList>
      <explain>存在发音相同字词的误用。</explain>
      <paraID>2E9934FF</paraID>
      <start>56</start>
      <end>57</end>
      <status>unmodified</status>
      <modifiedWord/>
      <trackRevisions>false</trackRevisions>
    </reviewItem>
    <reviewItem>
      <errorID>d4ea0751-5a55-40b7-9b4b-14a6116ff310</errorID>
      <errorWord>察看</errorWord>
      <group>L1_Word</group>
      <groupName>字词问题</groupName>
      <ability>L2_Typo</ability>
      <abilityName>字词错误</abilityName>
      <candidateList>
        <item>查看</item>
      </candidateList>
      <explain>〈动〉检查、观察（事物的情况）：～灾情｜亲自到现场～。</explain>
      <paraID>65C84696</paraID>
      <start>96</start>
      <end>98</end>
      <status>unmodified</status>
      <modifiedWord/>
      <trackRevisions>false</trackRevisions>
    </reviewItem>
    <reviewItem>
      <errorID>cbe62507-7057-4fe2-b7d3-a6525f974814</errorID>
      <errorWord>作</errorWord>
      <group>L1_Word</group>
      <groupName>字词问题</groupName>
      <ability>L2_Typo</ability>
      <abilityName>字词错误</abilityName>
      <candidateList>
        <item>做</item>
      </candidateList>
      <explain>存在发音相同字词的误用。</explain>
      <paraID> 66BDDD3</paraID>
      <start>124</start>
      <end>125</end>
      <status>unmodified</status>
      <modifiedWord/>
      <trackRevisions>false</trackRevisions>
    </reviewItem>
    <reviewItem>
      <errorID>488ca67e-d4ff-49b6-a646-2c8383e2196d</errorID>
      <errorWord>，</errorWord>
      <group>L1_Word</group>
      <groupName>字词问题</groupName>
      <ability>L2_Typo</ability>
      <abilityName>字词错误</abilityName>
      <candidateList>
        <item>，在</item>
      </candidateList>
      <explain/>
      <paraID> 368CCCD</paraID>
      <start>28</start>
      <end>29</end>
      <status>unmodified</status>
      <modifiedWord/>
      <trackRevisions>false</trackRevisions>
    </reviewItem>
    <reviewItem>
      <errorID>a18a6c78-5ba8-44ce-bfde-603a07888d5b</errorID>
      <errorWord>，</errorWord>
      <group>L1_Word</group>
      <groupName>字词问题</groupName>
      <ability>L2_Typo</ability>
      <abilityName>字词错误</abilityName>
      <candidateList>
        <item>，以</item>
      </candidateList>
      <explain/>
      <paraID>638F079E</paraID>
      <start>23</start>
      <end>24</end>
      <status>unmodified</status>
      <modifiedWord/>
      <trackRevisions>false</trackRevisions>
    </reviewItem>
    <reviewItem>
      <errorID>f963553b-a604-429d-a96e-8032659eaa57</errorID>
      <errorWord>噪音</errorWord>
      <group>L1_Word</group>
      <groupName>字词问题</groupName>
      <ability>L2_Alias</ability>
      <abilityName>也作/曾用词</abilityName>
      <candidateList>
        <item>噪声</item>
      </candidateList>
      <explain>词汇[噪音]为不规范表述或旧称，其规范书面表述为[噪声]。</explain>
      <paraID>6E758B8D</paraID>
      <start>69</start>
      <end>71</end>
      <status>unmodified</status>
      <modifiedWord/>
      <trackRevisions>false</trackRevisions>
    </reviewItem>
    <reviewItem>
      <errorID>4ca2ad1b-5116-4179-b6d1-29f2003a6707</errorID>
      <errorWord>天</errorWord>
      <group>L1_Word</group>
      <groupName>字词问题</groupName>
      <ability>L2_Typo</ability>
      <abilityName>字词错误</abilityName>
      <candidateList>
        <item>天内</item>
      </candidateList>
      <explain/>
      <paraID>28AC26C5</paraID>
      <start>67</start>
      <end>68</end>
      <status>unmodified</status>
      <modifiedWord/>
      <trackRevisions>false</trackRevisions>
    </reviewItem>
    <reviewItem>
      <errorID>d4d4888f-40e4-4a07-b29c-5b88226c67ed</errorID>
      <errorWord>任何的</errorWord>
      <group>L1_Word</group>
      <groupName>字词问题</groupName>
      <ability>L2_Typo</ability>
      <abilityName>字词错误</abilityName>
      <candidateList>
        <item>任何</item>
      </candidateList>
      <explain>〈代〉指示代词。不论什么：～人都要遵纪守法｜我们能够战胜～困难。</explain>
      <paraID>1A834196</paraID>
      <start>65</start>
      <end>68</end>
      <status>unmodified</status>
      <modifiedWord/>
      <trackRevisions>false</trackRevisions>
    </reviewItem>
    <reviewItem>
      <errorID>b23eb03d-d588-4b2a-a8c5-7f8bd02e5da3</errorID>
      <errorWord>运入</errorWord>
      <group>L1_Word</group>
      <groupName>字词问题</groupName>
      <ability>L2_Typo</ability>
      <abilityName>字词错误</abilityName>
      <candidateList>
        <item>进入</item>
      </candidateList>
      <explain>〈动〉支进到某个范围或某个时期里：～学校｜～新阶段◇～角色。</explain>
      <paraID>41EEECF2</paraID>
      <start>3</start>
      <end>5</end>
      <status>unmodified</status>
      <modifiedWord/>
      <trackRevisions>false</trackRevisions>
    </reviewItem>
    <reviewItem>
      <errorID>742a74c6-6360-47a8-a06d-3595423aed68</errorID>
      <errorWord>;</errorWord>
      <group>L1_Format</group>
      <groupName>格式问题</groupName>
      <ability>L2_HalfPunc_CN</ability>
      <abilityName>全半角问题</abilityName>
      <candidateList>
        <item>；</item>
      </candidateList>
      <explain>文本全半角错误。</explain>
      <paraID>6F683F86</paraID>
      <start>63</start>
      <end>64</end>
      <status>unmodified</status>
      <modifiedWord/>
      <trackRevisions>false</trackRevisions>
    </reviewItem>
    <reviewItem>
      <errorID>bf70cc91-3b7b-4d19-ba41-89b9c84d5223</errorID>
      <errorWord>款</errorWord>
      <group>L1_Word</group>
      <groupName>字词问题</groupName>
      <ability>L2_Typo</ability>
      <abilityName>字词错误</abilityName>
      <candidateList>
        <item>款中</item>
      </candidateList>
      <explain/>
      <paraID>524950D9</paraID>
      <start>62</start>
      <end>63</end>
      <status>unmodified</status>
      <modifiedWord/>
      <trackRevisions>false</trackRevisions>
    </reviewItem>
    <reviewItem>
      <errorID>5300b9c3-23e0-4131-9ccf-7a226b01109b</errorID>
      <errorWord>:</errorWord>
      <group>L1_Format</group>
      <groupName>格式问题</groupName>
      <ability>L2_HalfPunc_CN</ability>
      <abilityName>全半角问题</abilityName>
      <candidateList>
        <item>：</item>
      </candidateList>
      <explain>文本全半角错误。</explain>
      <paraID>3714B1BF</paraID>
      <start>43</start>
      <end>44</end>
      <status>unmodified</status>
      <modifiedWord/>
      <trackRevisions>false</trackRevisions>
    </reviewItem>
    <reviewItem>
      <errorID>0a833b6e-a500-4d36-8316-286154a90d8d</errorID>
      <errorWord>其它</errorWord>
      <group>L1_Word</group>
      <groupName>字词问题</groupName>
      <ability>L2_Alias</ability>
      <abilityName>也作/曾用词</abilityName>
      <candidateList>
        <item>其他</item>
      </candidateList>
      <explain>词汇[其它]为不规范表述或旧称，其规范书面表述为[其他]。</explain>
      <paraID>77645C19</paraID>
      <start>2</start>
      <end>4</end>
      <status>unmodified</status>
      <modifiedWord/>
      <trackRevisions>false</trackRevisions>
    </reviewItem>
    <reviewItem>
      <errorID>433bd5a6-3c81-4fec-b7ad-dd8efc6ed455</errorID>
      <errorWord>）</errorWord>
      <group>L1_Word</group>
      <groupName>字词问题</groupName>
      <ability>L2_Typo</ability>
      <abilityName>字词错误</abilityName>
      <candidateList>
        <item>）项</item>
      </candidateList>
      <explain/>
      <paraID>650C4A55</paraID>
      <start>44</start>
      <end>45</end>
      <status>unmodified</status>
      <modifiedWord/>
      <trackRevisions>false</trackRevisions>
    </reviewItem>
    <reviewItem>
      <errorID>9b5e1810-8918-4943-811e-c6321086c752</errorID>
      <errorWord>）施工现场内</errorWord>
      <group>L1_Word</group>
      <groupName>字词问题</groupName>
      <ability>L2_Typo</ability>
      <abilityName>字词错误</abilityName>
      <candidateList>
        <item>）施工现场</item>
      </candidateList>
      <explain/>
      <paraID>6C1268D7</paraID>
      <start>2</start>
      <end>8</end>
      <status>unmodified</status>
      <modifiedWord/>
      <trackRevisions>false</trackRevisions>
    </reviewItem>
    <reviewItem>
      <errorID>12ae7e10-f35a-41fd-8b02-d2f1ad252af6</errorID>
      <errorWord>款</errorWord>
      <group>L1_Word</group>
      <groupName>字词问题</groupName>
      <ability>L2_Typo</ability>
      <abilityName>字词错误</abilityName>
      <candidateList>
        <item>款中</item>
      </candidateList>
      <explain/>
      <paraID>7CEA870A</paraID>
      <start>39</start>
      <end>40</end>
      <status>unmodified</status>
      <modifiedWord/>
      <trackRevisions>false</trackRevisions>
    </reviewItem>
    <reviewItem>
      <errorID>66e00269-9424-4747-a34a-f147c7277e36</errorID>
      <errorWord>限</errorWord>
      <group>L1_Word</group>
      <groupName>字词问题</groupName>
      <ability>L2_Typo</ability>
      <abilityName>字词错误</abilityName>
      <candidateList>
        <item>限内</item>
      </candidateList>
      <explain/>
      <paraID>55563ABD</paraID>
      <start>24</start>
      <end>25</end>
      <status>unmodified</status>
      <modifiedWord/>
      <trackRevisions>false</trackRevisions>
    </reviewItem>
    <reviewItem>
      <errorID>e569c913-7feb-46b9-903e-4be679d25205</errorID>
      <errorWord>款</errorWord>
      <group>L1_Word</group>
      <groupName>字词问题</groupName>
      <ability>L2_Typo</ability>
      <abilityName>字词错误</abilityName>
      <candidateList>
        <item>款中</item>
      </candidateList>
      <explain/>
      <paraID>5C105CB7</paraID>
      <start>181</start>
      <end>182</end>
      <status>unmodified</status>
      <modifiedWord/>
      <trackRevisions>false</trackRevisions>
    </reviewItem>
    <reviewItem>
      <errorID>fd28f653-aeb5-425a-9404-829247313ade</errorID>
      <errorWord>地方法规</errorWord>
      <group>L1_Political</group>
      <groupName>政治性问题</groupName>
      <ability>L2_Unpolitical</ability>
      <abilityName>政治敏感错误</abilityName>
      <candidateList>
        <item>地方性法规</item>
      </candidateList>
      <explain/>
      <paraID>6311E524</paraID>
      <start>39</start>
      <end>43</end>
      <status>unmodified</status>
      <modifiedWord/>
      <trackRevisions>false</trackRevisions>
    </reviewItem>
    <reviewItem>
      <errorID>b70b8d3e-cdec-4162-8428-030f5c99435b</errorID>
      <errorWord>:</errorWord>
      <group>L1_Format</group>
      <groupName>格式问题</groupName>
      <ability>L2_HalfPunc_CN</ability>
      <abilityName>全半角问题</abilityName>
      <candidateList>
        <item>：</item>
      </candidateList>
      <explain>文本全半角错误。</explain>
      <paraID>28EA63BC</paraID>
      <start>26</start>
      <end>27</end>
      <status>unmodified</status>
      <modifiedWord/>
      <trackRevisions>false</trackRevisions>
    </reviewItem>
    <reviewItem>
      <errorID>0386a81f-146e-4b05-97ba-caee1b1c33ef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6F84C0BE</paraID>
      <start>0</start>
      <end>3</end>
      <status>unmodified</status>
      <modifiedWord/>
      <trackRevisions>false</trackRevisions>
    </reviewItem>
    <reviewItem>
      <errorID>d2225b82-918c-4cdc-ba7c-0acc9a693add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1D96C7EE</paraID>
      <start>0</start>
      <end>3</end>
      <status>unmodified</status>
      <modifiedWord/>
      <trackRevisions>false</trackRevisions>
    </reviewItem>
    <reviewItem>
      <errorID>f215b35a-7177-4210-b201-c2cf7d69d1a5</errorID>
      <errorWord>;</errorWord>
      <group>L1_Format</group>
      <groupName>格式问题</groupName>
      <ability>L2_HalfPunc_CN</ability>
      <abilityName>全半角问题</abilityName>
      <candidateList>
        <item>；</item>
      </candidateList>
      <explain>文本全半角错误。</explain>
      <paraID>1D96C7EE</paraID>
      <start>8</start>
      <end>9</end>
      <status>unmodified</status>
      <modifiedWord/>
      <trackRevisions>false</trackRevisions>
    </reviewItem>
    <reviewItem>
      <errorID>e8d21466-bf07-4ea2-882d-6fbc97169430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7CC07B0E</paraID>
      <start>0</start>
      <end>3</end>
      <status>unmodified</status>
      <modifiedWord/>
      <trackRevisions>false</trackRevisions>
    </reviewItem>
    <reviewItem>
      <errorID>e066273d-f4f7-47f3-9ffa-9708208e5c87</errorID>
      <errorWord>(</errorWord>
      <group>L1_Format</group>
      <groupName>格式问题</groupName>
      <ability>L2_HalfPunc_CN</ability>
      <abilityName>全半角问题</abilityName>
      <candidateList>
        <item>（</item>
      </candidateList>
      <explain>文本全半角错误。</explain>
      <paraID>7CC07B0E</paraID>
      <start>7</start>
      <end>8</end>
      <status>unmodified</status>
      <modifiedWord/>
      <trackRevisions>false</trackRevisions>
    </reviewItem>
    <reviewItem>
      <errorID>6e39875b-ef60-45bb-84e1-60551a9e9711</errorID>
      <errorWord>)</errorWord>
      <group>L1_Format</group>
      <groupName>格式问题</groupName>
      <ability>L2_HalfPunc_CN</ability>
      <abilityName>全半角问题</abilityName>
      <candidateList>
        <item>）</item>
      </candidateList>
      <explain>文本全半角错误。</explain>
      <paraID>7CC07B0E</paraID>
      <start>16</start>
      <end>17</end>
      <status>unmodified</status>
      <modifiedWord/>
      <trackRevisions>false</trackRevisions>
    </reviewItem>
    <reviewItem>
      <errorID>fbcd34b3-33c7-4201-9401-4c54885721d6</errorID>
      <errorWord>;</errorWord>
      <group>L1_Format</group>
      <groupName>格式问题</groupName>
      <ability>L2_HalfPunc_CN</ability>
      <abilityName>全半角问题</abilityName>
      <candidateList>
        <item>；</item>
      </candidateList>
      <explain>文本全半角错误。</explain>
      <paraID>7CC07B0E</paraID>
      <start>24</start>
      <end>25</end>
      <status>unmodified</status>
      <modifiedWord/>
      <trackRevisions>false</trackRevisions>
    </reviewItem>
    <reviewItem>
      <errorID>583b672e-e630-4f98-8100-b1dbb0205b43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70BD84F2</paraID>
      <start>0</start>
      <end>3</end>
      <status>unmodified</status>
      <modifiedWord/>
      <trackRevisions>false</trackRevisions>
    </reviewItem>
    <reviewItem>
      <errorID>2a228879-6027-4efc-afaf-7673bd1545ab</errorID>
      <errorWord>;</errorWord>
      <group>L1_Format</group>
      <groupName>格式问题</groupName>
      <ability>L2_HalfPunc_CN</ability>
      <abilityName>全半角问题</abilityName>
      <candidateList>
        <item>；</item>
      </candidateList>
      <explain>文本全半角错误。</explain>
      <paraID>70BD84F2</paraID>
      <start>16</start>
      <end>17</end>
      <status>unmodified</status>
      <modifiedWord/>
      <trackRevisions>false</trackRevisions>
    </reviewItem>
    <reviewItem>
      <errorID>fab64e14-01f4-4202-8ceb-b3d2499cea04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7EA3EC6A</paraID>
      <start>0</start>
      <end>3</end>
      <status>unmodified</status>
      <modifiedWord/>
      <trackRevisions>false</trackRevisions>
    </reviewItem>
    <reviewItem>
      <errorID>b6a80cf2-9e7d-4ad5-898a-29604ddeb2d1</errorID>
      <errorWord>;</errorWord>
      <group>L1_Format</group>
      <groupName>格式问题</groupName>
      <ability>L2_HalfPunc_CN</ability>
      <abilityName>全半角问题</abilityName>
      <candidateList>
        <item>；</item>
      </candidateList>
      <explain>文本全半角错误。</explain>
      <paraID>7EA3EC6A</paraID>
      <start>13</start>
      <end>14</end>
      <status>unmodified</status>
      <modifiedWord/>
      <trackRevisions>false</trackRevisions>
    </reviewItem>
    <reviewItem>
      <errorID>1ad722fd-91fb-4c0c-aa39-c4330e80746e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32ED1644</paraID>
      <start>0</start>
      <end>3</end>
      <status>unmodified</status>
      <modifiedWord/>
      <trackRevisions>false</trackRevisions>
    </reviewItem>
    <reviewItem>
      <errorID>513cecf7-0da8-41de-8964-7c437e64f58d</errorID>
      <errorWord>;</errorWord>
      <group>L1_Format</group>
      <groupName>格式问题</groupName>
      <ability>L2_HalfPunc_CN</ability>
      <abilityName>全半角问题</abilityName>
      <candidateList>
        <item>；</item>
      </candidateList>
      <explain>文本全半角错误。</explain>
      <paraID>32ED1644</paraID>
      <start>9</start>
      <end>10</end>
      <status>unmodified</status>
      <modifiedWord/>
      <trackRevisions>false</trackRevisions>
    </reviewItem>
    <reviewItem>
      <errorID>a1f5fdc9-3897-47b5-82cb-21f784c01efe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6D97153C</paraID>
      <start>0</start>
      <end>3</end>
      <status>unmodified</status>
      <modifiedWord/>
      <trackRevisions>false</trackRevisions>
    </reviewItem>
    <reviewItem>
      <errorID>0eec2ebc-cc20-4933-9c35-f9d39063323d</errorID>
      <errorWord>:</errorWord>
      <group>L1_Format</group>
      <groupName>格式问题</groupName>
      <ability>L2_HalfPunc_CN</ability>
      <abilityName>全半角问题</abilityName>
      <candidateList>
        <item>：</item>
      </candidateList>
      <explain>文本全半角错误。</explain>
      <paraID>6D97153C</paraID>
      <start>10</start>
      <end>11</end>
      <status>unmodified</status>
      <modifiedWord/>
      <trackRevisions>false</trackRevisions>
    </reviewItem>
    <reviewItem>
      <errorID>ea7c706f-a0ee-434f-b25e-7377ce7b38a9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18A36C02</paraID>
      <start>0</start>
      <end>3</end>
      <status>unmodified</status>
      <modifiedWord/>
      <trackRevisions>false</trackRevisions>
    </reviewItem>
    <reviewItem>
      <errorID>6114a31f-88fc-4f9a-b8d8-e0c5ea02f71a</errorID>
      <errorWord>;</errorWord>
      <group>L1_Format</group>
      <groupName>格式问题</groupName>
      <ability>L2_HalfPunc_CN</ability>
      <abilityName>全半角问题</abilityName>
      <candidateList>
        <item>；</item>
      </candidateList>
      <explain>文本全半角错误。</explain>
      <paraID>18A36C02</paraID>
      <start>10</start>
      <end>11</end>
      <status>unmodified</status>
      <modifiedWord/>
      <trackRevisions>false</trackRevisions>
    </reviewItem>
    <reviewItem>
      <errorID>07dcf778-ebf4-40e1-ac70-2e13b9b6e075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3237F305</paraID>
      <start>0</start>
      <end>3</end>
      <status>unmodified</status>
      <modifiedWord/>
      <trackRevisions>false</trackRevisions>
    </reviewItem>
    <reviewItem>
      <errorID>be459e59-29d8-479f-a78f-e1fcaa41ee91</errorID>
      <errorWord>;</errorWord>
      <group>L1_Format</group>
      <groupName>格式问题</groupName>
      <ability>L2_HalfPunc_CN</ability>
      <abilityName>全半角问题</abilityName>
      <candidateList>
        <item>；</item>
      </candidateList>
      <explain>文本全半角错误。</explain>
      <paraID>3237F305</paraID>
      <start>16</start>
      <end>17</end>
      <status>unmodified</status>
      <modifiedWord/>
      <trackRevisions>false</trackRevisions>
    </reviewItem>
    <reviewItem>
      <errorID>4ba6c779-a65a-44bc-9006-d116346298a9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5F6C11AD</paraID>
      <start>0</start>
      <end>4</end>
      <status>unmodified</status>
      <modifiedWord/>
      <trackRevisions>false</trackRevisions>
    </reviewItem>
    <reviewItem>
      <errorID>23d1d472-a413-4f62-bcd1-184ec7cdf559</errorID>
      <errorWord>;</errorWord>
      <group>L1_Format</group>
      <groupName>格式问题</groupName>
      <ability>L2_HalfPunc_CN</ability>
      <abilityName>全半角问题</abilityName>
      <candidateList>
        <item>；</item>
      </candidateList>
      <explain>文本全半角错误。</explain>
      <paraID>5B2E6FDE</paraID>
      <start>34</start>
      <end>35</end>
      <status>unmodified</status>
      <modifiedWord/>
      <trackRevisions>false</trackRevisions>
    </reviewItem>
    <reviewItem>
      <errorID>3e94a550-fc87-499f-b546-457e12e0010a</errorID>
      <errorWord>;</errorWord>
      <group>L1_Format</group>
      <groupName>格式问题</groupName>
      <ability>L2_HalfPunc_CN</ability>
      <abilityName>全半角问题</abilityName>
      <candidateList>
        <item>；</item>
      </candidateList>
      <explain>文本全半角错误。</explain>
      <paraID>5B2E6FDE</paraID>
      <start>47</start>
      <end>48</end>
      <status>unmodified</status>
      <modifiedWord/>
      <trackRevisions>false</trackRevisions>
    </reviewItem>
    <reviewItem>
      <errorID>05ca0a0b-345c-4dc7-a6db-7ed72c5a4bc3</errorID>
      <errorWord>;</errorWord>
      <group>L1_Format</group>
      <groupName>格式问题</groupName>
      <ability>L2_HalfPunc_CN</ability>
      <abilityName>全半角问题</abilityName>
      <candidateList>
        <item>；</item>
      </candidateList>
      <explain>文本全半角错误。</explain>
      <paraID>5B2E6FDE</paraID>
      <start>58</start>
      <end>59</end>
      <status>unmodified</status>
      <modifiedWord/>
      <trackRevisions>false</trackRevisions>
    </reviewItem>
    <reviewItem>
      <errorID>e1cb3f01-0ad0-4a85-afcc-923f0a36dd34</errorID>
      <errorWord>:</errorWord>
      <group>L1_Format</group>
      <groupName>格式问题</groupName>
      <ability>L2_HalfPunc_CN</ability>
      <abilityName>全半角问题</abilityName>
      <candidateList>
        <item>：</item>
      </candidateList>
      <explain>文本全半角错误。</explain>
      <paraID>1741C92B</paraID>
      <start>15</start>
      <end>16</end>
      <status>unmodified</status>
      <modifiedWord/>
      <trackRevisions>false</trackRevisions>
    </reviewItem>
    <reviewItem>
      <errorID>b3f286b2-4f20-45de-8a51-21ef2ace4ca7</errorID>
      <errorWord>:</errorWord>
      <group>L1_Format</group>
      <groupName>格式问题</groupName>
      <ability>L2_HalfPunc_CN</ability>
      <abilityName>全半角问题</abilityName>
      <candidateList>
        <item>：</item>
      </candidateList>
      <explain>文本全半角错误。</explain>
      <paraID>68D22549</paraID>
      <start>28</start>
      <end>29</end>
      <status>unmodified</status>
      <modifiedWord/>
      <trackRevisions>false</trackRevisions>
    </reviewItem>
    <reviewItem>
      <errorID>e1a17ee7-1d9f-481e-9b33-caad9a8086e2</errorID>
      <errorWord>:</errorWord>
      <group>L1_Format</group>
      <groupName>格式问题</groupName>
      <ability>L2_HalfPunc_CN</ability>
      <abilityName>全半角问题</abilityName>
      <candidateList>
        <item>：</item>
      </candidateList>
      <explain>文本全半角错误。</explain>
      <paraID>5926DCCE</paraID>
      <start>16</start>
      <end>17</end>
      <status>unmodified</status>
      <modifiedWord/>
      <trackRevisions>false</trackRevisions>
    </reviewItem>
    <reviewItem>
      <errorID>2bf4a8bf-af4c-4459-8587-d08491a6f098</errorID>
      <errorWord>(</errorWord>
      <group>L1_Format</group>
      <groupName>格式问题</groupName>
      <ability>L2_HalfPunc_CN</ability>
      <abilityName>全半角问题</abilityName>
      <candidateList>
        <item>（</item>
      </candidateList>
      <explain>文本全半角错误。</explain>
      <paraID>4F0A0CDC</paraID>
      <start>42</start>
      <end>43</end>
      <status>unmodified</status>
      <modifiedWord/>
      <trackRevisions>false</trackRevisions>
    </reviewItem>
    <reviewItem>
      <errorID>72cc7802-0d91-4d12-8b9b-06b1352d7c6d</errorID>
      <errorWord>)</errorWord>
      <group>L1_Format</group>
      <groupName>格式问题</groupName>
      <ability>L2_HalfPunc_CN</ability>
      <abilityName>全半角问题</abilityName>
      <candidateList>
        <item>）</item>
      </candidateList>
      <explain>文本全半角错误。</explain>
      <paraID>4F0A0CDC</paraID>
      <start>64</start>
      <end>65</end>
      <status>unmodified</status>
      <modifiedWord/>
      <trackRevisions>false</trackRevisions>
    </reviewItem>
    <reviewItem>
      <errorID>5143b360-8fa0-4f71-a537-e92f7562d9b0</errorID>
      <errorWord>:</errorWord>
      <group>L1_Format</group>
      <groupName>格式问题</groupName>
      <ability>L2_HalfPunc_CN</ability>
      <abilityName>全半角问题</abilityName>
      <candidateList>
        <item>：</item>
      </candidateList>
      <explain>文本全半角错误。</explain>
      <paraID>63189434</paraID>
      <start>14</start>
      <end>15</end>
      <status>unmodified</status>
      <modifiedWord/>
      <trackRevisions>false</trackRevisions>
    </reviewItem>
    <reviewItem>
      <errorID>90da07ec-4602-4b7f-9b27-187537dc0117</errorID>
      <errorWord>:</errorWord>
      <group>L1_Format</group>
      <groupName>格式问题</groupName>
      <ability>L2_HalfPunc_CN</ability>
      <abilityName>全半角问题</abilityName>
      <candidateList>
        <item>：</item>
      </candidateList>
      <explain>文本全半角错误。</explain>
      <paraID> 9D0A19A</paraID>
      <start>13</start>
      <end>14</end>
      <status>unmodified</status>
      <modifiedWord/>
      <trackRevisions>false</trackRevisions>
    </reviewItem>
    <reviewItem>
      <errorID>298fcd53-91d3-4e24-a651-3bdafbe23d28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9D0A19A</paraID>
      <start>46</start>
      <end>49</end>
      <status>unmodified</status>
      <modifiedWord/>
      <trackRevisions>false</trackRevisions>
    </reviewItem>
    <reviewItem>
      <errorID>5d65011b-192e-46ba-b9ea-897ccb1a8586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9D0A19A</paraID>
      <start>62</start>
      <end>65</end>
      <status>unmodified</status>
      <modifiedWord/>
      <trackRevisions>false</trackRevisions>
    </reviewItem>
    <reviewItem>
      <errorID>bc48efd7-732b-42db-ae88-c5f3511da0b5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3CE3FE5A</paraID>
      <start>133</start>
      <end>134</end>
      <status>unmodified</status>
      <modifiedWord/>
      <trackRevisions>false</trackRevisions>
    </reviewItem>
    <reviewItem>
      <errorID>e694b75e-78fb-4ed7-a619-413a9fb69f42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33FE6A31</paraID>
      <start>0</start>
      <end>4</end>
      <status>unmodified</status>
      <modifiedWord/>
      <trackRevisions>false</trackRevisions>
    </reviewItem>
    <reviewItem>
      <errorID>132a7c84-48a8-4983-8135-00ee1140d955</errorID>
      <errorWord>:</errorWord>
      <group>L1_Format</group>
      <groupName>格式问题</groupName>
      <ability>L2_HalfPunc_CN</ability>
      <abilityName>全半角问题</abilityName>
      <candidateList>
        <item>：</item>
      </candidateList>
      <explain>文本全半角错误。</explain>
      <paraID>33FE6A31</paraID>
      <start>23</start>
      <end>24</end>
      <status>unmodified</status>
      <modifiedWord/>
      <trackRevisions>false</trackRevisions>
    </reviewItem>
    <reviewItem>
      <errorID>2e835af6-5ea4-406e-8b1c-fa528ff68a21</errorID>
      <errorWord>:</errorWord>
      <group>L1_Format</group>
      <groupName>格式问题</groupName>
      <ability>L2_HalfPunc_CN</ability>
      <abilityName>全半角问题</abilityName>
      <candidateList>
        <item>：</item>
      </candidateList>
      <explain>文本全半角错误。</explain>
      <paraID>274D03E6</paraID>
      <start>165</start>
      <end>166</end>
      <status>unmodified</status>
      <modifiedWord/>
      <trackRevisions>false</trackRevisions>
    </reviewItem>
    <reviewItem>
      <errorID>3ebf40a6-66dd-4b87-992a-3c9ab2e65019</errorID>
      <errorWord>(</errorWord>
      <group>L1_Format</group>
      <groupName>格式问题</groupName>
      <ability>L2_HalfPunc_CN</ability>
      <abilityName>全半角问题</abilityName>
      <candidateList>
        <item>（</item>
      </candidateList>
      <explain>文本全半角错误。</explain>
      <paraID>2CC1CB70</paraID>
      <start>22</start>
      <end>23</end>
      <status>unmodified</status>
      <modifiedWord/>
      <trackRevisions>false</trackRevisions>
    </reviewItem>
    <reviewItem>
      <errorID>857f8893-1848-4851-bdb4-4ed30f58f53f</errorID>
      <errorWord>)</errorWord>
      <group>L1_Format</group>
      <groupName>格式问题</groupName>
      <ability>L2_HalfPunc_CN</ability>
      <abilityName>全半角问题</abilityName>
      <candidateList>
        <item>）</item>
      </candidateList>
      <explain>文本全半角错误。</explain>
      <paraID>2CC1CB70</paraID>
      <start>33</start>
      <end>34</end>
      <status>unmodified</status>
      <modifiedWord/>
      <trackRevisions>false</trackRevisions>
    </reviewItem>
    <reviewItem>
      <errorID>66c48ee9-6b80-4cec-9613-d3eea64f9a70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30A280DB</paraID>
      <start>0</start>
      <end>4</end>
      <status>unmodified</status>
      <modifiedWord/>
      <trackRevisions>false</trackRevisions>
    </reviewItem>
    <reviewItem>
      <errorID>baeea75f-197b-4453-bac1-503a74ccfaea</errorID>
      <errorWord>:</errorWord>
      <group>L1_Format</group>
      <groupName>格式问题</groupName>
      <ability>L2_HalfPunc_CN</ability>
      <abilityName>全半角问题</abilityName>
      <candidateList>
        <item>：</item>
      </candidateList>
      <explain>文本全半角错误。</explain>
      <paraID>30A280DB</paraID>
      <start>18</start>
      <end>19</end>
      <status>unmodified</status>
      <modifiedWord/>
      <trackRevisions>false</trackRevisions>
    </reviewItem>
    <reviewItem>
      <errorID>afd02cd3-a58e-459c-9236-7f19feff6c2b</errorID>
      <errorWord>(</errorWord>
      <group>L1_Format</group>
      <groupName>格式问题</groupName>
      <ability>L2_HalfPunc_CN</ability>
      <abilityName>全半角问题</abilityName>
      <candidateList>
        <item>（</item>
      </candidateList>
      <explain>文本全半角错误。</explain>
      <paraID>7C14E845</paraID>
      <start>109</start>
      <end>110</end>
      <status>unmodified</status>
      <modifiedWord/>
      <trackRevisions>false</trackRevisions>
    </reviewItem>
    <reviewItem>
      <errorID>1015541b-dfed-43bb-86ee-096390ca1fbc</errorID>
      <errorWord>,</errorWord>
      <group>L1_Format</group>
      <groupName>格式问题</groupName>
      <ability>L2_HalfPunc_CN</ability>
      <abilityName>全半角问题</abilityName>
      <candidateList>
        <item>，</item>
      </candidateList>
      <explain>文本全半角错误。</explain>
      <paraID>7C14E845</paraID>
      <start>128</start>
      <end>129</end>
      <status>unmodified</status>
      <modifiedWord/>
      <trackRevisions>false</trackRevisions>
    </reviewItem>
    <reviewItem>
      <errorID>0bdd4192-74b1-41e3-b6c7-f1fb182779b1</errorID>
      <errorWord>(</errorWord>
      <group>L1_Format</group>
      <groupName>格式问题</groupName>
      <ability>L2_HalfPunc_CN</ability>
      <abilityName>全半角问题</abilityName>
      <candidateList>
        <item>（</item>
      </candidateList>
      <explain>文本全半角错误。</explain>
      <paraID>7C14E845</paraID>
      <start>162</start>
      <end>163</end>
      <status>unmodified</status>
      <modifiedWord/>
      <trackRevisions>false</trackRevisions>
    </reviewItem>
    <reviewItem>
      <errorID>c7677d9a-1a9e-4c61-89c1-99542b72172b</errorID>
      <errorWord>)</errorWord>
      <group>L1_Format</group>
      <groupName>格式问题</groupName>
      <ability>L2_HalfPunc_CN</ability>
      <abilityName>全半角问题</abilityName>
      <candidateList>
        <item>）</item>
      </candidateList>
      <explain>文本全半角错误。</explain>
      <paraID>7C14E845</paraID>
      <start>187</start>
      <end>188</end>
      <status>unmodified</status>
      <modifiedWord/>
      <trackRevisions>false</trackRevisions>
    </reviewItem>
    <reviewItem>
      <errorID>9d12def6-c6e4-46f1-a391-294570e184ea</errorID>
      <errorWord>:</errorWord>
      <group>L1_Format</group>
      <groupName>格式问题</groupName>
      <ability>L2_HalfPunc_CN</ability>
      <abilityName>全半角问题</abilityName>
      <candidateList>
        <item>：</item>
      </candidateList>
      <explain>文本全半角错误。</explain>
      <paraID>44F23A8D</paraID>
      <start>247</start>
      <end>248</end>
      <status>unmodified</status>
      <modifiedWord/>
      <trackRevisions>false</trackRevisions>
    </reviewItem>
    <reviewItem>
      <errorID>f1816739-62dc-48fd-893c-3937a5ddd849</errorID>
      <errorWord>(</errorWord>
      <group>L1_Format</group>
      <groupName>格式问题</groupName>
      <ability>L2_HalfPunc_CN</ability>
      <abilityName>全半角问题</abilityName>
      <candidateList>
        <item>（</item>
      </candidateList>
      <explain>文本全半角错误。</explain>
      <paraID>72CF3E63</paraID>
      <start>54</start>
      <end>55</end>
      <status>unmodified</status>
      <modifiedWord/>
      <trackRevisions>false</trackRevisions>
    </reviewItem>
    <reviewItem>
      <errorID>4cf3eeb0-2030-4e53-b9cc-d48fd85a60d6</errorID>
      <errorWord>)</errorWord>
      <group>L1_Format</group>
      <groupName>格式问题</groupName>
      <ability>L2_HalfPunc_CN</ability>
      <abilityName>全半角问题</abilityName>
      <candidateList>
        <item>）</item>
      </candidateList>
      <explain>文本全半角错误。</explain>
      <paraID>72CF3E63</paraID>
      <start>68</start>
      <end>69</end>
      <status>unmodified</status>
      <modifiedWord/>
      <trackRevisions>false</trackRevisions>
    </reviewItem>
    <reviewItem>
      <errorID>fbb64b0b-601a-4200-bb9c-5a759844286d</errorID>
      <errorWord>:</errorWord>
      <group>L1_Format</group>
      <groupName>格式问题</groupName>
      <ability>L2_HalfPunc_CN</ability>
      <abilityName>全半角问题</abilityName>
      <candidateList>
        <item>：</item>
      </candidateList>
      <explain>文本全半角错误。</explain>
      <paraID>2B813062</paraID>
      <start>10</start>
      <end>11</end>
      <status>unmodified</status>
      <modifiedWord/>
      <trackRevisions>false</trackRevisions>
    </reviewItem>
    <reviewItem>
      <errorID>ecc5e1db-4312-440b-b0f8-32dda1b566cb</errorID>
      <errorWord>:</errorWord>
      <group>L1_Format</group>
      <groupName>格式问题</groupName>
      <ability>L2_HalfPunc_CN</ability>
      <abilityName>全半角问题</abilityName>
      <candidateList>
        <item>：</item>
      </candidateList>
      <explain>文本全半角错误。</explain>
      <paraID>39D1148B</paraID>
      <start>15</start>
      <end>16</end>
      <status>unmodified</status>
      <modifiedWord/>
      <trackRevisions>false</trackRevisions>
    </reviewItem>
    <reviewItem>
      <errorID>9ba9cd73-5619-4ed1-ad1c-138159cf41a7</errorID>
      <errorWord>:</errorWord>
      <group>L1_Format</group>
      <groupName>格式问题</groupName>
      <ability>L2_HalfPunc_CN</ability>
      <abilityName>全半角问题</abilityName>
      <candidateList>
        <item>：</item>
      </candidateList>
      <explain>文本全半角错误。</explain>
      <paraID>39D1148B</paraID>
      <start>59</start>
      <end>60</end>
      <status>unmodified</status>
      <modifiedWord/>
      <trackRevisions>false</trackRevisions>
    </reviewItem>
    <reviewItem>
      <errorID>1761de71-6cbb-4c1d-b5bb-c751afe07fed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35C208F3</paraID>
      <start>0</start>
      <end>2</end>
      <status>unmodified</status>
      <modifiedWord/>
      <trackRevisions>false</trackRevisions>
    </reviewItem>
    <reviewItem>
      <errorID>1b2598fb-a07d-423e-8327-bfbc9c621f97</errorID>
      <errorWord>;</errorWord>
      <group>L1_Format</group>
      <groupName>格式问题</groupName>
      <ability>L2_HalfPunc_CN</ability>
      <abilityName>全半角问题</abilityName>
      <candidateList>
        <item>；</item>
      </candidateList>
      <explain>文本全半角错误。</explain>
      <paraID>35C208F3</paraID>
      <start>18</start>
      <end>19</end>
      <status>unmodified</status>
      <modifiedWord/>
      <trackRevisions>false</trackRevisions>
    </reviewItem>
    <reviewItem>
      <errorID>c90f653e-5fe3-429a-b66a-0b0285f40c25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36C152DE</paraID>
      <start>0</start>
      <end>2</end>
      <status>unmodified</status>
      <modifiedWord/>
      <trackRevisions>false</trackRevisions>
    </reviewItem>
    <reviewItem>
      <errorID>c9d67a1e-a1b9-446c-bf9e-1ea28886a608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77C7C616</paraID>
      <start>0</start>
      <end>2</end>
      <status>unmodified</status>
      <modifiedWord/>
      <trackRevisions>false</trackRevisions>
    </reviewItem>
    <reviewItem>
      <errorID>11b3a1b1-d8c6-4232-a180-19dd64074c03</errorID>
      <errorWord>;</errorWord>
      <group>L1_Format</group>
      <groupName>格式问题</groupName>
      <ability>L2_HalfPunc_CN</ability>
      <abilityName>全半角问题</abilityName>
      <candidateList>
        <item>；</item>
      </candidateList>
      <explain>文本全半角错误。</explain>
      <paraID>77C7C616</paraID>
      <start>24</start>
      <end>25</end>
      <status>unmodified</status>
      <modifiedWord/>
      <trackRevisions>false</trackRevisions>
    </reviewItem>
    <reviewItem>
      <errorID>0652fe3c-2ad8-4403-aa3b-b6e7d6b17ec2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6F0DA3FD</paraID>
      <start>0</start>
      <end>2</end>
      <status>unmodified</status>
      <modifiedWord/>
      <trackRevisions>false</trackRevisions>
    </reviewItem>
    <reviewItem>
      <errorID>0bd7666f-41fd-42d8-ac62-4765cf35e84b</errorID>
      <errorWord>;</errorWord>
      <group>L1_Format</group>
      <groupName>格式问题</groupName>
      <ability>L2_HalfPunc_CN</ability>
      <abilityName>全半角问题</abilityName>
      <candidateList>
        <item>；</item>
      </candidateList>
      <explain>文本全半角错误。</explain>
      <paraID>6F0DA3FD</paraID>
      <start>9</start>
      <end>10</end>
      <status>unmodified</status>
      <modifiedWord/>
      <trackRevisions>false</trackRevisions>
    </reviewItem>
    <reviewItem>
      <errorID>cb7566a5-67c8-4d4b-aad2-e779791832d9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5E2026F5</paraID>
      <start>0</start>
      <end>2</end>
      <status>unmodified</status>
      <modifiedWord/>
      <trackRevisions>false</trackRevisions>
    </reviewItem>
    <reviewItem>
      <errorID>7d1d680f-1abe-43e7-abf7-5180ccbb3920</errorID>
      <errorWord>;</errorWord>
      <group>L1_Format</group>
      <groupName>格式问题</groupName>
      <ability>L2_HalfPunc_CN</ability>
      <abilityName>全半角问题</abilityName>
      <candidateList>
        <item>；</item>
      </candidateList>
      <explain>文本全半角错误。</explain>
      <paraID>5E2026F5</paraID>
      <start>8</start>
      <end>9</end>
      <status>unmodified</status>
      <modifiedWord/>
      <trackRevisions>false</trackRevisions>
    </reviewItem>
    <reviewItem>
      <errorID>371cc3a3-045e-45ba-85db-1553e9f2a225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362770D</paraID>
      <start>0</start>
      <end>2</end>
      <status>unmodified</status>
      <modifiedWord/>
      <trackRevisions>false</trackRevisions>
    </reviewItem>
    <reviewItem>
      <errorID>95d12a17-1d85-462b-84ef-28250d0c7555</errorID>
      <errorWord>;</errorWord>
      <group>L1_Format</group>
      <groupName>格式问题</groupName>
      <ability>L2_HalfPunc_CN</ability>
      <abilityName>全半角问题</abilityName>
      <candidateList>
        <item>；</item>
      </candidateList>
      <explain>文本全半角错误。</explain>
      <paraID> 362770D</paraID>
      <start>9</start>
      <end>10</end>
      <status>unmodified</status>
      <modifiedWord/>
      <trackRevisions>false</trackRevisions>
    </reviewItem>
    <reviewItem>
      <errorID>e43cd840-64f2-46bd-b004-b5aacb2a791c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F2631F5</paraID>
      <start>0</start>
      <end>2</end>
      <status>unmodified</status>
      <modifiedWord/>
      <trackRevisions>false</trackRevisions>
    </reviewItem>
    <reviewItem>
      <errorID>93060f62-703f-4af7-9125-b2312fd6580b</errorID>
      <errorWord>:</errorWord>
      <group>L1_Format</group>
      <groupName>格式问题</groupName>
      <ability>L2_HalfPunc_CN</ability>
      <abilityName>全半角问题</abilityName>
      <candidateList>
        <item>：</item>
      </candidateList>
      <explain>文本全半角错误。</explain>
      <paraID>19085DB1</paraID>
      <start>27</start>
      <end>28</end>
      <status>unmodified</status>
      <modifiedWord/>
      <trackRevisions>false</trackRevisions>
    </reviewItem>
    <reviewItem>
      <errorID>f88ee866-eb3a-4293-b409-72c6e7073d53</errorID>
      <errorWord>(</errorWord>
      <group>L1_Format</group>
      <groupName>格式问题</groupName>
      <ability>L2_HalfPunc_CN</ability>
      <abilityName>全半角问题</abilityName>
      <candidateList>
        <item>（</item>
      </candidateList>
      <explain>文本全半角错误。</explain>
      <paraID>7A6839CA</paraID>
      <start>63</start>
      <end>64</end>
      <status>unmodified</status>
      <modifiedWord/>
      <trackRevisions>false</trackRevisions>
    </reviewItem>
    <reviewItem>
      <errorID>90621d33-32a5-4344-82e4-596d3cd9e88d</errorID>
      <errorWord>)</errorWord>
      <group>L1_Format</group>
      <groupName>格式问题</groupName>
      <ability>L2_HalfPunc_CN</ability>
      <abilityName>全半角问题</abilityName>
      <candidateList>
        <item>）</item>
      </candidateList>
      <explain>文本全半角错误。</explain>
      <paraID>7A6839CA</paraID>
      <start>107</start>
      <end>108</end>
      <status>unmodified</status>
      <modifiedWord/>
      <trackRevisions>false</trackRevisions>
    </reviewItem>
    <reviewItem>
      <errorID>23195ba5-43d1-45b7-afab-ce2d9ca2974c</errorID>
      <errorWord>,</errorWord>
      <group>L1_Format</group>
      <groupName>格式问题</groupName>
      <ability>L2_HalfPunc_CN</ability>
      <abilityName>全半角问题</abilityName>
      <candidateList>
        <item>，</item>
      </candidateList>
      <explain>文本全半角错误。</explain>
      <paraID>3C5CF337</paraID>
      <start>15</start>
      <end>16</end>
      <status>unmodified</status>
      <modifiedWord/>
      <trackRevisions>false</trackRevisions>
    </reviewItem>
    <reviewItem>
      <errorID>06241d1a-0f43-4fe4-a124-5ba9c2e0dbe3</errorID>
      <errorWord>:</errorWord>
      <group>L1_Format</group>
      <groupName>格式问题</groupName>
      <ability>L2_HalfPunc_CN</ability>
      <abilityName>全半角问题</abilityName>
      <candidateList>
        <item>：</item>
      </candidateList>
      <explain>文本全半角错误。</explain>
      <paraID>29B77427</paraID>
      <start>10</start>
      <end>11</end>
      <status>unmodified</status>
      <modifiedWord/>
      <trackRevisions>false</trackRevisions>
    </reviewItem>
    <reviewItem>
      <errorID>0c047cb1-d2a2-481b-a68a-35f0fb7a7bac</errorID>
      <errorWord>.</errorWord>
      <group>L1_Format</group>
      <groupName>格式问题</groupName>
      <ability>L2_HalfPunc_CN</ability>
      <abilityName>全半角问题</abilityName>
      <candidateList>
        <item>。</item>
      </candidateList>
      <explain>文本全半角错误。</explain>
      <paraID>5144A171</paraID>
      <start>30</start>
      <end>31</end>
      <status>unmodified</status>
      <modifiedWord/>
      <trackRevisions>false</trackRevisions>
    </reviewItem>
    <reviewItem>
      <errorID>02b29b2a-1adf-4fe2-a840-5b023adce17b</errorID>
      <errorWord>(</errorWord>
      <group>L1_Format</group>
      <groupName>格式问题</groupName>
      <ability>L2_HalfPunc_CN</ability>
      <abilityName>全半角问题</abilityName>
      <candidateList>
        <item>（</item>
      </candidateList>
      <explain>文本全半角错误。</explain>
      <paraID>42C9C2DE</paraID>
      <start>51</start>
      <end>52</end>
      <status>unmodified</status>
      <modifiedWord/>
      <trackRevisions>false</trackRevisions>
    </reviewItem>
    <reviewItem>
      <errorID>b0e4b263-a25b-4908-bbdb-8d9197ece7ec</errorID>
      <errorWord>)</errorWord>
      <group>L1_Format</group>
      <groupName>格式问题</groupName>
      <ability>L2_HalfPunc_CN</ability>
      <abilityName>全半角问题</abilityName>
      <candidateList>
        <item>）</item>
      </candidateList>
      <explain>文本全半角错误。</explain>
      <paraID>42C9C2DE</paraID>
      <start>59</start>
      <end>60</end>
      <status>unmodified</status>
      <modifiedWord/>
      <trackRevisions>false</trackRevisions>
    </reviewItem>
    <reviewItem>
      <errorID>42a68482-377b-4156-88d9-3c800fdf4f91</errorID>
      <errorWord>依</errorWord>
      <group>L1_Word</group>
      <groupName>字词问题</groupName>
      <ability>L2_Typo</ability>
      <abilityName>字词错误</abilityName>
      <candidateList>
        <item>依据</item>
      </candidateList>
      <explain/>
      <paraID>22625674</paraID>
      <start>50</start>
      <end>51</end>
      <status>unmodified</status>
      <modifiedWord/>
      <trackRevisions>false</trackRevisions>
    </reviewItem>
    <reviewItem>
      <errorID>8500f369-895f-4682-b3dd-ddafc5df77ea</errorID>
      <errorWord>:</errorWord>
      <group>L1_Format</group>
      <groupName>格式问题</groupName>
      <ability>L2_HalfPunc_CN</ability>
      <abilityName>全半角问题</abilityName>
      <candidateList>
        <item>：</item>
      </candidateList>
      <explain>文本全半角错误。</explain>
      <paraID>1F093B5D</paraID>
      <start>26</start>
      <end>27</end>
      <status>unmodified</status>
      <modifiedWord/>
      <trackRevisions>false</trackRevisions>
    </reviewItem>
    <reviewItem>
      <errorID>586f3dac-a7d9-4e7b-8ac1-3270c8b74fb6</errorID>
      <errorWord>做</errorWord>
      <group>L1_Word</group>
      <groupName>字词问题</groupName>
      <ability>L2_Typo</ability>
      <abilityName>字词错误</abilityName>
      <candidateList>
        <item>作</item>
      </candidateList>
      <explain>存在发音相同字词的误用。</explain>
      <paraID>2B4E84AF</paraID>
      <start>123</start>
      <end>124</end>
      <status>unmodified</status>
      <modifiedWord/>
      <trackRevisions>false</trackRevisions>
    </reviewItem>
    <reviewItem>
      <errorID>2b62bd2c-85ed-4ff0-9c4d-61a9df919cce</errorID>
      <errorWord>期限的</errorWord>
      <group>L1_Word</group>
      <groupName>字词问题</groupName>
      <ability>L2_Typo</ability>
      <abilityName>字词错误</abilityName>
      <candidateList>
        <item>期限</item>
      </candidateList>
      <explain/>
      <paraID>290AA215</paraID>
      <start>14</start>
      <end>17</end>
      <status>unmodified</status>
      <modifiedWord/>
      <trackRevisions>false</trackRevisions>
    </reviewItem>
    <reviewItem>
      <errorID>90cea9aa-0f5d-4001-840c-5f38acae9e7a</errorID>
      <errorWord>;</errorWord>
      <group>L1_Format</group>
      <groupName>格式问题</groupName>
      <ability>L2_HalfPunc_CN</ability>
      <abilityName>全半角问题</abilityName>
      <candidateList>
        <item>；</item>
      </candidateList>
      <explain>文本全半角错误。</explain>
      <paraID>4048A569</paraID>
      <start>11</start>
      <end>12</end>
      <status>unmodified</status>
      <modifiedWord/>
      <trackRevisions>false</trackRevisions>
    </reviewItem>
    <reviewItem>
      <errorID>b6c3865f-5e0c-42f0-9a03-374532d5461e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2DB8519</paraID>
      <start>0</start>
      <end>3</end>
      <status>unmodified</status>
      <modifiedWord/>
      <trackRevisions>false</trackRevisions>
    </reviewItem>
    <reviewItem>
      <errorID>52149a06-ec70-4e57-8308-b322f65c7971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7A4A0971</paraID>
      <start>0</start>
      <end>3</end>
      <status>unmodified</status>
      <modifiedWord/>
      <trackRevisions>false</trackRevisions>
    </reviewItem>
    <reviewItem>
      <errorID>0ec49f54-b4b3-40b9-aa95-c751b995f539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52734154</paraID>
      <start>0</start>
      <end>3</end>
      <status>unmodified</status>
      <modifiedWord/>
      <trackRevisions>false</trackRevisions>
    </reviewItem>
    <reviewItem>
      <errorID>a0b5ae34-5abd-4a93-b728-50f7e829c985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1CE5C8C2</paraID>
      <start>0</start>
      <end>3</end>
      <status>unmodified</status>
      <modifiedWord/>
      <trackRevisions>false</trackRevisions>
    </reviewItem>
    <reviewItem>
      <errorID>10e2cd08-2e9c-4fab-a135-cbb001328473</errorID>
      <errorWord>,</errorWord>
      <group>L1_Format</group>
      <groupName>格式问题</groupName>
      <ability>L2_HalfPunc_CN</ability>
      <abilityName>全半角问题</abilityName>
      <candidateList>
        <item>，</item>
      </candidateList>
      <explain>文本全半角错误。</explain>
      <paraID>1CE5C8C2</paraID>
      <start>41</start>
      <end>42</end>
      <status>unmodified</status>
      <modifiedWord/>
      <trackRevisions>false</trackRevisions>
    </reviewItem>
    <reviewItem>
      <errorID>a1a8606f-bf8c-4548-876d-1a63e768e498</errorID>
      <errorWord>;</errorWord>
      <group>L1_Format</group>
      <groupName>格式问题</groupName>
      <ability>L2_HalfPunc_CN</ability>
      <abilityName>全半角问题</abilityName>
      <candidateList>
        <item>；</item>
      </candidateList>
      <explain>文本全半角错误。</explain>
      <paraID>1CE5C8C2</paraID>
      <start>83</start>
      <end>84</end>
      <status>unmodified</status>
      <modifiedWord/>
      <trackRevisions>false</trackRevisions>
    </reviewItem>
    <reviewItem>
      <errorID>43acd955-5849-4978-8c16-675f43ed6f4b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3650A8DA</paraID>
      <start>0</start>
      <end>3</end>
      <status>unmodified</status>
      <modifiedWord/>
      <trackRevisions>false</trackRevisions>
    </reviewItem>
    <reviewItem>
      <errorID>568fcb52-33df-4d3b-8773-769fd7e0c881</errorID>
      <errorWord>;</errorWord>
      <group>L1_Format</group>
      <groupName>格式问题</groupName>
      <ability>L2_HalfPunc_CN</ability>
      <abilityName>全半角问题</abilityName>
      <candidateList>
        <item>；</item>
      </candidateList>
      <explain>文本全半角错误。</explain>
      <paraID>3650A8DA</paraID>
      <start>99</start>
      <end>100</end>
      <status>unmodified</status>
      <modifiedWord/>
      <trackRevisions>false</trackRevisions>
    </reviewItem>
    <reviewItem>
      <errorID>39e9d810-ca3b-4234-a181-61e15facf493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4884E112</paraID>
      <start>0</start>
      <end>3</end>
      <status>unmodified</status>
      <modifiedWord/>
      <trackRevisions>false</trackRevisions>
    </reviewItem>
    <reviewItem>
      <errorID>ed6d3559-c632-4bbc-a929-ad2779a2fa55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4ED4C151</paraID>
      <start>0</start>
      <end>3</end>
      <status>unmodified</status>
      <modifiedWord/>
      <trackRevisions>false</trackRevisions>
    </reviewItem>
    <reviewItem>
      <errorID>bb0dc4b5-6a23-4f24-be36-9de96b02afe2</errorID>
      <errorWord>:</errorWord>
      <group>L1_Format</group>
      <groupName>格式问题</groupName>
      <ability>L2_HalfPunc_CN</ability>
      <abilityName>全半角问题</abilityName>
      <candidateList>
        <item>：</item>
      </candidateList>
      <explain>文本全半角错误。</explain>
      <paraID> 1488F76</paraID>
      <start>15</start>
      <end>16</end>
      <status>unmodified</status>
      <modifiedWord/>
      <trackRevisions>false</trackRevisions>
    </reviewItem>
    <reviewItem>
      <errorID>0c57d22c-8fcd-4316-b33f-94d5f5747df0</errorID>
      <errorWord>变更的</errorWord>
      <group>L1_Word</group>
      <groupName>字词问题</groupName>
      <ability>L2_Typo</ability>
      <abilityName>字词错误</abilityName>
      <candidateList>
        <item>变更</item>
      </candidateList>
      <explain>〈动〉改变；变动：～原定赛程｜修订版的内容有些～。</explain>
      <paraID>322E1EB8</paraID>
      <start>2</start>
      <end>5</end>
      <status>unmodified</status>
      <modifiedWord/>
      <trackRevisions>false</trackRevisions>
    </reviewItem>
    <reviewItem>
      <errorID>aaf793d2-cac7-4202-bfc8-257801cba986</errorID>
      <errorWord>(</errorWord>
      <group>L1_Format</group>
      <groupName>格式问题</groupName>
      <ability>L2_HalfPunc_CN</ability>
      <abilityName>全半角问题</abilityName>
      <candidateList>
        <item>（</item>
      </candidateList>
      <explain>文本全半角错误。</explain>
      <paraID>2ACE6C29</paraID>
      <start>19</start>
      <end>20</end>
      <status>unmodified</status>
      <modifiedWord/>
      <trackRevisions>false</trackRevisions>
    </reviewItem>
    <reviewItem>
      <errorID>867405a6-fcf8-44a1-8df7-5fff409aacaf</errorID>
      <errorWord>)</errorWord>
      <group>L1_Format</group>
      <groupName>格式问题</groupName>
      <ability>L2_HalfPunc_CN</ability>
      <abilityName>全半角问题</abilityName>
      <candidateList>
        <item>）</item>
      </candidateList>
      <explain>文本全半角错误。</explain>
      <paraID>2ACE6C29</paraID>
      <start>24</start>
      <end>25</end>
      <status>unmodified</status>
      <modifiedWord/>
      <trackRevisions>false</trackRevisions>
    </reviewItem>
    <reviewItem>
      <errorID>fd11ad63-2216-4dc6-8df4-60f2a6cf75c0</errorID>
      <errorWord>:</errorWord>
      <group>L1_Format</group>
      <groupName>格式问题</groupName>
      <ability>L2_HalfPunc_CN</ability>
      <abilityName>全半角问题</abilityName>
      <candidateList>
        <item>：</item>
      </candidateList>
      <explain>文本全半角错误。</explain>
      <paraID>19DAA530</paraID>
      <start>19</start>
      <end>20</end>
      <status>unmodified</status>
      <modifiedWord/>
      <trackRevisions>false</trackRevisions>
    </reviewItem>
    <reviewItem>
      <errorID>5b749d88-4da9-4c0b-9610-c1143c3fc1b1</errorID>
      <errorWord>价</errorWord>
      <group>L1_Word</group>
      <groupName>字词问题</groupName>
      <ability>L2_Typo</ability>
      <abilityName>字词错误</abilityName>
      <candidateList>
        <item>价格</item>
      </candidateList>
      <explain/>
      <paraID>47061EDB</paraID>
      <start>54</start>
      <end>55</end>
      <status>unmodified</status>
      <modifiedWord/>
      <trackRevisions>false</trackRevisions>
    </reviewItem>
    <reviewItem>
      <errorID>0a2eb125-935a-4eda-8806-061db1e12525</errorID>
      <errorWord>:</errorWord>
      <group>L1_Format</group>
      <groupName>格式问题</groupName>
      <ability>L2_HalfPunc_CN</ability>
      <abilityName>全半角问题</abilityName>
      <candidateList>
        <item>：</item>
      </candidateList>
      <explain>文本全半角错误。</explain>
      <paraID>4082AF39</paraID>
      <start>7</start>
      <end>8</end>
      <status>unmodified</status>
      <modifiedWord/>
      <trackRevisions>false</trackRevisions>
    </reviewItem>
    <reviewItem>
      <errorID>edfa262e-0a00-4271-afbd-f62f93e27ca9</errorID>
      <errorWord>(</errorWord>
      <group>L1_Format</group>
      <groupName>格式问题</groupName>
      <ability>L2_HalfPunc_CN</ability>
      <abilityName>全半角问题</abilityName>
      <candidateList>
        <item>（</item>
      </candidateList>
      <explain>文本全半角错误。</explain>
      <paraID>4082AF39</paraID>
      <start>18</start>
      <end>19</end>
      <status>unmodified</status>
      <modifiedWord/>
      <trackRevisions>false</trackRevisions>
    </reviewItem>
    <reviewItem>
      <errorID>3835a963-18e6-4bf7-938d-7d8062a4e8ec</errorID>
      <errorWord>)</errorWord>
      <group>L1_Format</group>
      <groupName>格式问题</groupName>
      <ability>L2_HalfPunc_CN</ability>
      <abilityName>全半角问题</abilityName>
      <candidateList>
        <item>）</item>
      </candidateList>
      <explain>文本全半角错误。</explain>
      <paraID>4082AF39</paraID>
      <start>56</start>
      <end>57</end>
      <status>unmodified</status>
      <modifiedWord/>
      <trackRevisions>false</trackRevisions>
    </reviewItem>
    <reviewItem>
      <errorID>96f96883-a71b-4d24-bf1f-dea53edc313f</errorID>
      <errorWord>(</errorWord>
      <group>L1_Format</group>
      <groupName>格式问题</groupName>
      <ability>L2_HalfPunc_CN</ability>
      <abilityName>全半角问题</abilityName>
      <candidateList>
        <item>（</item>
      </candidateList>
      <explain>文本全半角错误。</explain>
      <paraID>4082AF39</paraID>
      <start>84</start>
      <end>85</end>
      <status>unmodified</status>
      <modifiedWord/>
      <trackRevisions>false</trackRevisions>
    </reviewItem>
    <reviewItem>
      <errorID>d072a948-e086-4db4-a3c6-8fc2b30ae853</errorID>
      <errorWord>)</errorWord>
      <group>L1_Format</group>
      <groupName>格式问题</groupName>
      <ability>L2_HalfPunc_CN</ability>
      <abilityName>全半角问题</abilityName>
      <candidateList>
        <item>）</item>
      </candidateList>
      <explain>文本全半角错误。</explain>
      <paraID>4082AF39</paraID>
      <start>100</start>
      <end>101</end>
      <status>unmodified</status>
      <modifiedWord/>
      <trackRevisions>false</trackRevisions>
    </reviewItem>
    <reviewItem>
      <errorID>d18eec28-521c-4304-9074-b2820f21402c</errorID>
      <errorWord>(</errorWord>
      <group>L1_Format</group>
      <groupName>格式问题</groupName>
      <ability>L2_HalfPunc_CN</ability>
      <abilityName>全半角问题</abilityName>
      <candidateList>
        <item>（</item>
      </candidateList>
      <explain>文本全半角错误。</explain>
      <paraID>4082AF39</paraID>
      <start>120</start>
      <end>121</end>
      <status>unmodified</status>
      <modifiedWord/>
      <trackRevisions>false</trackRevisions>
    </reviewItem>
    <reviewItem>
      <errorID>8608fa75-f46e-4956-a8f7-2d8341440988</errorID>
      <errorWord>)</errorWord>
      <group>L1_Format</group>
      <groupName>格式问题</groupName>
      <ability>L2_HalfPunc_CN</ability>
      <abilityName>全半角问题</abilityName>
      <candidateList>
        <item>）</item>
      </candidateList>
      <explain>文本全半角错误。</explain>
      <paraID>4082AF39</paraID>
      <start>133</start>
      <end>134</end>
      <status>unmodified</status>
      <modifiedWord/>
      <trackRevisions>false</trackRevisions>
    </reviewItem>
    <reviewItem>
      <errorID>66b3d869-d16b-4d17-9932-490691334ca5</errorID>
      <errorWord>(</errorWord>
      <group>L1_Format</group>
      <groupName>格式问题</groupName>
      <ability>L2_HalfPunc_CN</ability>
      <abilityName>全半角问题</abilityName>
      <candidateList>
        <item>（</item>
      </candidateList>
      <explain>文本全半角错误。</explain>
      <paraID>4082AF39</paraID>
      <start>150</start>
      <end>151</end>
      <status>unmodified</status>
      <modifiedWord/>
      <trackRevisions>false</trackRevisions>
    </reviewItem>
    <reviewItem>
      <errorID>40989bb7-9ec2-4f6d-8549-cbc012f00b0b</errorID>
      <errorWord>)</errorWord>
      <group>L1_Format</group>
      <groupName>格式问题</groupName>
      <ability>L2_HalfPunc_CN</ability>
      <abilityName>全半角问题</abilityName>
      <candidateList>
        <item>）</item>
      </candidateList>
      <explain>文本全半角错误。</explain>
      <paraID>4082AF39</paraID>
      <start>163</start>
      <end>164</end>
      <status>unmodified</status>
      <modifiedWord/>
      <trackRevisions>false</trackRevisions>
    </reviewItem>
    <reviewItem>
      <errorID>120d8396-1539-464d-9d8e-9e82fd131730</errorID>
      <errorWord>(</errorWord>
      <group>L1_Format</group>
      <groupName>格式问题</groupName>
      <ability>L2_HalfPunc_CN</ability>
      <abilityName>全半角问题</abilityName>
      <candidateList>
        <item>（</item>
      </candidateList>
      <explain>文本全半角错误。</explain>
      <paraID>4082AF39</paraID>
      <start>178</start>
      <end>179</end>
      <status>unmodified</status>
      <modifiedWord/>
      <trackRevisions>false</trackRevisions>
    </reviewItem>
    <reviewItem>
      <errorID>eff24e5c-a431-4573-80ed-43bc1c007362</errorID>
      <errorWord>)</errorWord>
      <group>L1_Format</group>
      <groupName>格式问题</groupName>
      <ability>L2_HalfPunc_CN</ability>
      <abilityName>全半角问题</abilityName>
      <candidateList>
        <item>）</item>
      </candidateList>
      <explain>文本全半角错误。</explain>
      <paraID>4082AF39</paraID>
      <start>191</start>
      <end>192</end>
      <status>unmodified</status>
      <modifiedWord/>
      <trackRevisions>false</trackRevisions>
    </reviewItem>
    <reviewItem>
      <errorID>7b4375e8-f2f8-4db7-be54-7bb48a3914b6</errorID>
      <errorWord>其它</errorWord>
      <group>L1_Word</group>
      <groupName>字词问题</groupName>
      <ability>L2_Alias</ability>
      <abilityName>也作/曾用词</abilityName>
      <candidateList>
        <item>其他</item>
      </candidateList>
      <explain>词汇[其它]为不规范表述或旧称，其规范书面表述为[其他]。</explain>
      <paraID>320CE389</paraID>
      <start>29</start>
      <end>31</end>
      <status>unmodified</status>
      <modifiedWord/>
      <trackRevisions>false</trackRevisions>
    </reviewItem>
    <reviewItem>
      <errorID>bd6c8ec2-59d9-4001-89a7-05035eb09474</errorID>
      <errorWord>:</errorWord>
      <group>L1_Format</group>
      <groupName>格式问题</groupName>
      <ability>L2_HalfPunc_CN</ability>
      <abilityName>全半角问题</abilityName>
      <candidateList>
        <item>：</item>
      </candidateList>
      <explain>文本全半角错误。</explain>
      <paraID>239ABC6D</paraID>
      <start>9</start>
      <end>10</end>
      <status>unmodified</status>
      <modifiedWord/>
      <trackRevisions>false</trackRevisions>
    </reviewItem>
    <reviewItem>
      <errorID>66ab825a-4f87-49ad-aff4-2df438b301a1</errorID>
      <errorWord>(</errorWord>
      <group>L1_Format</group>
      <groupName>格式问题</groupName>
      <ability>L2_HalfPunc_CN</ability>
      <abilityName>全半角问题</abilityName>
      <candidateList>
        <item>（</item>
      </candidateList>
      <explain>文本全半角错误。</explain>
      <paraID>61E46F99</paraID>
      <start>61</start>
      <end>62</end>
      <status>unmodified</status>
      <modifiedWord/>
      <trackRevisions>false</trackRevisions>
    </reviewItem>
    <reviewItem>
      <errorID>d4760a68-ec0c-4898-b0e7-0e63454e580b</errorID>
      <errorWord>)</errorWord>
      <group>L1_Format</group>
      <groupName>格式问题</groupName>
      <ability>L2_HalfPunc_CN</ability>
      <abilityName>全半角问题</abilityName>
      <candidateList>
        <item>）</item>
      </candidateList>
      <explain>文本全半角错误。</explain>
      <paraID>61E46F99</paraID>
      <start>68</start>
      <end>69</end>
      <status>unmodified</status>
      <modifiedWord/>
      <trackRevisions>false</trackRevisions>
    </reviewItem>
    <reviewItem>
      <errorID>af91ee15-e470-4be2-b668-076e84f88411</errorID>
      <errorWord>:</errorWord>
      <group>L1_Format</group>
      <groupName>格式问题</groupName>
      <ability>L2_HalfPunc_CN</ability>
      <abilityName>全半角问题</abilityName>
      <candidateList>
        <item>：</item>
      </candidateList>
      <explain>文本全半角错误。</explain>
      <paraID>1EAAA106</paraID>
      <start>15</start>
      <end>16</end>
      <status>unmodified</status>
      <modifiedWord/>
      <trackRevisions>false</trackRevisions>
    </reviewItem>
    <reviewItem>
      <errorID>a086f2c6-47b2-4467-8935-197b8a0abad1</errorID>
      <errorWord>;</errorWord>
      <group>L1_Format</group>
      <groupName>格式问题</groupName>
      <ability>L2_HalfPunc_CN</ability>
      <abilityName>全半角问题</abilityName>
      <candidateList>
        <item>；</item>
      </candidateList>
      <explain>文本全半角错误。</explain>
      <paraID>1EAAA106</paraID>
      <start>77</start>
      <end>78</end>
      <status>unmodified</status>
      <modifiedWord/>
      <trackRevisions>false</trackRevisions>
    </reviewItem>
    <reviewItem>
      <errorID>440990e2-827c-4ae7-8a5b-0c63014b3b21</errorID>
      <errorWord>:</errorWord>
      <group>L1_Format</group>
      <groupName>格式问题</groupName>
      <ability>L2_HalfPunc_CN</ability>
      <abilityName>全半角问题</abilityName>
      <candidateList>
        <item>：</item>
      </candidateList>
      <explain>文本全半角错误。</explain>
      <paraID>6D39B969</paraID>
      <start>15</start>
      <end>16</end>
      <status>unmodified</status>
      <modifiedWord/>
      <trackRevisions>false</trackRevisions>
    </reviewItem>
    <reviewItem>
      <errorID>1a74f6d1-5280-4c9c-9343-18a4177bf281</errorID>
      <errorWord>(</errorWord>
      <group>L1_Format</group>
      <groupName>格式问题</groupName>
      <ability>L2_HalfPunc_CN</ability>
      <abilityName>全半角问题</abilityName>
      <candidateList>
        <item>（</item>
      </candidateList>
      <explain>文本全半角错误。</explain>
      <paraID>2EBE8C02</paraID>
      <start>0</start>
      <end>1</end>
      <status>unmodified</status>
      <modifiedWord/>
      <trackRevisions>false</trackRevisions>
    </reviewItem>
    <reviewItem>
      <errorID>a4921938-d369-4e62-a729-cfc82beb2ff0</errorID>
      <errorWord>:</errorWord>
      <group>L1_Format</group>
      <groupName>格式问题</groupName>
      <ability>L2_HalfPunc_CN</ability>
      <abilityName>全半角问题</abilityName>
      <candidateList>
        <item>：</item>
      </candidateList>
      <explain>文本全半角错误。</explain>
      <paraID>5F986386</paraID>
      <start>14</start>
      <end>15</end>
      <status>unmodified</status>
      <modifiedWord/>
      <trackRevisions>false</trackRevisions>
    </reviewItem>
    <reviewItem>
      <errorID>8ec086c2-fd82-47f9-8f95-1abcd44c3bff</errorID>
      <errorWord>;</errorWord>
      <group>L1_Format</group>
      <groupName>格式问题</groupName>
      <ability>L2_HalfPunc_CN</ability>
      <abilityName>全半角问题</abilityName>
      <candidateList>
        <item>；</item>
      </candidateList>
      <explain>文本全半角错误。</explain>
      <paraID>706C25D5</paraID>
      <start>20</start>
      <end>21</end>
      <status>unmodified</status>
      <modifiedWord/>
      <trackRevisions>false</trackRevisions>
    </reviewItem>
    <reviewItem>
      <errorID>2caeb024-52ff-4fe8-96e1-02003017fbbc</errorID>
      <errorWord>(</errorWord>
      <group>L1_Format</group>
      <groupName>格式问题</groupName>
      <ability>L2_HalfPunc_CN</ability>
      <abilityName>全半角问题</abilityName>
      <candidateList>
        <item>（</item>
      </candidateList>
      <explain>文本全半角错误。</explain>
      <paraID>78E30412</paraID>
      <start>92</start>
      <end>93</end>
      <status>unmodified</status>
      <modifiedWord/>
      <trackRevisions>false</trackRevisions>
    </reviewItem>
    <reviewItem>
      <errorID>914087fd-925d-4253-acce-782a41ee1d90</errorID>
      <errorWord>,</errorWord>
      <group>L1_Format</group>
      <groupName>格式问题</groupName>
      <ability>L2_HalfPunc_CN</ability>
      <abilityName>全半角问题</abilityName>
      <candidateList>
        <item>，</item>
      </candidateList>
      <explain>文本全半角错误。</explain>
      <paraID>78E30412</paraID>
      <start>111</start>
      <end>112</end>
      <status>unmodified</status>
      <modifiedWord/>
      <trackRevisions>false</trackRevisions>
    </reviewItem>
    <reviewItem>
      <errorID>763df6c2-dc8b-4796-855c-bd9eb9c7ba78</errorID>
      <errorWord>(</errorWord>
      <group>L1_Format</group>
      <groupName>格式问题</groupName>
      <ability>L2_HalfPunc_CN</ability>
      <abilityName>全半角问题</abilityName>
      <candidateList>
        <item>（</item>
      </candidateList>
      <explain>文本全半角错误。</explain>
      <paraID>78E30412</paraID>
      <start>145</start>
      <end>146</end>
      <status>unmodified</status>
      <modifiedWord/>
      <trackRevisions>false</trackRevisions>
    </reviewItem>
    <reviewItem>
      <errorID>f59c8386-692d-4b69-8b84-04b27c120950</errorID>
      <errorWord>)</errorWord>
      <group>L1_Format</group>
      <groupName>格式问题</groupName>
      <ability>L2_HalfPunc_CN</ability>
      <abilityName>全半角问题</abilityName>
      <candidateList>
        <item>）</item>
      </candidateList>
      <explain>文本全半角错误。</explain>
      <paraID>78E30412</paraID>
      <start>170</start>
      <end>171</end>
      <status>unmodified</status>
      <modifiedWord/>
      <trackRevisions>false</trackRevisions>
    </reviewItem>
    <reviewItem>
      <errorID>ad0f1f67-783a-4433-bc4a-3d64e24f9b47</errorID>
      <errorWord>:</errorWord>
      <group>L1_Format</group>
      <groupName>格式问题</groupName>
      <ability>L2_HalfPunc_CN</ability>
      <abilityName>全半角问题</abilityName>
      <candidateList>
        <item>：</item>
      </candidateList>
      <explain>文本全半角错误。</explain>
      <paraID>78E30412</paraID>
      <start>433</start>
      <end>434</end>
      <status>unmodified</status>
      <modifiedWord/>
      <trackRevisions>false</trackRevisions>
    </reviewItem>
    <reviewItem>
      <errorID>0a064e3d-611b-43e9-ba08-876cc160363a</errorID>
      <errorWord>:</errorWord>
      <group>L1_Format</group>
      <groupName>格式问题</groupName>
      <ability>L2_HalfPunc_CN</ability>
      <abilityName>全半角问题</abilityName>
      <candidateList>
        <item>：</item>
      </candidateList>
      <explain>文本全半角错误。</explain>
      <paraID>31E994DD</paraID>
      <start>40</start>
      <end>41</end>
      <status>unmodified</status>
      <modifiedWord/>
      <trackRevisions>false</trackRevisions>
    </reviewItem>
    <reviewItem>
      <errorID>d0d9569d-517d-4923-a93f-985e46c90d2d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246DCFCE</paraID>
      <start>0</start>
      <end>3</end>
      <status>unmodified</status>
      <modifiedWord/>
      <trackRevisions>false</trackRevisions>
    </reviewItem>
    <reviewItem>
      <errorID>d5cc18b3-8bd7-479b-bded-3e178bfc8cbe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2D3929EE</paraID>
      <start>0</start>
      <end>3</end>
      <status>unmodified</status>
      <modifiedWord/>
      <trackRevisions>false</trackRevisions>
    </reviewItem>
    <reviewItem>
      <errorID>711ab8c1-22e9-47ee-8c60-688542636e72</errorID>
      <errorWord>:</errorWord>
      <group>L1_Format</group>
      <groupName>格式问题</groupName>
      <ability>L2_HalfPunc_CN</ability>
      <abilityName>全半角问题</abilityName>
      <candidateList>
        <item>：</item>
      </candidateList>
      <explain>文本全半角错误。</explain>
      <paraID>2D3929EE</paraID>
      <start>29</start>
      <end>30</end>
      <status>unmodified</status>
      <modifiedWord/>
      <trackRevisions>false</trackRevisions>
    </reviewItem>
    <reviewItem>
      <errorID>792f91b8-6062-456a-b8da-3882549d21d9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22C8FD7B</paraID>
      <start>0</start>
      <end>3</end>
      <status>unmodified</status>
      <modifiedWord/>
      <trackRevisions>false</trackRevisions>
    </reviewItem>
    <reviewItem>
      <errorID>f44cad61-3524-4c23-b2ff-86970da6a878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1B1FCA26</paraID>
      <start>0</start>
      <end>3</end>
      <status>unmodified</status>
      <modifiedWord/>
      <trackRevisions>false</trackRevisions>
    </reviewItem>
    <reviewItem>
      <errorID>270f6101-cb59-413f-b375-21556843ead6</errorID>
      <errorWord>(</errorWord>
      <group>L1_Format</group>
      <groupName>格式问题</groupName>
      <ability>L2_HalfPunc_CN</ability>
      <abilityName>全半角问题</abilityName>
      <candidateList>
        <item>（</item>
      </candidateList>
      <explain>文本全半角错误。</explain>
      <paraID>1B1FCA26</paraID>
      <start>17</start>
      <end>18</end>
      <status>unmodified</status>
      <modifiedWord/>
      <trackRevisions>false</trackRevisions>
    </reviewItem>
    <reviewItem>
      <errorID>bd3ab995-6b70-4c26-b41b-1241949c5e71</errorID>
      <errorWord>)</errorWord>
      <group>L1_Format</group>
      <groupName>格式问题</groupName>
      <ability>L2_HalfPunc_CN</ability>
      <abilityName>全半角问题</abilityName>
      <candidateList>
        <item>）</item>
      </candidateList>
      <explain>文本全半角错误。</explain>
      <paraID>1B1FCA26</paraID>
      <start>28</start>
      <end>29</end>
      <status>unmodified</status>
      <modifiedWord/>
      <trackRevisions>false</trackRevisions>
    </reviewItem>
    <reviewItem>
      <errorID>5b44f8ea-9cc7-4946-b7da-158a98be0a82</errorID>
      <errorWord>恶劣的</errorWord>
      <group>L1_Word</group>
      <groupName>字词问题</groupName>
      <ability>L2_Typo</ability>
      <abilityName>字词错误</abilityName>
      <candidateList>
        <item>恶劣</item>
      </candidateList>
      <explain/>
      <paraID>244A9251</paraID>
      <start>182</start>
      <end>185</end>
      <status>unmodified</status>
      <modifiedWord/>
      <trackRevisions>false</trackRevisions>
    </reviewItem>
    <reviewItem>
      <errorID>216ea3ac-edca-41b9-9154-630ceb8e948a</errorID>
      <errorWord>:</errorWord>
      <group>L1_Format</group>
      <groupName>格式问题</groupName>
      <ability>L2_HalfPunc_CN</ability>
      <abilityName>全半角问题</abilityName>
      <candidateList>
        <item>：</item>
      </candidateList>
      <explain>文本全半角错误。</explain>
      <paraID>5F2AC807</paraID>
      <start>30</start>
      <end>31</end>
      <status>unmodified</status>
      <modifiedWord/>
      <trackRevisions>false</trackRevisions>
    </reviewItem>
    <reviewItem>
      <errorID>ba2b9080-4fb0-4070-8a93-6ccc0776c325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49B7899D</paraID>
      <start>0</start>
      <end>3</end>
      <status>unmodified</status>
      <modifiedWord/>
      <trackRevisions>false</trackRevisions>
    </reviewItem>
    <reviewItem>
      <errorID>5b47c151-e0b0-41ff-82c0-536804c05361</errorID>
      <errorWord>;</errorWord>
      <group>L1_Format</group>
      <groupName>格式问题</groupName>
      <ability>L2_HalfPunc_CN</ability>
      <abilityName>全半角问题</abilityName>
      <candidateList>
        <item>；</item>
      </candidateList>
      <explain>文本全半角错误。</explain>
      <paraID>49B7899D</paraID>
      <start>57</start>
      <end>58</end>
      <status>unmodified</status>
      <modifiedWord/>
      <trackRevisions>false</trackRevisions>
    </reviewItem>
    <reviewItem>
      <errorID>0c8aa041-4651-474f-81f3-981ff4e972c7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13395D16</paraID>
      <start>0</start>
      <end>3</end>
      <status>unmodified</status>
      <modifiedWord/>
      <trackRevisions>false</trackRevisions>
    </reviewItem>
    <reviewItem>
      <errorID>e2218ddd-9175-460e-8f2d-bb64640e963c</errorID>
      <errorWord>要</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13395D16</paraID>
      <start>30</start>
      <end>31</end>
      <status>unmodified</status>
      <modifiedWord/>
      <trackRevisions>false</trackRevisions>
    </reviewItem>
    <reviewItem>
      <errorID>91a132e5-5e31-4a91-ab1a-b764af1c209b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573A09BD</paraID>
      <start>0</start>
      <end>3</end>
      <status>unmodified</status>
      <modifiedWord/>
      <trackRevisions>false</trackRevisions>
    </reviewItem>
    <reviewItem>
      <errorID>6e605fba-1d92-478e-b826-fe9e218acf6d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2C7D1727</paraID>
      <start>0</start>
      <end>3</end>
      <status>unmodified</status>
      <modifiedWord/>
      <trackRevisions>false</trackRevisions>
    </reviewItem>
    <reviewItem>
      <errorID>d1790ac9-c038-44a3-ae33-0435d8128b51</errorID>
      <errorWord>接</errorWord>
      <group>L1_Word</group>
      <groupName>字词问题</groupName>
      <ability>L2_Typo</ability>
      <abilityName>字词错误</abilityName>
      <candidateList>
        <item>接到</item>
      </candidateList>
      <explain/>
      <paraID>2C7D1727</paraID>
      <start>3</start>
      <end>4</end>
      <status>unmodified</status>
      <modifiedWord/>
      <trackRevisions>false</trackRevisions>
    </reviewItem>
    <reviewItem>
      <errorID>41a9093c-4090-4558-8507-2994e02fb877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38A0CAC4</paraID>
      <start>0</start>
      <end>3</end>
      <status>unmodified</status>
      <modifiedWord/>
      <trackRevisions>false</trackRevisions>
    </reviewItem>
    <reviewItem>
      <errorID>4f994361-945e-4ab1-a04f-8e33154feed9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723DBD57</paraID>
      <start>0</start>
      <end>3</end>
      <status>unmodified</status>
      <modifiedWord/>
      <trackRevisions>false</trackRevisions>
    </reviewItem>
    <reviewItem>
      <errorID>8255aa0b-395b-4490-aa8c-7f73ed93266e</errorID>
      <errorWord>:</errorWord>
      <group>L1_Format</group>
      <groupName>格式问题</groupName>
      <ability>L2_HalfPunc_CN</ability>
      <abilityName>全半角问题</abilityName>
      <candidateList>
        <item>：</item>
      </candidateList>
      <explain>文本全半角错误。</explain>
      <paraID>41CF593A</paraID>
      <start>9</start>
      <end>10</end>
      <status>unmodified</status>
      <modifiedWord/>
      <trackRevisions>false</trackRevisions>
    </reviewItem>
    <reviewItem>
      <errorID>af50ef3a-1a38-4de3-b03d-2eafa3d1cd7a</errorID>
      <errorWord>:</errorWord>
      <group>L1_Format</group>
      <groupName>格式问题</groupName>
      <ability>L2_HalfPunc_CN</ability>
      <abilityName>全半角问题</abilityName>
      <candidateList>
        <item>：</item>
      </candidateList>
      <explain>文本全半角错误。</explain>
      <paraID>61DAA491</paraID>
      <start>17</start>
      <end>18</end>
      <status>unmodified</status>
      <modifiedWord/>
      <trackRevisions>false</trackRevisions>
    </reviewItem>
    <reviewItem>
      <errorID>d55406e3-94d9-47f3-af51-abfecf1015d9</errorID>
      <errorWord>)</errorWord>
      <group>L1_Format</group>
      <groupName>格式问题</groupName>
      <ability>L2_HalfPunc_CN</ability>
      <abilityName>全半角问题</abilityName>
      <candidateList>
        <item>）</item>
      </candidateList>
      <explain>文本全半角错误。</explain>
      <paraID>756AEA62</paraID>
      <start>6</start>
      <end>7</end>
      <status>unmodified</status>
      <modifiedWord/>
      <trackRevisions>false</trackRevisions>
    </reviewItem>
    <reviewItem>
      <errorID>ccc5b5c1-6f4c-4dd3-bb8e-ea1d39eed4d6</errorID>
      <errorWord>.</errorWord>
      <group>L1_Format</group>
      <groupName>格式问题</groupName>
      <ability>L2_HalfPunc_CN</ability>
      <abilityName>全半角问题</abilityName>
      <candidateList>
        <item>。</item>
      </candidateList>
      <explain>文本全半角错误。</explain>
      <paraID>2A0C5526</paraID>
      <start>90</start>
      <end>91</end>
      <status>unmodified</status>
      <modifiedWord/>
      <trackRevisions>false</trackRevisions>
    </reviewItem>
    <reviewItem>
      <errorID>176416c2-d994-4a95-b709-18c1b4aa5e53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3D942D46</paraID>
      <start>0</start>
      <end>2</end>
      <status>unmodified</status>
      <modifiedWord/>
      <trackRevisions>false</trackRevisions>
    </reviewItem>
    <reviewItem>
      <errorID>8a7999a5-becb-4e04-b337-be834797bec5</errorID>
      <errorWord>(</errorWord>
      <group>L1_Format</group>
      <groupName>格式问题</groupName>
      <ability>L2_HalfPunc_CN</ability>
      <abilityName>全半角问题</abilityName>
      <candidateList>
        <item>（</item>
      </candidateList>
      <explain>文本全半角错误。</explain>
      <paraID>3D942D46</paraID>
      <start>85</start>
      <end>86</end>
      <status>unmodified</status>
      <modifiedWord/>
      <trackRevisions>false</trackRevisions>
    </reviewItem>
    <reviewItem>
      <errorID>c48a7473-e75a-4f52-b3bb-3b994d5211b8</errorID>
      <errorWord>,</errorWord>
      <group>L1_Format</group>
      <groupName>格式问题</groupName>
      <ability>L2_HalfPunc_CN</ability>
      <abilityName>全半角问题</abilityName>
      <candidateList>
        <item>，</item>
      </candidateList>
      <explain>文本全半角错误。</explain>
      <paraID>3D942D46</paraID>
      <start>104</start>
      <end>105</end>
      <status>unmodified</status>
      <modifiedWord/>
      <trackRevisions>false</trackRevisions>
    </reviewItem>
    <reviewItem>
      <errorID>af6fa261-144e-49a7-aab1-e8923d3d40fa</errorID>
      <errorWord>(</errorWord>
      <group>L1_Format</group>
      <groupName>格式问题</groupName>
      <ability>L2_HalfPunc_CN</ability>
      <abilityName>全半角问题</abilityName>
      <candidateList>
        <item>（</item>
      </candidateList>
      <explain>文本全半角错误。</explain>
      <paraID>3D942D46</paraID>
      <start>138</start>
      <end>139</end>
      <status>unmodified</status>
      <modifiedWord/>
      <trackRevisions>false</trackRevisions>
    </reviewItem>
    <reviewItem>
      <errorID>bab8c0fd-161a-4b98-a657-1a87519fd7e5</errorID>
      <errorWord>)</errorWord>
      <group>L1_Format</group>
      <groupName>格式问题</groupName>
      <ability>L2_HalfPunc_CN</ability>
      <abilityName>全半角问题</abilityName>
      <candidateList>
        <item>）</item>
      </candidateList>
      <explain>文本全半角错误。</explain>
      <paraID>3D942D46</paraID>
      <start>163</start>
      <end>164</end>
      <status>unmodified</status>
      <modifiedWord/>
      <trackRevisions>false</trackRevisions>
    </reviewItem>
    <reviewItem>
      <errorID>7df4c2d9-e3b6-427b-aab9-7f011c7ceb50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227A6C24</paraID>
      <start>0</start>
      <end>2</end>
      <status>unmodified</status>
      <modifiedWord/>
      <trackRevisions>false</trackRevisions>
    </reviewItem>
    <reviewItem>
      <errorID>a219ff19-88b6-468d-b35f-3b35a163e3fb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3BB04AF1</paraID>
      <start>0</start>
      <end>2</end>
      <status>unmodified</status>
      <modifiedWord/>
      <trackRevisions>false</trackRevisions>
    </reviewItem>
    <reviewItem>
      <errorID>33fbd8e2-37bd-4ab7-849a-02f172688308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4C05B16F</paraID>
      <start>0</start>
      <end>2</end>
      <status>unmodified</status>
      <modifiedWord/>
      <trackRevisions>false</trackRevisions>
    </reviewItem>
    <reviewItem>
      <errorID>eba55768-a356-4ad1-8361-3f7c104b68d2</errorID>
      <errorWord>用</errorWord>
      <group>L1_Word</group>
      <groupName>字词问题</groupName>
      <ability>L2_Typo</ability>
      <abilityName>字词错误</abilityName>
      <candidateList>
        <item>用由</item>
      </candidateList>
      <explain/>
      <paraID>7145E48A</paraID>
      <start>3</start>
      <end>4</end>
      <status>unmodified</status>
      <modifiedWord/>
      <trackRevisions>false</trackRevisions>
    </reviewItem>
    <reviewItem>
      <errorID>eb34983f-00fc-4fbe-92b6-8f19f7cc8e8f</errorID>
      <errorWord>三无产品</errorWord>
      <group>L1_Punc</group>
      <groupName>标点问题</groupName>
      <ability>L2_Punc_CN</ability>
      <abilityName>标点符号问题</abilityName>
      <candidateList>
        <item>“三无”产品</item>
      </candidateList>
      <explain/>
      <paraID>44A6FDA1</paraID>
      <start>64</start>
      <end>68</end>
      <status>unmodified</status>
      <modifiedWord/>
      <trackRevisions>false</trackRevisions>
    </reviewItem>
    <reviewItem>
      <errorID>ccab69fc-8597-4d22-b407-c380603ec9dc</errorID>
      <errorWord>皱折</errorWord>
      <group>L1_Word</group>
      <groupName>字词问题</groupName>
      <ability>L2_Typo</ability>
      <abilityName>字词错误</abilityName>
      <candidateList>
        <item>皱褶</item>
      </candidateList>
      <explain/>
      <paraID>7F49D812</paraID>
      <start>27</start>
      <end>29</end>
      <status>unmodified</status>
      <modifiedWord/>
      <trackRevisions>false</trackRevisions>
    </reviewItem>
    <reviewItem>
      <errorID>4e7f6d9a-83f7-42dd-b0a7-fada4512c8e5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1859B158</paraID>
      <start>32</start>
      <end>33</end>
      <status>unmodified</status>
      <modifiedWord/>
      <trackRevisions>false</trackRevisions>
    </reviewItem>
    <reviewItem>
      <errorID>b9ceb56c-3ae3-4dfc-b0a0-dd579ef86af7</errorID>
      <errorWord>2026年1月1日</errorWord>
      <group>L1_Word</group>
      <groupName>字词问题</groupName>
      <ability>L2_Typo</ability>
      <abilityName>字词错误</abilityName>
      <candidateList>
        <item>2026年1月1日起</item>
      </candidateList>
      <explain/>
      <paraID>58416240</paraID>
      <start>2</start>
      <end>11</end>
      <status>unmodified</status>
      <modifiedWord/>
      <trackRevisions>false</trackRevisions>
    </reviewItem>
    <reviewItem>
      <errorID>cfd37627-3659-4895-a78f-b0d730131eac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4083B77</paraID>
      <start>36</start>
      <end>37</end>
      <status>unmodified</status>
      <modifiedWord/>
      <trackRevisions>false</trackRevisions>
    </reviewItem>
    <reviewItem>
      <errorID>b4886adb-34b4-4c3d-9cd8-5fec39ec3a28</errorID>
      <errorWord>该</errorWord>
      <group>L1_Word</group>
      <groupName>字词问题</groupName>
      <ability>L2_Typo</ability>
      <abilityName>字词错误</abilityName>
      <candidateList>
        <item>该在</item>
      </candidateList>
      <explain/>
      <paraID>2EE4E8C6</paraID>
      <start>63</start>
      <end>64</end>
      <status>unmodified</status>
      <modifiedWord/>
      <trackRevisions>false</trackRevisions>
    </reviewItem>
    <reviewItem>
      <errorID>2531747a-2d42-446c-a19e-85b128423cd1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67586E0A</paraID>
      <start>89</start>
      <end>90</end>
      <status>unmodified</status>
      <modifiedWord/>
      <trackRevisions>false</trackRevisions>
    </reviewItem>
    <reviewItem>
      <errorID>b4ad7421-3bb9-4ac4-909d-44a22a38c51f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67586E0A</paraID>
      <start>98</start>
      <end>99</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0f19d-c580-49fd-8e41-6f2374cfefe7}">
  <ds:schemaRefs/>
</ds:datastoreItem>
</file>

<file path=customXml/itemProps3.xml><?xml version="1.0" encoding="utf-8"?>
<ds:datastoreItem xmlns:ds="http://schemas.openxmlformats.org/officeDocument/2006/customXml" ds:itemID="{BEF60327-06A9-4341-8111-16DD91BAA23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159</Pages>
  <Words>18516</Words>
  <Characters>20103</Characters>
  <Lines>299</Lines>
  <Paragraphs>84</Paragraphs>
  <TotalTime>2</TotalTime>
  <ScaleCrop>false</ScaleCrop>
  <LinksUpToDate>false</LinksUpToDate>
  <CharactersWithSpaces>20513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2025-06-17T03:57:00Z</dcterms:created>
  <dc:creator>PC</dc:creator>
  <cp:lastModifiedBy>中建山河</cp:lastModifiedBy>
  <cp:lastPrinted>2026-05-29T08:48:00Z</cp:lastPrinted>
  <dcterms:modified xsi:type="dcterms:W3CDTF">2026-07-09T07:15:24Z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E57EDB0EF6DB4642A0FAE7400E779579_13</vt:lpwstr>
  </property>
  <property fmtid="{D5CDD505-2E9C-101B-9397-08002B2CF9AE}" pid="4" name="KSOTemplateDocerSaveRecord">
    <vt:lpwstr>eyJoZGlkIjoiODJhOGExMWRlNDg4YmFmMTNjNDhlM2IzYWFiMTdlNzAiLCJ1c2VySWQiOiIxNjE1ODc5Njc0In0=</vt:lpwstr>
  </property>
</Properties>
</file>