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D8A5E">
      <w:pPr>
        <w:spacing w:line="360" w:lineRule="auto"/>
        <w:jc w:val="center"/>
        <w:rPr>
          <w:rFonts w:hint="eastAsia" w:ascii="宋体" w:hAnsi="宋体"/>
          <w:b/>
          <w:color w:val="auto"/>
          <w:sz w:val="40"/>
          <w:szCs w:val="40"/>
        </w:rPr>
      </w:pPr>
    </w:p>
    <w:p w14:paraId="6CD1F271">
      <w:pPr>
        <w:spacing w:line="360" w:lineRule="auto"/>
        <w:jc w:val="center"/>
        <w:rPr>
          <w:rFonts w:hint="eastAsia" w:ascii="宋体" w:hAnsi="宋体"/>
          <w:b/>
          <w:color w:val="auto"/>
          <w:sz w:val="40"/>
          <w:szCs w:val="40"/>
        </w:rPr>
      </w:pPr>
      <w:r>
        <w:rPr>
          <w:rFonts w:hint="eastAsia" w:ascii="宋体" w:hAnsi="宋体"/>
          <w:b/>
          <w:color w:val="auto"/>
          <w:sz w:val="40"/>
          <w:szCs w:val="40"/>
        </w:rPr>
        <w:t>中原纯化制程实验室</w:t>
      </w:r>
    </w:p>
    <w:p w14:paraId="4D4EBF07">
      <w:pPr>
        <w:spacing w:line="360" w:lineRule="auto"/>
        <w:jc w:val="center"/>
        <w:rPr>
          <w:rFonts w:hint="eastAsia" w:ascii="宋体" w:hAnsi="宋体"/>
          <w:b/>
          <w:color w:val="auto"/>
          <w:sz w:val="40"/>
          <w:szCs w:val="40"/>
        </w:rPr>
      </w:pPr>
      <w:r>
        <w:rPr>
          <w:rFonts w:hint="eastAsia" w:ascii="宋体" w:hAnsi="宋体"/>
          <w:b/>
          <w:color w:val="auto"/>
          <w:sz w:val="40"/>
          <w:szCs w:val="40"/>
        </w:rPr>
        <w:t>高纯石墨材料制备技术与产品研发项目</w:t>
      </w:r>
    </w:p>
    <w:p w14:paraId="6103519F">
      <w:pPr>
        <w:spacing w:line="360" w:lineRule="auto"/>
        <w:jc w:val="center"/>
        <w:rPr>
          <w:rFonts w:hint="eastAsia" w:ascii="宋体" w:hAnsi="宋体"/>
          <w:b/>
          <w:color w:val="auto"/>
          <w:sz w:val="40"/>
          <w:szCs w:val="40"/>
        </w:rPr>
      </w:pPr>
    </w:p>
    <w:p w14:paraId="575F380C">
      <w:pPr>
        <w:jc w:val="center"/>
        <w:rPr>
          <w:rFonts w:hint="eastAsia" w:ascii="宋体" w:hAnsi="宋体"/>
          <w:b/>
          <w:color w:val="auto"/>
          <w:sz w:val="84"/>
          <w:szCs w:val="84"/>
        </w:rPr>
      </w:pPr>
      <w:r>
        <w:rPr>
          <w:rFonts w:hint="eastAsia" w:ascii="宋体" w:hAnsi="宋体"/>
          <w:b/>
          <w:color w:val="auto"/>
          <w:sz w:val="84"/>
          <w:szCs w:val="84"/>
        </w:rPr>
        <w:t>竞争性磋商文件</w:t>
      </w:r>
    </w:p>
    <w:p w14:paraId="7AF604CA">
      <w:pPr>
        <w:jc w:val="center"/>
        <w:rPr>
          <w:rFonts w:hint="eastAsia" w:ascii="宋体" w:hAnsi="宋体"/>
          <w:b/>
          <w:color w:val="auto"/>
          <w:sz w:val="32"/>
          <w:szCs w:val="32"/>
        </w:rPr>
      </w:pPr>
    </w:p>
    <w:p w14:paraId="4B22B0D1">
      <w:pPr>
        <w:jc w:val="center"/>
        <w:rPr>
          <w:rFonts w:hint="eastAsia" w:ascii="宋体" w:hAnsi="宋体" w:eastAsia="宋体"/>
          <w:b/>
          <w:color w:val="auto"/>
          <w:sz w:val="28"/>
          <w:szCs w:val="28"/>
          <w:u w:val="single"/>
          <w:lang w:eastAsia="zh-CN"/>
        </w:rPr>
      </w:pPr>
      <w:r>
        <w:rPr>
          <w:rFonts w:hint="eastAsia" w:ascii="宋体" w:hAnsi="宋体"/>
          <w:b/>
          <w:color w:val="auto"/>
          <w:sz w:val="28"/>
          <w:szCs w:val="28"/>
        </w:rPr>
        <w:t>项目编号：</w:t>
      </w:r>
      <w:r>
        <w:rPr>
          <w:rFonts w:hint="eastAsia" w:ascii="宋体" w:hAnsi="宋体"/>
          <w:b/>
          <w:color w:val="auto"/>
          <w:sz w:val="28"/>
          <w:szCs w:val="28"/>
          <w:lang w:eastAsia="zh-CN"/>
        </w:rPr>
        <w:t>豫财磋商采购-2026-690</w:t>
      </w:r>
    </w:p>
    <w:p w14:paraId="0CE6304C">
      <w:pPr>
        <w:ind w:firstLine="3534" w:firstLineChars="1100"/>
        <w:rPr>
          <w:rFonts w:hint="eastAsia" w:ascii="宋体" w:hAnsi="宋体"/>
          <w:b/>
          <w:color w:val="auto"/>
          <w:sz w:val="32"/>
          <w:szCs w:val="32"/>
          <w:u w:val="single"/>
        </w:rPr>
      </w:pPr>
    </w:p>
    <w:p w14:paraId="75D79C70">
      <w:pPr>
        <w:jc w:val="center"/>
        <w:rPr>
          <w:rFonts w:hint="eastAsia" w:ascii="宋体" w:hAnsi="宋体"/>
          <w:b/>
          <w:color w:val="auto"/>
          <w:sz w:val="36"/>
          <w:szCs w:val="36"/>
        </w:rPr>
      </w:pPr>
      <w:r>
        <w:rPr>
          <w:rFonts w:hint="eastAsia" w:ascii="宋体" w:hAnsi="宋体" w:cs="宋体"/>
          <w:color w:val="auto"/>
        </w:rPr>
        <w:drawing>
          <wp:inline distT="0" distB="0" distL="0" distR="0">
            <wp:extent cx="2175510" cy="2735580"/>
            <wp:effectExtent l="0" t="0" r="0" b="0"/>
            <wp:docPr id="1" name="图片 1" descr="微信图片_20211021094822"/>
            <wp:cNvGraphicFramePr/>
            <a:graphic xmlns:a="http://schemas.openxmlformats.org/drawingml/2006/main">
              <a:graphicData uri="http://schemas.openxmlformats.org/drawingml/2006/picture">
                <pic:pic xmlns:pic="http://schemas.openxmlformats.org/drawingml/2006/picture">
                  <pic:nvPicPr>
                    <pic:cNvPr id="1" name="图片 1" descr="微信图片_20211021094822"/>
                    <pic:cNvPicPr/>
                  </pic:nvPicPr>
                  <pic:blipFill>
                    <a:blip r:embed="rId11">
                      <a:extLst>
                        <a:ext uri="{28A0092B-C50C-407E-A947-70E740481C1C}">
                          <a14:useLocalDpi xmlns:a14="http://schemas.microsoft.com/office/drawing/2010/main" val="0"/>
                        </a:ext>
                      </a:extLst>
                    </a:blip>
                    <a:srcRect/>
                    <a:stretch>
                      <a:fillRect/>
                    </a:stretch>
                  </pic:blipFill>
                  <pic:spPr>
                    <a:xfrm>
                      <a:off x="0" y="0"/>
                      <a:ext cx="2175510" cy="2735580"/>
                    </a:xfrm>
                    <a:prstGeom prst="rect">
                      <a:avLst/>
                    </a:prstGeom>
                    <a:noFill/>
                    <a:ln>
                      <a:noFill/>
                    </a:ln>
                    <a:effectLst/>
                  </pic:spPr>
                </pic:pic>
              </a:graphicData>
            </a:graphic>
          </wp:inline>
        </w:drawing>
      </w:r>
    </w:p>
    <w:p w14:paraId="6B9963CE">
      <w:pPr>
        <w:rPr>
          <w:rFonts w:hint="eastAsia" w:ascii="宋体" w:hAnsi="宋体"/>
          <w:b/>
          <w:color w:val="auto"/>
          <w:sz w:val="32"/>
          <w:szCs w:val="32"/>
        </w:rPr>
      </w:pPr>
    </w:p>
    <w:p w14:paraId="7696BE0F">
      <w:pPr>
        <w:jc w:val="center"/>
        <w:rPr>
          <w:rFonts w:hint="eastAsia" w:ascii="宋体" w:hAnsi="宋体"/>
          <w:b/>
          <w:color w:val="auto"/>
          <w:sz w:val="32"/>
          <w:szCs w:val="32"/>
        </w:rPr>
      </w:pPr>
    </w:p>
    <w:p w14:paraId="100638C4">
      <w:pPr>
        <w:spacing w:line="360" w:lineRule="auto"/>
        <w:ind w:firstLine="643" w:firstLineChars="200"/>
        <w:rPr>
          <w:rFonts w:hint="eastAsia" w:ascii="宋体" w:hAnsi="宋体" w:cs="宋体"/>
          <w:b/>
          <w:color w:val="auto"/>
          <w:sz w:val="32"/>
          <w:szCs w:val="32"/>
        </w:rPr>
      </w:pPr>
      <w:r>
        <w:rPr>
          <w:rFonts w:hint="eastAsia" w:ascii="宋体" w:hAnsi="宋体" w:cs="宋体"/>
          <w:b/>
          <w:color w:val="auto"/>
          <w:sz w:val="32"/>
          <w:szCs w:val="32"/>
        </w:rPr>
        <w:t>采   购   人：中原纯化制程实验室</w:t>
      </w:r>
    </w:p>
    <w:p w14:paraId="59BC7FA8">
      <w:pPr>
        <w:spacing w:line="360" w:lineRule="auto"/>
        <w:ind w:firstLine="643" w:firstLineChars="200"/>
        <w:rPr>
          <w:rFonts w:hint="eastAsia" w:ascii="宋体" w:hAnsi="宋体" w:cs="宋体"/>
          <w:b/>
          <w:color w:val="auto"/>
          <w:sz w:val="32"/>
          <w:szCs w:val="32"/>
        </w:rPr>
      </w:pPr>
      <w:r>
        <w:rPr>
          <w:rFonts w:hint="eastAsia" w:ascii="宋体" w:hAnsi="宋体" w:cs="宋体"/>
          <w:b/>
          <w:color w:val="auto"/>
          <w:sz w:val="32"/>
          <w:szCs w:val="32"/>
        </w:rPr>
        <w:t>采购代理机构：中建山河建设管理集团有限公司</w:t>
      </w:r>
    </w:p>
    <w:p w14:paraId="2F7A42AC">
      <w:pPr>
        <w:spacing w:line="360" w:lineRule="auto"/>
        <w:ind w:firstLine="643" w:firstLineChars="200"/>
        <w:rPr>
          <w:rFonts w:hint="eastAsia" w:ascii="宋体" w:hAnsi="宋体" w:cs="宋体"/>
          <w:b/>
          <w:bCs/>
          <w:color w:val="auto"/>
          <w:sz w:val="24"/>
          <w:szCs w:val="24"/>
        </w:rPr>
        <w:sectPr>
          <w:headerReference r:id="rId4" w:type="first"/>
          <w:headerReference r:id="rId3" w:type="default"/>
          <w:pgSz w:w="11905" w:h="16838"/>
          <w:pgMar w:top="1440" w:right="1800" w:bottom="1440" w:left="1800" w:header="794" w:footer="794" w:gutter="0"/>
          <w:cols w:space="720" w:num="1"/>
          <w:docGrid w:type="lines" w:linePitch="318" w:charSpace="0"/>
        </w:sectPr>
      </w:pPr>
      <w:bookmarkStart w:id="0" w:name="_Toc16328"/>
      <w:r>
        <w:rPr>
          <w:rFonts w:hint="eastAsia" w:ascii="宋体" w:hAnsi="宋体" w:cs="宋体"/>
          <w:b/>
          <w:color w:val="auto"/>
          <w:sz w:val="32"/>
          <w:szCs w:val="32"/>
        </w:rPr>
        <w:t>日        期：二〇二六年七月</w:t>
      </w:r>
      <w:bookmarkEnd w:id="0"/>
    </w:p>
    <w:p w14:paraId="005C96E2">
      <w:pPr>
        <w:pStyle w:val="29"/>
        <w:tabs>
          <w:tab w:val="right" w:leader="dot" w:pos="9014"/>
        </w:tabs>
        <w:spacing w:before="0" w:beforeAutospacing="0" w:after="0" w:line="240" w:lineRule="auto"/>
        <w:rPr>
          <w:b/>
          <w:bCs/>
          <w:color w:val="auto"/>
          <w:sz w:val="32"/>
          <w:szCs w:val="32"/>
        </w:rPr>
      </w:pPr>
      <w:bookmarkStart w:id="1" w:name="_Toc509667258"/>
      <w:bookmarkEnd w:id="1"/>
      <w:bookmarkStart w:id="2" w:name="_Toc152045527"/>
      <w:bookmarkEnd w:id="2"/>
      <w:bookmarkStart w:id="3" w:name="_Toc1838"/>
      <w:bookmarkEnd w:id="3"/>
      <w:bookmarkStart w:id="4" w:name="_Toc144974495"/>
      <w:bookmarkEnd w:id="4"/>
      <w:bookmarkStart w:id="5" w:name="_Toc152042303"/>
      <w:bookmarkEnd w:id="5"/>
      <w:r>
        <w:rPr>
          <w:rFonts w:hint="eastAsia"/>
          <w:b/>
          <w:bCs/>
          <w:color w:val="auto"/>
          <w:sz w:val="32"/>
          <w:szCs w:val="32"/>
        </w:rPr>
        <w:t>目  录</w:t>
      </w:r>
    </w:p>
    <w:p w14:paraId="7B14F9C5">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"_Toc5149" </w:instrText>
      </w:r>
      <w:r>
        <w:rPr>
          <w:color w:val="auto"/>
        </w:rPr>
        <w:fldChar w:fldCharType="separate"/>
      </w:r>
      <w:r>
        <w:rPr>
          <w:rFonts w:hint="eastAsia" w:ascii="宋体" w:hAnsi="宋体"/>
          <w:color w:val="auto"/>
          <w:szCs w:val="32"/>
        </w:rPr>
        <w:t>第一章  竞争性磋商公告</w:t>
      </w:r>
      <w:r>
        <w:rPr>
          <w:color w:val="auto"/>
        </w:rPr>
        <w:tab/>
      </w:r>
      <w:r>
        <w:rPr>
          <w:color w:val="auto"/>
        </w:rPr>
        <w:fldChar w:fldCharType="begin"/>
      </w:r>
      <w:r>
        <w:rPr>
          <w:color w:val="auto"/>
        </w:rPr>
        <w:instrText xml:space="preserve"> PAGEREF _Toc5149 \h </w:instrText>
      </w:r>
      <w:r>
        <w:rPr>
          <w:color w:val="auto"/>
        </w:rPr>
        <w:fldChar w:fldCharType="separate"/>
      </w:r>
      <w:r>
        <w:rPr>
          <w:color w:val="auto"/>
        </w:rPr>
        <w:t>4</w:t>
      </w:r>
      <w:r>
        <w:rPr>
          <w:color w:val="auto"/>
        </w:rPr>
        <w:fldChar w:fldCharType="end"/>
      </w:r>
      <w:r>
        <w:rPr>
          <w:color w:val="auto"/>
        </w:rPr>
        <w:fldChar w:fldCharType="end"/>
      </w:r>
    </w:p>
    <w:p w14:paraId="6EBEF812">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 HYPERLINK \l "_Toc14920" </w:instrText>
      </w:r>
      <w:r>
        <w:rPr>
          <w:color w:val="auto"/>
        </w:rPr>
        <w:fldChar w:fldCharType="separate"/>
      </w:r>
      <w:r>
        <w:rPr>
          <w:rFonts w:hint="eastAsia" w:ascii="宋体" w:hAnsi="宋体"/>
          <w:color w:val="auto"/>
          <w:szCs w:val="32"/>
        </w:rPr>
        <w:t>第二章  供应商须知</w:t>
      </w:r>
      <w:r>
        <w:rPr>
          <w:color w:val="auto"/>
        </w:rPr>
        <w:tab/>
      </w:r>
      <w:r>
        <w:rPr>
          <w:color w:val="auto"/>
        </w:rPr>
        <w:fldChar w:fldCharType="begin"/>
      </w:r>
      <w:r>
        <w:rPr>
          <w:color w:val="auto"/>
        </w:rPr>
        <w:instrText xml:space="preserve"> PAGEREF _Toc14920 \h </w:instrText>
      </w:r>
      <w:r>
        <w:rPr>
          <w:color w:val="auto"/>
        </w:rPr>
        <w:fldChar w:fldCharType="separate"/>
      </w:r>
      <w:r>
        <w:rPr>
          <w:color w:val="auto"/>
        </w:rPr>
        <w:t>7</w:t>
      </w:r>
      <w:r>
        <w:rPr>
          <w:color w:val="auto"/>
        </w:rPr>
        <w:fldChar w:fldCharType="end"/>
      </w:r>
      <w:r>
        <w:rPr>
          <w:color w:val="auto"/>
        </w:rPr>
        <w:fldChar w:fldCharType="end"/>
      </w:r>
    </w:p>
    <w:p w14:paraId="2F3FBC35">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"_Toc24435" </w:instrText>
      </w:r>
      <w:r>
        <w:rPr>
          <w:color w:val="auto"/>
        </w:rPr>
        <w:fldChar w:fldCharType="separate"/>
      </w:r>
      <w:r>
        <w:rPr>
          <w:rFonts w:hint="eastAsia" w:ascii="宋体" w:hAnsi="宋体"/>
          <w:color w:val="auto"/>
        </w:rPr>
        <w:t>供应商须知前附表</w:t>
      </w:r>
      <w:r>
        <w:rPr>
          <w:color w:val="auto"/>
        </w:rPr>
        <w:tab/>
      </w:r>
      <w:r>
        <w:rPr>
          <w:color w:val="auto"/>
        </w:rPr>
        <w:fldChar w:fldCharType="begin"/>
      </w:r>
      <w:r>
        <w:rPr>
          <w:color w:val="auto"/>
        </w:rPr>
        <w:instrText xml:space="preserve"> PAGEREF _Toc24435 \h </w:instrText>
      </w:r>
      <w:r>
        <w:rPr>
          <w:color w:val="auto"/>
        </w:rPr>
        <w:fldChar w:fldCharType="separate"/>
      </w:r>
      <w:r>
        <w:rPr>
          <w:color w:val="auto"/>
        </w:rPr>
        <w:t>7</w:t>
      </w:r>
      <w:r>
        <w:rPr>
          <w:color w:val="auto"/>
        </w:rPr>
        <w:fldChar w:fldCharType="end"/>
      </w:r>
      <w:r>
        <w:rPr>
          <w:color w:val="auto"/>
        </w:rPr>
        <w:fldChar w:fldCharType="end"/>
      </w:r>
    </w:p>
    <w:p w14:paraId="3B2405DC">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"_Toc18078" </w:instrText>
      </w:r>
      <w:r>
        <w:rPr>
          <w:color w:val="auto"/>
        </w:rPr>
        <w:fldChar w:fldCharType="separate"/>
      </w:r>
      <w:r>
        <w:rPr>
          <w:rFonts w:hint="eastAsia" w:ascii="宋体" w:hAnsi="宋体"/>
          <w:color w:val="auto"/>
          <w:szCs w:val="21"/>
        </w:rPr>
        <w:t>1. 总则</w:t>
      </w:r>
      <w:r>
        <w:rPr>
          <w:color w:val="auto"/>
        </w:rPr>
        <w:tab/>
      </w:r>
      <w:r>
        <w:rPr>
          <w:color w:val="auto"/>
        </w:rPr>
        <w:fldChar w:fldCharType="begin"/>
      </w:r>
      <w:r>
        <w:rPr>
          <w:color w:val="auto"/>
        </w:rPr>
        <w:instrText xml:space="preserve"> PAGEREF _Toc18078 \h </w:instrText>
      </w:r>
      <w:r>
        <w:rPr>
          <w:color w:val="auto"/>
        </w:rPr>
        <w:fldChar w:fldCharType="separate"/>
      </w:r>
      <w:r>
        <w:rPr>
          <w:color w:val="auto"/>
        </w:rPr>
        <w:t>17</w:t>
      </w:r>
      <w:r>
        <w:rPr>
          <w:color w:val="auto"/>
        </w:rPr>
        <w:fldChar w:fldCharType="end"/>
      </w:r>
      <w:r>
        <w:rPr>
          <w:color w:val="auto"/>
        </w:rPr>
        <w:fldChar w:fldCharType="end"/>
      </w:r>
    </w:p>
    <w:p w14:paraId="7001A322">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"_Toc29703" </w:instrText>
      </w:r>
      <w:r>
        <w:rPr>
          <w:color w:val="auto"/>
        </w:rPr>
        <w:fldChar w:fldCharType="separate"/>
      </w:r>
      <w:r>
        <w:rPr>
          <w:rFonts w:hint="eastAsia" w:ascii="宋体" w:hAnsi="宋体"/>
          <w:color w:val="auto"/>
          <w:szCs w:val="21"/>
        </w:rPr>
        <w:t>2. 磋商文件</w:t>
      </w:r>
      <w:r>
        <w:rPr>
          <w:color w:val="auto"/>
        </w:rPr>
        <w:tab/>
      </w:r>
      <w:r>
        <w:rPr>
          <w:color w:val="auto"/>
        </w:rPr>
        <w:fldChar w:fldCharType="begin"/>
      </w:r>
      <w:r>
        <w:rPr>
          <w:color w:val="auto"/>
        </w:rPr>
        <w:instrText xml:space="preserve"> PAGEREF _Toc29703 \h </w:instrText>
      </w:r>
      <w:r>
        <w:rPr>
          <w:color w:val="auto"/>
        </w:rPr>
        <w:fldChar w:fldCharType="separate"/>
      </w:r>
      <w:r>
        <w:rPr>
          <w:color w:val="auto"/>
        </w:rPr>
        <w:t>18</w:t>
      </w:r>
      <w:r>
        <w:rPr>
          <w:color w:val="auto"/>
        </w:rPr>
        <w:fldChar w:fldCharType="end"/>
      </w:r>
      <w:r>
        <w:rPr>
          <w:color w:val="auto"/>
        </w:rPr>
        <w:fldChar w:fldCharType="end"/>
      </w:r>
    </w:p>
    <w:p w14:paraId="09DC43DE">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"_Toc20033" </w:instrText>
      </w:r>
      <w:r>
        <w:rPr>
          <w:color w:val="auto"/>
        </w:rPr>
        <w:fldChar w:fldCharType="separate"/>
      </w:r>
      <w:r>
        <w:rPr>
          <w:rFonts w:hint="eastAsia" w:ascii="宋体" w:hAnsi="宋体"/>
          <w:color w:val="auto"/>
          <w:szCs w:val="21"/>
        </w:rPr>
        <w:t>3. 响应文件</w:t>
      </w:r>
      <w:r>
        <w:rPr>
          <w:color w:val="auto"/>
        </w:rPr>
        <w:tab/>
      </w:r>
      <w:r>
        <w:rPr>
          <w:color w:val="auto"/>
        </w:rPr>
        <w:fldChar w:fldCharType="begin"/>
      </w:r>
      <w:r>
        <w:rPr>
          <w:color w:val="auto"/>
        </w:rPr>
        <w:instrText xml:space="preserve"> PAGEREF _Toc20033 \h </w:instrText>
      </w:r>
      <w:r>
        <w:rPr>
          <w:color w:val="auto"/>
        </w:rPr>
        <w:fldChar w:fldCharType="separate"/>
      </w:r>
      <w:r>
        <w:rPr>
          <w:color w:val="auto"/>
        </w:rPr>
        <w:t>19</w:t>
      </w:r>
      <w:r>
        <w:rPr>
          <w:color w:val="auto"/>
        </w:rPr>
        <w:fldChar w:fldCharType="end"/>
      </w:r>
      <w:r>
        <w:rPr>
          <w:color w:val="auto"/>
        </w:rPr>
        <w:fldChar w:fldCharType="end"/>
      </w:r>
    </w:p>
    <w:p w14:paraId="62246081">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"_Toc13989" </w:instrText>
      </w:r>
      <w:r>
        <w:rPr>
          <w:color w:val="auto"/>
        </w:rPr>
        <w:fldChar w:fldCharType="separate"/>
      </w:r>
      <w:r>
        <w:rPr>
          <w:rFonts w:hint="eastAsia" w:ascii="宋体" w:hAnsi="宋体"/>
          <w:color w:val="auto"/>
          <w:szCs w:val="21"/>
        </w:rPr>
        <w:t>4. 响应文件递交</w:t>
      </w:r>
      <w:r>
        <w:rPr>
          <w:color w:val="auto"/>
        </w:rPr>
        <w:tab/>
      </w:r>
      <w:r>
        <w:rPr>
          <w:color w:val="auto"/>
        </w:rPr>
        <w:fldChar w:fldCharType="begin"/>
      </w:r>
      <w:r>
        <w:rPr>
          <w:color w:val="auto"/>
        </w:rPr>
        <w:instrText xml:space="preserve"> PAGEREF _Toc13989 \h </w:instrText>
      </w:r>
      <w:r>
        <w:rPr>
          <w:color w:val="auto"/>
        </w:rPr>
        <w:fldChar w:fldCharType="separate"/>
      </w:r>
      <w:r>
        <w:rPr>
          <w:color w:val="auto"/>
        </w:rPr>
        <w:t>21</w:t>
      </w:r>
      <w:r>
        <w:rPr>
          <w:color w:val="auto"/>
        </w:rPr>
        <w:fldChar w:fldCharType="end"/>
      </w:r>
      <w:r>
        <w:rPr>
          <w:color w:val="auto"/>
        </w:rPr>
        <w:fldChar w:fldCharType="end"/>
      </w:r>
    </w:p>
    <w:p w14:paraId="2897324C">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"_Toc31989" </w:instrText>
      </w:r>
      <w:r>
        <w:rPr>
          <w:color w:val="auto"/>
        </w:rPr>
        <w:fldChar w:fldCharType="separate"/>
      </w:r>
      <w:r>
        <w:rPr>
          <w:rFonts w:hint="eastAsia" w:ascii="宋体" w:hAnsi="宋体"/>
          <w:color w:val="auto"/>
          <w:szCs w:val="21"/>
        </w:rPr>
        <w:t>5. 磋商</w:t>
      </w:r>
      <w:r>
        <w:rPr>
          <w:color w:val="auto"/>
        </w:rPr>
        <w:tab/>
      </w:r>
      <w:r>
        <w:rPr>
          <w:color w:val="auto"/>
        </w:rPr>
        <w:fldChar w:fldCharType="begin"/>
      </w:r>
      <w:r>
        <w:rPr>
          <w:color w:val="auto"/>
        </w:rPr>
        <w:instrText xml:space="preserve"> PAGEREF _Toc31989 \h </w:instrText>
      </w:r>
      <w:r>
        <w:rPr>
          <w:color w:val="auto"/>
        </w:rPr>
        <w:fldChar w:fldCharType="separate"/>
      </w:r>
      <w:r>
        <w:rPr>
          <w:color w:val="auto"/>
        </w:rPr>
        <w:t>21</w:t>
      </w:r>
      <w:r>
        <w:rPr>
          <w:color w:val="auto"/>
        </w:rPr>
        <w:fldChar w:fldCharType="end"/>
      </w:r>
      <w:r>
        <w:rPr>
          <w:color w:val="auto"/>
        </w:rPr>
        <w:fldChar w:fldCharType="end"/>
      </w:r>
    </w:p>
    <w:p w14:paraId="4B7143A2">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"_Toc15745" </w:instrText>
      </w:r>
      <w:r>
        <w:rPr>
          <w:color w:val="auto"/>
        </w:rPr>
        <w:fldChar w:fldCharType="separate"/>
      </w:r>
      <w:r>
        <w:rPr>
          <w:rFonts w:hint="eastAsia" w:ascii="宋体" w:hAnsi="宋体"/>
          <w:color w:val="auto"/>
          <w:szCs w:val="21"/>
        </w:rPr>
        <w:t>6. 磋商小组</w:t>
      </w:r>
      <w:r>
        <w:rPr>
          <w:color w:val="auto"/>
        </w:rPr>
        <w:tab/>
      </w:r>
      <w:r>
        <w:rPr>
          <w:color w:val="auto"/>
        </w:rPr>
        <w:fldChar w:fldCharType="begin"/>
      </w:r>
      <w:r>
        <w:rPr>
          <w:color w:val="auto"/>
        </w:rPr>
        <w:instrText xml:space="preserve"> PAGEREF _Toc15745 \h </w:instrText>
      </w:r>
      <w:r>
        <w:rPr>
          <w:color w:val="auto"/>
        </w:rPr>
        <w:fldChar w:fldCharType="separate"/>
      </w:r>
      <w:r>
        <w:rPr>
          <w:color w:val="auto"/>
        </w:rPr>
        <w:t>22</w:t>
      </w:r>
      <w:r>
        <w:rPr>
          <w:color w:val="auto"/>
        </w:rPr>
        <w:fldChar w:fldCharType="end"/>
      </w:r>
      <w:r>
        <w:rPr>
          <w:color w:val="auto"/>
        </w:rPr>
        <w:fldChar w:fldCharType="end"/>
      </w:r>
    </w:p>
    <w:p w14:paraId="533C7644">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"_Toc19350" </w:instrText>
      </w:r>
      <w:r>
        <w:rPr>
          <w:color w:val="auto"/>
        </w:rPr>
        <w:fldChar w:fldCharType="separate"/>
      </w:r>
      <w:r>
        <w:rPr>
          <w:rFonts w:hint="eastAsia" w:ascii="宋体" w:hAnsi="宋体"/>
          <w:color w:val="auto"/>
          <w:szCs w:val="21"/>
        </w:rPr>
        <w:t>7. 合同授予</w:t>
      </w:r>
      <w:r>
        <w:rPr>
          <w:color w:val="auto"/>
        </w:rPr>
        <w:tab/>
      </w:r>
      <w:r>
        <w:rPr>
          <w:color w:val="auto"/>
        </w:rPr>
        <w:fldChar w:fldCharType="begin"/>
      </w:r>
      <w:r>
        <w:rPr>
          <w:color w:val="auto"/>
        </w:rPr>
        <w:instrText xml:space="preserve"> PAGEREF _Toc19350 \h </w:instrText>
      </w:r>
      <w:r>
        <w:rPr>
          <w:color w:val="auto"/>
        </w:rPr>
        <w:fldChar w:fldCharType="separate"/>
      </w:r>
      <w:r>
        <w:rPr>
          <w:color w:val="auto"/>
        </w:rPr>
        <w:t>23</w:t>
      </w:r>
      <w:r>
        <w:rPr>
          <w:color w:val="auto"/>
        </w:rPr>
        <w:fldChar w:fldCharType="end"/>
      </w:r>
      <w:r>
        <w:rPr>
          <w:color w:val="auto"/>
        </w:rPr>
        <w:fldChar w:fldCharType="end"/>
      </w:r>
    </w:p>
    <w:p w14:paraId="5191F56E">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"_Toc21401" </w:instrText>
      </w:r>
      <w:r>
        <w:rPr>
          <w:color w:val="auto"/>
        </w:rPr>
        <w:fldChar w:fldCharType="separate"/>
      </w:r>
      <w:r>
        <w:rPr>
          <w:rFonts w:hint="eastAsia" w:ascii="宋体" w:hAnsi="宋体"/>
          <w:color w:val="auto"/>
          <w:szCs w:val="21"/>
        </w:rPr>
        <w:t>8. 重新招标</w:t>
      </w:r>
      <w:r>
        <w:rPr>
          <w:color w:val="auto"/>
        </w:rPr>
        <w:tab/>
      </w:r>
      <w:r>
        <w:rPr>
          <w:color w:val="auto"/>
        </w:rPr>
        <w:fldChar w:fldCharType="begin"/>
      </w:r>
      <w:r>
        <w:rPr>
          <w:color w:val="auto"/>
        </w:rPr>
        <w:instrText xml:space="preserve"> PAGEREF _Toc21401 \h </w:instrText>
      </w:r>
      <w:r>
        <w:rPr>
          <w:color w:val="auto"/>
        </w:rPr>
        <w:fldChar w:fldCharType="separate"/>
      </w:r>
      <w:r>
        <w:rPr>
          <w:color w:val="auto"/>
        </w:rPr>
        <w:t>24</w:t>
      </w:r>
      <w:r>
        <w:rPr>
          <w:color w:val="auto"/>
        </w:rPr>
        <w:fldChar w:fldCharType="end"/>
      </w:r>
      <w:r>
        <w:rPr>
          <w:color w:val="auto"/>
        </w:rPr>
        <w:fldChar w:fldCharType="end"/>
      </w:r>
    </w:p>
    <w:p w14:paraId="678157EC">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"_Toc119" </w:instrText>
      </w:r>
      <w:r>
        <w:rPr>
          <w:color w:val="auto"/>
        </w:rPr>
        <w:fldChar w:fldCharType="separate"/>
      </w:r>
      <w:r>
        <w:rPr>
          <w:rFonts w:hint="eastAsia" w:ascii="宋体" w:hAnsi="宋体"/>
          <w:color w:val="auto"/>
          <w:szCs w:val="21"/>
        </w:rPr>
        <w:t>9. 纪律和监督</w:t>
      </w:r>
      <w:r>
        <w:rPr>
          <w:color w:val="auto"/>
        </w:rPr>
        <w:tab/>
      </w:r>
      <w:r>
        <w:rPr>
          <w:color w:val="auto"/>
        </w:rPr>
        <w:fldChar w:fldCharType="begin"/>
      </w:r>
      <w:r>
        <w:rPr>
          <w:color w:val="auto"/>
        </w:rPr>
        <w:instrText xml:space="preserve"> PAGEREF _Toc119 \h </w:instrText>
      </w:r>
      <w:r>
        <w:rPr>
          <w:color w:val="auto"/>
        </w:rPr>
        <w:fldChar w:fldCharType="separate"/>
      </w:r>
      <w:r>
        <w:rPr>
          <w:color w:val="auto"/>
        </w:rPr>
        <w:t>24</w:t>
      </w:r>
      <w:r>
        <w:rPr>
          <w:color w:val="auto"/>
        </w:rPr>
        <w:fldChar w:fldCharType="end"/>
      </w:r>
      <w:r>
        <w:rPr>
          <w:color w:val="auto"/>
        </w:rPr>
        <w:fldChar w:fldCharType="end"/>
      </w:r>
    </w:p>
    <w:p w14:paraId="6816E634">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"_Toc22553" </w:instrText>
      </w:r>
      <w:r>
        <w:rPr>
          <w:color w:val="auto"/>
        </w:rPr>
        <w:fldChar w:fldCharType="separate"/>
      </w:r>
      <w:r>
        <w:rPr>
          <w:rFonts w:hint="eastAsia" w:ascii="宋体" w:hAnsi="宋体"/>
          <w:color w:val="auto"/>
          <w:szCs w:val="21"/>
        </w:rPr>
        <w:t>10. 需要补充的其他内容</w:t>
      </w:r>
      <w:r>
        <w:rPr>
          <w:color w:val="auto"/>
        </w:rPr>
        <w:tab/>
      </w:r>
      <w:r>
        <w:rPr>
          <w:color w:val="auto"/>
        </w:rPr>
        <w:fldChar w:fldCharType="begin"/>
      </w:r>
      <w:r>
        <w:rPr>
          <w:color w:val="auto"/>
        </w:rPr>
        <w:instrText xml:space="preserve"> PAGEREF _Toc22553 \h </w:instrText>
      </w:r>
      <w:r>
        <w:rPr>
          <w:color w:val="auto"/>
        </w:rPr>
        <w:fldChar w:fldCharType="separate"/>
      </w:r>
      <w:r>
        <w:rPr>
          <w:color w:val="auto"/>
        </w:rPr>
        <w:t>26</w:t>
      </w:r>
      <w:r>
        <w:rPr>
          <w:color w:val="auto"/>
        </w:rPr>
        <w:fldChar w:fldCharType="end"/>
      </w:r>
      <w:r>
        <w:rPr>
          <w:color w:val="auto"/>
        </w:rPr>
        <w:fldChar w:fldCharType="end"/>
      </w:r>
    </w:p>
    <w:p w14:paraId="518A4131">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 HYPERLINK \l "_Toc28591" </w:instrText>
      </w:r>
      <w:r>
        <w:rPr>
          <w:color w:val="auto"/>
        </w:rPr>
        <w:fldChar w:fldCharType="separate"/>
      </w:r>
      <w:r>
        <w:rPr>
          <w:rFonts w:hint="eastAsia" w:ascii="宋体" w:hAnsi="宋体"/>
          <w:color w:val="auto"/>
          <w:kern w:val="44"/>
          <w:szCs w:val="36"/>
        </w:rPr>
        <w:t>第三章  评标办法（综合评分法）</w:t>
      </w:r>
      <w:r>
        <w:rPr>
          <w:color w:val="auto"/>
        </w:rPr>
        <w:tab/>
      </w:r>
      <w:r>
        <w:rPr>
          <w:color w:val="auto"/>
        </w:rPr>
        <w:fldChar w:fldCharType="begin"/>
      </w:r>
      <w:r>
        <w:rPr>
          <w:color w:val="auto"/>
        </w:rPr>
        <w:instrText xml:space="preserve"> PAGEREF _Toc28591 \h </w:instrText>
      </w:r>
      <w:r>
        <w:rPr>
          <w:color w:val="auto"/>
        </w:rPr>
        <w:fldChar w:fldCharType="separate"/>
      </w:r>
      <w:r>
        <w:rPr>
          <w:color w:val="auto"/>
        </w:rPr>
        <w:t>32</w:t>
      </w:r>
      <w:r>
        <w:rPr>
          <w:color w:val="auto"/>
        </w:rPr>
        <w:fldChar w:fldCharType="end"/>
      </w:r>
      <w:r>
        <w:rPr>
          <w:color w:val="auto"/>
        </w:rPr>
        <w:fldChar w:fldCharType="end"/>
      </w:r>
    </w:p>
    <w:p w14:paraId="3FF3C8A5">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 HYPERLINK \l "_Toc3147" </w:instrText>
      </w:r>
      <w:r>
        <w:rPr>
          <w:color w:val="auto"/>
        </w:rPr>
        <w:fldChar w:fldCharType="separate"/>
      </w:r>
      <w:r>
        <w:rPr>
          <w:rFonts w:hint="eastAsia" w:ascii="宋体" w:hAnsi="宋体"/>
          <w:color w:val="auto"/>
          <w:kern w:val="44"/>
          <w:szCs w:val="36"/>
        </w:rPr>
        <w:t>第四章  合同条款及格式</w:t>
      </w:r>
      <w:r>
        <w:rPr>
          <w:color w:val="auto"/>
        </w:rPr>
        <w:tab/>
      </w:r>
      <w:r>
        <w:rPr>
          <w:color w:val="auto"/>
        </w:rPr>
        <w:fldChar w:fldCharType="begin"/>
      </w:r>
      <w:r>
        <w:rPr>
          <w:color w:val="auto"/>
        </w:rPr>
        <w:instrText xml:space="preserve"> PAGEREF _Toc3147 \h </w:instrText>
      </w:r>
      <w:r>
        <w:rPr>
          <w:color w:val="auto"/>
        </w:rPr>
        <w:fldChar w:fldCharType="separate"/>
      </w:r>
      <w:r>
        <w:rPr>
          <w:color w:val="auto"/>
        </w:rPr>
        <w:t>39</w:t>
      </w:r>
      <w:r>
        <w:rPr>
          <w:color w:val="auto"/>
        </w:rPr>
        <w:fldChar w:fldCharType="end"/>
      </w:r>
      <w:r>
        <w:rPr>
          <w:color w:val="auto"/>
        </w:rPr>
        <w:fldChar w:fldCharType="end"/>
      </w:r>
    </w:p>
    <w:p w14:paraId="0665459A">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 HYPERLINK \l "_Toc306" </w:instrText>
      </w:r>
      <w:r>
        <w:rPr>
          <w:color w:val="auto"/>
        </w:rPr>
        <w:fldChar w:fldCharType="separate"/>
      </w:r>
      <w:r>
        <w:rPr>
          <w:rFonts w:hint="eastAsia" w:ascii="宋体" w:hAnsi="宋体" w:cs="宋体"/>
          <w:bCs/>
          <w:color w:val="auto"/>
          <w:szCs w:val="36"/>
        </w:rPr>
        <w:t>第五章 采购需求</w:t>
      </w:r>
      <w:r>
        <w:rPr>
          <w:color w:val="auto"/>
        </w:rPr>
        <w:tab/>
      </w:r>
      <w:r>
        <w:rPr>
          <w:color w:val="auto"/>
        </w:rPr>
        <w:fldChar w:fldCharType="begin"/>
      </w:r>
      <w:r>
        <w:rPr>
          <w:color w:val="auto"/>
        </w:rPr>
        <w:instrText xml:space="preserve"> PAGEREF _Toc306 \h </w:instrText>
      </w:r>
      <w:r>
        <w:rPr>
          <w:color w:val="auto"/>
        </w:rPr>
        <w:fldChar w:fldCharType="separate"/>
      </w:r>
      <w:r>
        <w:rPr>
          <w:color w:val="auto"/>
        </w:rPr>
        <w:t>52</w:t>
      </w:r>
      <w:r>
        <w:rPr>
          <w:color w:val="auto"/>
        </w:rPr>
        <w:fldChar w:fldCharType="end"/>
      </w:r>
      <w:r>
        <w:rPr>
          <w:color w:val="auto"/>
        </w:rPr>
        <w:fldChar w:fldCharType="end"/>
      </w:r>
    </w:p>
    <w:p w14:paraId="762BC862">
      <w:pPr>
        <w:pStyle w:val="29"/>
        <w:widowControl w:val="0"/>
        <w:tabs>
          <w:tab w:val="right" w:leader="dot" w:pos="8820"/>
        </w:tabs>
        <w:spacing w:before="0" w:beforeAutospacing="0" w:after="0" w:line="440" w:lineRule="exact"/>
        <w:rPr>
          <w:color w:val="auto"/>
        </w:rPr>
      </w:pPr>
      <w:r>
        <w:rPr>
          <w:color w:val="auto"/>
        </w:rPr>
        <w:fldChar w:fldCharType="begin"/>
      </w:r>
      <w:r>
        <w:rPr>
          <w:color w:val="auto"/>
        </w:rPr>
        <w:instrText xml:space="preserve"> HYPERLINK \l "_Toc14099" </w:instrText>
      </w:r>
      <w:r>
        <w:rPr>
          <w:color w:val="auto"/>
        </w:rPr>
        <w:fldChar w:fldCharType="separate"/>
      </w:r>
      <w:r>
        <w:rPr>
          <w:rFonts w:hint="eastAsia" w:ascii="宋体" w:hAnsi="宋体"/>
          <w:color w:val="auto"/>
          <w:szCs w:val="36"/>
        </w:rPr>
        <w:t>第六章  响应文件格式</w:t>
      </w:r>
      <w:r>
        <w:rPr>
          <w:color w:val="auto"/>
        </w:rPr>
        <w:tab/>
      </w:r>
      <w:r>
        <w:rPr>
          <w:color w:val="auto"/>
        </w:rPr>
        <w:fldChar w:fldCharType="begin"/>
      </w:r>
      <w:r>
        <w:rPr>
          <w:color w:val="auto"/>
        </w:rPr>
        <w:instrText xml:space="preserve"> PAGEREF _Toc14099 \h </w:instrText>
      </w:r>
      <w:r>
        <w:rPr>
          <w:color w:val="auto"/>
        </w:rPr>
        <w:fldChar w:fldCharType="separate"/>
      </w:r>
      <w:r>
        <w:rPr>
          <w:color w:val="auto"/>
        </w:rPr>
        <w:t>61</w:t>
      </w:r>
      <w:r>
        <w:rPr>
          <w:color w:val="auto"/>
        </w:rPr>
        <w:fldChar w:fldCharType="end"/>
      </w:r>
      <w:r>
        <w:rPr>
          <w:color w:val="auto"/>
        </w:rPr>
        <w:fldChar w:fldCharType="end"/>
      </w:r>
    </w:p>
    <w:p w14:paraId="08B35496">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"_Toc1592" </w:instrText>
      </w:r>
      <w:r>
        <w:rPr>
          <w:color w:val="auto"/>
        </w:rPr>
        <w:fldChar w:fldCharType="separate"/>
      </w:r>
      <w:r>
        <w:rPr>
          <w:rFonts w:hint="eastAsia" w:ascii="宋体" w:hAnsi="宋体" w:cs="宋体"/>
          <w:color w:val="auto"/>
          <w:szCs w:val="28"/>
        </w:rPr>
        <w:t>一、磋商函及磋商函附录</w:t>
      </w:r>
      <w:r>
        <w:rPr>
          <w:color w:val="auto"/>
        </w:rPr>
        <w:tab/>
      </w:r>
      <w:r>
        <w:rPr>
          <w:color w:val="auto"/>
        </w:rPr>
        <w:fldChar w:fldCharType="begin"/>
      </w:r>
      <w:r>
        <w:rPr>
          <w:color w:val="auto"/>
        </w:rPr>
        <w:instrText xml:space="preserve"> PAGEREF _Toc1592 \h </w:instrText>
      </w:r>
      <w:r>
        <w:rPr>
          <w:color w:val="auto"/>
        </w:rPr>
        <w:fldChar w:fldCharType="separate"/>
      </w:r>
      <w:r>
        <w:rPr>
          <w:color w:val="auto"/>
        </w:rPr>
        <w:t>63</w:t>
      </w:r>
      <w:r>
        <w:rPr>
          <w:color w:val="auto"/>
        </w:rPr>
        <w:fldChar w:fldCharType="end"/>
      </w:r>
      <w:r>
        <w:rPr>
          <w:color w:val="auto"/>
        </w:rPr>
        <w:fldChar w:fldCharType="end"/>
      </w:r>
    </w:p>
    <w:p w14:paraId="62C0B111">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"_Toc11544" </w:instrText>
      </w:r>
      <w:r>
        <w:rPr>
          <w:color w:val="auto"/>
        </w:rPr>
        <w:fldChar w:fldCharType="separate"/>
      </w:r>
      <w:r>
        <w:rPr>
          <w:rFonts w:hint="eastAsia" w:ascii="宋体" w:hAnsi="宋体" w:cs="宋体"/>
          <w:color w:val="auto"/>
          <w:szCs w:val="28"/>
        </w:rPr>
        <w:t>二、法定代表身份证明</w:t>
      </w:r>
      <w:r>
        <w:rPr>
          <w:color w:val="auto"/>
        </w:rPr>
        <w:tab/>
      </w:r>
      <w:r>
        <w:rPr>
          <w:color w:val="auto"/>
        </w:rPr>
        <w:fldChar w:fldCharType="begin"/>
      </w:r>
      <w:r>
        <w:rPr>
          <w:color w:val="auto"/>
        </w:rPr>
        <w:instrText xml:space="preserve"> PAGEREF _Toc11544 \h </w:instrText>
      </w:r>
      <w:r>
        <w:rPr>
          <w:color w:val="auto"/>
        </w:rPr>
        <w:fldChar w:fldCharType="separate"/>
      </w:r>
      <w:r>
        <w:rPr>
          <w:color w:val="auto"/>
        </w:rPr>
        <w:t>65</w:t>
      </w:r>
      <w:r>
        <w:rPr>
          <w:color w:val="auto"/>
        </w:rPr>
        <w:fldChar w:fldCharType="end"/>
      </w:r>
      <w:r>
        <w:rPr>
          <w:color w:val="auto"/>
        </w:rPr>
        <w:fldChar w:fldCharType="end"/>
      </w:r>
    </w:p>
    <w:p w14:paraId="1555CA52">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"_Toc6524" </w:instrText>
      </w:r>
      <w:r>
        <w:rPr>
          <w:color w:val="auto"/>
        </w:rPr>
        <w:fldChar w:fldCharType="separate"/>
      </w:r>
      <w:r>
        <w:rPr>
          <w:rFonts w:hint="eastAsia" w:ascii="宋体" w:hAnsi="宋体" w:cs="宋体"/>
          <w:color w:val="auto"/>
          <w:szCs w:val="28"/>
        </w:rPr>
        <w:t>三、授权委托书</w:t>
      </w:r>
      <w:r>
        <w:rPr>
          <w:color w:val="auto"/>
        </w:rPr>
        <w:tab/>
      </w:r>
      <w:r>
        <w:rPr>
          <w:color w:val="auto"/>
        </w:rPr>
        <w:fldChar w:fldCharType="begin"/>
      </w:r>
      <w:r>
        <w:rPr>
          <w:color w:val="auto"/>
        </w:rPr>
        <w:instrText xml:space="preserve"> PAGEREF _Toc6524 \h </w:instrText>
      </w:r>
      <w:r>
        <w:rPr>
          <w:color w:val="auto"/>
        </w:rPr>
        <w:fldChar w:fldCharType="separate"/>
      </w:r>
      <w:r>
        <w:rPr>
          <w:color w:val="auto"/>
        </w:rPr>
        <w:t>66</w:t>
      </w:r>
      <w:r>
        <w:rPr>
          <w:color w:val="auto"/>
        </w:rPr>
        <w:fldChar w:fldCharType="end"/>
      </w:r>
      <w:r>
        <w:rPr>
          <w:color w:val="auto"/>
        </w:rPr>
        <w:fldChar w:fldCharType="end"/>
      </w:r>
    </w:p>
    <w:p w14:paraId="173F69E8">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"_Toc6005" </w:instrText>
      </w:r>
      <w:r>
        <w:rPr>
          <w:color w:val="auto"/>
        </w:rPr>
        <w:fldChar w:fldCharType="separate"/>
      </w:r>
      <w:r>
        <w:rPr>
          <w:rFonts w:hint="eastAsia" w:ascii="宋体" w:hAnsi="宋体" w:cs="宋体"/>
          <w:color w:val="auto"/>
          <w:szCs w:val="28"/>
        </w:rPr>
        <w:t>四、分项报价明细表</w:t>
      </w:r>
      <w:r>
        <w:rPr>
          <w:color w:val="auto"/>
        </w:rPr>
        <w:tab/>
      </w:r>
      <w:r>
        <w:rPr>
          <w:color w:val="auto"/>
        </w:rPr>
        <w:fldChar w:fldCharType="begin"/>
      </w:r>
      <w:r>
        <w:rPr>
          <w:color w:val="auto"/>
        </w:rPr>
        <w:instrText xml:space="preserve"> PAGEREF _Toc6005 \h </w:instrText>
      </w:r>
      <w:r>
        <w:rPr>
          <w:color w:val="auto"/>
        </w:rPr>
        <w:fldChar w:fldCharType="separate"/>
      </w:r>
      <w:r>
        <w:rPr>
          <w:color w:val="auto"/>
        </w:rPr>
        <w:t>67</w:t>
      </w:r>
      <w:r>
        <w:rPr>
          <w:color w:val="auto"/>
        </w:rPr>
        <w:fldChar w:fldCharType="end"/>
      </w:r>
      <w:r>
        <w:rPr>
          <w:color w:val="auto"/>
        </w:rPr>
        <w:fldChar w:fldCharType="end"/>
      </w:r>
    </w:p>
    <w:p w14:paraId="76CEB302">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"_Toc24972" </w:instrText>
      </w:r>
      <w:r>
        <w:rPr>
          <w:color w:val="auto"/>
        </w:rPr>
        <w:fldChar w:fldCharType="separate"/>
      </w:r>
      <w:r>
        <w:rPr>
          <w:rFonts w:hint="eastAsia" w:ascii="宋体" w:hAnsi="宋体" w:cs="宋体"/>
          <w:color w:val="auto"/>
          <w:szCs w:val="28"/>
        </w:rPr>
        <w:t>五、资格审查资料</w:t>
      </w:r>
      <w:r>
        <w:rPr>
          <w:color w:val="auto"/>
        </w:rPr>
        <w:tab/>
      </w:r>
      <w:r>
        <w:rPr>
          <w:color w:val="auto"/>
        </w:rPr>
        <w:fldChar w:fldCharType="begin"/>
      </w:r>
      <w:r>
        <w:rPr>
          <w:color w:val="auto"/>
        </w:rPr>
        <w:instrText xml:space="preserve"> PAGEREF _Toc24972 \h </w:instrText>
      </w:r>
      <w:r>
        <w:rPr>
          <w:color w:val="auto"/>
        </w:rPr>
        <w:fldChar w:fldCharType="separate"/>
      </w:r>
      <w:r>
        <w:rPr>
          <w:color w:val="auto"/>
        </w:rPr>
        <w:t>69</w:t>
      </w:r>
      <w:r>
        <w:rPr>
          <w:color w:val="auto"/>
        </w:rPr>
        <w:fldChar w:fldCharType="end"/>
      </w:r>
      <w:r>
        <w:rPr>
          <w:color w:val="auto"/>
        </w:rPr>
        <w:fldChar w:fldCharType="end"/>
      </w:r>
    </w:p>
    <w:p w14:paraId="72B649BC">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"_Toc20207" </w:instrText>
      </w:r>
      <w:r>
        <w:rPr>
          <w:color w:val="auto"/>
        </w:rPr>
        <w:fldChar w:fldCharType="separate"/>
      </w:r>
      <w:r>
        <w:rPr>
          <w:rFonts w:hint="eastAsia" w:ascii="宋体" w:hAnsi="宋体" w:cs="宋体"/>
          <w:color w:val="auto"/>
          <w:szCs w:val="28"/>
        </w:rPr>
        <w:t>六、技术规格偏差表</w:t>
      </w:r>
      <w:r>
        <w:rPr>
          <w:color w:val="auto"/>
        </w:rPr>
        <w:tab/>
      </w:r>
      <w:r>
        <w:rPr>
          <w:color w:val="auto"/>
        </w:rPr>
        <w:fldChar w:fldCharType="begin"/>
      </w:r>
      <w:r>
        <w:rPr>
          <w:color w:val="auto"/>
        </w:rPr>
        <w:instrText xml:space="preserve"> PAGEREF _Toc20207 \h </w:instrText>
      </w:r>
      <w:r>
        <w:rPr>
          <w:color w:val="auto"/>
        </w:rPr>
        <w:fldChar w:fldCharType="separate"/>
      </w:r>
      <w:r>
        <w:rPr>
          <w:color w:val="auto"/>
        </w:rPr>
        <w:t>77</w:t>
      </w:r>
      <w:r>
        <w:rPr>
          <w:color w:val="auto"/>
        </w:rPr>
        <w:fldChar w:fldCharType="end"/>
      </w:r>
      <w:r>
        <w:rPr>
          <w:color w:val="auto"/>
        </w:rPr>
        <w:fldChar w:fldCharType="end"/>
      </w:r>
    </w:p>
    <w:p w14:paraId="5637B4CC">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"_Toc7354" </w:instrText>
      </w:r>
      <w:r>
        <w:rPr>
          <w:color w:val="auto"/>
        </w:rPr>
        <w:fldChar w:fldCharType="separate"/>
      </w:r>
      <w:r>
        <w:rPr>
          <w:rFonts w:hint="eastAsia" w:ascii="宋体" w:hAnsi="宋体" w:cs="宋体"/>
          <w:color w:val="auto"/>
          <w:szCs w:val="28"/>
        </w:rPr>
        <w:t>七、商务条款偏离表</w:t>
      </w:r>
      <w:r>
        <w:rPr>
          <w:color w:val="auto"/>
        </w:rPr>
        <w:tab/>
      </w:r>
      <w:r>
        <w:rPr>
          <w:color w:val="auto"/>
        </w:rPr>
        <w:fldChar w:fldCharType="begin"/>
      </w:r>
      <w:r>
        <w:rPr>
          <w:color w:val="auto"/>
        </w:rPr>
        <w:instrText xml:space="preserve"> PAGEREF _Toc7354 \h </w:instrText>
      </w:r>
      <w:r>
        <w:rPr>
          <w:color w:val="auto"/>
        </w:rPr>
        <w:fldChar w:fldCharType="separate"/>
      </w:r>
      <w:r>
        <w:rPr>
          <w:color w:val="auto"/>
        </w:rPr>
        <w:t>78</w:t>
      </w:r>
      <w:r>
        <w:rPr>
          <w:color w:val="auto"/>
        </w:rPr>
        <w:fldChar w:fldCharType="end"/>
      </w:r>
      <w:r>
        <w:rPr>
          <w:color w:val="auto"/>
        </w:rPr>
        <w:fldChar w:fldCharType="end"/>
      </w:r>
    </w:p>
    <w:p w14:paraId="321FC78F">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"_Toc18095" </w:instrText>
      </w:r>
      <w:r>
        <w:rPr>
          <w:color w:val="auto"/>
        </w:rPr>
        <w:fldChar w:fldCharType="separate"/>
      </w:r>
      <w:r>
        <w:rPr>
          <w:rFonts w:hint="eastAsia" w:ascii="宋体" w:hAnsi="宋体" w:cs="宋体"/>
          <w:color w:val="auto"/>
          <w:szCs w:val="28"/>
        </w:rPr>
        <w:t>八、同类项目供货业绩</w:t>
      </w:r>
      <w:r>
        <w:rPr>
          <w:color w:val="auto"/>
        </w:rPr>
        <w:tab/>
      </w:r>
      <w:r>
        <w:rPr>
          <w:color w:val="auto"/>
        </w:rPr>
        <w:fldChar w:fldCharType="begin"/>
      </w:r>
      <w:r>
        <w:rPr>
          <w:color w:val="auto"/>
        </w:rPr>
        <w:instrText xml:space="preserve"> PAGEREF _Toc18095 \h </w:instrText>
      </w:r>
      <w:r>
        <w:rPr>
          <w:color w:val="auto"/>
        </w:rPr>
        <w:fldChar w:fldCharType="separate"/>
      </w:r>
      <w:r>
        <w:rPr>
          <w:color w:val="auto"/>
        </w:rPr>
        <w:t>79</w:t>
      </w:r>
      <w:r>
        <w:rPr>
          <w:color w:val="auto"/>
        </w:rPr>
        <w:fldChar w:fldCharType="end"/>
      </w:r>
      <w:r>
        <w:rPr>
          <w:color w:val="auto"/>
        </w:rPr>
        <w:fldChar w:fldCharType="end"/>
      </w:r>
    </w:p>
    <w:p w14:paraId="08377D70">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"_Toc20288" </w:instrText>
      </w:r>
      <w:r>
        <w:rPr>
          <w:color w:val="auto"/>
        </w:rPr>
        <w:fldChar w:fldCharType="separate"/>
      </w:r>
      <w:r>
        <w:rPr>
          <w:rFonts w:hint="eastAsia" w:ascii="宋体" w:hAnsi="宋体" w:cs="宋体"/>
          <w:color w:val="auto"/>
          <w:szCs w:val="28"/>
        </w:rPr>
        <w:t>九、综合部分其他资料</w:t>
      </w:r>
      <w:r>
        <w:rPr>
          <w:color w:val="auto"/>
        </w:rPr>
        <w:tab/>
      </w:r>
      <w:r>
        <w:rPr>
          <w:color w:val="auto"/>
        </w:rPr>
        <w:fldChar w:fldCharType="begin"/>
      </w:r>
      <w:r>
        <w:rPr>
          <w:color w:val="auto"/>
        </w:rPr>
        <w:instrText xml:space="preserve"> PAGEREF _Toc20288 \h </w:instrText>
      </w:r>
      <w:r>
        <w:rPr>
          <w:color w:val="auto"/>
        </w:rPr>
        <w:fldChar w:fldCharType="separate"/>
      </w:r>
      <w:r>
        <w:rPr>
          <w:color w:val="auto"/>
        </w:rPr>
        <w:t>80</w:t>
      </w:r>
      <w:r>
        <w:rPr>
          <w:color w:val="auto"/>
        </w:rPr>
        <w:fldChar w:fldCharType="end"/>
      </w:r>
      <w:r>
        <w:rPr>
          <w:color w:val="auto"/>
        </w:rPr>
        <w:fldChar w:fldCharType="end"/>
      </w:r>
    </w:p>
    <w:p w14:paraId="53D3E5E9">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"_Toc8431" </w:instrText>
      </w:r>
      <w:r>
        <w:rPr>
          <w:color w:val="auto"/>
        </w:rPr>
        <w:fldChar w:fldCharType="separate"/>
      </w:r>
      <w:r>
        <w:rPr>
          <w:rFonts w:hint="eastAsia" w:ascii="宋体" w:hAnsi="宋体" w:cs="宋体"/>
          <w:bCs/>
          <w:color w:val="auto"/>
          <w:szCs w:val="28"/>
        </w:rPr>
        <w:t>十、反商业贿赂承诺书</w:t>
      </w:r>
      <w:r>
        <w:rPr>
          <w:color w:val="auto"/>
        </w:rPr>
        <w:tab/>
      </w:r>
      <w:r>
        <w:rPr>
          <w:color w:val="auto"/>
        </w:rPr>
        <w:fldChar w:fldCharType="begin"/>
      </w:r>
      <w:r>
        <w:rPr>
          <w:color w:val="auto"/>
        </w:rPr>
        <w:instrText xml:space="preserve"> PAGEREF _Toc8431 \h </w:instrText>
      </w:r>
      <w:r>
        <w:rPr>
          <w:color w:val="auto"/>
        </w:rPr>
        <w:fldChar w:fldCharType="separate"/>
      </w:r>
      <w:r>
        <w:rPr>
          <w:color w:val="auto"/>
        </w:rPr>
        <w:t>81</w:t>
      </w:r>
      <w:r>
        <w:rPr>
          <w:color w:val="auto"/>
        </w:rPr>
        <w:fldChar w:fldCharType="end"/>
      </w:r>
      <w:r>
        <w:rPr>
          <w:color w:val="auto"/>
        </w:rPr>
        <w:fldChar w:fldCharType="end"/>
      </w:r>
    </w:p>
    <w:p w14:paraId="03280CA4">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"_Toc30250" </w:instrText>
      </w:r>
      <w:r>
        <w:rPr>
          <w:color w:val="auto"/>
        </w:rPr>
        <w:fldChar w:fldCharType="separate"/>
      </w:r>
      <w:r>
        <w:rPr>
          <w:rFonts w:hint="eastAsia" w:ascii="宋体" w:hAnsi="宋体" w:cs="Times New Roman"/>
          <w:bCs/>
          <w:color w:val="auto"/>
          <w:kern w:val="2"/>
          <w:szCs w:val="28"/>
        </w:rPr>
        <w:t>十一、</w:t>
      </w:r>
      <w:r>
        <w:rPr>
          <w:rFonts w:hint="eastAsia" w:ascii="宋体" w:hAnsi="宋体" w:cs="Times New Roman"/>
          <w:bCs/>
          <w:color w:val="auto"/>
          <w:szCs w:val="24"/>
        </w:rPr>
        <w:t>投标响应承诺函</w:t>
      </w:r>
      <w:r>
        <w:rPr>
          <w:color w:val="auto"/>
        </w:rPr>
        <w:tab/>
      </w:r>
      <w:r>
        <w:rPr>
          <w:color w:val="auto"/>
        </w:rPr>
        <w:fldChar w:fldCharType="begin"/>
      </w:r>
      <w:r>
        <w:rPr>
          <w:color w:val="auto"/>
        </w:rPr>
        <w:instrText xml:space="preserve"> PAGEREF _Toc30250 \h </w:instrText>
      </w:r>
      <w:r>
        <w:rPr>
          <w:color w:val="auto"/>
        </w:rPr>
        <w:fldChar w:fldCharType="separate"/>
      </w:r>
      <w:r>
        <w:rPr>
          <w:color w:val="auto"/>
        </w:rPr>
        <w:t>82</w:t>
      </w:r>
      <w:r>
        <w:rPr>
          <w:color w:val="auto"/>
        </w:rPr>
        <w:fldChar w:fldCharType="end"/>
      </w:r>
      <w:r>
        <w:rPr>
          <w:color w:val="auto"/>
        </w:rPr>
        <w:fldChar w:fldCharType="end"/>
      </w:r>
    </w:p>
    <w:p w14:paraId="32799FC2">
      <w:pPr>
        <w:pStyle w:val="34"/>
        <w:widowControl w:val="0"/>
        <w:tabs>
          <w:tab w:val="right" w:leader="dot" w:pos="8820"/>
        </w:tabs>
        <w:spacing w:before="0" w:beforeAutospacing="0" w:after="0" w:line="440" w:lineRule="exact"/>
        <w:ind w:left="0" w:firstLine="418" w:firstLineChars="190"/>
        <w:rPr>
          <w:color w:val="auto"/>
        </w:rPr>
      </w:pPr>
      <w:r>
        <w:rPr>
          <w:color w:val="auto"/>
        </w:rPr>
        <w:fldChar w:fldCharType="begin"/>
      </w:r>
      <w:r>
        <w:rPr>
          <w:color w:val="auto"/>
        </w:rPr>
        <w:instrText xml:space="preserve"> HYPERLINK \l "_Toc13290" </w:instrText>
      </w:r>
      <w:r>
        <w:rPr>
          <w:color w:val="auto"/>
        </w:rPr>
        <w:fldChar w:fldCharType="separate"/>
      </w:r>
      <w:r>
        <w:rPr>
          <w:rFonts w:hint="eastAsia" w:ascii="宋体" w:hAnsi="宋体" w:cs="宋体"/>
          <w:color w:val="auto"/>
          <w:szCs w:val="28"/>
        </w:rPr>
        <w:t>十二、本项目执行的政府采购政策</w:t>
      </w:r>
      <w:r>
        <w:rPr>
          <w:color w:val="auto"/>
        </w:rPr>
        <w:tab/>
      </w:r>
      <w:r>
        <w:rPr>
          <w:color w:val="auto"/>
        </w:rPr>
        <w:fldChar w:fldCharType="begin"/>
      </w:r>
      <w:r>
        <w:rPr>
          <w:color w:val="auto"/>
        </w:rPr>
        <w:instrText xml:space="preserve"> PAGEREF _Toc13290 \h </w:instrText>
      </w:r>
      <w:r>
        <w:rPr>
          <w:color w:val="auto"/>
        </w:rPr>
        <w:fldChar w:fldCharType="separate"/>
      </w:r>
      <w:r>
        <w:rPr>
          <w:color w:val="auto"/>
        </w:rPr>
        <w:t>83</w:t>
      </w:r>
      <w:r>
        <w:rPr>
          <w:color w:val="auto"/>
        </w:rPr>
        <w:fldChar w:fldCharType="end"/>
      </w:r>
      <w:r>
        <w:rPr>
          <w:color w:val="auto"/>
        </w:rPr>
        <w:fldChar w:fldCharType="end"/>
      </w:r>
    </w:p>
    <w:p w14:paraId="7EF2A772">
      <w:pPr>
        <w:pStyle w:val="34"/>
        <w:widowControl w:val="0"/>
        <w:tabs>
          <w:tab w:val="right" w:leader="dot" w:pos="9133"/>
        </w:tabs>
        <w:spacing w:before="0" w:beforeAutospacing="0" w:after="0" w:line="240" w:lineRule="auto"/>
        <w:ind w:left="0" w:firstLine="418" w:firstLineChars="190"/>
        <w:rPr>
          <w:color w:val="auto"/>
        </w:rPr>
      </w:pPr>
      <w:r>
        <w:rPr>
          <w:color w:val="auto"/>
        </w:rPr>
        <w:fldChar w:fldCharType="end"/>
      </w:r>
    </w:p>
    <w:p w14:paraId="3E0ECCAE">
      <w:pPr>
        <w:jc w:val="center"/>
        <w:rPr>
          <w:rFonts w:hint="eastAsia" w:ascii="宋体" w:hAnsi="宋体"/>
          <w:b/>
          <w:bCs/>
          <w:color w:val="auto"/>
          <w:sz w:val="32"/>
          <w:szCs w:val="32"/>
        </w:rPr>
        <w:sectPr>
          <w:footerReference r:id="rId7" w:type="first"/>
          <w:headerReference r:id="rId5" w:type="default"/>
          <w:footerReference r:id="rId6" w:type="default"/>
          <w:pgSz w:w="11905" w:h="16838"/>
          <w:pgMar w:top="1440" w:right="1463" w:bottom="1440" w:left="1463" w:header="794" w:footer="794" w:gutter="0"/>
          <w:pgNumType w:start="1"/>
          <w:cols w:space="720" w:num="1"/>
          <w:docGrid w:type="lines" w:linePitch="318" w:charSpace="0"/>
        </w:sectPr>
      </w:pPr>
    </w:p>
    <w:p w14:paraId="58CF0A3F">
      <w:pPr>
        <w:jc w:val="center"/>
        <w:rPr>
          <w:b/>
          <w:bCs/>
          <w:color w:val="auto"/>
          <w:sz w:val="32"/>
          <w:szCs w:val="32"/>
        </w:rPr>
      </w:pPr>
      <w:r>
        <w:rPr>
          <w:rFonts w:hint="eastAsia" w:ascii="宋体" w:hAnsi="宋体"/>
          <w:b/>
          <w:bCs/>
          <w:color w:val="auto"/>
          <w:sz w:val="32"/>
          <w:szCs w:val="32"/>
        </w:rPr>
        <w:t>特 别 提 示</w:t>
      </w:r>
    </w:p>
    <w:p w14:paraId="19C90754">
      <w:pPr>
        <w:spacing w:line="360" w:lineRule="auto"/>
        <w:ind w:firstLine="420" w:firstLineChars="200"/>
        <w:rPr>
          <w:rFonts w:hint="eastAsia" w:ascii="宋体" w:hAnsi="宋体"/>
          <w:color w:val="auto"/>
        </w:rPr>
      </w:pPr>
      <w:r>
        <w:rPr>
          <w:rFonts w:hint="eastAsia" w:ascii="宋体" w:hAnsi="宋体"/>
          <w:color w:val="auto"/>
        </w:rPr>
        <w:t>1、供应商首先通过“河南省公共资源交易中心（</w:t>
      </w:r>
      <w:r>
        <w:rPr>
          <w:rFonts w:hint="eastAsia" w:ascii="宋体" w:hAnsi="宋体" w:cs="宋体"/>
          <w:color w:val="auto"/>
        </w:rPr>
        <w:t>http://hnsggzyjy.henan.gov.cn/</w:t>
      </w:r>
      <w:r>
        <w:rPr>
          <w:rFonts w:hint="eastAsia" w:ascii="宋体" w:hAnsi="宋体"/>
          <w:color w:val="auto"/>
        </w:rPr>
        <w:t>）”网站进行注册，然后按网站公共服务（办事指南及下载专区）公共资源项目CA办理流程准备齐注册资料，最后根据《河南省公共资源交易中心关于数字证书（CA）互认功能上线试运行的通知》办理CA密钥，完成注册。</w:t>
      </w:r>
    </w:p>
    <w:p w14:paraId="502ADF55">
      <w:pPr>
        <w:spacing w:line="360" w:lineRule="auto"/>
        <w:ind w:firstLine="420" w:firstLineChars="200"/>
        <w:rPr>
          <w:rFonts w:hint="eastAsia" w:ascii="宋体" w:hAnsi="宋体"/>
          <w:color w:val="auto"/>
        </w:rPr>
      </w:pPr>
      <w:r>
        <w:rPr>
          <w:rFonts w:hint="eastAsia" w:ascii="宋体" w:hAnsi="宋体"/>
          <w:color w:val="auto"/>
        </w:rPr>
        <w:t>2、投标（响应）文件制作</w:t>
      </w:r>
    </w:p>
    <w:p w14:paraId="17C6941A">
      <w:pPr>
        <w:spacing w:line="360" w:lineRule="auto"/>
        <w:ind w:firstLine="420" w:firstLineChars="200"/>
        <w:rPr>
          <w:rFonts w:hint="eastAsia" w:ascii="宋体" w:hAnsi="宋体"/>
          <w:color w:val="auto"/>
        </w:rPr>
      </w:pPr>
      <w:r>
        <w:rPr>
          <w:rFonts w:hint="eastAsia" w:ascii="宋体" w:hAnsi="宋体"/>
          <w:color w:val="auto"/>
        </w:rPr>
        <w:t>2.1供应商通过“河南省公共资源交易中心（</w:t>
      </w:r>
      <w:r>
        <w:rPr>
          <w:rFonts w:hint="eastAsia" w:ascii="宋体" w:hAnsi="宋体" w:cs="宋体"/>
          <w:bCs/>
          <w:color w:val="auto"/>
        </w:rPr>
        <w:t>www.hnggzy.net</w:t>
      </w:r>
      <w:r>
        <w:rPr>
          <w:rFonts w:hint="eastAsia" w:ascii="宋体" w:hAnsi="宋体"/>
          <w:color w:val="auto"/>
        </w:rPr>
        <w:t>）”网站公共服务（办事指南及下载专区）：下载“响应文件制作工具安装包压缩文件下载”等。</w:t>
      </w:r>
    </w:p>
    <w:p w14:paraId="382C6337">
      <w:pPr>
        <w:spacing w:line="360" w:lineRule="auto"/>
        <w:ind w:firstLine="420" w:firstLineChars="200"/>
        <w:rPr>
          <w:rFonts w:hint="eastAsia" w:ascii="宋体" w:hAnsi="宋体"/>
          <w:color w:val="auto"/>
        </w:rPr>
      </w:pPr>
      <w:r>
        <w:rPr>
          <w:rFonts w:hint="eastAsia" w:ascii="宋体" w:hAnsi="宋体"/>
          <w:color w:val="auto"/>
        </w:rPr>
        <w:t>2.2供应商凭CA密钥登陆并按网上提示自行下载每个项目所含格式(.hnzf)的竞争性磋商文件。</w:t>
      </w:r>
    </w:p>
    <w:p w14:paraId="19E7108C">
      <w:pPr>
        <w:spacing w:line="360" w:lineRule="auto"/>
        <w:ind w:firstLine="420" w:firstLineChars="200"/>
        <w:rPr>
          <w:rFonts w:hint="eastAsia" w:ascii="宋体" w:hAnsi="宋体"/>
          <w:color w:val="auto"/>
        </w:rPr>
      </w:pPr>
      <w:r>
        <w:rPr>
          <w:rFonts w:hint="eastAsia" w:ascii="宋体" w:hAnsi="宋体"/>
          <w:color w:val="auto"/>
        </w:rPr>
        <w:t>2.3供应商须在投标（响应）文件递交截止时间前制作并提交：（1）加密的电子投标（响应）文件（*.hntf格式）,应在投标（响应）文件截止时间前通过“河南省公共资源交易中心（</w:t>
      </w:r>
      <w:r>
        <w:rPr>
          <w:rFonts w:hint="eastAsia" w:ascii="宋体" w:hAnsi="宋体" w:cs="宋体"/>
          <w:bCs/>
          <w:color w:val="auto"/>
        </w:rPr>
        <w:t>www.hnggzy.net</w:t>
      </w:r>
      <w:r>
        <w:rPr>
          <w:rFonts w:hint="eastAsia" w:ascii="宋体" w:hAnsi="宋体"/>
          <w:color w:val="auto"/>
        </w:rPr>
        <w:t>）”电子交易平台内上传；</w:t>
      </w:r>
    </w:p>
    <w:p w14:paraId="50727CFC">
      <w:pPr>
        <w:spacing w:line="360" w:lineRule="auto"/>
        <w:ind w:firstLine="420" w:firstLineChars="200"/>
        <w:rPr>
          <w:rFonts w:hint="eastAsia" w:ascii="宋体" w:hAnsi="宋体"/>
          <w:color w:val="auto"/>
        </w:rPr>
      </w:pPr>
      <w:r>
        <w:rPr>
          <w:rFonts w:hint="eastAsia" w:ascii="宋体" w:hAnsi="宋体"/>
          <w:color w:val="auto"/>
        </w:rPr>
        <w:t>2.4加密的电子投标（响应）文件为“河南省公共资源交易中心（</w:t>
      </w:r>
      <w:r>
        <w:rPr>
          <w:rFonts w:hint="eastAsia" w:ascii="宋体" w:hAnsi="宋体" w:cs="宋体"/>
          <w:bCs/>
          <w:color w:val="auto"/>
        </w:rPr>
        <w:t>www.hnggzy.net</w:t>
      </w:r>
      <w:r>
        <w:rPr>
          <w:rFonts w:hint="eastAsia" w:ascii="宋体" w:hAnsi="宋体"/>
          <w:color w:val="auto"/>
        </w:rPr>
        <w:t>）”网站提供的“投标（响应）文件制作工具”软件制作生成的加密版投标（响应）文件。</w:t>
      </w:r>
    </w:p>
    <w:p w14:paraId="5331BD3E">
      <w:pPr>
        <w:spacing w:line="360" w:lineRule="auto"/>
        <w:ind w:firstLine="422" w:firstLineChars="200"/>
        <w:rPr>
          <w:rFonts w:hint="eastAsia" w:ascii="宋体" w:hAnsi="宋体"/>
          <w:b/>
          <w:bCs/>
          <w:color w:val="auto"/>
        </w:rPr>
      </w:pPr>
      <w:r>
        <w:rPr>
          <w:rFonts w:hint="eastAsia" w:ascii="宋体" w:hAnsi="宋体"/>
          <w:b/>
          <w:bCs/>
          <w:color w:val="auto"/>
        </w:rPr>
        <w:t>2.5供应商在制作电子投标（响应）文件时，“投标（响应）文件制作工具”左侧栏目“封面”、“报价一览表”制作完成后须加盖电子签章（包括企业电子签章、个人电子签章）。</w:t>
      </w:r>
    </w:p>
    <w:p w14:paraId="3635CA5E">
      <w:pPr>
        <w:spacing w:line="360" w:lineRule="auto"/>
        <w:ind w:firstLine="422" w:firstLineChars="200"/>
        <w:rPr>
          <w:rFonts w:hint="eastAsia" w:ascii="宋体" w:hAnsi="宋体"/>
          <w:b/>
          <w:bCs/>
          <w:color w:val="auto"/>
        </w:rPr>
      </w:pPr>
      <w:r>
        <w:rPr>
          <w:rFonts w:hint="eastAsia" w:ascii="宋体" w:hAnsi="宋体"/>
          <w:b/>
          <w:bCs/>
          <w:color w:val="auto"/>
        </w:rPr>
        <w:t>2.6竞争性磋商文件格式所要求包含的全部资料应全部制作在响应文件内，严格按照本项目竞争性磋商文件所有格式如实填写（不涉及的内容除外），不应存在漏项或缺项，否则将存在投标（响应）文件被拒绝的风险。报价一览表，须严格按照格式编辑，并作为电子开评标系统上传的依据。“投标（响应）文件制作工具”左侧栏目中“报价一览表”为公共资源交易中心系统默认设置，该“报价一览表”若与竞争性磋商文件中规定格式不一致，不作为实质性条款及废标条款。</w:t>
      </w:r>
    </w:p>
    <w:p w14:paraId="48A13FA1">
      <w:pPr>
        <w:spacing w:line="360" w:lineRule="auto"/>
        <w:ind w:firstLine="420" w:firstLineChars="200"/>
        <w:rPr>
          <w:rFonts w:hint="eastAsia" w:ascii="宋体" w:hAnsi="宋体"/>
          <w:color w:val="auto"/>
        </w:rPr>
      </w:pPr>
      <w:r>
        <w:rPr>
          <w:rFonts w:hint="eastAsia" w:ascii="宋体" w:hAnsi="宋体"/>
          <w:color w:val="auto"/>
        </w:rPr>
        <w:t>2.7供应商（供应商）编制投标（响应）文件时，涉及营业执照、资质、业绩、获奖、人员、财务、社保、纳税、各类证书等内容，应及时对市场主体信息库的相关内容进行补充、更新。</w:t>
      </w:r>
    </w:p>
    <w:p w14:paraId="6D12E844">
      <w:pPr>
        <w:spacing w:line="360" w:lineRule="auto"/>
        <w:ind w:firstLine="420" w:firstLineChars="200"/>
        <w:rPr>
          <w:rFonts w:hint="eastAsia" w:ascii="宋体" w:hAnsi="宋体"/>
          <w:color w:val="auto"/>
        </w:rPr>
      </w:pPr>
      <w:r>
        <w:rPr>
          <w:rFonts w:hint="eastAsia" w:ascii="宋体" w:hAnsi="宋体"/>
          <w:color w:val="auto"/>
        </w:rPr>
        <w:t>2.8供应商编辑电子投标（响应）文件时，根据竞争性磋商文件要求用法人CA密钥和企业CA密钥进行签章制作；最后一步生成电子响应文件（*.hntf格式和*.nhntf格式）时，只能用本单位的企业CA密钥。</w:t>
      </w:r>
    </w:p>
    <w:p w14:paraId="09655E4F">
      <w:pPr>
        <w:spacing w:line="360" w:lineRule="auto"/>
        <w:ind w:firstLine="420" w:firstLineChars="200"/>
        <w:rPr>
          <w:rFonts w:hint="eastAsia" w:ascii="宋体" w:hAnsi="宋体"/>
          <w:color w:val="auto"/>
        </w:rPr>
      </w:pPr>
      <w:r>
        <w:rPr>
          <w:rFonts w:hint="eastAsia" w:ascii="宋体" w:hAnsi="宋体"/>
          <w:color w:val="auto"/>
        </w:rPr>
        <w:t>3、澄清与变更</w:t>
      </w:r>
    </w:p>
    <w:p w14:paraId="10DFBBDE">
      <w:pPr>
        <w:spacing w:line="360" w:lineRule="auto"/>
        <w:ind w:firstLine="420" w:firstLineChars="200"/>
        <w:rPr>
          <w:rFonts w:hint="eastAsia" w:ascii="宋体" w:hAnsi="宋体"/>
          <w:color w:val="auto"/>
        </w:rPr>
      </w:pPr>
      <w:r>
        <w:rPr>
          <w:rFonts w:hint="eastAsia" w:ascii="宋体" w:hAnsi="宋体"/>
          <w:color w:val="auto"/>
        </w:rPr>
        <w:t>采购人、采购代理机构对已发出的竞争性磋商文件进行的澄清、更正或更改，澄清、更正或更改的内容将作为竞争性磋商文件的组成部分。采购代理机构将通过网站“变更公告”和系统内部“答疑文件”告知供应商，对于各项目中已经成功报名并下载竞争性磋商文件的项目供应商，系统将通过第三方短信群发方式提醒供应商进行查询。各供应商须重新下载最新的竞争性磋商文件和答疑文件，以此编制响应文件。供应商注册时所留手机联系方式要保持畅通，因联系方式变更而未及时更新系统内联系方式的，将会造成收不到短信。此短信仅系友情提示，并不具有任何约束性和必要性，采购代理机构不承担供应商未收到短信而引起的一切后果和法律责任。</w:t>
      </w:r>
    </w:p>
    <w:p w14:paraId="7236EBD8">
      <w:pPr>
        <w:numPr>
          <w:ilvl w:val="0"/>
          <w:numId w:val="1"/>
        </w:numPr>
        <w:spacing w:line="360" w:lineRule="auto"/>
        <w:ind w:firstLine="420" w:firstLineChars="200"/>
        <w:rPr>
          <w:rFonts w:hint="eastAsia" w:ascii="宋体" w:hAnsi="宋体"/>
          <w:color w:val="auto"/>
        </w:rPr>
      </w:pPr>
      <w:r>
        <w:rPr>
          <w:rFonts w:hint="eastAsia" w:ascii="宋体" w:hAnsi="宋体"/>
          <w:color w:val="auto"/>
        </w:rPr>
        <w:t>因河南省公共资源交易中心平台在开标前具有保密性，供应商在响应文件递交截止时间前须自行查看项目进展、变更通知、澄清及回复，因供应商未及时查看而造成的后果自负。</w:t>
      </w:r>
    </w:p>
    <w:p w14:paraId="4002A026">
      <w:pPr>
        <w:numPr>
          <w:ilvl w:val="0"/>
          <w:numId w:val="1"/>
        </w:numPr>
        <w:spacing w:line="360" w:lineRule="auto"/>
        <w:ind w:firstLine="422" w:firstLineChars="200"/>
        <w:rPr>
          <w:rFonts w:hint="eastAsia" w:ascii="宋体" w:hAnsi="宋体"/>
          <w:b/>
          <w:bCs/>
          <w:color w:val="auto"/>
        </w:rPr>
      </w:pPr>
      <w:r>
        <w:rPr>
          <w:rFonts w:hint="eastAsia" w:ascii="宋体" w:hAnsi="宋体"/>
          <w:b/>
          <w:bCs/>
          <w:color w:val="auto"/>
        </w:rPr>
        <w:t>根据《河南省发展和改革委员会关于对〈关于认定供应商响应文件制作机器码一致视为串通投标行为的请示〉相关问题的批复》（豫发改公管〔2019〕198号的文件精神，如出现“响应文件制作机器码一致”的情形，响应文件制作机器码一致的响应文件均作无效标处理。</w:t>
      </w:r>
    </w:p>
    <w:p w14:paraId="3FC6B430">
      <w:pPr>
        <w:numPr>
          <w:ilvl w:val="0"/>
          <w:numId w:val="1"/>
        </w:numPr>
        <w:spacing w:line="360" w:lineRule="auto"/>
        <w:ind w:firstLine="422" w:firstLineChars="200"/>
        <w:rPr>
          <w:rFonts w:hint="eastAsia" w:ascii="宋体" w:hAnsi="宋体"/>
          <w:b/>
          <w:bCs/>
          <w:color w:val="auto"/>
        </w:rPr>
      </w:pPr>
      <w:r>
        <w:rPr>
          <w:rFonts w:hint="eastAsia" w:ascii="宋体" w:hAnsi="宋体"/>
          <w:b/>
          <w:bCs/>
          <w:color w:val="auto"/>
        </w:rPr>
        <w:t>投标保证金：本项目不收取投标保证金，若交易中心系统内开标一览表确需填写，保证金金额可以填写“0”。</w:t>
      </w:r>
    </w:p>
    <w:p w14:paraId="44FB5BDF">
      <w:pPr>
        <w:numPr>
          <w:ilvl w:val="0"/>
          <w:numId w:val="1"/>
        </w:numPr>
        <w:spacing w:line="360" w:lineRule="auto"/>
        <w:ind w:firstLine="422" w:firstLineChars="200"/>
        <w:rPr>
          <w:rFonts w:hint="eastAsia" w:ascii="宋体" w:hAnsi="宋体"/>
          <w:b/>
          <w:bCs/>
          <w:color w:val="auto"/>
        </w:rPr>
      </w:pPr>
      <w:r>
        <w:rPr>
          <w:rFonts w:hint="eastAsia" w:ascii="宋体" w:hAnsi="宋体"/>
          <w:b/>
          <w:bCs/>
          <w:color w:val="auto"/>
        </w:rPr>
        <w:t>请参照河南省公共资源交易中心首页-公共服务-办事指南-《河南省公共资源交易平台不见面服务系统使用指南》，本次项目实行远程不见面招标。</w:t>
      </w:r>
    </w:p>
    <w:p w14:paraId="7A0049F5">
      <w:pPr>
        <w:numPr>
          <w:ilvl w:val="0"/>
          <w:numId w:val="1"/>
        </w:numPr>
        <w:spacing w:line="360" w:lineRule="auto"/>
        <w:ind w:firstLine="422" w:firstLineChars="200"/>
        <w:rPr>
          <w:rFonts w:hint="eastAsia" w:ascii="宋体" w:hAnsi="宋体"/>
          <w:b/>
          <w:bCs/>
          <w:color w:val="auto"/>
        </w:rPr>
      </w:pPr>
      <w:r>
        <w:rPr>
          <w:rFonts w:hint="eastAsia" w:ascii="宋体" w:hAnsi="宋体"/>
          <w:b/>
          <w:bCs/>
          <w:color w:val="auto"/>
        </w:rPr>
        <w:t>供应商无需到现场解密，请持编制响应文件的CA钥匙进行在线远程解密，逾期解密或超时解密将被拒绝。</w:t>
      </w:r>
    </w:p>
    <w:p w14:paraId="782234EF">
      <w:pPr>
        <w:numPr>
          <w:ilvl w:val="0"/>
          <w:numId w:val="1"/>
        </w:numPr>
        <w:spacing w:line="360" w:lineRule="auto"/>
        <w:ind w:firstLine="422" w:firstLineChars="200"/>
        <w:rPr>
          <w:rFonts w:hint="eastAsia" w:ascii="宋体" w:hAnsi="宋体"/>
          <w:b/>
          <w:bCs/>
          <w:color w:val="auto"/>
        </w:rPr>
      </w:pPr>
      <w:r>
        <w:rPr>
          <w:rFonts w:hint="eastAsia" w:ascii="宋体" w:hAnsi="宋体"/>
          <w:b/>
          <w:bCs/>
          <w:color w:val="auto"/>
        </w:rPr>
        <w:t>各供应商请注意根据竞争性磋商文件要求，在规定的时间内完成第二轮报价。</w:t>
      </w:r>
    </w:p>
    <w:p w14:paraId="5355BB78">
      <w:pPr>
        <w:pStyle w:val="2"/>
        <w:spacing w:before="0" w:after="0" w:line="400" w:lineRule="exact"/>
        <w:jc w:val="center"/>
        <w:rPr>
          <w:rFonts w:hint="eastAsia" w:ascii="宋体" w:hAnsi="宋体"/>
          <w:bCs/>
          <w:color w:val="auto"/>
          <w:sz w:val="32"/>
          <w:szCs w:val="32"/>
        </w:rPr>
      </w:pPr>
      <w:r>
        <w:rPr>
          <w:rFonts w:hint="eastAsia" w:ascii="宋体" w:hAnsi="宋体"/>
          <w:color w:val="auto"/>
          <w:sz w:val="32"/>
          <w:szCs w:val="32"/>
        </w:rPr>
        <w:br w:type="page"/>
      </w:r>
      <w:bookmarkStart w:id="6" w:name="_Toc20327"/>
      <w:bookmarkEnd w:id="6"/>
      <w:bookmarkStart w:id="7" w:name="_Toc4071"/>
      <w:bookmarkStart w:id="8" w:name="_Toc5149"/>
      <w:bookmarkStart w:id="9" w:name="_Toc14074"/>
      <w:bookmarkStart w:id="10" w:name="_Toc8947"/>
      <w:bookmarkStart w:id="11" w:name="_Toc10589"/>
      <w:r>
        <w:rPr>
          <w:rFonts w:hint="eastAsia" w:ascii="宋体" w:hAnsi="宋体" w:eastAsia="宋体" w:cs="宋体"/>
          <w:bCs/>
          <w:color w:val="auto"/>
          <w:sz w:val="32"/>
          <w:szCs w:val="32"/>
        </w:rPr>
        <w:t>第一章  竞争性磋商公告</w:t>
      </w:r>
      <w:bookmarkEnd w:id="7"/>
      <w:bookmarkEnd w:id="8"/>
    </w:p>
    <w:p w14:paraId="1B05D42C">
      <w:pPr>
        <w:spacing w:line="440" w:lineRule="exact"/>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中原纯化制程实验室高纯石墨材料制备技术与产品研发项目</w:t>
      </w:r>
    </w:p>
    <w:p w14:paraId="49A94CD6">
      <w:pPr>
        <w:spacing w:line="440" w:lineRule="exact"/>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竞争性磋商公告</w:t>
      </w:r>
      <w:bookmarkEnd w:id="9"/>
      <w:bookmarkEnd w:id="10"/>
      <w:bookmarkEnd w:id="11"/>
    </w:p>
    <w:p w14:paraId="7EF59810">
      <w:pPr>
        <w:adjustRightInd w:val="0"/>
        <w:snapToGrid w:val="0"/>
        <w:spacing w:line="360" w:lineRule="auto"/>
        <w:ind w:firstLine="420" w:firstLineChars="200"/>
        <w:jc w:val="left"/>
        <w:rPr>
          <w:rFonts w:hint="eastAsia" w:ascii="宋体" w:hAnsi="宋体" w:cs="宋体"/>
          <w:color w:val="auto"/>
          <w:kern w:val="0"/>
        </w:rPr>
      </w:pPr>
      <w:bookmarkStart w:id="12" w:name="_Toc20071"/>
      <w:bookmarkEnd w:id="12"/>
      <w:bookmarkStart w:id="13" w:name="_Toc5536"/>
      <w:bookmarkEnd w:id="13"/>
      <w:r>
        <w:rPr>
          <w:rFonts w:hint="eastAsia" w:ascii="宋体" w:hAnsi="宋体" w:cs="宋体"/>
          <w:color w:val="auto"/>
          <w:kern w:val="0"/>
        </w:rPr>
        <w:t>项目概况</w:t>
      </w:r>
    </w:p>
    <w:p w14:paraId="2ED7945A">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中原纯化制程实验室高纯石墨材料制备技术与产品研发项目招标项目的潜在投标人应在河南省公共资源交易中心（http://hnsggzyjy.henan.gov.cn/）获取招标文件，并于2026年07月27日09时00分（北京时间）前递交响应文件。</w:t>
      </w:r>
    </w:p>
    <w:p w14:paraId="1F6301CF">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一、项目基本情况</w:t>
      </w:r>
    </w:p>
    <w:p w14:paraId="3449361F">
      <w:pPr>
        <w:adjustRightInd w:val="0"/>
        <w:snapToGrid w:val="0"/>
        <w:spacing w:line="360" w:lineRule="auto"/>
        <w:ind w:firstLine="420" w:firstLineChars="200"/>
        <w:jc w:val="left"/>
        <w:rPr>
          <w:rFonts w:hint="eastAsia" w:ascii="宋体" w:hAnsi="宋体" w:eastAsia="宋体" w:cs="宋体"/>
          <w:color w:val="auto"/>
          <w:kern w:val="0"/>
          <w:lang w:eastAsia="zh-CN"/>
        </w:rPr>
      </w:pPr>
      <w:r>
        <w:rPr>
          <w:rFonts w:hint="eastAsia" w:ascii="宋体" w:hAnsi="宋体" w:cs="宋体"/>
          <w:color w:val="auto"/>
          <w:kern w:val="0"/>
        </w:rPr>
        <w:t>1.项目编号：</w:t>
      </w:r>
      <w:r>
        <w:rPr>
          <w:rFonts w:hint="eastAsia" w:ascii="宋体" w:hAnsi="宋体" w:cs="宋体"/>
          <w:color w:val="auto"/>
          <w:kern w:val="0"/>
          <w:lang w:eastAsia="zh-CN"/>
        </w:rPr>
        <w:t>豫财磋商采购-2026-690</w:t>
      </w:r>
    </w:p>
    <w:p w14:paraId="77AE0785">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2.项目名称：中原纯化制程实验室高纯石墨材料制备技术与产品研发项目</w:t>
      </w:r>
    </w:p>
    <w:p w14:paraId="6A63655C">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3.采购方式：竞争性磋商</w:t>
      </w:r>
    </w:p>
    <w:p w14:paraId="023477C8">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4.采购预算：1</w:t>
      </w:r>
      <w:r>
        <w:rPr>
          <w:rFonts w:hint="eastAsia" w:ascii="宋体" w:hAnsi="宋体" w:cs="宋体"/>
          <w:color w:val="auto"/>
          <w:kern w:val="0"/>
          <w:lang w:val="en-US" w:eastAsia="zh-CN"/>
        </w:rPr>
        <w:t>,</w:t>
      </w:r>
      <w:r>
        <w:rPr>
          <w:rFonts w:hint="eastAsia" w:ascii="宋体" w:hAnsi="宋体" w:cs="宋体"/>
          <w:color w:val="auto"/>
          <w:kern w:val="0"/>
        </w:rPr>
        <w:t>700</w:t>
      </w:r>
      <w:r>
        <w:rPr>
          <w:rFonts w:hint="eastAsia" w:ascii="宋体" w:hAnsi="宋体" w:cs="宋体"/>
          <w:color w:val="auto"/>
          <w:kern w:val="0"/>
          <w:lang w:val="en-US" w:eastAsia="zh-CN"/>
        </w:rPr>
        <w:t>,</w:t>
      </w:r>
      <w:r>
        <w:rPr>
          <w:rFonts w:hint="eastAsia" w:ascii="宋体" w:hAnsi="宋体" w:cs="宋体"/>
          <w:color w:val="auto"/>
          <w:kern w:val="0"/>
        </w:rPr>
        <w:t>000</w:t>
      </w:r>
      <w:r>
        <w:rPr>
          <w:rFonts w:hint="eastAsia" w:ascii="宋体" w:hAnsi="宋体" w:cs="宋体"/>
          <w:color w:val="auto"/>
          <w:kern w:val="0"/>
          <w:lang w:val="en-US" w:eastAsia="zh-CN"/>
        </w:rPr>
        <w:t>.00</w:t>
      </w:r>
      <w:r>
        <w:rPr>
          <w:rFonts w:hint="eastAsia" w:ascii="宋体" w:hAnsi="宋体" w:cs="宋体"/>
          <w:color w:val="auto"/>
          <w:kern w:val="0"/>
        </w:rPr>
        <w:t>元</w:t>
      </w:r>
    </w:p>
    <w:p w14:paraId="31E3E2B6">
      <w:pPr>
        <w:adjustRightInd w:val="0"/>
        <w:snapToGrid w:val="0"/>
        <w:spacing w:line="360" w:lineRule="auto"/>
        <w:ind w:firstLine="630" w:firstLineChars="300"/>
        <w:jc w:val="left"/>
        <w:rPr>
          <w:rFonts w:hint="eastAsia" w:ascii="宋体" w:hAnsi="宋体" w:cs="宋体"/>
          <w:color w:val="auto"/>
          <w:kern w:val="0"/>
        </w:rPr>
      </w:pPr>
      <w:r>
        <w:rPr>
          <w:rFonts w:hint="eastAsia" w:ascii="宋体" w:hAnsi="宋体" w:cs="宋体"/>
          <w:color w:val="auto"/>
          <w:kern w:val="0"/>
        </w:rPr>
        <w:t>最高限价：1700000元</w:t>
      </w:r>
    </w:p>
    <w:tbl>
      <w:tblPr>
        <w:tblStyle w:val="41"/>
        <w:tblW w:w="8556" w:type="dxa"/>
        <w:tblInd w:w="3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3"/>
        <w:gridCol w:w="1579"/>
        <w:gridCol w:w="2939"/>
        <w:gridCol w:w="1438"/>
        <w:gridCol w:w="1857"/>
      </w:tblGrid>
      <w:tr w14:paraId="78A43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743" w:type="dxa"/>
            <w:vAlign w:val="center"/>
          </w:tcPr>
          <w:p w14:paraId="0E7D3CA9">
            <w:pPr>
              <w:spacing w:line="440" w:lineRule="exact"/>
              <w:jc w:val="center"/>
              <w:rPr>
                <w:rFonts w:hint="eastAsia" w:ascii="宋体" w:hAnsi="宋体" w:cs="宋体"/>
                <w:color w:val="auto"/>
                <w:kern w:val="0"/>
              </w:rPr>
            </w:pPr>
            <w:r>
              <w:rPr>
                <w:rFonts w:hint="eastAsia" w:ascii="宋体" w:hAnsi="宋体" w:cs="宋体"/>
                <w:color w:val="auto"/>
                <w:kern w:val="0"/>
              </w:rPr>
              <w:t>序号</w:t>
            </w:r>
          </w:p>
        </w:tc>
        <w:tc>
          <w:tcPr>
            <w:tcW w:w="1579" w:type="dxa"/>
            <w:vAlign w:val="center"/>
          </w:tcPr>
          <w:p w14:paraId="758CD005">
            <w:pPr>
              <w:spacing w:line="440" w:lineRule="exact"/>
              <w:jc w:val="center"/>
              <w:rPr>
                <w:rFonts w:hint="eastAsia" w:ascii="宋体" w:hAnsi="宋体" w:cs="宋体"/>
                <w:color w:val="auto"/>
                <w:kern w:val="0"/>
              </w:rPr>
            </w:pPr>
            <w:r>
              <w:rPr>
                <w:rFonts w:hint="eastAsia" w:ascii="宋体" w:hAnsi="宋体" w:cs="宋体"/>
                <w:color w:val="auto"/>
                <w:kern w:val="0"/>
              </w:rPr>
              <w:t>包号</w:t>
            </w:r>
          </w:p>
        </w:tc>
        <w:tc>
          <w:tcPr>
            <w:tcW w:w="2939" w:type="dxa"/>
            <w:vAlign w:val="center"/>
          </w:tcPr>
          <w:p w14:paraId="36154B99">
            <w:pPr>
              <w:spacing w:line="440" w:lineRule="exact"/>
              <w:jc w:val="center"/>
              <w:rPr>
                <w:rFonts w:hint="eastAsia" w:ascii="宋体" w:hAnsi="宋体" w:cs="宋体"/>
                <w:color w:val="auto"/>
                <w:kern w:val="0"/>
              </w:rPr>
            </w:pPr>
            <w:r>
              <w:rPr>
                <w:rFonts w:hint="eastAsia" w:ascii="宋体" w:hAnsi="宋体" w:cs="宋体"/>
                <w:color w:val="auto"/>
                <w:kern w:val="0"/>
              </w:rPr>
              <w:t>包名称</w:t>
            </w:r>
          </w:p>
        </w:tc>
        <w:tc>
          <w:tcPr>
            <w:tcW w:w="1438" w:type="dxa"/>
            <w:vAlign w:val="center"/>
          </w:tcPr>
          <w:p w14:paraId="6A02091E">
            <w:pPr>
              <w:spacing w:line="440" w:lineRule="exact"/>
              <w:jc w:val="center"/>
              <w:rPr>
                <w:rFonts w:hint="eastAsia" w:ascii="宋体" w:hAnsi="宋体" w:cs="宋体"/>
                <w:color w:val="auto"/>
                <w:kern w:val="0"/>
              </w:rPr>
            </w:pPr>
            <w:r>
              <w:rPr>
                <w:rFonts w:hint="eastAsia" w:ascii="宋体" w:hAnsi="宋体" w:cs="宋体"/>
                <w:color w:val="auto"/>
                <w:kern w:val="0"/>
              </w:rPr>
              <w:t>包预算（元）</w:t>
            </w:r>
          </w:p>
        </w:tc>
        <w:tc>
          <w:tcPr>
            <w:tcW w:w="1857" w:type="dxa"/>
            <w:vAlign w:val="center"/>
          </w:tcPr>
          <w:p w14:paraId="6B24AA40">
            <w:pPr>
              <w:spacing w:line="440" w:lineRule="exact"/>
              <w:jc w:val="center"/>
              <w:rPr>
                <w:rFonts w:hint="eastAsia" w:ascii="宋体" w:hAnsi="宋体" w:cs="宋体"/>
                <w:color w:val="auto"/>
                <w:kern w:val="0"/>
              </w:rPr>
            </w:pPr>
            <w:r>
              <w:rPr>
                <w:rFonts w:hint="eastAsia" w:ascii="宋体" w:hAnsi="宋体" w:cs="宋体"/>
                <w:color w:val="auto"/>
                <w:kern w:val="0"/>
              </w:rPr>
              <w:t>包最高限价（元）</w:t>
            </w:r>
          </w:p>
        </w:tc>
      </w:tr>
      <w:tr w14:paraId="5A5F5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3" w:type="dxa"/>
            <w:vAlign w:val="center"/>
          </w:tcPr>
          <w:p w14:paraId="4EFB0315">
            <w:pPr>
              <w:spacing w:line="440" w:lineRule="exact"/>
              <w:jc w:val="center"/>
              <w:rPr>
                <w:rFonts w:hint="eastAsia" w:ascii="宋体" w:hAnsi="宋体" w:cs="宋体"/>
                <w:color w:val="auto"/>
                <w:kern w:val="0"/>
              </w:rPr>
            </w:pPr>
            <w:r>
              <w:rPr>
                <w:rFonts w:hint="eastAsia" w:ascii="宋体" w:hAnsi="宋体" w:cs="宋体"/>
                <w:color w:val="auto"/>
                <w:kern w:val="0"/>
              </w:rPr>
              <w:t>1</w:t>
            </w:r>
          </w:p>
        </w:tc>
        <w:tc>
          <w:tcPr>
            <w:tcW w:w="1579" w:type="dxa"/>
            <w:vAlign w:val="center"/>
          </w:tcPr>
          <w:p w14:paraId="0EB22A1A">
            <w:pPr>
              <w:spacing w:line="440" w:lineRule="exact"/>
              <w:jc w:val="center"/>
              <w:rPr>
                <w:rFonts w:hint="eastAsia" w:ascii="宋体" w:hAnsi="宋体" w:cs="宋体"/>
                <w:color w:val="auto"/>
                <w:kern w:val="0"/>
              </w:rPr>
            </w:pPr>
            <w:r>
              <w:rPr>
                <w:rFonts w:hint="eastAsia" w:ascii="宋体" w:hAnsi="宋体" w:cs="宋体"/>
                <w:color w:val="auto"/>
                <w:kern w:val="0"/>
              </w:rPr>
              <w:t>豫政采(2)20261164-1</w:t>
            </w:r>
          </w:p>
        </w:tc>
        <w:tc>
          <w:tcPr>
            <w:tcW w:w="2939" w:type="dxa"/>
          </w:tcPr>
          <w:p w14:paraId="6405E961">
            <w:pPr>
              <w:spacing w:line="440" w:lineRule="exact"/>
              <w:jc w:val="center"/>
              <w:rPr>
                <w:rFonts w:hint="eastAsia" w:ascii="宋体" w:hAnsi="宋体" w:cs="宋体"/>
                <w:color w:val="auto"/>
                <w:kern w:val="0"/>
              </w:rPr>
            </w:pPr>
            <w:r>
              <w:rPr>
                <w:rFonts w:hint="eastAsia" w:ascii="宋体" w:hAnsi="宋体" w:cs="宋体"/>
                <w:color w:val="auto"/>
                <w:kern w:val="0"/>
              </w:rPr>
              <w:t>中原纯化制程实验室高纯石墨材料制备技术与产品研发项目</w:t>
            </w:r>
          </w:p>
        </w:tc>
        <w:tc>
          <w:tcPr>
            <w:tcW w:w="1438" w:type="dxa"/>
            <w:vAlign w:val="center"/>
          </w:tcPr>
          <w:p w14:paraId="51D72872">
            <w:pPr>
              <w:spacing w:line="440" w:lineRule="exact"/>
              <w:jc w:val="center"/>
              <w:rPr>
                <w:rFonts w:hint="eastAsia" w:ascii="宋体" w:hAnsi="宋体" w:cs="宋体"/>
                <w:color w:val="auto"/>
                <w:kern w:val="0"/>
              </w:rPr>
            </w:pPr>
            <w:r>
              <w:rPr>
                <w:rFonts w:hint="eastAsia" w:ascii="宋体" w:hAnsi="宋体" w:cs="宋体"/>
                <w:color w:val="auto"/>
                <w:kern w:val="0"/>
              </w:rPr>
              <w:t>1700000</w:t>
            </w:r>
          </w:p>
        </w:tc>
        <w:tc>
          <w:tcPr>
            <w:tcW w:w="1857" w:type="dxa"/>
            <w:vAlign w:val="center"/>
          </w:tcPr>
          <w:p w14:paraId="46378112">
            <w:pPr>
              <w:spacing w:line="440" w:lineRule="exact"/>
              <w:ind w:firstLine="420" w:firstLineChars="200"/>
              <w:jc w:val="left"/>
              <w:rPr>
                <w:rFonts w:hint="eastAsia" w:ascii="宋体" w:hAnsi="宋体" w:cs="宋体"/>
                <w:color w:val="auto"/>
                <w:kern w:val="0"/>
              </w:rPr>
            </w:pPr>
            <w:r>
              <w:rPr>
                <w:rFonts w:hint="eastAsia" w:ascii="宋体" w:hAnsi="宋体" w:cs="宋体"/>
                <w:color w:val="auto"/>
                <w:kern w:val="0"/>
              </w:rPr>
              <w:t>1700000</w:t>
            </w:r>
          </w:p>
        </w:tc>
      </w:tr>
    </w:tbl>
    <w:p w14:paraId="16F35B97">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5.采购需求（包括但不限于标的的名称、数量、简要技术需求或服务要求等）</w:t>
      </w:r>
    </w:p>
    <w:p w14:paraId="110D626F">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5.1采购内容：本项目拟购置超高温石墨化炉</w:t>
      </w:r>
      <w:r>
        <w:rPr>
          <w:rFonts w:hint="eastAsia" w:ascii="宋体" w:hAnsi="宋体" w:cs="宋体"/>
          <w:color w:val="auto"/>
          <w:kern w:val="0"/>
          <w:lang w:eastAsia="zh-CN"/>
        </w:rPr>
        <w:t>、</w:t>
      </w:r>
      <w:r>
        <w:rPr>
          <w:rFonts w:hint="eastAsia" w:ascii="宋体" w:hAnsi="宋体" w:cs="宋体"/>
          <w:color w:val="auto"/>
          <w:kern w:val="0"/>
        </w:rPr>
        <w:t>真空高压浸渍系统</w:t>
      </w:r>
      <w:r>
        <w:rPr>
          <w:rFonts w:hint="eastAsia" w:ascii="宋体" w:hAnsi="宋体" w:cs="宋体"/>
          <w:color w:val="auto"/>
          <w:kern w:val="0"/>
          <w:lang w:eastAsia="zh-CN"/>
        </w:rPr>
        <w:t>、</w:t>
      </w:r>
      <w:r>
        <w:rPr>
          <w:rFonts w:hint="eastAsia" w:ascii="宋体" w:hAnsi="宋体" w:cs="宋体"/>
          <w:color w:val="auto"/>
          <w:kern w:val="0"/>
        </w:rPr>
        <w:t>温等静压机</w:t>
      </w:r>
      <w:r>
        <w:rPr>
          <w:rFonts w:hint="eastAsia" w:ascii="宋体" w:hAnsi="宋体" w:cs="宋体"/>
          <w:color w:val="auto"/>
          <w:kern w:val="0"/>
          <w:lang w:eastAsia="zh-CN"/>
        </w:rPr>
        <w:t>、</w:t>
      </w:r>
      <w:r>
        <w:rPr>
          <w:rFonts w:hint="eastAsia" w:ascii="宋体" w:hAnsi="宋体" w:cs="宋体"/>
          <w:color w:val="auto"/>
          <w:kern w:val="0"/>
        </w:rPr>
        <w:t>高速纳米级陶瓷气流粉碎分级机</w:t>
      </w:r>
      <w:r>
        <w:rPr>
          <w:rFonts w:hint="eastAsia" w:ascii="宋体" w:hAnsi="宋体" w:cs="宋体"/>
          <w:color w:val="auto"/>
          <w:kern w:val="0"/>
          <w:lang w:eastAsia="zh-CN"/>
        </w:rPr>
        <w:t>、</w:t>
      </w:r>
      <w:r>
        <w:rPr>
          <w:rFonts w:hint="eastAsia" w:ascii="宋体" w:hAnsi="宋体" w:cs="宋体"/>
          <w:color w:val="auto"/>
          <w:kern w:val="0"/>
        </w:rPr>
        <w:t>机械整形机</w:t>
      </w:r>
      <w:r>
        <w:rPr>
          <w:rFonts w:hint="eastAsia" w:ascii="宋体" w:hAnsi="宋体" w:cs="宋体"/>
          <w:color w:val="auto"/>
          <w:kern w:val="0"/>
          <w:lang w:eastAsia="zh-CN"/>
        </w:rPr>
        <w:t>、</w:t>
      </w:r>
      <w:r>
        <w:rPr>
          <w:rFonts w:hint="eastAsia" w:ascii="宋体" w:hAnsi="宋体" w:cs="宋体"/>
          <w:color w:val="auto"/>
          <w:kern w:val="0"/>
        </w:rPr>
        <w:t>电子天平</w:t>
      </w:r>
      <w:r>
        <w:rPr>
          <w:rFonts w:hint="eastAsia" w:ascii="宋体" w:hAnsi="宋体" w:cs="宋体"/>
          <w:color w:val="auto"/>
          <w:kern w:val="0"/>
          <w:lang w:eastAsia="zh-CN"/>
        </w:rPr>
        <w:t>、</w:t>
      </w:r>
      <w:r>
        <w:rPr>
          <w:rFonts w:hint="eastAsia" w:ascii="宋体" w:hAnsi="宋体" w:cs="宋体"/>
          <w:color w:val="auto"/>
          <w:kern w:val="0"/>
        </w:rPr>
        <w:t>石墨体积密度测试仪</w:t>
      </w:r>
      <w:r>
        <w:rPr>
          <w:rFonts w:hint="eastAsia" w:ascii="宋体" w:hAnsi="宋体" w:cs="宋体"/>
          <w:color w:val="auto"/>
          <w:kern w:val="0"/>
          <w:lang w:eastAsia="zh-CN"/>
        </w:rPr>
        <w:t>、</w:t>
      </w:r>
      <w:r>
        <w:rPr>
          <w:rFonts w:hint="eastAsia" w:ascii="宋体" w:hAnsi="宋体" w:cs="宋体"/>
          <w:color w:val="auto"/>
          <w:kern w:val="0"/>
        </w:rPr>
        <w:t>振实密度仪</w:t>
      </w:r>
      <w:r>
        <w:rPr>
          <w:rFonts w:hint="eastAsia" w:ascii="宋体" w:hAnsi="宋体" w:cs="宋体"/>
          <w:color w:val="auto"/>
          <w:kern w:val="0"/>
          <w:lang w:eastAsia="zh-CN"/>
        </w:rPr>
        <w:t>、</w:t>
      </w:r>
      <w:r>
        <w:rPr>
          <w:rFonts w:hint="eastAsia" w:ascii="宋体" w:hAnsi="宋体" w:cs="宋体"/>
          <w:color w:val="auto"/>
          <w:kern w:val="0"/>
        </w:rPr>
        <w:t>鼓风干燥箱</w:t>
      </w:r>
      <w:r>
        <w:rPr>
          <w:rFonts w:hint="eastAsia" w:ascii="宋体" w:hAnsi="宋体" w:cs="宋体"/>
          <w:color w:val="auto"/>
          <w:kern w:val="0"/>
          <w:lang w:eastAsia="zh-CN"/>
        </w:rPr>
        <w:t>、</w:t>
      </w:r>
      <w:r>
        <w:rPr>
          <w:rFonts w:hint="eastAsia" w:ascii="宋体" w:hAnsi="宋体" w:cs="宋体"/>
          <w:color w:val="auto"/>
          <w:kern w:val="0"/>
        </w:rPr>
        <w:t>密封式制样破碎机</w:t>
      </w:r>
      <w:r>
        <w:rPr>
          <w:rFonts w:hint="eastAsia" w:ascii="宋体" w:hAnsi="宋体" w:cs="宋体"/>
          <w:color w:val="auto"/>
          <w:kern w:val="0"/>
          <w:lang w:eastAsia="zh-CN"/>
        </w:rPr>
        <w:t>、</w:t>
      </w:r>
      <w:r>
        <w:rPr>
          <w:rFonts w:hint="eastAsia" w:ascii="宋体" w:hAnsi="宋体" w:cs="宋体"/>
          <w:color w:val="auto"/>
          <w:kern w:val="0"/>
        </w:rPr>
        <w:t>三维混合机</w:t>
      </w:r>
      <w:r>
        <w:rPr>
          <w:rFonts w:hint="eastAsia" w:ascii="宋体" w:hAnsi="宋体" w:cs="宋体"/>
          <w:color w:val="auto"/>
          <w:kern w:val="0"/>
          <w:lang w:eastAsia="zh-CN"/>
        </w:rPr>
        <w:t>、</w:t>
      </w:r>
      <w:r>
        <w:rPr>
          <w:rFonts w:hint="eastAsia" w:ascii="宋体" w:hAnsi="宋体" w:cs="宋体"/>
          <w:color w:val="auto"/>
          <w:kern w:val="0"/>
        </w:rPr>
        <w:t>箱式气氛焙烧炉</w:t>
      </w:r>
      <w:r>
        <w:rPr>
          <w:rFonts w:hint="eastAsia" w:ascii="宋体" w:hAnsi="宋体" w:cs="宋体"/>
          <w:color w:val="auto"/>
          <w:kern w:val="0"/>
          <w:lang w:eastAsia="zh-CN"/>
        </w:rPr>
        <w:t>、</w:t>
      </w:r>
      <w:r>
        <w:rPr>
          <w:rFonts w:hint="eastAsia" w:ascii="宋体" w:hAnsi="宋体" w:cs="宋体"/>
          <w:color w:val="auto"/>
          <w:kern w:val="0"/>
        </w:rPr>
        <w:t>电动四柱液压机</w:t>
      </w:r>
      <w:r>
        <w:rPr>
          <w:rFonts w:hint="eastAsia" w:ascii="宋体" w:hAnsi="宋体" w:cs="宋体"/>
          <w:color w:val="auto"/>
          <w:kern w:val="0"/>
          <w:lang w:eastAsia="zh-CN"/>
        </w:rPr>
        <w:t>、</w:t>
      </w:r>
      <w:r>
        <w:rPr>
          <w:rFonts w:hint="eastAsia" w:ascii="宋体" w:hAnsi="宋体" w:cs="宋体"/>
          <w:color w:val="auto"/>
          <w:kern w:val="0"/>
        </w:rPr>
        <w:t>小型炭素混捏锅各1台</w:t>
      </w:r>
      <w:r>
        <w:rPr>
          <w:rFonts w:hint="eastAsia" w:ascii="宋体" w:hAnsi="宋体" w:cs="宋体"/>
          <w:color w:val="auto"/>
          <w:kern w:val="0"/>
          <w:lang w:eastAsia="zh-CN"/>
        </w:rPr>
        <w:t>，</w:t>
      </w:r>
      <w:r>
        <w:rPr>
          <w:rFonts w:hint="eastAsia" w:cs="宋体"/>
          <w:color w:val="auto"/>
        </w:rPr>
        <w:t>包含但不限于设备的供货、运输、保险、装卸、安装、检测、调试、试运行、验收交付、培训、技术支持、软件升级、售后保修及相关伴随服务。</w:t>
      </w:r>
    </w:p>
    <w:p w14:paraId="4986071A">
      <w:pPr>
        <w:adjustRightInd w:val="0"/>
        <w:snapToGrid w:val="0"/>
        <w:spacing w:line="360" w:lineRule="auto"/>
        <w:ind w:firstLine="420" w:firstLineChars="200"/>
        <w:jc w:val="left"/>
        <w:rPr>
          <w:rFonts w:hint="eastAsia" w:ascii="宋体" w:hAnsi="宋体" w:cs="宋体"/>
          <w:color w:val="auto"/>
          <w:kern w:val="0"/>
        </w:rPr>
      </w:pPr>
      <w:bookmarkStart w:id="14" w:name="_Toc269823918"/>
      <w:r>
        <w:rPr>
          <w:rFonts w:hint="eastAsia" w:ascii="宋体" w:hAnsi="宋体" w:cs="宋体"/>
          <w:color w:val="auto"/>
          <w:kern w:val="0"/>
        </w:rPr>
        <w:t>5.2 标包划分：本招标项目共划分一个标包。</w:t>
      </w:r>
    </w:p>
    <w:bookmarkEnd w:id="14"/>
    <w:p w14:paraId="35CB54ED">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5.3 交货期：自合同生效之日起</w:t>
      </w:r>
      <w:r>
        <w:rPr>
          <w:rFonts w:hint="eastAsia" w:ascii="宋体" w:hAnsi="宋体" w:cs="宋体"/>
          <w:color w:val="auto"/>
          <w:kern w:val="0"/>
          <w:u w:val="single"/>
        </w:rPr>
        <w:t xml:space="preserve"> </w:t>
      </w:r>
      <w:r>
        <w:rPr>
          <w:rFonts w:hint="eastAsia" w:ascii="宋体" w:hAnsi="宋体" w:cs="宋体"/>
          <w:color w:val="auto"/>
          <w:kern w:val="0"/>
          <w:u w:val="single"/>
          <w:lang w:val="en-US" w:eastAsia="zh-CN"/>
        </w:rPr>
        <w:t>4</w:t>
      </w:r>
      <w:r>
        <w:rPr>
          <w:rFonts w:hint="eastAsia" w:ascii="宋体" w:hAnsi="宋体" w:cs="宋体"/>
          <w:color w:val="auto"/>
          <w:kern w:val="0"/>
          <w:u w:val="single"/>
        </w:rPr>
        <w:t xml:space="preserve"> </w:t>
      </w:r>
      <w:r>
        <w:rPr>
          <w:rFonts w:hint="eastAsia" w:ascii="宋体" w:hAnsi="宋体" w:cs="宋体"/>
          <w:color w:val="auto"/>
          <w:kern w:val="0"/>
        </w:rPr>
        <w:t>个月内安装调试完成。</w:t>
      </w:r>
    </w:p>
    <w:p w14:paraId="5485D1D3">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5.4 质量要求：符合国家、行业现行验收规范和标准，满足采购人相关要求。</w:t>
      </w:r>
    </w:p>
    <w:p w14:paraId="2CCF81AA">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 xml:space="preserve">5.5 </w:t>
      </w:r>
      <w:r>
        <w:rPr>
          <w:rFonts w:hint="eastAsia" w:ascii="宋体" w:hAnsi="宋体"/>
          <w:color w:val="auto"/>
        </w:rPr>
        <w:t>交货地点：郑州大学北校区</w:t>
      </w:r>
      <w:r>
        <w:rPr>
          <w:rFonts w:hint="eastAsia" w:ascii="宋体" w:hAnsi="宋体" w:cs="宋体"/>
          <w:color w:val="auto"/>
          <w:kern w:val="0"/>
        </w:rPr>
        <w:t>。</w:t>
      </w:r>
    </w:p>
    <w:p w14:paraId="2FAE33D2">
      <w:pPr>
        <w:pStyle w:val="91"/>
        <w:widowControl w:val="0"/>
        <w:snapToGrid w:val="0"/>
        <w:spacing w:line="360" w:lineRule="auto"/>
        <w:ind w:firstLine="420"/>
        <w:rPr>
          <w:rFonts w:hint="eastAsia" w:ascii="宋体" w:hAnsi="宋体" w:eastAsia="宋体" w:cs="宋体"/>
          <w:color w:val="auto"/>
          <w:sz w:val="21"/>
        </w:rPr>
      </w:pPr>
      <w:r>
        <w:rPr>
          <w:rFonts w:hint="eastAsia" w:ascii="宋体" w:hAnsi="宋体" w:eastAsia="宋体" w:cs="宋体"/>
          <w:color w:val="auto"/>
          <w:sz w:val="21"/>
        </w:rPr>
        <w:t>5.6 质保期：验收合格</w:t>
      </w:r>
      <w:r>
        <w:rPr>
          <w:rFonts w:hint="eastAsia" w:ascii="宋体" w:hAnsi="宋体" w:eastAsia="宋体" w:cs="宋体"/>
          <w:color w:val="auto"/>
          <w:sz w:val="21"/>
          <w:lang w:eastAsia="zh-CN"/>
        </w:rPr>
        <w:t>之日起</w:t>
      </w:r>
      <w:r>
        <w:rPr>
          <w:rFonts w:hint="eastAsia" w:ascii="宋体" w:hAnsi="宋体" w:eastAsia="宋体" w:cs="宋体"/>
          <w:color w:val="auto"/>
          <w:sz w:val="21"/>
        </w:rPr>
        <w:t>质保</w:t>
      </w:r>
      <w:r>
        <w:rPr>
          <w:rFonts w:hint="eastAsia" w:ascii="宋体" w:hAnsi="宋体" w:eastAsia="宋体" w:cs="宋体"/>
          <w:color w:val="auto"/>
          <w:sz w:val="21"/>
          <w:lang w:val="en-US" w:eastAsia="zh-CN"/>
        </w:rPr>
        <w:t xml:space="preserve"> 3 </w:t>
      </w:r>
      <w:r>
        <w:rPr>
          <w:rFonts w:hint="eastAsia" w:ascii="宋体" w:hAnsi="宋体" w:eastAsia="宋体" w:cs="宋体"/>
          <w:color w:val="auto"/>
          <w:sz w:val="21"/>
        </w:rPr>
        <w:t>年。</w:t>
      </w:r>
    </w:p>
    <w:p w14:paraId="4906C9B1">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6.合同履行期限：自合同签订至质保期结束。</w:t>
      </w:r>
    </w:p>
    <w:p w14:paraId="2474734E">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7.本项目是否接受联合体投标：否。</w:t>
      </w:r>
    </w:p>
    <w:p w14:paraId="22782F4F">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8.是否接受进口产品：否。</w:t>
      </w:r>
    </w:p>
    <w:p w14:paraId="77BBB779">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9.是否专门面向中小企业：否。</w:t>
      </w:r>
    </w:p>
    <w:p w14:paraId="777A8BA0">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二、申请人的资格要求：</w:t>
      </w:r>
    </w:p>
    <w:p w14:paraId="334B5DE8">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1.满足《中华人民共和国政府采购法》第二十二条规定；</w:t>
      </w:r>
    </w:p>
    <w:p w14:paraId="6D5E4C98">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2.落实政府采购政策满足的资格要求：无；</w:t>
      </w:r>
    </w:p>
    <w:p w14:paraId="55AD4FB7">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3.本项目的特定资格要求：</w:t>
      </w:r>
    </w:p>
    <w:p w14:paraId="74D7F9EB">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3.1根据《关于在政府采购活动中查询及使用信用记录有关问题的通知》(财库[2016]125号)和豫财购[2016]15号的规定，对列入失信被执行人、重大税收违法失信主体、政府采购严重违法失信行为记录名单的企业，拒绝参与本项目招标采购活动（查询渠道：“信用中国”网站（www.creditchina.gov.cn）查询：列入失信被执行人、重大税收违法失信主体，中国政府采购网（www.ccgp.gov.cn）：政府采购严重违法失信行为记录名单）；注：采购代理机构在磋商当天将对所有参与本项目投标的供应商的信用情况（失信被执行人、重大税收违法失信主体、政府采购严重违法失信行为记录名单）进行查询、打印留存。若在磋商当天查询到供应商有相关负面信息的，则该供应商递交的响应文件按无效处理；</w:t>
      </w:r>
    </w:p>
    <w:p w14:paraId="1C9B8F6E">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3.2单位负责人为同一人或者存在直接控股、管理关系的不同供应商，不得参加同一合同项下的政府采购活动。</w:t>
      </w:r>
    </w:p>
    <w:p w14:paraId="16DA2763">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三、获取采购文件</w:t>
      </w:r>
    </w:p>
    <w:p w14:paraId="4A25ABD3">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1.时间：2026年</w:t>
      </w:r>
      <w:r>
        <w:rPr>
          <w:rFonts w:hint="eastAsia" w:ascii="宋体" w:hAnsi="宋体" w:cs="宋体"/>
          <w:color w:val="auto"/>
          <w:kern w:val="0"/>
          <w:lang w:val="en-US" w:eastAsia="zh-CN"/>
        </w:rPr>
        <w:t>7</w:t>
      </w:r>
      <w:r>
        <w:rPr>
          <w:rFonts w:hint="eastAsia" w:ascii="宋体" w:hAnsi="宋体" w:cs="宋体"/>
          <w:color w:val="auto"/>
          <w:kern w:val="0"/>
        </w:rPr>
        <w:t>月</w:t>
      </w:r>
      <w:r>
        <w:rPr>
          <w:rFonts w:hint="eastAsia" w:ascii="宋体" w:hAnsi="宋体" w:cs="宋体"/>
          <w:color w:val="auto"/>
          <w:kern w:val="0"/>
          <w:lang w:val="en-US" w:eastAsia="zh-CN"/>
        </w:rPr>
        <w:t>16</w:t>
      </w:r>
      <w:r>
        <w:rPr>
          <w:rFonts w:hint="eastAsia" w:ascii="宋体" w:hAnsi="宋体" w:cs="宋体"/>
          <w:color w:val="auto"/>
          <w:kern w:val="0"/>
        </w:rPr>
        <w:t>日至 2026年</w:t>
      </w:r>
      <w:r>
        <w:rPr>
          <w:rFonts w:hint="eastAsia" w:ascii="宋体" w:hAnsi="宋体" w:cs="宋体"/>
          <w:color w:val="auto"/>
          <w:kern w:val="0"/>
          <w:lang w:val="en-US" w:eastAsia="zh-CN"/>
        </w:rPr>
        <w:t>7</w:t>
      </w:r>
      <w:r>
        <w:rPr>
          <w:rFonts w:hint="eastAsia" w:ascii="宋体" w:hAnsi="宋体" w:cs="宋体"/>
          <w:color w:val="auto"/>
          <w:kern w:val="0"/>
        </w:rPr>
        <w:t>月</w:t>
      </w:r>
      <w:r>
        <w:rPr>
          <w:rFonts w:hint="eastAsia" w:ascii="宋体" w:hAnsi="宋体" w:cs="宋体"/>
          <w:color w:val="auto"/>
          <w:kern w:val="0"/>
          <w:lang w:val="en-US" w:eastAsia="zh-CN"/>
        </w:rPr>
        <w:t>22</w:t>
      </w:r>
      <w:r>
        <w:rPr>
          <w:rFonts w:hint="eastAsia" w:ascii="宋体" w:hAnsi="宋体" w:cs="宋体"/>
          <w:color w:val="auto"/>
          <w:kern w:val="0"/>
        </w:rPr>
        <w:t>日，每天上午 00:00 至 12:00，下午12:00 至 23：59（北京时间，法定节假日除外。）</w:t>
      </w:r>
    </w:p>
    <w:p w14:paraId="223D9399">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2.地点：河南省公共资源交易中心（http://hnsggzyjy.henan.gov.cn/）</w:t>
      </w:r>
    </w:p>
    <w:p w14:paraId="2F54152C">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3.方式：登录“河南省公共资源交易中心（http://hnsggzyjy.henan.gov.cn/） ”，凭企业身份认证锁（CA密钥）按网上提示进行网上下载竞争性磋商文件。供应商应首先完成 CA 数字证书办理及市场主体信息库登记（具体办理事宜请参阅公共服务----办事指南----新交易平台使用手册（培训手册））</w:t>
      </w:r>
    </w:p>
    <w:p w14:paraId="47BD027D">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4.售价：0元</w:t>
      </w:r>
    </w:p>
    <w:p w14:paraId="39155685">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四、响应文件提交</w:t>
      </w:r>
    </w:p>
    <w:p w14:paraId="02A4EF62">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1.截止时间：2026年</w:t>
      </w:r>
      <w:r>
        <w:rPr>
          <w:rFonts w:hint="eastAsia" w:ascii="宋体" w:hAnsi="宋体" w:cs="宋体"/>
          <w:color w:val="auto"/>
          <w:kern w:val="0"/>
          <w:lang w:val="en-US" w:eastAsia="zh-CN"/>
        </w:rPr>
        <w:t>7</w:t>
      </w:r>
      <w:r>
        <w:rPr>
          <w:rFonts w:hint="eastAsia" w:ascii="宋体" w:hAnsi="宋体" w:cs="宋体"/>
          <w:color w:val="auto"/>
          <w:kern w:val="0"/>
        </w:rPr>
        <w:t>月</w:t>
      </w:r>
      <w:r>
        <w:rPr>
          <w:rFonts w:hint="eastAsia" w:ascii="宋体" w:hAnsi="宋体" w:cs="宋体"/>
          <w:color w:val="auto"/>
          <w:kern w:val="0"/>
          <w:lang w:val="en-US" w:eastAsia="zh-CN"/>
        </w:rPr>
        <w:t>27</w:t>
      </w:r>
      <w:r>
        <w:rPr>
          <w:rFonts w:hint="eastAsia" w:ascii="宋体" w:hAnsi="宋体" w:cs="宋体"/>
          <w:color w:val="auto"/>
          <w:kern w:val="0"/>
        </w:rPr>
        <w:t>日09 时00分（北京时间）</w:t>
      </w:r>
    </w:p>
    <w:p w14:paraId="0C802586">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地点：河南省公共资源交易中心交易系统平台。各供应商应在响应文件提交截止时间前，通过河南省公共资源交易中心交易系统上传加密的电子响应文件。请各供应商在上传前务必认真检查上传电子响应文件是否完整、正确，加密电子响应文件逾期上传，采购人不予受理。</w:t>
      </w:r>
    </w:p>
    <w:p w14:paraId="2B2C2B86">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五、响应文件开启</w:t>
      </w:r>
    </w:p>
    <w:p w14:paraId="588E73BC">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1.时间：2026年</w:t>
      </w:r>
      <w:r>
        <w:rPr>
          <w:rFonts w:hint="eastAsia" w:ascii="宋体" w:hAnsi="宋体" w:cs="宋体"/>
          <w:color w:val="auto"/>
          <w:kern w:val="0"/>
          <w:lang w:val="en-US" w:eastAsia="zh-CN"/>
        </w:rPr>
        <w:t>7</w:t>
      </w:r>
      <w:r>
        <w:rPr>
          <w:rFonts w:hint="eastAsia" w:ascii="宋体" w:hAnsi="宋体" w:cs="宋体"/>
          <w:color w:val="auto"/>
          <w:kern w:val="0"/>
        </w:rPr>
        <w:t>月</w:t>
      </w:r>
      <w:r>
        <w:rPr>
          <w:rFonts w:hint="eastAsia" w:ascii="宋体" w:hAnsi="宋体" w:cs="宋体"/>
          <w:color w:val="auto"/>
          <w:kern w:val="0"/>
          <w:lang w:val="en-US" w:eastAsia="zh-CN"/>
        </w:rPr>
        <w:t>27</w:t>
      </w:r>
      <w:r>
        <w:rPr>
          <w:rFonts w:hint="eastAsia" w:ascii="宋体" w:hAnsi="宋体" w:cs="宋体"/>
          <w:color w:val="auto"/>
          <w:kern w:val="0"/>
        </w:rPr>
        <w:t>日09 时00分（北京时间）</w:t>
      </w:r>
    </w:p>
    <w:p w14:paraId="6BFAC980">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2.地点：河南省公共资源交易中心远程开标室（</w:t>
      </w:r>
      <w:r>
        <w:rPr>
          <w:rFonts w:hint="eastAsia" w:ascii="宋体" w:hAnsi="宋体" w:cs="宋体"/>
          <w:color w:val="auto"/>
          <w:kern w:val="0"/>
          <w:lang w:eastAsia="zh-CN"/>
        </w:rPr>
        <w:t>三</w:t>
      </w:r>
      <w:r>
        <w:rPr>
          <w:rFonts w:hint="eastAsia" w:ascii="宋体" w:hAnsi="宋体" w:cs="宋体"/>
          <w:color w:val="auto"/>
          <w:kern w:val="0"/>
        </w:rPr>
        <w:t>）-</w:t>
      </w:r>
      <w:r>
        <w:rPr>
          <w:rFonts w:hint="eastAsia" w:ascii="宋体" w:hAnsi="宋体" w:cs="宋体"/>
          <w:color w:val="auto"/>
          <w:kern w:val="0"/>
          <w:lang w:val="en-US" w:eastAsia="zh-CN"/>
        </w:rPr>
        <w:t>6</w:t>
      </w:r>
      <w:r>
        <w:rPr>
          <w:rFonts w:hint="eastAsia" w:ascii="宋体" w:hAnsi="宋体" w:cs="宋体"/>
          <w:color w:val="auto"/>
          <w:kern w:val="0"/>
        </w:rPr>
        <w:t>（郑州市经二路与纬四路向南50米路西）</w:t>
      </w:r>
    </w:p>
    <w:p w14:paraId="0F111FB3">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本项目采用远程磋商方式，供应商无需到河南省公共资源交易中心现场参加磋商会议，磋商采用“远程不见面”磋商方式，开标大厅的网址（https://hnsggzyjy.henan.gov.cn/）。供应商须在竞争性磋商文件确定的响应文件提交截止时间前,登录远程开标大厅,并在规定的时间内进行响应文件解密、答疑澄清、最后报价等。具体办理事宜请查阅河南省公共资源交易中心网站-公共服务-办事指南-新交易平台使用手册。</w:t>
      </w:r>
    </w:p>
    <w:p w14:paraId="1EF9D498">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六、发布公告的媒介及招标公告期限</w:t>
      </w:r>
    </w:p>
    <w:p w14:paraId="715D9864">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本次招标公告在《河南省政府采购网》《河南省公共资源交易中心网》《中国招标投标公共服务平台》上发布，公告期限为三个工作日。</w:t>
      </w:r>
    </w:p>
    <w:p w14:paraId="2EAC37FB">
      <w:pPr>
        <w:adjustRightInd w:val="0"/>
        <w:snapToGrid w:val="0"/>
        <w:spacing w:line="360" w:lineRule="auto"/>
        <w:ind w:firstLine="422" w:firstLineChars="200"/>
        <w:jc w:val="left"/>
        <w:rPr>
          <w:rFonts w:hint="eastAsia" w:ascii="宋体" w:hAnsi="宋体" w:cs="宋体"/>
          <w:b/>
          <w:bCs/>
          <w:color w:val="auto"/>
          <w:kern w:val="0"/>
        </w:rPr>
      </w:pPr>
      <w:bookmarkStart w:id="15" w:name="_Toc35393804"/>
      <w:bookmarkStart w:id="16" w:name="_Toc35393635"/>
      <w:r>
        <w:rPr>
          <w:rFonts w:hint="eastAsia" w:ascii="宋体" w:hAnsi="宋体" w:cs="宋体"/>
          <w:b/>
          <w:bCs/>
          <w:color w:val="auto"/>
          <w:kern w:val="0"/>
        </w:rPr>
        <w:t>七、其他补充事宜</w:t>
      </w:r>
      <w:bookmarkEnd w:id="15"/>
      <w:bookmarkEnd w:id="16"/>
    </w:p>
    <w:p w14:paraId="1FEC5135">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本项目需要落实的政府采购政策：</w:t>
      </w:r>
    </w:p>
    <w:p w14:paraId="47F41A7F">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1.政府采购促进中小企业发展管理办法(财库〔2020〕46号）、《关于进一步加大政府采购支持中小企业力度的通知》（财库〔2022〕19号）；</w:t>
      </w:r>
    </w:p>
    <w:p w14:paraId="7AA95579">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2.《财政部、司法部关于政府采购支持监狱企业发展有关问题的通知》（财库[2014]68号）；</w:t>
      </w:r>
    </w:p>
    <w:p w14:paraId="4D40ECE8">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3.《三部门联合发布关于促进残疾人就业政府采购政策的通知》（财库[2017]141号）；</w:t>
      </w:r>
    </w:p>
    <w:p w14:paraId="4ECD53FA">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4.《国务院办公厅关于在政府采购中实施本国产品标准及相关政策的通知》（国办发〔2025〕34号）及《财政部关于贯彻落实〈国务院办公厅关于在政府采购中实施本国产品标准及相关政策的通知〉的意见》（财库〔2025〕30号）；</w:t>
      </w:r>
    </w:p>
    <w:p w14:paraId="361B738A">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5.《关于推动解决政府采购异常低价问题的通知》（财库〔2026〕2号）。</w:t>
      </w:r>
    </w:p>
    <w:p w14:paraId="562C472E">
      <w:pPr>
        <w:adjustRightInd w:val="0"/>
        <w:snapToGrid w:val="0"/>
        <w:spacing w:line="360" w:lineRule="auto"/>
        <w:ind w:firstLine="422" w:firstLineChars="200"/>
        <w:jc w:val="left"/>
        <w:rPr>
          <w:rFonts w:hint="eastAsia" w:ascii="宋体" w:hAnsi="宋体" w:cs="宋体"/>
          <w:b/>
          <w:bCs/>
          <w:color w:val="auto"/>
          <w:kern w:val="0"/>
        </w:rPr>
      </w:pPr>
      <w:r>
        <w:rPr>
          <w:rFonts w:hint="eastAsia" w:ascii="宋体" w:hAnsi="宋体" w:cs="宋体"/>
          <w:b/>
          <w:bCs/>
          <w:color w:val="auto"/>
          <w:kern w:val="0"/>
        </w:rPr>
        <w:t>八、凡对本次采购提出询问，请按以下方式联系</w:t>
      </w:r>
    </w:p>
    <w:p w14:paraId="7BB38593">
      <w:pPr>
        <w:adjustRightInd w:val="0"/>
        <w:snapToGrid w:val="0"/>
        <w:spacing w:line="360" w:lineRule="auto"/>
        <w:ind w:firstLine="420" w:firstLineChars="200"/>
        <w:jc w:val="left"/>
        <w:rPr>
          <w:rFonts w:hint="eastAsia" w:ascii="宋体" w:hAnsi="宋体" w:cs="宋体"/>
          <w:color w:val="auto"/>
          <w:kern w:val="0"/>
        </w:rPr>
      </w:pPr>
      <w:bookmarkStart w:id="17" w:name="_Toc35393806"/>
      <w:bookmarkStart w:id="18" w:name="_Toc28359096"/>
      <w:bookmarkStart w:id="19" w:name="_Toc28359019"/>
      <w:bookmarkStart w:id="20" w:name="_Toc35393637"/>
      <w:r>
        <w:rPr>
          <w:rFonts w:hint="eastAsia" w:ascii="宋体" w:hAnsi="宋体" w:cs="宋体"/>
          <w:color w:val="auto"/>
          <w:kern w:val="0"/>
        </w:rPr>
        <w:t>1.采购人信息</w:t>
      </w:r>
      <w:bookmarkEnd w:id="17"/>
      <w:bookmarkEnd w:id="18"/>
      <w:bookmarkEnd w:id="19"/>
      <w:bookmarkEnd w:id="20"/>
    </w:p>
    <w:p w14:paraId="31185EC0">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名称：</w:t>
      </w:r>
      <w:r>
        <w:rPr>
          <w:rFonts w:hint="eastAsia" w:ascii="宋体" w:hAnsi="宋体" w:cs="宋体"/>
          <w:color w:val="auto"/>
          <w:kern w:val="10"/>
        </w:rPr>
        <w:t>中原纯化制程实验室</w:t>
      </w:r>
    </w:p>
    <w:p w14:paraId="0EF7B974">
      <w:pPr>
        <w:adjustRightInd w:val="0"/>
        <w:snapToGrid w:val="0"/>
        <w:spacing w:line="360" w:lineRule="auto"/>
        <w:ind w:firstLine="420" w:firstLineChars="200"/>
        <w:jc w:val="left"/>
        <w:rPr>
          <w:rFonts w:hint="eastAsia" w:ascii="宋体" w:hAnsi="宋体" w:cs="宋体"/>
          <w:color w:val="auto"/>
          <w:kern w:val="10"/>
        </w:rPr>
      </w:pPr>
      <w:bookmarkStart w:id="21" w:name="_Toc35393807"/>
      <w:bookmarkStart w:id="22" w:name="_Toc28359020"/>
      <w:bookmarkStart w:id="23" w:name="_Toc35393638"/>
      <w:bookmarkStart w:id="24" w:name="_Toc28359097"/>
      <w:r>
        <w:rPr>
          <w:rFonts w:hint="eastAsia" w:ascii="宋体" w:hAnsi="宋体" w:cs="宋体"/>
          <w:color w:val="auto"/>
          <w:kern w:val="10"/>
        </w:rPr>
        <w:t>地址：</w:t>
      </w:r>
      <w:r>
        <w:rPr>
          <w:rFonts w:hint="eastAsia" w:ascii="宋体" w:hAnsi="宋体" w:cs="宋体"/>
          <w:color w:val="auto"/>
        </w:rPr>
        <w:t>郑州市金水区郑州大学北校区</w:t>
      </w:r>
    </w:p>
    <w:p w14:paraId="5092587A">
      <w:pPr>
        <w:adjustRightInd w:val="0"/>
        <w:snapToGrid w:val="0"/>
        <w:spacing w:line="360" w:lineRule="auto"/>
        <w:ind w:firstLine="420" w:firstLineChars="200"/>
        <w:jc w:val="left"/>
        <w:rPr>
          <w:rFonts w:hint="eastAsia" w:ascii="宋体" w:hAnsi="宋体" w:cs="宋体"/>
          <w:color w:val="auto"/>
          <w:kern w:val="10"/>
        </w:rPr>
      </w:pPr>
      <w:r>
        <w:rPr>
          <w:rFonts w:hint="eastAsia" w:ascii="宋体" w:hAnsi="宋体" w:cs="宋体"/>
          <w:color w:val="auto"/>
          <w:kern w:val="10"/>
        </w:rPr>
        <w:t>联系人：</w:t>
      </w:r>
      <w:r>
        <w:rPr>
          <w:rFonts w:hint="eastAsia" w:ascii="宋体" w:hAnsi="宋体" w:cs="宋体"/>
          <w:color w:val="auto"/>
        </w:rPr>
        <w:t>武老师</w:t>
      </w:r>
    </w:p>
    <w:p w14:paraId="19592926">
      <w:pPr>
        <w:adjustRightInd w:val="0"/>
        <w:snapToGrid w:val="0"/>
        <w:spacing w:line="360" w:lineRule="auto"/>
        <w:ind w:firstLine="420" w:firstLineChars="200"/>
        <w:jc w:val="left"/>
        <w:rPr>
          <w:rFonts w:hint="eastAsia" w:ascii="宋体" w:hAnsi="宋体" w:cs="宋体"/>
          <w:color w:val="auto"/>
          <w:kern w:val="10"/>
        </w:rPr>
      </w:pPr>
      <w:r>
        <w:rPr>
          <w:rFonts w:hint="eastAsia" w:ascii="宋体" w:hAnsi="宋体" w:cs="宋体"/>
          <w:color w:val="auto"/>
          <w:kern w:val="10"/>
        </w:rPr>
        <w:t>联系方式：</w:t>
      </w:r>
      <w:r>
        <w:rPr>
          <w:rFonts w:hint="eastAsia"/>
          <w:color w:val="auto"/>
        </w:rPr>
        <w:t>0371-67787957</w:t>
      </w:r>
    </w:p>
    <w:p w14:paraId="0C8C4EB4">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2.采购代理机构信息</w:t>
      </w:r>
      <w:bookmarkEnd w:id="21"/>
      <w:bookmarkEnd w:id="22"/>
      <w:bookmarkEnd w:id="23"/>
      <w:bookmarkEnd w:id="24"/>
      <w:bookmarkStart w:id="993" w:name="_GoBack"/>
      <w:bookmarkEnd w:id="993"/>
    </w:p>
    <w:p w14:paraId="7DB41632">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名称：中建山河建设管理集团有限公司</w:t>
      </w:r>
    </w:p>
    <w:p w14:paraId="00C46EF5">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地址：郑州市郑东新区七里河南路与圃田西路交叉口明亮集团大楼三楼312室</w:t>
      </w:r>
    </w:p>
    <w:p w14:paraId="0AE16AF9">
      <w:pPr>
        <w:adjustRightInd w:val="0"/>
        <w:snapToGrid w:val="0"/>
        <w:spacing w:line="360" w:lineRule="auto"/>
        <w:ind w:firstLine="420" w:firstLineChars="200"/>
        <w:jc w:val="left"/>
        <w:rPr>
          <w:rFonts w:ascii="宋体" w:hAnsi="宋体" w:cs="宋体"/>
          <w:color w:val="auto"/>
          <w:kern w:val="0"/>
        </w:rPr>
      </w:pPr>
      <w:r>
        <w:rPr>
          <w:rFonts w:hint="eastAsia" w:ascii="宋体" w:hAnsi="宋体" w:cs="宋体"/>
          <w:color w:val="auto"/>
          <w:kern w:val="0"/>
        </w:rPr>
        <w:t>联系人：王朝艳、夏鹏程</w:t>
      </w:r>
    </w:p>
    <w:p w14:paraId="04D18E41">
      <w:pPr>
        <w:adjustRightInd w:val="0"/>
        <w:snapToGrid w:val="0"/>
        <w:spacing w:line="360" w:lineRule="auto"/>
        <w:ind w:firstLine="420" w:firstLineChars="200"/>
        <w:jc w:val="left"/>
        <w:rPr>
          <w:rFonts w:ascii="宋体" w:hAnsi="宋体" w:cs="宋体"/>
          <w:color w:val="auto"/>
          <w:kern w:val="0"/>
        </w:rPr>
      </w:pPr>
      <w:r>
        <w:rPr>
          <w:rFonts w:hint="eastAsia" w:ascii="宋体" w:hAnsi="宋体" w:cs="宋体"/>
          <w:color w:val="auto"/>
          <w:kern w:val="0"/>
        </w:rPr>
        <w:t>联系方式：</w:t>
      </w:r>
      <w:bookmarkStart w:id="25" w:name="_Toc35393808"/>
      <w:bookmarkStart w:id="26" w:name="_Toc35393639"/>
      <w:bookmarkStart w:id="27" w:name="_Toc28359098"/>
      <w:bookmarkStart w:id="28" w:name="_Toc28359021"/>
      <w:r>
        <w:rPr>
          <w:rFonts w:hint="eastAsia" w:ascii="宋体" w:hAnsi="宋体" w:cs="宋体"/>
          <w:color w:val="auto"/>
          <w:kern w:val="0"/>
        </w:rPr>
        <w:t>0371-86556161、19937233779</w:t>
      </w:r>
    </w:p>
    <w:p w14:paraId="764B10A4">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3.项目联系方式</w:t>
      </w:r>
      <w:bookmarkEnd w:id="25"/>
      <w:bookmarkEnd w:id="26"/>
      <w:bookmarkEnd w:id="27"/>
      <w:bookmarkEnd w:id="28"/>
    </w:p>
    <w:p w14:paraId="38CA4E8A">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项目联系人：王朝艳、夏鹏程</w:t>
      </w:r>
    </w:p>
    <w:p w14:paraId="4433D608">
      <w:pPr>
        <w:adjustRightInd w:val="0"/>
        <w:snapToGrid w:val="0"/>
        <w:spacing w:line="360" w:lineRule="auto"/>
        <w:ind w:firstLine="420" w:firstLineChars="200"/>
        <w:jc w:val="left"/>
        <w:rPr>
          <w:rFonts w:hint="eastAsia" w:ascii="宋体" w:hAnsi="宋体" w:cs="宋体"/>
          <w:color w:val="auto"/>
          <w:kern w:val="0"/>
        </w:rPr>
      </w:pPr>
      <w:r>
        <w:rPr>
          <w:rFonts w:hint="eastAsia" w:ascii="宋体" w:hAnsi="宋体" w:cs="宋体"/>
          <w:color w:val="auto"/>
          <w:kern w:val="0"/>
        </w:rPr>
        <w:t>联系方式：0371-86556161、</w:t>
      </w:r>
      <w:bookmarkStart w:id="29" w:name="_Toc19282"/>
      <w:bookmarkStart w:id="30" w:name="_Toc23340"/>
      <w:bookmarkStart w:id="31" w:name="_Toc24413"/>
      <w:bookmarkStart w:id="32" w:name="_Toc8129"/>
      <w:r>
        <w:rPr>
          <w:rFonts w:hint="eastAsia" w:ascii="宋体" w:hAnsi="宋体" w:cs="宋体"/>
          <w:color w:val="auto"/>
          <w:kern w:val="0"/>
        </w:rPr>
        <w:t>19937233779</w:t>
      </w:r>
    </w:p>
    <w:p w14:paraId="13A6B8D7">
      <w:pPr>
        <w:pStyle w:val="2"/>
        <w:spacing w:before="0" w:after="0" w:line="400" w:lineRule="exact"/>
        <w:jc w:val="center"/>
        <w:rPr>
          <w:rFonts w:hint="eastAsia" w:ascii="宋体" w:hAnsi="宋体"/>
          <w:color w:val="auto"/>
          <w:szCs w:val="32"/>
        </w:rPr>
      </w:pPr>
      <w:r>
        <w:rPr>
          <w:rFonts w:hint="eastAsia" w:ascii="宋体" w:hAnsi="宋体" w:cs="宋体"/>
          <w:color w:val="auto"/>
          <w:kern w:val="0"/>
        </w:rPr>
        <w:br w:type="page"/>
      </w:r>
      <w:bookmarkStart w:id="33" w:name="_Toc14920"/>
      <w:r>
        <w:rPr>
          <w:rFonts w:hint="eastAsia" w:ascii="宋体" w:hAnsi="宋体" w:eastAsia="宋体" w:cs="宋体"/>
          <w:color w:val="auto"/>
          <w:sz w:val="32"/>
          <w:szCs w:val="32"/>
        </w:rPr>
        <w:t>第二章  供应商须知</w:t>
      </w:r>
      <w:bookmarkEnd w:id="29"/>
      <w:bookmarkEnd w:id="30"/>
      <w:bookmarkEnd w:id="31"/>
      <w:bookmarkEnd w:id="32"/>
      <w:bookmarkEnd w:id="33"/>
    </w:p>
    <w:p w14:paraId="7E0DD1F7">
      <w:pPr>
        <w:pStyle w:val="114"/>
        <w:spacing w:before="0"/>
        <w:jc w:val="center"/>
        <w:rPr>
          <w:rFonts w:hint="eastAsia" w:ascii="宋体" w:hAnsi="宋体" w:eastAsia="宋体"/>
          <w:b/>
          <w:bCs w:val="0"/>
          <w:color w:val="auto"/>
        </w:rPr>
      </w:pPr>
      <w:bookmarkStart w:id="34" w:name="_Toc152042304"/>
      <w:bookmarkEnd w:id="34"/>
      <w:bookmarkStart w:id="35" w:name="_Toc152045528"/>
      <w:bookmarkEnd w:id="35"/>
      <w:bookmarkStart w:id="36" w:name="_Toc22779"/>
      <w:bookmarkEnd w:id="36"/>
      <w:bookmarkStart w:id="37" w:name="_Toc455080107"/>
      <w:bookmarkEnd w:id="37"/>
      <w:bookmarkStart w:id="38" w:name="_Toc144974496"/>
      <w:bookmarkEnd w:id="38"/>
      <w:bookmarkStart w:id="39" w:name="_Toc466298090"/>
      <w:bookmarkEnd w:id="39"/>
      <w:bookmarkStart w:id="40" w:name="_Toc509667259"/>
      <w:bookmarkStart w:id="41" w:name="_Toc31767"/>
      <w:bookmarkStart w:id="42" w:name="_Toc6151"/>
      <w:bookmarkStart w:id="43" w:name="_Toc16405"/>
      <w:bookmarkStart w:id="44" w:name="_Toc23919"/>
      <w:bookmarkStart w:id="45" w:name="_Toc24435"/>
      <w:r>
        <w:rPr>
          <w:rFonts w:hint="eastAsia" w:ascii="宋体" w:hAnsi="宋体" w:eastAsia="宋体"/>
          <w:b/>
          <w:bCs w:val="0"/>
          <w:color w:val="auto"/>
        </w:rPr>
        <w:t>供应商须知前附表</w:t>
      </w:r>
      <w:bookmarkEnd w:id="40"/>
      <w:bookmarkEnd w:id="41"/>
      <w:bookmarkEnd w:id="42"/>
      <w:bookmarkEnd w:id="43"/>
      <w:bookmarkEnd w:id="44"/>
      <w:bookmarkEnd w:id="45"/>
    </w:p>
    <w:tbl>
      <w:tblPr>
        <w:tblStyle w:val="41"/>
        <w:tblW w:w="8842" w:type="dxa"/>
        <w:jc w:val="center"/>
        <w:tblLayout w:type="fixed"/>
        <w:tblCellMar>
          <w:top w:w="0" w:type="dxa"/>
          <w:left w:w="108" w:type="dxa"/>
          <w:bottom w:w="0" w:type="dxa"/>
          <w:right w:w="108" w:type="dxa"/>
        </w:tblCellMar>
      </w:tblPr>
      <w:tblGrid>
        <w:gridCol w:w="980"/>
        <w:gridCol w:w="20"/>
        <w:gridCol w:w="1707"/>
        <w:gridCol w:w="6135"/>
      </w:tblGrid>
      <w:tr w14:paraId="41065510">
        <w:tblPrEx>
          <w:tblCellMar>
            <w:top w:w="0" w:type="dxa"/>
            <w:left w:w="108" w:type="dxa"/>
            <w:bottom w:w="0" w:type="dxa"/>
            <w:right w:w="108" w:type="dxa"/>
          </w:tblCellMar>
        </w:tblPrEx>
        <w:trPr>
          <w:trHeight w:val="23" w:hRule="atLeast"/>
          <w:tblHeader/>
          <w:jc w:val="center"/>
        </w:trPr>
        <w:tc>
          <w:tcPr>
            <w:tcW w:w="980" w:type="dxa"/>
            <w:tcBorders>
              <w:top w:val="single" w:color="auto" w:sz="4" w:space="0"/>
              <w:left w:val="single" w:color="auto" w:sz="4" w:space="0"/>
              <w:bottom w:val="single" w:color="auto" w:sz="4" w:space="0"/>
              <w:right w:val="single" w:color="auto" w:sz="4" w:space="0"/>
            </w:tcBorders>
            <w:vAlign w:val="center"/>
          </w:tcPr>
          <w:p w14:paraId="733CE3F8">
            <w:pPr>
              <w:adjustRightInd w:val="0"/>
              <w:snapToGrid w:val="0"/>
              <w:spacing w:line="360" w:lineRule="auto"/>
              <w:jc w:val="center"/>
              <w:textAlignment w:val="baseline"/>
              <w:rPr>
                <w:rFonts w:hint="eastAsia" w:ascii="宋体" w:hAnsi="宋体"/>
                <w:b/>
                <w:bCs/>
                <w:color w:val="auto"/>
              </w:rPr>
            </w:pPr>
            <w:r>
              <w:rPr>
                <w:rFonts w:hint="eastAsia" w:ascii="宋体" w:hAnsi="宋体"/>
                <w:b/>
                <w:bCs/>
                <w:color w:val="auto"/>
              </w:rPr>
              <w:t>条款号</w:t>
            </w:r>
          </w:p>
        </w:tc>
        <w:tc>
          <w:tcPr>
            <w:tcW w:w="1727" w:type="dxa"/>
            <w:gridSpan w:val="2"/>
            <w:tcBorders>
              <w:top w:val="single" w:color="auto" w:sz="4" w:space="0"/>
              <w:left w:val="nil"/>
              <w:bottom w:val="single" w:color="auto" w:sz="4" w:space="0"/>
              <w:right w:val="single" w:color="auto" w:sz="4" w:space="0"/>
            </w:tcBorders>
            <w:vAlign w:val="center"/>
          </w:tcPr>
          <w:p w14:paraId="020288E0">
            <w:pPr>
              <w:adjustRightInd w:val="0"/>
              <w:snapToGrid w:val="0"/>
              <w:spacing w:line="360" w:lineRule="auto"/>
              <w:jc w:val="center"/>
              <w:textAlignment w:val="baseline"/>
              <w:rPr>
                <w:rFonts w:hint="eastAsia" w:ascii="宋体" w:hAnsi="宋体"/>
                <w:b/>
                <w:bCs/>
                <w:color w:val="auto"/>
              </w:rPr>
            </w:pPr>
            <w:r>
              <w:rPr>
                <w:rFonts w:hint="eastAsia" w:ascii="宋体" w:hAnsi="宋体"/>
                <w:b/>
                <w:bCs/>
                <w:color w:val="auto"/>
              </w:rPr>
              <w:t>条款名称</w:t>
            </w:r>
          </w:p>
        </w:tc>
        <w:tc>
          <w:tcPr>
            <w:tcW w:w="6135" w:type="dxa"/>
            <w:tcBorders>
              <w:top w:val="single" w:color="auto" w:sz="4" w:space="0"/>
              <w:left w:val="nil"/>
              <w:bottom w:val="single" w:color="auto" w:sz="4" w:space="0"/>
              <w:right w:val="single" w:color="auto" w:sz="4" w:space="0"/>
            </w:tcBorders>
            <w:vAlign w:val="center"/>
          </w:tcPr>
          <w:p w14:paraId="36499C84">
            <w:pPr>
              <w:adjustRightInd w:val="0"/>
              <w:snapToGrid w:val="0"/>
              <w:spacing w:line="360" w:lineRule="auto"/>
              <w:jc w:val="center"/>
              <w:textAlignment w:val="baseline"/>
              <w:rPr>
                <w:rFonts w:hint="eastAsia" w:ascii="宋体" w:hAnsi="宋体"/>
                <w:b/>
                <w:bCs/>
                <w:color w:val="auto"/>
              </w:rPr>
            </w:pPr>
            <w:r>
              <w:rPr>
                <w:rFonts w:hint="eastAsia" w:ascii="宋体" w:hAnsi="宋体"/>
                <w:b/>
                <w:bCs/>
                <w:color w:val="auto"/>
              </w:rPr>
              <w:t>编  列  内  容</w:t>
            </w:r>
          </w:p>
        </w:tc>
      </w:tr>
      <w:tr w14:paraId="14C9291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AFA20E1">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1.2.1</w:t>
            </w:r>
          </w:p>
        </w:tc>
        <w:tc>
          <w:tcPr>
            <w:tcW w:w="1727" w:type="dxa"/>
            <w:gridSpan w:val="2"/>
            <w:tcBorders>
              <w:top w:val="single" w:color="auto" w:sz="4" w:space="0"/>
              <w:left w:val="nil"/>
              <w:bottom w:val="single" w:color="auto" w:sz="4" w:space="0"/>
              <w:right w:val="single" w:color="auto" w:sz="4" w:space="0"/>
            </w:tcBorders>
            <w:vAlign w:val="center"/>
          </w:tcPr>
          <w:p w14:paraId="58CC17F3">
            <w:pPr>
              <w:adjustRightInd w:val="0"/>
              <w:snapToGrid w:val="0"/>
              <w:spacing w:line="360" w:lineRule="auto"/>
              <w:jc w:val="center"/>
              <w:textAlignment w:val="baseline"/>
              <w:rPr>
                <w:rFonts w:hint="eastAsia" w:ascii="宋体" w:hAnsi="宋体" w:cs="宋体"/>
                <w:color w:val="auto"/>
              </w:rPr>
            </w:pPr>
            <w:r>
              <w:rPr>
                <w:rFonts w:hint="eastAsia" w:ascii="宋体" w:hAnsi="宋体" w:cs="宋体"/>
                <w:color w:val="auto"/>
              </w:rPr>
              <w:t>采购人</w:t>
            </w:r>
          </w:p>
        </w:tc>
        <w:tc>
          <w:tcPr>
            <w:tcW w:w="6135" w:type="dxa"/>
            <w:tcBorders>
              <w:top w:val="single" w:color="auto" w:sz="4" w:space="0"/>
              <w:left w:val="nil"/>
              <w:bottom w:val="single" w:color="auto" w:sz="4" w:space="0"/>
              <w:right w:val="single" w:color="auto" w:sz="4" w:space="0"/>
            </w:tcBorders>
            <w:vAlign w:val="center"/>
          </w:tcPr>
          <w:p w14:paraId="28BFB8AB">
            <w:pPr>
              <w:pStyle w:val="36"/>
              <w:wordWrap w:val="0"/>
              <w:adjustRightInd w:val="0"/>
              <w:snapToGrid w:val="0"/>
              <w:spacing w:line="360" w:lineRule="auto"/>
              <w:rPr>
                <w:rFonts w:hint="eastAsia" w:ascii="宋体" w:hAnsi="宋体" w:cs="宋体"/>
                <w:color w:val="auto"/>
                <w:kern w:val="2"/>
              </w:rPr>
            </w:pPr>
            <w:r>
              <w:rPr>
                <w:rFonts w:hint="eastAsia" w:ascii="宋体" w:hAnsi="宋体" w:cs="宋体"/>
                <w:color w:val="auto"/>
                <w:kern w:val="2"/>
              </w:rPr>
              <w:t>名称：</w:t>
            </w:r>
            <w:r>
              <w:rPr>
                <w:rFonts w:hint="eastAsia" w:ascii="宋体" w:hAnsi="宋体" w:cs="宋体"/>
                <w:color w:val="auto"/>
                <w:kern w:val="10"/>
              </w:rPr>
              <w:t>中原纯化制程实验室</w:t>
            </w:r>
          </w:p>
          <w:p w14:paraId="5E1C4778">
            <w:pPr>
              <w:pStyle w:val="36"/>
              <w:wordWrap w:val="0"/>
              <w:adjustRightInd w:val="0"/>
              <w:snapToGrid w:val="0"/>
              <w:spacing w:line="360" w:lineRule="auto"/>
              <w:rPr>
                <w:rFonts w:ascii="宋体" w:hAnsi="宋体" w:cs="宋体"/>
                <w:color w:val="auto"/>
                <w:kern w:val="2"/>
              </w:rPr>
            </w:pPr>
            <w:r>
              <w:rPr>
                <w:rFonts w:hint="eastAsia" w:ascii="宋体" w:hAnsi="宋体" w:cs="宋体"/>
                <w:color w:val="auto"/>
                <w:kern w:val="2"/>
              </w:rPr>
              <w:t>地址：郑州市金水区郑州大学北校区</w:t>
            </w:r>
          </w:p>
          <w:p w14:paraId="7DEEAE24">
            <w:pPr>
              <w:pStyle w:val="36"/>
              <w:wordWrap w:val="0"/>
              <w:adjustRightInd w:val="0"/>
              <w:snapToGrid w:val="0"/>
              <w:spacing w:line="360" w:lineRule="auto"/>
              <w:rPr>
                <w:rFonts w:hint="eastAsia" w:ascii="宋体" w:hAnsi="宋体" w:cs="宋体"/>
                <w:color w:val="auto"/>
                <w:kern w:val="2"/>
              </w:rPr>
            </w:pPr>
            <w:r>
              <w:rPr>
                <w:rFonts w:hint="eastAsia" w:ascii="宋体" w:hAnsi="宋体" w:cs="宋体"/>
                <w:color w:val="auto"/>
                <w:kern w:val="2"/>
              </w:rPr>
              <w:t>联系人：武老师</w:t>
            </w:r>
          </w:p>
          <w:p w14:paraId="489B9C54">
            <w:pPr>
              <w:adjustRightInd w:val="0"/>
              <w:snapToGrid w:val="0"/>
              <w:spacing w:line="360" w:lineRule="auto"/>
              <w:textAlignment w:val="baseline"/>
              <w:rPr>
                <w:rFonts w:hint="eastAsia" w:ascii="宋体" w:hAnsi="宋体" w:cs="宋体"/>
                <w:color w:val="auto"/>
              </w:rPr>
            </w:pPr>
            <w:r>
              <w:rPr>
                <w:rFonts w:hint="eastAsia" w:ascii="宋体" w:hAnsi="宋体" w:cs="宋体"/>
                <w:color w:val="auto"/>
              </w:rPr>
              <w:t>联系方式：0371-67787957</w:t>
            </w:r>
          </w:p>
        </w:tc>
      </w:tr>
      <w:tr w14:paraId="3EC5FB4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43A4AC0">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1.2.2</w:t>
            </w:r>
          </w:p>
        </w:tc>
        <w:tc>
          <w:tcPr>
            <w:tcW w:w="1727" w:type="dxa"/>
            <w:gridSpan w:val="2"/>
            <w:tcBorders>
              <w:top w:val="single" w:color="auto" w:sz="4" w:space="0"/>
              <w:left w:val="nil"/>
              <w:bottom w:val="single" w:color="auto" w:sz="4" w:space="0"/>
              <w:right w:val="single" w:color="auto" w:sz="4" w:space="0"/>
            </w:tcBorders>
            <w:vAlign w:val="center"/>
          </w:tcPr>
          <w:p w14:paraId="4B5250BC">
            <w:pPr>
              <w:adjustRightInd w:val="0"/>
              <w:snapToGrid w:val="0"/>
              <w:spacing w:line="360" w:lineRule="auto"/>
              <w:jc w:val="center"/>
              <w:textAlignment w:val="baseline"/>
              <w:rPr>
                <w:rFonts w:hint="eastAsia" w:ascii="宋体" w:hAnsi="宋体" w:cs="宋体"/>
                <w:color w:val="auto"/>
              </w:rPr>
            </w:pPr>
            <w:r>
              <w:rPr>
                <w:rFonts w:hint="eastAsia" w:ascii="宋体" w:hAnsi="宋体" w:cs="宋体"/>
                <w:color w:val="auto"/>
              </w:rPr>
              <w:t>采购代理机构</w:t>
            </w:r>
          </w:p>
        </w:tc>
        <w:tc>
          <w:tcPr>
            <w:tcW w:w="6135" w:type="dxa"/>
            <w:tcBorders>
              <w:top w:val="single" w:color="auto" w:sz="4" w:space="0"/>
              <w:left w:val="nil"/>
              <w:bottom w:val="single" w:color="auto" w:sz="4" w:space="0"/>
              <w:right w:val="single" w:color="auto" w:sz="4" w:space="0"/>
            </w:tcBorders>
            <w:vAlign w:val="center"/>
          </w:tcPr>
          <w:p w14:paraId="2FF023D9">
            <w:pPr>
              <w:adjustRightInd w:val="0"/>
              <w:snapToGrid w:val="0"/>
              <w:spacing w:line="360" w:lineRule="auto"/>
              <w:jc w:val="left"/>
              <w:rPr>
                <w:rFonts w:hint="eastAsia" w:ascii="宋体" w:hAnsi="宋体" w:cs="宋体"/>
                <w:color w:val="auto"/>
              </w:rPr>
            </w:pPr>
            <w:r>
              <w:rPr>
                <w:rFonts w:hint="eastAsia" w:ascii="宋体" w:hAnsi="宋体" w:cs="宋体"/>
                <w:color w:val="auto"/>
              </w:rPr>
              <w:t>名称：中建山河建设管理集团有限公司</w:t>
            </w:r>
          </w:p>
          <w:p w14:paraId="2A9C16B9">
            <w:pPr>
              <w:adjustRightInd w:val="0"/>
              <w:snapToGrid w:val="0"/>
              <w:spacing w:line="360" w:lineRule="auto"/>
              <w:jc w:val="left"/>
              <w:rPr>
                <w:rFonts w:hint="eastAsia" w:ascii="宋体" w:hAnsi="宋体" w:cs="宋体"/>
                <w:color w:val="auto"/>
              </w:rPr>
            </w:pPr>
            <w:r>
              <w:rPr>
                <w:rFonts w:hint="eastAsia" w:ascii="宋体" w:hAnsi="宋体" w:cs="宋体"/>
                <w:color w:val="auto"/>
              </w:rPr>
              <w:t>地址：郑州市郑东新区七里河南路与圃田西路交叉口明亮集团大楼三楼312室</w:t>
            </w:r>
          </w:p>
          <w:p w14:paraId="41207759">
            <w:pPr>
              <w:adjustRightInd w:val="0"/>
              <w:snapToGrid w:val="0"/>
              <w:spacing w:line="360" w:lineRule="auto"/>
              <w:jc w:val="left"/>
              <w:rPr>
                <w:rFonts w:hint="eastAsia" w:ascii="宋体" w:hAnsi="宋体" w:cs="宋体"/>
                <w:color w:val="auto"/>
              </w:rPr>
            </w:pPr>
            <w:r>
              <w:rPr>
                <w:rFonts w:hint="eastAsia" w:ascii="宋体" w:hAnsi="宋体" w:cs="宋体"/>
                <w:color w:val="auto"/>
              </w:rPr>
              <w:t>联系人：</w:t>
            </w:r>
            <w:r>
              <w:rPr>
                <w:rFonts w:hint="eastAsia" w:ascii="宋体" w:hAnsi="宋体" w:cs="宋体"/>
                <w:color w:val="auto"/>
                <w:kern w:val="0"/>
              </w:rPr>
              <w:t>王朝艳、夏鹏程</w:t>
            </w:r>
          </w:p>
          <w:p w14:paraId="158F5765">
            <w:pPr>
              <w:adjustRightInd w:val="0"/>
              <w:snapToGrid w:val="0"/>
              <w:spacing w:line="360" w:lineRule="auto"/>
              <w:jc w:val="left"/>
              <w:rPr>
                <w:rFonts w:ascii="宋体" w:hAnsi="宋体" w:cs="宋体"/>
                <w:color w:val="auto"/>
              </w:rPr>
            </w:pPr>
            <w:r>
              <w:rPr>
                <w:rFonts w:hint="eastAsia" w:ascii="宋体" w:hAnsi="宋体" w:cs="宋体"/>
                <w:color w:val="auto"/>
              </w:rPr>
              <w:t>联系方式：</w:t>
            </w:r>
            <w:r>
              <w:rPr>
                <w:rFonts w:hint="eastAsia" w:ascii="宋体" w:hAnsi="宋体" w:cs="宋体"/>
                <w:color w:val="auto"/>
                <w:kern w:val="0"/>
              </w:rPr>
              <w:t>0371-86556161、19937233779</w:t>
            </w:r>
          </w:p>
          <w:p w14:paraId="37186ACD">
            <w:pPr>
              <w:adjustRightInd w:val="0"/>
              <w:snapToGrid w:val="0"/>
              <w:spacing w:line="360" w:lineRule="auto"/>
              <w:jc w:val="left"/>
              <w:rPr>
                <w:rFonts w:hint="eastAsia" w:ascii="宋体" w:hAnsi="宋体" w:cs="宋体"/>
                <w:color w:val="auto"/>
              </w:rPr>
            </w:pPr>
            <w:r>
              <w:rPr>
                <w:rFonts w:hint="eastAsia" w:ascii="宋体" w:hAnsi="宋体" w:cs="宋体"/>
                <w:color w:val="auto"/>
              </w:rPr>
              <w:t>电子邮件：zjsh86556161@163.com</w:t>
            </w:r>
          </w:p>
        </w:tc>
      </w:tr>
      <w:tr w14:paraId="1E5E16C5">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C45FDEE">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1.2.3</w:t>
            </w:r>
          </w:p>
        </w:tc>
        <w:tc>
          <w:tcPr>
            <w:tcW w:w="1727" w:type="dxa"/>
            <w:gridSpan w:val="2"/>
            <w:tcBorders>
              <w:top w:val="single" w:color="auto" w:sz="4" w:space="0"/>
              <w:left w:val="nil"/>
              <w:bottom w:val="single" w:color="auto" w:sz="4" w:space="0"/>
              <w:right w:val="single" w:color="auto" w:sz="4" w:space="0"/>
            </w:tcBorders>
            <w:vAlign w:val="center"/>
          </w:tcPr>
          <w:p w14:paraId="342B6835">
            <w:pPr>
              <w:adjustRightInd w:val="0"/>
              <w:snapToGrid w:val="0"/>
              <w:spacing w:line="360" w:lineRule="auto"/>
              <w:jc w:val="center"/>
              <w:textAlignment w:val="baseline"/>
              <w:rPr>
                <w:rFonts w:hint="eastAsia" w:ascii="宋体" w:hAnsi="宋体" w:cs="宋体"/>
                <w:color w:val="auto"/>
              </w:rPr>
            </w:pPr>
            <w:r>
              <w:rPr>
                <w:rFonts w:hint="eastAsia" w:ascii="宋体" w:hAnsi="宋体" w:cs="宋体"/>
                <w:color w:val="auto"/>
              </w:rPr>
              <w:t>项目名称</w:t>
            </w:r>
          </w:p>
        </w:tc>
        <w:tc>
          <w:tcPr>
            <w:tcW w:w="6135" w:type="dxa"/>
            <w:tcBorders>
              <w:top w:val="single" w:color="auto" w:sz="4" w:space="0"/>
              <w:left w:val="nil"/>
              <w:bottom w:val="single" w:color="auto" w:sz="4" w:space="0"/>
              <w:right w:val="single" w:color="auto" w:sz="4" w:space="0"/>
            </w:tcBorders>
            <w:vAlign w:val="center"/>
          </w:tcPr>
          <w:p w14:paraId="00497D71">
            <w:pPr>
              <w:adjustRightInd w:val="0"/>
              <w:snapToGrid w:val="0"/>
              <w:spacing w:line="360" w:lineRule="auto"/>
              <w:rPr>
                <w:rFonts w:hint="eastAsia" w:ascii="宋体" w:hAnsi="宋体" w:cs="宋体"/>
                <w:color w:val="auto"/>
              </w:rPr>
            </w:pPr>
            <w:r>
              <w:rPr>
                <w:rFonts w:hint="eastAsia" w:ascii="宋体" w:hAnsi="宋体" w:cs="宋体"/>
                <w:color w:val="auto"/>
              </w:rPr>
              <w:t>中原纯化制程实验室高纯石墨材料制备技术与产品研发项目</w:t>
            </w:r>
          </w:p>
        </w:tc>
      </w:tr>
      <w:tr w14:paraId="352CA545">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A9C3852">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1.2.4</w:t>
            </w:r>
          </w:p>
        </w:tc>
        <w:tc>
          <w:tcPr>
            <w:tcW w:w="1727" w:type="dxa"/>
            <w:gridSpan w:val="2"/>
            <w:tcBorders>
              <w:top w:val="single" w:color="auto" w:sz="4" w:space="0"/>
              <w:left w:val="nil"/>
              <w:bottom w:val="single" w:color="auto" w:sz="4" w:space="0"/>
              <w:right w:val="single" w:color="auto" w:sz="4" w:space="0"/>
            </w:tcBorders>
            <w:vAlign w:val="center"/>
          </w:tcPr>
          <w:p w14:paraId="76295ED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资金来源及落实情况</w:t>
            </w:r>
          </w:p>
        </w:tc>
        <w:tc>
          <w:tcPr>
            <w:tcW w:w="6135" w:type="dxa"/>
            <w:tcBorders>
              <w:top w:val="single" w:color="auto" w:sz="4" w:space="0"/>
              <w:left w:val="nil"/>
              <w:bottom w:val="single" w:color="auto" w:sz="4" w:space="0"/>
              <w:right w:val="single" w:color="auto" w:sz="4" w:space="0"/>
            </w:tcBorders>
            <w:vAlign w:val="center"/>
          </w:tcPr>
          <w:p w14:paraId="2C28D2D3">
            <w:pPr>
              <w:adjustRightInd w:val="0"/>
              <w:snapToGrid w:val="0"/>
              <w:spacing w:line="360" w:lineRule="auto"/>
              <w:jc w:val="left"/>
              <w:textAlignment w:val="baseline"/>
              <w:rPr>
                <w:rFonts w:hint="eastAsia" w:ascii="宋体" w:hAnsi="宋体"/>
                <w:color w:val="auto"/>
              </w:rPr>
            </w:pPr>
            <w:r>
              <w:rPr>
                <w:rFonts w:hint="eastAsia" w:ascii="宋体" w:hAnsi="宋体"/>
                <w:color w:val="auto"/>
              </w:rPr>
              <w:t>财政资金，已落实</w:t>
            </w:r>
          </w:p>
        </w:tc>
      </w:tr>
      <w:tr w14:paraId="5A7A9E24">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CCD1FE3">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1.4.1</w:t>
            </w:r>
          </w:p>
        </w:tc>
        <w:tc>
          <w:tcPr>
            <w:tcW w:w="1727" w:type="dxa"/>
            <w:gridSpan w:val="2"/>
            <w:tcBorders>
              <w:top w:val="single" w:color="auto" w:sz="4" w:space="0"/>
              <w:left w:val="nil"/>
              <w:bottom w:val="single" w:color="auto" w:sz="4" w:space="0"/>
              <w:right w:val="single" w:color="auto" w:sz="4" w:space="0"/>
            </w:tcBorders>
            <w:vAlign w:val="center"/>
          </w:tcPr>
          <w:p w14:paraId="344CF672">
            <w:pPr>
              <w:adjustRightInd w:val="0"/>
              <w:snapToGrid w:val="0"/>
              <w:spacing w:line="360" w:lineRule="auto"/>
              <w:jc w:val="center"/>
              <w:textAlignment w:val="baseline"/>
              <w:rPr>
                <w:rFonts w:hint="eastAsia" w:ascii="宋体" w:hAnsi="宋体"/>
                <w:color w:val="auto"/>
              </w:rPr>
            </w:pPr>
            <w:r>
              <w:rPr>
                <w:rFonts w:hint="eastAsia" w:ascii="宋体" w:hAnsi="宋体"/>
                <w:color w:val="auto"/>
              </w:rPr>
              <w:t>采购内容及标段划分</w:t>
            </w:r>
          </w:p>
        </w:tc>
        <w:tc>
          <w:tcPr>
            <w:tcW w:w="6135" w:type="dxa"/>
            <w:tcBorders>
              <w:top w:val="single" w:color="auto" w:sz="4" w:space="0"/>
              <w:left w:val="nil"/>
              <w:bottom w:val="single" w:color="auto" w:sz="4" w:space="0"/>
              <w:right w:val="single" w:color="auto" w:sz="4" w:space="0"/>
            </w:tcBorders>
            <w:vAlign w:val="center"/>
          </w:tcPr>
          <w:p w14:paraId="079748FC">
            <w:pPr>
              <w:adjustRightInd w:val="0"/>
              <w:snapToGrid w:val="0"/>
              <w:spacing w:line="360" w:lineRule="auto"/>
              <w:rPr>
                <w:rFonts w:hint="eastAsia" w:cs="宋体"/>
                <w:color w:val="auto"/>
              </w:rPr>
            </w:pPr>
            <w:r>
              <w:rPr>
                <w:rFonts w:hint="eastAsia" w:ascii="宋体" w:hAnsi="宋体" w:cs="宋体"/>
                <w:color w:val="auto"/>
                <w:kern w:val="0"/>
              </w:rPr>
              <w:t>本项目拟购置超高温石墨化炉</w:t>
            </w:r>
            <w:r>
              <w:rPr>
                <w:rFonts w:hint="eastAsia" w:ascii="宋体" w:hAnsi="宋体" w:cs="宋体"/>
                <w:color w:val="auto"/>
                <w:kern w:val="0"/>
                <w:lang w:eastAsia="zh-CN"/>
              </w:rPr>
              <w:t>、</w:t>
            </w:r>
            <w:r>
              <w:rPr>
                <w:rFonts w:hint="eastAsia" w:ascii="宋体" w:hAnsi="宋体" w:cs="宋体"/>
                <w:color w:val="auto"/>
                <w:kern w:val="0"/>
              </w:rPr>
              <w:t>真空高压浸渍系统</w:t>
            </w:r>
            <w:r>
              <w:rPr>
                <w:rFonts w:hint="eastAsia" w:ascii="宋体" w:hAnsi="宋体" w:cs="宋体"/>
                <w:color w:val="auto"/>
                <w:kern w:val="0"/>
                <w:lang w:eastAsia="zh-CN"/>
              </w:rPr>
              <w:t>、</w:t>
            </w:r>
            <w:r>
              <w:rPr>
                <w:rFonts w:hint="eastAsia" w:ascii="宋体" w:hAnsi="宋体" w:cs="宋体"/>
                <w:color w:val="auto"/>
                <w:kern w:val="0"/>
              </w:rPr>
              <w:t>温等静压机</w:t>
            </w:r>
            <w:r>
              <w:rPr>
                <w:rFonts w:hint="eastAsia" w:ascii="宋体" w:hAnsi="宋体" w:cs="宋体"/>
                <w:color w:val="auto"/>
                <w:kern w:val="0"/>
                <w:lang w:eastAsia="zh-CN"/>
              </w:rPr>
              <w:t>、</w:t>
            </w:r>
            <w:r>
              <w:rPr>
                <w:rFonts w:hint="eastAsia" w:ascii="宋体" w:hAnsi="宋体" w:cs="宋体"/>
                <w:color w:val="auto"/>
                <w:kern w:val="0"/>
              </w:rPr>
              <w:t>高速纳米级陶瓷气流粉碎分级机</w:t>
            </w:r>
            <w:r>
              <w:rPr>
                <w:rFonts w:hint="eastAsia" w:ascii="宋体" w:hAnsi="宋体" w:cs="宋体"/>
                <w:color w:val="auto"/>
                <w:kern w:val="0"/>
                <w:lang w:eastAsia="zh-CN"/>
              </w:rPr>
              <w:t>、</w:t>
            </w:r>
            <w:r>
              <w:rPr>
                <w:rFonts w:hint="eastAsia" w:ascii="宋体" w:hAnsi="宋体" w:cs="宋体"/>
                <w:color w:val="auto"/>
                <w:kern w:val="0"/>
              </w:rPr>
              <w:t>机械整形机</w:t>
            </w:r>
            <w:r>
              <w:rPr>
                <w:rFonts w:hint="eastAsia" w:ascii="宋体" w:hAnsi="宋体" w:cs="宋体"/>
                <w:color w:val="auto"/>
                <w:kern w:val="0"/>
                <w:lang w:eastAsia="zh-CN"/>
              </w:rPr>
              <w:t>、</w:t>
            </w:r>
            <w:r>
              <w:rPr>
                <w:rFonts w:hint="eastAsia" w:ascii="宋体" w:hAnsi="宋体" w:cs="宋体"/>
                <w:color w:val="auto"/>
                <w:kern w:val="0"/>
              </w:rPr>
              <w:t>电子天平</w:t>
            </w:r>
            <w:r>
              <w:rPr>
                <w:rFonts w:hint="eastAsia" w:ascii="宋体" w:hAnsi="宋体" w:cs="宋体"/>
                <w:color w:val="auto"/>
                <w:kern w:val="0"/>
                <w:lang w:eastAsia="zh-CN"/>
              </w:rPr>
              <w:t>、</w:t>
            </w:r>
            <w:r>
              <w:rPr>
                <w:rFonts w:hint="eastAsia" w:ascii="宋体" w:hAnsi="宋体" w:cs="宋体"/>
                <w:color w:val="auto"/>
                <w:kern w:val="0"/>
              </w:rPr>
              <w:t>石墨体积密度测试仪</w:t>
            </w:r>
            <w:r>
              <w:rPr>
                <w:rFonts w:hint="eastAsia" w:ascii="宋体" w:hAnsi="宋体" w:cs="宋体"/>
                <w:color w:val="auto"/>
                <w:kern w:val="0"/>
                <w:lang w:eastAsia="zh-CN"/>
              </w:rPr>
              <w:t>、</w:t>
            </w:r>
            <w:r>
              <w:rPr>
                <w:rFonts w:hint="eastAsia" w:ascii="宋体" w:hAnsi="宋体" w:cs="宋体"/>
                <w:color w:val="auto"/>
                <w:kern w:val="0"/>
              </w:rPr>
              <w:t>振实密度仪</w:t>
            </w:r>
            <w:r>
              <w:rPr>
                <w:rFonts w:hint="eastAsia" w:ascii="宋体" w:hAnsi="宋体" w:cs="宋体"/>
                <w:color w:val="auto"/>
                <w:kern w:val="0"/>
                <w:lang w:eastAsia="zh-CN"/>
              </w:rPr>
              <w:t>、</w:t>
            </w:r>
            <w:r>
              <w:rPr>
                <w:rFonts w:hint="eastAsia" w:ascii="宋体" w:hAnsi="宋体" w:cs="宋体"/>
                <w:color w:val="auto"/>
                <w:kern w:val="0"/>
              </w:rPr>
              <w:t>鼓风干燥箱</w:t>
            </w:r>
            <w:r>
              <w:rPr>
                <w:rFonts w:hint="eastAsia" w:ascii="宋体" w:hAnsi="宋体" w:cs="宋体"/>
                <w:color w:val="auto"/>
                <w:kern w:val="0"/>
                <w:lang w:eastAsia="zh-CN"/>
              </w:rPr>
              <w:t>、</w:t>
            </w:r>
            <w:r>
              <w:rPr>
                <w:rFonts w:hint="eastAsia" w:ascii="宋体" w:hAnsi="宋体" w:cs="宋体"/>
                <w:color w:val="auto"/>
                <w:kern w:val="0"/>
              </w:rPr>
              <w:t>密封式制样破碎机</w:t>
            </w:r>
            <w:r>
              <w:rPr>
                <w:rFonts w:hint="eastAsia" w:ascii="宋体" w:hAnsi="宋体" w:cs="宋体"/>
                <w:color w:val="auto"/>
                <w:kern w:val="0"/>
                <w:lang w:eastAsia="zh-CN"/>
              </w:rPr>
              <w:t>、</w:t>
            </w:r>
            <w:r>
              <w:rPr>
                <w:rFonts w:hint="eastAsia" w:ascii="宋体" w:hAnsi="宋体" w:cs="宋体"/>
                <w:color w:val="auto"/>
                <w:kern w:val="0"/>
              </w:rPr>
              <w:t>三维混合机</w:t>
            </w:r>
            <w:r>
              <w:rPr>
                <w:rFonts w:hint="eastAsia" w:ascii="宋体" w:hAnsi="宋体" w:cs="宋体"/>
                <w:color w:val="auto"/>
                <w:kern w:val="0"/>
                <w:lang w:eastAsia="zh-CN"/>
              </w:rPr>
              <w:t>、</w:t>
            </w:r>
            <w:r>
              <w:rPr>
                <w:rFonts w:hint="eastAsia" w:ascii="宋体" w:hAnsi="宋体" w:cs="宋体"/>
                <w:color w:val="auto"/>
                <w:kern w:val="0"/>
              </w:rPr>
              <w:t>箱式气氛焙烧炉</w:t>
            </w:r>
            <w:r>
              <w:rPr>
                <w:rFonts w:hint="eastAsia" w:ascii="宋体" w:hAnsi="宋体" w:cs="宋体"/>
                <w:color w:val="auto"/>
                <w:kern w:val="0"/>
                <w:lang w:eastAsia="zh-CN"/>
              </w:rPr>
              <w:t>、</w:t>
            </w:r>
            <w:r>
              <w:rPr>
                <w:rFonts w:hint="eastAsia" w:ascii="宋体" w:hAnsi="宋体" w:cs="宋体"/>
                <w:color w:val="auto"/>
                <w:kern w:val="0"/>
              </w:rPr>
              <w:t>电动四柱液压机</w:t>
            </w:r>
            <w:r>
              <w:rPr>
                <w:rFonts w:hint="eastAsia" w:ascii="宋体" w:hAnsi="宋体" w:cs="宋体"/>
                <w:color w:val="auto"/>
                <w:kern w:val="0"/>
                <w:lang w:eastAsia="zh-CN"/>
              </w:rPr>
              <w:t>、</w:t>
            </w:r>
            <w:r>
              <w:rPr>
                <w:rFonts w:hint="eastAsia" w:ascii="宋体" w:hAnsi="宋体" w:cs="宋体"/>
                <w:color w:val="auto"/>
                <w:kern w:val="0"/>
              </w:rPr>
              <w:t>小型炭素混捏锅各1台</w:t>
            </w:r>
            <w:r>
              <w:rPr>
                <w:rFonts w:hint="eastAsia" w:ascii="宋体" w:hAnsi="宋体" w:cs="宋体"/>
                <w:color w:val="auto"/>
                <w:kern w:val="0"/>
                <w:lang w:eastAsia="zh-CN"/>
              </w:rPr>
              <w:t>，</w:t>
            </w:r>
            <w:r>
              <w:rPr>
                <w:rFonts w:hint="eastAsia" w:cs="宋体"/>
                <w:color w:val="auto"/>
              </w:rPr>
              <w:t>包含但不限于设备的供货、运输、保险、装卸、安装、检测、调试、试运行、验收交付、培训、技术支持、软件升级、售后保修及相关伴随服务。</w:t>
            </w:r>
          </w:p>
          <w:p w14:paraId="51D7AFA8">
            <w:pPr>
              <w:adjustRightInd w:val="0"/>
              <w:snapToGrid w:val="0"/>
              <w:spacing w:line="360" w:lineRule="auto"/>
              <w:rPr>
                <w:rFonts w:hint="eastAsia" w:ascii="宋体" w:hAnsi="宋体"/>
                <w:color w:val="auto"/>
              </w:rPr>
            </w:pPr>
            <w:r>
              <w:rPr>
                <w:rFonts w:hint="eastAsia" w:ascii="宋体" w:hAnsi="宋体"/>
                <w:color w:val="auto"/>
              </w:rPr>
              <w:t>标段划分：本项目划分为1个标段。</w:t>
            </w:r>
          </w:p>
        </w:tc>
      </w:tr>
      <w:tr w14:paraId="5F849ACA">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D11AA50">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1.4.2</w:t>
            </w:r>
          </w:p>
        </w:tc>
        <w:tc>
          <w:tcPr>
            <w:tcW w:w="1727" w:type="dxa"/>
            <w:gridSpan w:val="2"/>
            <w:tcBorders>
              <w:top w:val="single" w:color="auto" w:sz="4" w:space="0"/>
              <w:left w:val="nil"/>
              <w:bottom w:val="single" w:color="auto" w:sz="4" w:space="0"/>
              <w:right w:val="single" w:color="auto" w:sz="4" w:space="0"/>
            </w:tcBorders>
            <w:vAlign w:val="center"/>
          </w:tcPr>
          <w:p w14:paraId="19BF93BC">
            <w:pPr>
              <w:adjustRightInd w:val="0"/>
              <w:snapToGrid w:val="0"/>
              <w:spacing w:line="360" w:lineRule="auto"/>
              <w:jc w:val="center"/>
              <w:textAlignment w:val="baseline"/>
              <w:rPr>
                <w:rFonts w:hint="eastAsia" w:ascii="宋体" w:hAnsi="宋体"/>
                <w:color w:val="auto"/>
              </w:rPr>
            </w:pPr>
            <w:r>
              <w:rPr>
                <w:rFonts w:hint="eastAsia" w:ascii="宋体" w:hAnsi="宋体"/>
                <w:color w:val="auto"/>
              </w:rPr>
              <w:t>交货地点</w:t>
            </w:r>
          </w:p>
        </w:tc>
        <w:tc>
          <w:tcPr>
            <w:tcW w:w="6135" w:type="dxa"/>
            <w:tcBorders>
              <w:top w:val="single" w:color="auto" w:sz="4" w:space="0"/>
              <w:left w:val="nil"/>
              <w:bottom w:val="single" w:color="auto" w:sz="4" w:space="0"/>
              <w:right w:val="single" w:color="auto" w:sz="4" w:space="0"/>
            </w:tcBorders>
            <w:vAlign w:val="center"/>
          </w:tcPr>
          <w:p w14:paraId="65935083">
            <w:pPr>
              <w:adjustRightInd w:val="0"/>
              <w:snapToGrid w:val="0"/>
              <w:spacing w:line="360" w:lineRule="auto"/>
              <w:rPr>
                <w:rFonts w:hint="eastAsia" w:ascii="宋体" w:hAnsi="宋体"/>
                <w:color w:val="auto"/>
              </w:rPr>
            </w:pPr>
            <w:r>
              <w:rPr>
                <w:rFonts w:hint="eastAsia" w:ascii="宋体" w:hAnsi="宋体"/>
                <w:color w:val="auto"/>
              </w:rPr>
              <w:t>郑州大学北校区</w:t>
            </w:r>
          </w:p>
        </w:tc>
      </w:tr>
      <w:tr w14:paraId="332FDC26">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7D33121E">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1.4.3</w:t>
            </w:r>
          </w:p>
        </w:tc>
        <w:tc>
          <w:tcPr>
            <w:tcW w:w="1727" w:type="dxa"/>
            <w:gridSpan w:val="2"/>
            <w:tcBorders>
              <w:top w:val="single" w:color="auto" w:sz="4" w:space="0"/>
              <w:left w:val="nil"/>
              <w:bottom w:val="single" w:color="auto" w:sz="4" w:space="0"/>
              <w:right w:val="single" w:color="auto" w:sz="4" w:space="0"/>
            </w:tcBorders>
            <w:vAlign w:val="center"/>
          </w:tcPr>
          <w:p w14:paraId="2B4B07D4">
            <w:pPr>
              <w:adjustRightInd w:val="0"/>
              <w:snapToGrid w:val="0"/>
              <w:spacing w:line="360" w:lineRule="auto"/>
              <w:jc w:val="center"/>
              <w:rPr>
                <w:rFonts w:hint="eastAsia" w:ascii="宋体" w:hAnsi="宋体"/>
                <w:color w:val="auto"/>
              </w:rPr>
            </w:pPr>
            <w:r>
              <w:rPr>
                <w:rFonts w:hint="eastAsia" w:ascii="宋体" w:hAnsi="宋体"/>
                <w:color w:val="auto"/>
              </w:rPr>
              <w:t>交货期</w:t>
            </w:r>
          </w:p>
        </w:tc>
        <w:tc>
          <w:tcPr>
            <w:tcW w:w="6135" w:type="dxa"/>
            <w:tcBorders>
              <w:top w:val="single" w:color="auto" w:sz="4" w:space="0"/>
              <w:left w:val="nil"/>
              <w:bottom w:val="single" w:color="auto" w:sz="4" w:space="0"/>
              <w:right w:val="single" w:color="auto" w:sz="4" w:space="0"/>
            </w:tcBorders>
            <w:vAlign w:val="center"/>
          </w:tcPr>
          <w:p w14:paraId="78781E50">
            <w:pPr>
              <w:adjustRightInd w:val="0"/>
              <w:snapToGrid w:val="0"/>
              <w:spacing w:line="360" w:lineRule="auto"/>
              <w:rPr>
                <w:rFonts w:hint="eastAsia" w:ascii="宋体" w:hAnsi="宋体"/>
                <w:color w:val="auto"/>
              </w:rPr>
            </w:pPr>
            <w:r>
              <w:rPr>
                <w:rFonts w:hint="eastAsia" w:ascii="宋体" w:hAnsi="宋体" w:cs="宋体"/>
                <w:color w:val="auto"/>
                <w:kern w:val="0"/>
              </w:rPr>
              <w:t>自合同生效之日起</w:t>
            </w:r>
            <w:r>
              <w:rPr>
                <w:rFonts w:hint="eastAsia" w:ascii="宋体" w:hAnsi="宋体" w:cs="宋体"/>
                <w:color w:val="auto"/>
                <w:kern w:val="0"/>
                <w:u w:val="single"/>
              </w:rPr>
              <w:t xml:space="preserve"> </w:t>
            </w:r>
            <w:r>
              <w:rPr>
                <w:rFonts w:hint="eastAsia" w:ascii="宋体" w:hAnsi="宋体" w:cs="宋体"/>
                <w:color w:val="auto"/>
                <w:kern w:val="0"/>
                <w:u w:val="single"/>
                <w:lang w:val="en-US" w:eastAsia="zh-CN"/>
              </w:rPr>
              <w:t>4</w:t>
            </w:r>
            <w:r>
              <w:rPr>
                <w:rFonts w:hint="eastAsia" w:ascii="宋体" w:hAnsi="宋体" w:cs="宋体"/>
                <w:color w:val="auto"/>
                <w:kern w:val="0"/>
                <w:u w:val="single"/>
              </w:rPr>
              <w:t xml:space="preserve"> </w:t>
            </w:r>
            <w:r>
              <w:rPr>
                <w:rFonts w:hint="eastAsia" w:ascii="宋体" w:hAnsi="宋体" w:cs="宋体"/>
                <w:color w:val="auto"/>
                <w:kern w:val="0"/>
              </w:rPr>
              <w:t>个月内安装调试完成。</w:t>
            </w:r>
          </w:p>
        </w:tc>
      </w:tr>
      <w:tr w14:paraId="23AD4929">
        <w:tblPrEx>
          <w:tblCellMar>
            <w:top w:w="0" w:type="dxa"/>
            <w:left w:w="108" w:type="dxa"/>
            <w:bottom w:w="0" w:type="dxa"/>
            <w:right w:w="108" w:type="dxa"/>
          </w:tblCellMar>
        </w:tblPrEx>
        <w:trPr>
          <w:trHeight w:val="90"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E1D65A9">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1.4.4</w:t>
            </w:r>
          </w:p>
        </w:tc>
        <w:tc>
          <w:tcPr>
            <w:tcW w:w="1727" w:type="dxa"/>
            <w:gridSpan w:val="2"/>
            <w:tcBorders>
              <w:top w:val="single" w:color="auto" w:sz="4" w:space="0"/>
              <w:left w:val="nil"/>
              <w:bottom w:val="single" w:color="auto" w:sz="4" w:space="0"/>
              <w:right w:val="single" w:color="auto" w:sz="4" w:space="0"/>
            </w:tcBorders>
            <w:vAlign w:val="center"/>
          </w:tcPr>
          <w:p w14:paraId="58D1E5A6">
            <w:pPr>
              <w:adjustRightInd w:val="0"/>
              <w:snapToGrid w:val="0"/>
              <w:spacing w:line="360" w:lineRule="auto"/>
              <w:jc w:val="center"/>
              <w:rPr>
                <w:rFonts w:hint="eastAsia" w:ascii="宋体" w:hAnsi="宋体"/>
                <w:color w:val="auto"/>
              </w:rPr>
            </w:pPr>
            <w:r>
              <w:rPr>
                <w:rFonts w:hint="eastAsia" w:ascii="宋体" w:hAnsi="宋体"/>
                <w:color w:val="auto"/>
              </w:rPr>
              <w:t>质量要求</w:t>
            </w:r>
          </w:p>
        </w:tc>
        <w:tc>
          <w:tcPr>
            <w:tcW w:w="6135" w:type="dxa"/>
            <w:tcBorders>
              <w:top w:val="single" w:color="auto" w:sz="4" w:space="0"/>
              <w:left w:val="nil"/>
              <w:bottom w:val="single" w:color="auto" w:sz="4" w:space="0"/>
              <w:right w:val="single" w:color="auto" w:sz="4" w:space="0"/>
            </w:tcBorders>
            <w:vAlign w:val="center"/>
          </w:tcPr>
          <w:p w14:paraId="076408AB">
            <w:pPr>
              <w:adjustRightInd w:val="0"/>
              <w:snapToGrid w:val="0"/>
              <w:spacing w:line="360" w:lineRule="auto"/>
              <w:rPr>
                <w:rFonts w:hint="eastAsia" w:ascii="宋体" w:hAnsi="宋体"/>
                <w:color w:val="auto"/>
              </w:rPr>
            </w:pPr>
            <w:r>
              <w:rPr>
                <w:rFonts w:hint="eastAsia" w:ascii="宋体" w:hAnsi="宋体"/>
                <w:color w:val="auto"/>
              </w:rPr>
              <w:t>符合国家、行业现行验收规范和标准，满足采购人的相关要求</w:t>
            </w:r>
          </w:p>
        </w:tc>
      </w:tr>
      <w:tr w14:paraId="3B14CB66">
        <w:tblPrEx>
          <w:tblCellMar>
            <w:top w:w="0" w:type="dxa"/>
            <w:left w:w="108" w:type="dxa"/>
            <w:bottom w:w="0" w:type="dxa"/>
            <w:right w:w="108" w:type="dxa"/>
          </w:tblCellMar>
        </w:tblPrEx>
        <w:trPr>
          <w:trHeight w:val="90"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9DC76D8">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1.4.5</w:t>
            </w:r>
          </w:p>
        </w:tc>
        <w:tc>
          <w:tcPr>
            <w:tcW w:w="1727" w:type="dxa"/>
            <w:gridSpan w:val="2"/>
            <w:tcBorders>
              <w:top w:val="single" w:color="auto" w:sz="4" w:space="0"/>
              <w:left w:val="nil"/>
              <w:bottom w:val="single" w:color="auto" w:sz="4" w:space="0"/>
              <w:right w:val="single" w:color="auto" w:sz="4" w:space="0"/>
            </w:tcBorders>
            <w:vAlign w:val="center"/>
          </w:tcPr>
          <w:p w14:paraId="29C82B37">
            <w:pPr>
              <w:adjustRightInd w:val="0"/>
              <w:snapToGrid w:val="0"/>
              <w:spacing w:line="360" w:lineRule="auto"/>
              <w:jc w:val="center"/>
              <w:rPr>
                <w:rFonts w:hint="eastAsia" w:ascii="宋体" w:hAnsi="宋体"/>
                <w:color w:val="auto"/>
              </w:rPr>
            </w:pPr>
            <w:r>
              <w:rPr>
                <w:rFonts w:hint="eastAsia" w:ascii="宋体" w:hAnsi="宋体"/>
                <w:color w:val="auto"/>
              </w:rPr>
              <w:t>质保期</w:t>
            </w:r>
          </w:p>
        </w:tc>
        <w:tc>
          <w:tcPr>
            <w:tcW w:w="6135" w:type="dxa"/>
            <w:tcBorders>
              <w:top w:val="single" w:color="auto" w:sz="4" w:space="0"/>
              <w:left w:val="nil"/>
              <w:bottom w:val="single" w:color="auto" w:sz="4" w:space="0"/>
              <w:right w:val="single" w:color="auto" w:sz="4" w:space="0"/>
            </w:tcBorders>
            <w:vAlign w:val="center"/>
          </w:tcPr>
          <w:p w14:paraId="7F2EA249">
            <w:pPr>
              <w:adjustRightInd w:val="0"/>
              <w:snapToGrid w:val="0"/>
              <w:spacing w:line="360" w:lineRule="auto"/>
              <w:rPr>
                <w:rFonts w:hint="eastAsia" w:ascii="宋体" w:hAnsi="宋体"/>
                <w:color w:val="auto"/>
              </w:rPr>
            </w:pPr>
            <w:r>
              <w:rPr>
                <w:rFonts w:hint="eastAsia" w:ascii="宋体" w:hAnsi="宋体" w:eastAsia="宋体" w:cs="宋体"/>
                <w:color w:val="auto"/>
                <w:sz w:val="21"/>
              </w:rPr>
              <w:t>验收合格</w:t>
            </w:r>
            <w:r>
              <w:rPr>
                <w:rFonts w:hint="eastAsia" w:ascii="宋体" w:hAnsi="宋体" w:eastAsia="宋体" w:cs="宋体"/>
                <w:color w:val="auto"/>
                <w:sz w:val="21"/>
                <w:lang w:eastAsia="zh-CN"/>
              </w:rPr>
              <w:t>之日起</w:t>
            </w:r>
            <w:r>
              <w:rPr>
                <w:rFonts w:hint="eastAsia" w:ascii="宋体" w:hAnsi="宋体" w:eastAsia="宋体" w:cs="宋体"/>
                <w:color w:val="auto"/>
                <w:sz w:val="21"/>
              </w:rPr>
              <w:t>质保</w:t>
            </w:r>
            <w:r>
              <w:rPr>
                <w:rFonts w:hint="eastAsia" w:ascii="宋体" w:hAnsi="宋体" w:eastAsia="宋体" w:cs="宋体"/>
                <w:color w:val="auto"/>
                <w:sz w:val="21"/>
                <w:lang w:val="en-US" w:eastAsia="zh-CN"/>
              </w:rPr>
              <w:t xml:space="preserve"> 3 </w:t>
            </w:r>
            <w:r>
              <w:rPr>
                <w:rFonts w:hint="eastAsia" w:ascii="宋体" w:hAnsi="宋体" w:eastAsia="宋体" w:cs="宋体"/>
                <w:color w:val="auto"/>
                <w:sz w:val="21"/>
              </w:rPr>
              <w:t>年。</w:t>
            </w:r>
          </w:p>
        </w:tc>
      </w:tr>
      <w:tr w14:paraId="5F78AB23">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7CBCBB7">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1.5.1</w:t>
            </w:r>
          </w:p>
        </w:tc>
        <w:tc>
          <w:tcPr>
            <w:tcW w:w="1727" w:type="dxa"/>
            <w:gridSpan w:val="2"/>
            <w:tcBorders>
              <w:top w:val="single" w:color="auto" w:sz="4" w:space="0"/>
              <w:left w:val="nil"/>
              <w:bottom w:val="single" w:color="auto" w:sz="4" w:space="0"/>
              <w:right w:val="single" w:color="auto" w:sz="4" w:space="0"/>
            </w:tcBorders>
            <w:vAlign w:val="center"/>
          </w:tcPr>
          <w:p w14:paraId="5053062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供应商资质条件和能力</w:t>
            </w:r>
          </w:p>
        </w:tc>
        <w:tc>
          <w:tcPr>
            <w:tcW w:w="6135" w:type="dxa"/>
            <w:tcBorders>
              <w:top w:val="single" w:color="auto" w:sz="4" w:space="0"/>
              <w:left w:val="nil"/>
              <w:bottom w:val="single" w:color="auto" w:sz="4" w:space="0"/>
              <w:right w:val="single" w:color="auto" w:sz="4" w:space="0"/>
            </w:tcBorders>
            <w:vAlign w:val="center"/>
          </w:tcPr>
          <w:p w14:paraId="1C1F8B0A">
            <w:pPr>
              <w:adjustRightInd w:val="0"/>
              <w:snapToGrid w:val="0"/>
              <w:spacing w:line="360" w:lineRule="auto"/>
              <w:jc w:val="left"/>
              <w:rPr>
                <w:rFonts w:hint="eastAsia" w:ascii="宋体" w:hAnsi="宋体"/>
                <w:color w:val="auto"/>
              </w:rPr>
            </w:pPr>
            <w:r>
              <w:rPr>
                <w:rFonts w:hint="eastAsia" w:ascii="宋体" w:hAnsi="宋体"/>
                <w:color w:val="auto"/>
              </w:rPr>
              <w:t>1.满足《中华人民共和国政府采购法》第二十二条规定；</w:t>
            </w:r>
          </w:p>
          <w:p w14:paraId="0125D10F">
            <w:pPr>
              <w:adjustRightInd w:val="0"/>
              <w:snapToGrid w:val="0"/>
              <w:spacing w:line="360" w:lineRule="auto"/>
              <w:jc w:val="left"/>
              <w:rPr>
                <w:rFonts w:hint="eastAsia" w:ascii="宋体" w:hAnsi="宋体"/>
                <w:color w:val="auto"/>
              </w:rPr>
            </w:pPr>
            <w:r>
              <w:rPr>
                <w:rFonts w:hint="eastAsia" w:ascii="宋体" w:hAnsi="宋体"/>
                <w:color w:val="auto"/>
              </w:rPr>
              <w:t>2.落实政府采购政策满足的资格要求：无；</w:t>
            </w:r>
          </w:p>
          <w:p w14:paraId="22D1D86F">
            <w:pPr>
              <w:adjustRightInd w:val="0"/>
              <w:snapToGrid w:val="0"/>
              <w:spacing w:line="360" w:lineRule="auto"/>
              <w:jc w:val="left"/>
              <w:rPr>
                <w:rFonts w:hint="eastAsia" w:ascii="宋体" w:hAnsi="宋体"/>
                <w:color w:val="auto"/>
              </w:rPr>
            </w:pPr>
            <w:r>
              <w:rPr>
                <w:rFonts w:hint="eastAsia" w:ascii="宋体" w:hAnsi="宋体"/>
                <w:color w:val="auto"/>
              </w:rPr>
              <w:t>3.本项目的特定资格要求：</w:t>
            </w:r>
          </w:p>
          <w:p w14:paraId="6768E5B4">
            <w:pPr>
              <w:adjustRightInd w:val="0"/>
              <w:snapToGrid w:val="0"/>
              <w:spacing w:line="360" w:lineRule="auto"/>
              <w:jc w:val="left"/>
              <w:rPr>
                <w:rFonts w:hint="eastAsia" w:ascii="宋体" w:hAnsi="宋体"/>
                <w:color w:val="auto"/>
              </w:rPr>
            </w:pPr>
            <w:r>
              <w:rPr>
                <w:rFonts w:hint="eastAsia" w:ascii="宋体" w:hAnsi="宋体"/>
                <w:color w:val="auto"/>
              </w:rPr>
              <w:t>3.1根据《关于在政府采购活动中查询及使用信用记录有关问题的通知》 (财库 [2016]125号) 和豫财购[2016]15号的规定，对列入失信被执行人、重大税收违法失信主体、政府采购严重违法失信行为记录名单的企业，拒绝参与本项目招标采购活动（查询渠道：“信用中国”网站（www.creditchina.gov.cn）查询：列入失信被执行人、重大税收违法失信主体，中国政府采购网（www.ccgp.gov.cn）：政府采购严重违法失信行为记录名单）；注：采购代理机构在磋商当天将对所有参与本项目投标的供应商的信用情况（失信被执行人、重大税收违法失信主体、政府采购严重违法失信行为记录名单）进行查询、打印留存。若在磋商当天查询到供应商有相关负面信息的，则该供应商递交的响应文件按无效处理；</w:t>
            </w:r>
          </w:p>
          <w:p w14:paraId="3E410564">
            <w:pPr>
              <w:adjustRightInd w:val="0"/>
              <w:snapToGrid w:val="0"/>
              <w:spacing w:line="360" w:lineRule="auto"/>
              <w:jc w:val="left"/>
              <w:rPr>
                <w:rFonts w:ascii="宋体" w:hAnsi="宋体"/>
                <w:color w:val="auto"/>
              </w:rPr>
            </w:pPr>
            <w:r>
              <w:rPr>
                <w:rFonts w:hint="eastAsia" w:ascii="宋体" w:hAnsi="宋体"/>
                <w:color w:val="auto"/>
              </w:rPr>
              <w:t>3.2单位负责人为同一人或者存在直接控股、管理关系的不同供应商，不得参加同一合同项下的政府采购活动；</w:t>
            </w:r>
          </w:p>
        </w:tc>
      </w:tr>
      <w:tr w14:paraId="7F43AC5B">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34A4771">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1.5.2</w:t>
            </w:r>
          </w:p>
        </w:tc>
        <w:tc>
          <w:tcPr>
            <w:tcW w:w="1727" w:type="dxa"/>
            <w:gridSpan w:val="2"/>
            <w:tcBorders>
              <w:top w:val="single" w:color="auto" w:sz="4" w:space="0"/>
              <w:left w:val="nil"/>
              <w:bottom w:val="single" w:color="auto" w:sz="4" w:space="0"/>
              <w:right w:val="single" w:color="auto" w:sz="4" w:space="0"/>
            </w:tcBorders>
            <w:vAlign w:val="center"/>
          </w:tcPr>
          <w:p w14:paraId="43A378D7">
            <w:pPr>
              <w:adjustRightInd w:val="0"/>
              <w:snapToGrid w:val="0"/>
              <w:spacing w:line="360" w:lineRule="auto"/>
              <w:jc w:val="center"/>
              <w:rPr>
                <w:rFonts w:hint="eastAsia" w:ascii="宋体" w:hAnsi="宋体"/>
                <w:color w:val="auto"/>
              </w:rPr>
            </w:pPr>
            <w:r>
              <w:rPr>
                <w:rFonts w:hint="eastAsia" w:ascii="宋体" w:hAnsi="宋体"/>
                <w:color w:val="auto"/>
              </w:rPr>
              <w:t>是否接受联合体</w:t>
            </w:r>
          </w:p>
        </w:tc>
        <w:tc>
          <w:tcPr>
            <w:tcW w:w="6135" w:type="dxa"/>
            <w:tcBorders>
              <w:top w:val="single" w:color="auto" w:sz="4" w:space="0"/>
              <w:left w:val="nil"/>
              <w:bottom w:val="single" w:color="auto" w:sz="4" w:space="0"/>
              <w:right w:val="single" w:color="auto" w:sz="4" w:space="0"/>
            </w:tcBorders>
            <w:vAlign w:val="center"/>
          </w:tcPr>
          <w:p w14:paraId="715FB22F">
            <w:pPr>
              <w:pStyle w:val="17"/>
              <w:topLinePunct/>
              <w:adjustRightInd w:val="0"/>
              <w:snapToGrid w:val="0"/>
              <w:spacing w:line="360" w:lineRule="auto"/>
              <w:textAlignment w:val="baseline"/>
              <w:rPr>
                <w:rFonts w:hint="eastAsia" w:ascii="宋体" w:hAnsi="宋体"/>
                <w:color w:val="auto"/>
                <w:kern w:val="2"/>
                <w:sz w:val="21"/>
                <w:szCs w:val="21"/>
              </w:rPr>
            </w:pPr>
            <w:r>
              <w:rPr>
                <w:rFonts w:hint="eastAsia" w:ascii="宋体" w:hAnsi="宋体"/>
                <w:color w:val="auto"/>
                <w:kern w:val="2"/>
                <w:sz w:val="21"/>
                <w:szCs w:val="21"/>
              </w:rPr>
              <w:t>不接受</w:t>
            </w:r>
          </w:p>
        </w:tc>
      </w:tr>
      <w:tr w14:paraId="126D2BA5">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23825D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1.12</w:t>
            </w:r>
          </w:p>
        </w:tc>
        <w:tc>
          <w:tcPr>
            <w:tcW w:w="1727" w:type="dxa"/>
            <w:gridSpan w:val="2"/>
            <w:tcBorders>
              <w:top w:val="single" w:color="auto" w:sz="4" w:space="0"/>
              <w:left w:val="nil"/>
              <w:bottom w:val="single" w:color="auto" w:sz="4" w:space="0"/>
              <w:right w:val="single" w:color="auto" w:sz="4" w:space="0"/>
            </w:tcBorders>
            <w:vAlign w:val="center"/>
          </w:tcPr>
          <w:p w14:paraId="1F1113B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偏离</w:t>
            </w:r>
          </w:p>
        </w:tc>
        <w:tc>
          <w:tcPr>
            <w:tcW w:w="6135" w:type="dxa"/>
            <w:tcBorders>
              <w:top w:val="single" w:color="auto" w:sz="4" w:space="0"/>
              <w:left w:val="nil"/>
              <w:bottom w:val="single" w:color="auto" w:sz="4" w:space="0"/>
              <w:right w:val="single" w:color="auto" w:sz="4" w:space="0"/>
            </w:tcBorders>
            <w:vAlign w:val="center"/>
          </w:tcPr>
          <w:p w14:paraId="6D2DD5BA">
            <w:pPr>
              <w:adjustRightInd w:val="0"/>
              <w:snapToGrid w:val="0"/>
              <w:spacing w:line="360" w:lineRule="auto"/>
              <w:textAlignment w:val="baseline"/>
              <w:rPr>
                <w:rFonts w:hint="eastAsia" w:ascii="宋体" w:hAnsi="宋体"/>
                <w:color w:val="auto"/>
              </w:rPr>
            </w:pPr>
            <w:r>
              <w:rPr>
                <w:rFonts w:ascii="宋体" w:hAnsi="宋体"/>
                <w:color w:val="auto"/>
              </w:rPr>
              <w:t>本项目商务条款</w:t>
            </w:r>
            <w:r>
              <w:rPr>
                <w:rFonts w:hint="eastAsia" w:ascii="宋体" w:hAnsi="宋体"/>
                <w:color w:val="auto"/>
              </w:rPr>
              <w:t>和实质性</w:t>
            </w:r>
            <w:r>
              <w:rPr>
                <w:rFonts w:hint="eastAsia" w:ascii="宋体" w:hAnsi="宋体"/>
                <w:color w:val="auto"/>
                <w:lang w:eastAsia="zh-CN"/>
              </w:rPr>
              <w:t>技术参数</w:t>
            </w:r>
            <w:r>
              <w:rPr>
                <w:rFonts w:ascii="宋体" w:hAnsi="宋体"/>
                <w:color w:val="auto"/>
              </w:rPr>
              <w:t>不允许负偏离</w:t>
            </w:r>
          </w:p>
        </w:tc>
      </w:tr>
      <w:tr w14:paraId="6274F7FE">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01302227">
            <w:pPr>
              <w:adjustRightInd w:val="0"/>
              <w:snapToGrid w:val="0"/>
              <w:spacing w:line="360" w:lineRule="auto"/>
              <w:jc w:val="center"/>
              <w:textAlignment w:val="baseline"/>
              <w:rPr>
                <w:rFonts w:hint="eastAsia" w:ascii="宋体" w:hAnsi="宋体"/>
                <w:color w:val="auto"/>
              </w:rPr>
            </w:pPr>
            <w:r>
              <w:rPr>
                <w:rFonts w:hint="eastAsia" w:ascii="宋体" w:hAnsi="宋体"/>
                <w:color w:val="auto"/>
              </w:rPr>
              <w:t>2.1</w:t>
            </w:r>
          </w:p>
        </w:tc>
        <w:tc>
          <w:tcPr>
            <w:tcW w:w="1727" w:type="dxa"/>
            <w:gridSpan w:val="2"/>
            <w:tcBorders>
              <w:top w:val="single" w:color="auto" w:sz="4" w:space="0"/>
              <w:left w:val="nil"/>
              <w:bottom w:val="single" w:color="auto" w:sz="4" w:space="0"/>
              <w:right w:val="single" w:color="auto" w:sz="4" w:space="0"/>
            </w:tcBorders>
            <w:vAlign w:val="center"/>
          </w:tcPr>
          <w:p w14:paraId="2E9AD10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构成磋商文件的其他材料</w:t>
            </w:r>
          </w:p>
        </w:tc>
        <w:tc>
          <w:tcPr>
            <w:tcW w:w="6135" w:type="dxa"/>
            <w:tcBorders>
              <w:top w:val="single" w:color="auto" w:sz="4" w:space="0"/>
              <w:left w:val="nil"/>
              <w:bottom w:val="single" w:color="auto" w:sz="4" w:space="0"/>
              <w:right w:val="single" w:color="auto" w:sz="4" w:space="0"/>
            </w:tcBorders>
            <w:vAlign w:val="center"/>
          </w:tcPr>
          <w:p w14:paraId="0452402F">
            <w:pPr>
              <w:adjustRightInd w:val="0"/>
              <w:snapToGrid w:val="0"/>
              <w:spacing w:line="360" w:lineRule="auto"/>
              <w:textAlignment w:val="baseline"/>
              <w:rPr>
                <w:rFonts w:hint="eastAsia" w:ascii="宋体" w:hAnsi="宋体"/>
                <w:color w:val="auto"/>
              </w:rPr>
            </w:pPr>
            <w:r>
              <w:rPr>
                <w:rFonts w:hint="eastAsia" w:ascii="宋体" w:hAnsi="宋体"/>
                <w:color w:val="auto"/>
              </w:rPr>
              <w:t>除磋商文件外，采购人在磋商期间发出的澄清、修改、补充、补遗和其它有效正式函件等内容均是磋商文件的组成部分</w:t>
            </w:r>
          </w:p>
        </w:tc>
      </w:tr>
      <w:tr w14:paraId="578C730B">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C5AB436">
            <w:pPr>
              <w:adjustRightInd w:val="0"/>
              <w:snapToGrid w:val="0"/>
              <w:spacing w:line="360" w:lineRule="auto"/>
              <w:jc w:val="center"/>
              <w:textAlignment w:val="baseline"/>
              <w:rPr>
                <w:rFonts w:hint="eastAsia" w:ascii="宋体" w:hAnsi="宋体"/>
                <w:color w:val="auto"/>
              </w:rPr>
            </w:pPr>
            <w:r>
              <w:rPr>
                <w:rFonts w:hint="eastAsia" w:ascii="宋体" w:hAnsi="宋体"/>
                <w:color w:val="auto"/>
              </w:rPr>
              <w:t>2.2.1</w:t>
            </w:r>
          </w:p>
        </w:tc>
        <w:tc>
          <w:tcPr>
            <w:tcW w:w="1727" w:type="dxa"/>
            <w:gridSpan w:val="2"/>
            <w:tcBorders>
              <w:top w:val="single" w:color="auto" w:sz="4" w:space="0"/>
              <w:left w:val="nil"/>
              <w:bottom w:val="single" w:color="auto" w:sz="4" w:space="0"/>
              <w:right w:val="single" w:color="auto" w:sz="4" w:space="0"/>
            </w:tcBorders>
            <w:vAlign w:val="center"/>
          </w:tcPr>
          <w:p w14:paraId="7EC0512F">
            <w:pPr>
              <w:adjustRightInd w:val="0"/>
              <w:snapToGrid w:val="0"/>
              <w:spacing w:line="360" w:lineRule="auto"/>
              <w:jc w:val="center"/>
              <w:rPr>
                <w:rFonts w:hint="eastAsia" w:ascii="宋体" w:hAnsi="宋体"/>
                <w:color w:val="auto"/>
              </w:rPr>
            </w:pPr>
            <w:r>
              <w:rPr>
                <w:rFonts w:hint="eastAsia" w:ascii="宋体" w:hAnsi="宋体"/>
                <w:color w:val="auto"/>
              </w:rPr>
              <w:t>供应商要求澄清磋商文件的截止时间</w:t>
            </w:r>
          </w:p>
        </w:tc>
        <w:tc>
          <w:tcPr>
            <w:tcW w:w="6135" w:type="dxa"/>
            <w:tcBorders>
              <w:top w:val="single" w:color="auto" w:sz="4" w:space="0"/>
              <w:left w:val="nil"/>
              <w:bottom w:val="single" w:color="auto" w:sz="4" w:space="0"/>
              <w:right w:val="single" w:color="auto" w:sz="4" w:space="0"/>
            </w:tcBorders>
            <w:vAlign w:val="center"/>
          </w:tcPr>
          <w:p w14:paraId="32F7628C">
            <w:pPr>
              <w:adjustRightInd w:val="0"/>
              <w:snapToGrid w:val="0"/>
              <w:spacing w:line="360" w:lineRule="auto"/>
              <w:textAlignment w:val="baseline"/>
              <w:rPr>
                <w:rFonts w:hint="eastAsia" w:ascii="宋体" w:hAnsi="宋体"/>
                <w:color w:val="auto"/>
              </w:rPr>
            </w:pPr>
            <w:r>
              <w:rPr>
                <w:rFonts w:hint="eastAsia" w:ascii="宋体" w:hAnsi="宋体"/>
                <w:color w:val="auto"/>
              </w:rPr>
              <w:t>获取招标文件或招标公告期限届满之日起七个工作日内；在河南省公共资源交易中心系统内提出</w:t>
            </w:r>
          </w:p>
        </w:tc>
      </w:tr>
      <w:tr w14:paraId="12D57F3D">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2265333">
            <w:pPr>
              <w:adjustRightInd w:val="0"/>
              <w:snapToGrid w:val="0"/>
              <w:spacing w:line="360" w:lineRule="auto"/>
              <w:jc w:val="center"/>
              <w:textAlignment w:val="baseline"/>
              <w:rPr>
                <w:rFonts w:hint="eastAsia" w:ascii="宋体" w:hAnsi="宋体"/>
                <w:color w:val="auto"/>
              </w:rPr>
            </w:pPr>
            <w:r>
              <w:rPr>
                <w:rFonts w:hint="eastAsia" w:ascii="宋体" w:hAnsi="宋体"/>
                <w:color w:val="auto"/>
              </w:rPr>
              <w:t>2.2.2</w:t>
            </w:r>
          </w:p>
        </w:tc>
        <w:tc>
          <w:tcPr>
            <w:tcW w:w="1727" w:type="dxa"/>
            <w:gridSpan w:val="2"/>
            <w:tcBorders>
              <w:top w:val="single" w:color="auto" w:sz="4" w:space="0"/>
              <w:left w:val="nil"/>
              <w:bottom w:val="single" w:color="auto" w:sz="4" w:space="0"/>
              <w:right w:val="single" w:color="auto" w:sz="4" w:space="0"/>
            </w:tcBorders>
            <w:vAlign w:val="center"/>
          </w:tcPr>
          <w:p w14:paraId="53529C13">
            <w:pPr>
              <w:adjustRightInd w:val="0"/>
              <w:snapToGrid w:val="0"/>
              <w:spacing w:line="360" w:lineRule="auto"/>
              <w:jc w:val="center"/>
              <w:textAlignment w:val="baseline"/>
              <w:rPr>
                <w:rFonts w:hint="eastAsia" w:ascii="宋体" w:hAnsi="宋体"/>
                <w:color w:val="auto"/>
              </w:rPr>
            </w:pPr>
            <w:r>
              <w:rPr>
                <w:rFonts w:hint="eastAsia" w:ascii="宋体" w:hAnsi="宋体"/>
                <w:color w:val="auto"/>
              </w:rPr>
              <w:t>提交响应文件截止时间</w:t>
            </w:r>
          </w:p>
        </w:tc>
        <w:tc>
          <w:tcPr>
            <w:tcW w:w="6135" w:type="dxa"/>
            <w:tcBorders>
              <w:top w:val="single" w:color="auto" w:sz="4" w:space="0"/>
              <w:left w:val="nil"/>
              <w:bottom w:val="single" w:color="auto" w:sz="4" w:space="0"/>
              <w:right w:val="single" w:color="auto" w:sz="4" w:space="0"/>
            </w:tcBorders>
            <w:vAlign w:val="center"/>
          </w:tcPr>
          <w:p w14:paraId="233A68DC">
            <w:pPr>
              <w:adjustRightInd w:val="0"/>
              <w:snapToGrid w:val="0"/>
              <w:spacing w:line="360" w:lineRule="auto"/>
              <w:textAlignment w:val="baseline"/>
              <w:rPr>
                <w:rFonts w:hint="eastAsia" w:ascii="宋体" w:hAnsi="宋体"/>
                <w:color w:val="auto"/>
              </w:rPr>
            </w:pPr>
            <w:r>
              <w:rPr>
                <w:rFonts w:hint="eastAsia" w:ascii="宋体" w:hAnsi="宋体"/>
                <w:b/>
                <w:bCs/>
                <w:color w:val="auto"/>
              </w:rPr>
              <w:t>2026年</w:t>
            </w:r>
            <w:r>
              <w:rPr>
                <w:rFonts w:hint="eastAsia" w:ascii="宋体" w:hAnsi="宋体"/>
                <w:b/>
                <w:bCs/>
                <w:color w:val="auto"/>
                <w:lang w:val="en-US" w:eastAsia="zh-CN"/>
              </w:rPr>
              <w:t>7</w:t>
            </w:r>
            <w:r>
              <w:rPr>
                <w:rFonts w:hint="eastAsia" w:ascii="宋体" w:hAnsi="宋体"/>
                <w:b/>
                <w:bCs/>
                <w:color w:val="auto"/>
              </w:rPr>
              <w:t>月</w:t>
            </w:r>
            <w:r>
              <w:rPr>
                <w:rFonts w:hint="eastAsia" w:ascii="宋体" w:hAnsi="宋体"/>
                <w:b/>
                <w:bCs/>
                <w:color w:val="auto"/>
                <w:lang w:val="en-US" w:eastAsia="zh-CN"/>
              </w:rPr>
              <w:t>27</w:t>
            </w:r>
            <w:r>
              <w:rPr>
                <w:rFonts w:hint="eastAsia" w:ascii="宋体" w:hAnsi="宋体"/>
                <w:b/>
                <w:bCs/>
                <w:color w:val="auto"/>
              </w:rPr>
              <w:t>日9时00分</w:t>
            </w:r>
          </w:p>
        </w:tc>
      </w:tr>
      <w:tr w14:paraId="290A7B46">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37F0D4C">
            <w:pPr>
              <w:adjustRightInd w:val="0"/>
              <w:snapToGrid w:val="0"/>
              <w:spacing w:line="360" w:lineRule="auto"/>
              <w:jc w:val="center"/>
              <w:textAlignment w:val="baseline"/>
              <w:rPr>
                <w:rFonts w:hint="eastAsia" w:ascii="宋体" w:hAnsi="宋体"/>
                <w:color w:val="auto"/>
              </w:rPr>
            </w:pPr>
            <w:r>
              <w:rPr>
                <w:rFonts w:hint="eastAsia" w:ascii="宋体" w:hAnsi="宋体"/>
                <w:color w:val="auto"/>
              </w:rPr>
              <w:t>2.2.3</w:t>
            </w:r>
          </w:p>
        </w:tc>
        <w:tc>
          <w:tcPr>
            <w:tcW w:w="1727" w:type="dxa"/>
            <w:gridSpan w:val="2"/>
            <w:tcBorders>
              <w:top w:val="single" w:color="auto" w:sz="4" w:space="0"/>
              <w:left w:val="nil"/>
              <w:bottom w:val="single" w:color="auto" w:sz="4" w:space="0"/>
              <w:right w:val="single" w:color="auto" w:sz="4" w:space="0"/>
            </w:tcBorders>
            <w:vAlign w:val="center"/>
          </w:tcPr>
          <w:p w14:paraId="5C2DD0AF">
            <w:pPr>
              <w:adjustRightInd w:val="0"/>
              <w:snapToGrid w:val="0"/>
              <w:spacing w:line="360" w:lineRule="auto"/>
              <w:jc w:val="center"/>
              <w:rPr>
                <w:rFonts w:hint="eastAsia" w:ascii="宋体" w:hAnsi="宋体"/>
                <w:color w:val="auto"/>
              </w:rPr>
            </w:pPr>
            <w:r>
              <w:rPr>
                <w:rFonts w:hint="eastAsia" w:ascii="宋体" w:hAnsi="宋体"/>
                <w:color w:val="auto"/>
              </w:rPr>
              <w:t>供应商确认收到磋商文件澄清的时间</w:t>
            </w:r>
          </w:p>
        </w:tc>
        <w:tc>
          <w:tcPr>
            <w:tcW w:w="6135" w:type="dxa"/>
            <w:tcBorders>
              <w:top w:val="single" w:color="auto" w:sz="4" w:space="0"/>
              <w:left w:val="nil"/>
              <w:bottom w:val="single" w:color="auto" w:sz="4" w:space="0"/>
              <w:right w:val="single" w:color="auto" w:sz="4" w:space="0"/>
            </w:tcBorders>
            <w:vAlign w:val="center"/>
          </w:tcPr>
          <w:p w14:paraId="64ABACA1">
            <w:pPr>
              <w:adjustRightInd w:val="0"/>
              <w:snapToGrid w:val="0"/>
              <w:spacing w:line="360" w:lineRule="auto"/>
              <w:textAlignment w:val="baseline"/>
              <w:rPr>
                <w:rFonts w:hint="eastAsia" w:ascii="宋体" w:hAnsi="宋体"/>
                <w:color w:val="auto"/>
              </w:rPr>
            </w:pPr>
            <w:r>
              <w:rPr>
                <w:rFonts w:hint="eastAsia" w:ascii="宋体" w:hAnsi="宋体"/>
                <w:color w:val="auto"/>
              </w:rPr>
              <w:t>在河南省公共资源交易中心系统内发布后即视同供应商收到该澄清，请各供应商随时关注河南省公共资源交易中心系统</w:t>
            </w:r>
          </w:p>
        </w:tc>
      </w:tr>
      <w:tr w14:paraId="61723BA1">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227FDA8">
            <w:pPr>
              <w:adjustRightInd w:val="0"/>
              <w:snapToGrid w:val="0"/>
              <w:spacing w:line="360" w:lineRule="auto"/>
              <w:jc w:val="center"/>
              <w:textAlignment w:val="baseline"/>
              <w:rPr>
                <w:rFonts w:hint="eastAsia" w:ascii="宋体" w:hAnsi="宋体"/>
                <w:color w:val="auto"/>
              </w:rPr>
            </w:pPr>
            <w:r>
              <w:rPr>
                <w:rFonts w:hint="eastAsia" w:ascii="宋体" w:hAnsi="宋体"/>
                <w:color w:val="auto"/>
              </w:rPr>
              <w:t>2.3.2</w:t>
            </w:r>
          </w:p>
        </w:tc>
        <w:tc>
          <w:tcPr>
            <w:tcW w:w="1727" w:type="dxa"/>
            <w:gridSpan w:val="2"/>
            <w:tcBorders>
              <w:top w:val="single" w:color="auto" w:sz="4" w:space="0"/>
              <w:left w:val="nil"/>
              <w:bottom w:val="single" w:color="auto" w:sz="4" w:space="0"/>
              <w:right w:val="single" w:color="auto" w:sz="4" w:space="0"/>
            </w:tcBorders>
            <w:vAlign w:val="center"/>
          </w:tcPr>
          <w:p w14:paraId="233AC59D">
            <w:pPr>
              <w:adjustRightInd w:val="0"/>
              <w:snapToGrid w:val="0"/>
              <w:spacing w:line="360" w:lineRule="auto"/>
              <w:jc w:val="center"/>
              <w:rPr>
                <w:rFonts w:hint="eastAsia" w:ascii="宋体" w:hAnsi="宋体"/>
                <w:color w:val="auto"/>
              </w:rPr>
            </w:pPr>
            <w:r>
              <w:rPr>
                <w:rFonts w:hint="eastAsia" w:ascii="宋体" w:hAnsi="宋体"/>
                <w:color w:val="auto"/>
              </w:rPr>
              <w:t>供应商确认收到磋商文件修改的时间</w:t>
            </w:r>
          </w:p>
        </w:tc>
        <w:tc>
          <w:tcPr>
            <w:tcW w:w="6135" w:type="dxa"/>
            <w:tcBorders>
              <w:top w:val="single" w:color="auto" w:sz="4" w:space="0"/>
              <w:left w:val="nil"/>
              <w:bottom w:val="single" w:color="auto" w:sz="4" w:space="0"/>
              <w:right w:val="single" w:color="auto" w:sz="4" w:space="0"/>
            </w:tcBorders>
            <w:vAlign w:val="center"/>
          </w:tcPr>
          <w:p w14:paraId="20BBD8A0">
            <w:pPr>
              <w:adjustRightInd w:val="0"/>
              <w:snapToGrid w:val="0"/>
              <w:spacing w:line="360" w:lineRule="auto"/>
              <w:textAlignment w:val="baseline"/>
              <w:rPr>
                <w:rFonts w:hint="eastAsia" w:ascii="宋体" w:hAnsi="宋体"/>
                <w:color w:val="auto"/>
              </w:rPr>
            </w:pPr>
            <w:r>
              <w:rPr>
                <w:rFonts w:hint="eastAsia" w:ascii="宋体" w:hAnsi="宋体"/>
                <w:color w:val="auto"/>
              </w:rPr>
              <w:t>在河南省公共资源交易中心系统内发布后即视同供应商收到该修改，请各供应商随时关注河南省公共资源交易中心系统</w:t>
            </w:r>
          </w:p>
        </w:tc>
      </w:tr>
      <w:tr w14:paraId="28A02DC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76667098">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3.1.1</w:t>
            </w:r>
          </w:p>
        </w:tc>
        <w:tc>
          <w:tcPr>
            <w:tcW w:w="1727" w:type="dxa"/>
            <w:gridSpan w:val="2"/>
            <w:tcBorders>
              <w:top w:val="single" w:color="auto" w:sz="4" w:space="0"/>
              <w:left w:val="nil"/>
              <w:bottom w:val="single" w:color="auto" w:sz="4" w:space="0"/>
              <w:right w:val="single" w:color="auto" w:sz="4" w:space="0"/>
            </w:tcBorders>
            <w:vAlign w:val="center"/>
          </w:tcPr>
          <w:p w14:paraId="52FA60A4">
            <w:pPr>
              <w:adjustRightInd w:val="0"/>
              <w:snapToGrid w:val="0"/>
              <w:spacing w:line="360" w:lineRule="auto"/>
              <w:jc w:val="center"/>
              <w:rPr>
                <w:rFonts w:hint="eastAsia" w:ascii="宋体" w:hAnsi="宋体"/>
                <w:color w:val="auto"/>
              </w:rPr>
            </w:pPr>
            <w:r>
              <w:rPr>
                <w:rFonts w:hint="eastAsia" w:ascii="宋体" w:hAnsi="宋体"/>
                <w:color w:val="auto"/>
              </w:rPr>
              <w:t>构成响应文件的其他材料</w:t>
            </w:r>
          </w:p>
        </w:tc>
        <w:tc>
          <w:tcPr>
            <w:tcW w:w="6135" w:type="dxa"/>
            <w:tcBorders>
              <w:top w:val="single" w:color="auto" w:sz="4" w:space="0"/>
              <w:left w:val="nil"/>
              <w:bottom w:val="single" w:color="auto" w:sz="4" w:space="0"/>
              <w:right w:val="single" w:color="auto" w:sz="4" w:space="0"/>
            </w:tcBorders>
            <w:vAlign w:val="center"/>
          </w:tcPr>
          <w:p w14:paraId="6A5A634B">
            <w:pPr>
              <w:adjustRightInd w:val="0"/>
              <w:snapToGrid w:val="0"/>
              <w:spacing w:line="360" w:lineRule="auto"/>
              <w:textAlignment w:val="baseline"/>
              <w:rPr>
                <w:rFonts w:hint="eastAsia" w:ascii="宋体" w:hAnsi="宋体"/>
                <w:color w:val="auto"/>
              </w:rPr>
            </w:pPr>
            <w:r>
              <w:rPr>
                <w:rFonts w:hint="eastAsia" w:ascii="宋体" w:hAnsi="宋体"/>
                <w:color w:val="auto"/>
              </w:rPr>
              <w:t>供应商认为需要提交的其他证明材料</w:t>
            </w:r>
          </w:p>
        </w:tc>
      </w:tr>
      <w:tr w14:paraId="4DCDB4CC">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4091CF6">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3.2</w:t>
            </w:r>
          </w:p>
        </w:tc>
        <w:tc>
          <w:tcPr>
            <w:tcW w:w="1727" w:type="dxa"/>
            <w:gridSpan w:val="2"/>
            <w:tcBorders>
              <w:top w:val="single" w:color="auto" w:sz="4" w:space="0"/>
              <w:left w:val="nil"/>
              <w:bottom w:val="single" w:color="auto" w:sz="4" w:space="0"/>
              <w:right w:val="single" w:color="auto" w:sz="4" w:space="0"/>
            </w:tcBorders>
            <w:vAlign w:val="center"/>
          </w:tcPr>
          <w:p w14:paraId="0CA8D1E7">
            <w:pPr>
              <w:adjustRightInd w:val="0"/>
              <w:snapToGrid w:val="0"/>
              <w:spacing w:line="360" w:lineRule="auto"/>
              <w:jc w:val="center"/>
              <w:textAlignment w:val="center"/>
              <w:rPr>
                <w:rFonts w:hint="eastAsia" w:ascii="宋体" w:hAnsi="宋体"/>
                <w:color w:val="auto"/>
              </w:rPr>
            </w:pPr>
            <w:r>
              <w:rPr>
                <w:rFonts w:hint="eastAsia" w:ascii="宋体" w:hAnsi="宋体"/>
                <w:color w:val="auto"/>
              </w:rPr>
              <w:t>磋商报价</w:t>
            </w:r>
          </w:p>
        </w:tc>
        <w:tc>
          <w:tcPr>
            <w:tcW w:w="6135" w:type="dxa"/>
            <w:tcBorders>
              <w:top w:val="single" w:color="auto" w:sz="4" w:space="0"/>
              <w:left w:val="nil"/>
              <w:bottom w:val="single" w:color="auto" w:sz="4" w:space="0"/>
              <w:right w:val="single" w:color="auto" w:sz="4" w:space="0"/>
            </w:tcBorders>
            <w:vAlign w:val="center"/>
          </w:tcPr>
          <w:p w14:paraId="438937CD">
            <w:pPr>
              <w:adjustRightInd w:val="0"/>
              <w:snapToGrid w:val="0"/>
              <w:spacing w:line="360" w:lineRule="auto"/>
              <w:jc w:val="left"/>
              <w:textAlignment w:val="center"/>
              <w:rPr>
                <w:rFonts w:hint="eastAsia" w:ascii="宋体" w:hAnsi="宋体"/>
                <w:color w:val="auto"/>
              </w:rPr>
            </w:pPr>
            <w:r>
              <w:rPr>
                <w:rFonts w:hint="eastAsia" w:ascii="宋体" w:hAnsi="宋体"/>
                <w:color w:val="auto"/>
              </w:rPr>
              <w:t>响应报价：随同响应文件递交的响应报价为第一轮报价，供应商通过符合性审查后，将进行第二轮报价（采购人可根据报价情况进行多轮磋商并要求供应商进行最后报价）。供应商的后一次报价不得高于前一次报价（磋商过程中采购需求发生实质性变动的除外），否则磋商申请将被拒绝。</w:t>
            </w:r>
          </w:p>
          <w:p w14:paraId="022E85BF">
            <w:pPr>
              <w:adjustRightInd w:val="0"/>
              <w:snapToGrid w:val="0"/>
              <w:spacing w:line="360" w:lineRule="auto"/>
              <w:jc w:val="left"/>
              <w:textAlignment w:val="center"/>
              <w:rPr>
                <w:rFonts w:hint="eastAsia" w:ascii="宋体" w:hAnsi="宋体"/>
                <w:color w:val="auto"/>
              </w:rPr>
            </w:pPr>
            <w:r>
              <w:rPr>
                <w:rFonts w:hint="eastAsia" w:ascii="宋体" w:hAnsi="宋体"/>
                <w:color w:val="auto"/>
              </w:rPr>
              <w:t>本次磋商报价原则上进行两轮报价。</w:t>
            </w:r>
          </w:p>
        </w:tc>
      </w:tr>
      <w:tr w14:paraId="1CB41EF4">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79DC9BB">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3.3.1</w:t>
            </w:r>
          </w:p>
        </w:tc>
        <w:tc>
          <w:tcPr>
            <w:tcW w:w="1727" w:type="dxa"/>
            <w:gridSpan w:val="2"/>
            <w:tcBorders>
              <w:top w:val="single" w:color="auto" w:sz="4" w:space="0"/>
              <w:left w:val="nil"/>
              <w:bottom w:val="single" w:color="auto" w:sz="4" w:space="0"/>
              <w:right w:val="single" w:color="auto" w:sz="4" w:space="0"/>
            </w:tcBorders>
            <w:vAlign w:val="center"/>
          </w:tcPr>
          <w:p w14:paraId="2B50F0B0">
            <w:pPr>
              <w:adjustRightInd w:val="0"/>
              <w:snapToGrid w:val="0"/>
              <w:spacing w:line="360" w:lineRule="auto"/>
              <w:jc w:val="center"/>
              <w:textAlignment w:val="baseline"/>
              <w:rPr>
                <w:rFonts w:hint="eastAsia" w:ascii="宋体" w:hAnsi="宋体"/>
                <w:color w:val="auto"/>
              </w:rPr>
            </w:pPr>
            <w:r>
              <w:rPr>
                <w:rFonts w:hint="eastAsia" w:ascii="宋体" w:hAnsi="宋体"/>
                <w:color w:val="auto"/>
              </w:rPr>
              <w:t>磋商有效期</w:t>
            </w:r>
          </w:p>
        </w:tc>
        <w:tc>
          <w:tcPr>
            <w:tcW w:w="6135" w:type="dxa"/>
            <w:tcBorders>
              <w:top w:val="single" w:color="auto" w:sz="4" w:space="0"/>
              <w:left w:val="nil"/>
              <w:bottom w:val="single" w:color="auto" w:sz="4" w:space="0"/>
              <w:right w:val="single" w:color="auto" w:sz="4" w:space="0"/>
            </w:tcBorders>
            <w:vAlign w:val="center"/>
          </w:tcPr>
          <w:p w14:paraId="5B2E5D0A">
            <w:pPr>
              <w:adjustRightInd w:val="0"/>
              <w:snapToGrid w:val="0"/>
              <w:spacing w:line="360" w:lineRule="auto"/>
              <w:textAlignment w:val="baseline"/>
              <w:rPr>
                <w:rFonts w:hint="eastAsia" w:ascii="宋体" w:hAnsi="宋体"/>
                <w:color w:val="auto"/>
              </w:rPr>
            </w:pPr>
            <w:r>
              <w:rPr>
                <w:rFonts w:hint="eastAsia" w:ascii="宋体" w:hAnsi="宋体"/>
                <w:color w:val="auto"/>
              </w:rPr>
              <w:t>递交响应文件截止时间起60日历天</w:t>
            </w:r>
          </w:p>
        </w:tc>
      </w:tr>
      <w:tr w14:paraId="355B9824">
        <w:tblPrEx>
          <w:tblCellMar>
            <w:top w:w="0" w:type="dxa"/>
            <w:left w:w="108" w:type="dxa"/>
            <w:bottom w:w="0" w:type="dxa"/>
            <w:right w:w="108" w:type="dxa"/>
          </w:tblCellMar>
        </w:tblPrEx>
        <w:trPr>
          <w:trHeight w:val="90"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51433B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3.4</w:t>
            </w:r>
          </w:p>
        </w:tc>
        <w:tc>
          <w:tcPr>
            <w:tcW w:w="1727" w:type="dxa"/>
            <w:gridSpan w:val="2"/>
            <w:tcBorders>
              <w:top w:val="single" w:color="auto" w:sz="4" w:space="0"/>
              <w:left w:val="nil"/>
              <w:bottom w:val="single" w:color="auto" w:sz="4" w:space="0"/>
              <w:right w:val="single" w:color="auto" w:sz="4" w:space="0"/>
            </w:tcBorders>
            <w:vAlign w:val="center"/>
          </w:tcPr>
          <w:p w14:paraId="3310820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磋商保证金</w:t>
            </w:r>
          </w:p>
        </w:tc>
        <w:tc>
          <w:tcPr>
            <w:tcW w:w="6135" w:type="dxa"/>
            <w:tcBorders>
              <w:top w:val="single" w:color="auto" w:sz="4" w:space="0"/>
              <w:left w:val="nil"/>
              <w:bottom w:val="single" w:color="auto" w:sz="4" w:space="0"/>
              <w:right w:val="single" w:color="auto" w:sz="4" w:space="0"/>
            </w:tcBorders>
            <w:vAlign w:val="center"/>
          </w:tcPr>
          <w:p w14:paraId="1B58B670">
            <w:pPr>
              <w:adjustRightInd w:val="0"/>
              <w:snapToGrid w:val="0"/>
              <w:spacing w:line="360" w:lineRule="auto"/>
              <w:rPr>
                <w:rFonts w:hint="eastAsia" w:ascii="宋体" w:hAnsi="宋体"/>
                <w:color w:val="auto"/>
              </w:rPr>
            </w:pPr>
            <w:r>
              <w:rPr>
                <w:rFonts w:hint="eastAsia" w:ascii="宋体" w:hAnsi="宋体"/>
                <w:color w:val="auto"/>
              </w:rPr>
              <w:t>不收取</w:t>
            </w:r>
          </w:p>
        </w:tc>
      </w:tr>
      <w:tr w14:paraId="226D5A07">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5E8726D">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3.6</w:t>
            </w:r>
          </w:p>
        </w:tc>
        <w:tc>
          <w:tcPr>
            <w:tcW w:w="1727" w:type="dxa"/>
            <w:gridSpan w:val="2"/>
            <w:tcBorders>
              <w:top w:val="single" w:color="auto" w:sz="4" w:space="0"/>
              <w:left w:val="nil"/>
              <w:bottom w:val="single" w:color="auto" w:sz="4" w:space="0"/>
              <w:right w:val="single" w:color="auto" w:sz="4" w:space="0"/>
            </w:tcBorders>
            <w:vAlign w:val="center"/>
          </w:tcPr>
          <w:p w14:paraId="117A6ECE">
            <w:pPr>
              <w:adjustRightInd w:val="0"/>
              <w:snapToGrid w:val="0"/>
              <w:spacing w:line="360" w:lineRule="auto"/>
              <w:jc w:val="center"/>
              <w:rPr>
                <w:rFonts w:hint="eastAsia" w:ascii="宋体" w:hAnsi="宋体"/>
                <w:color w:val="auto"/>
              </w:rPr>
            </w:pPr>
            <w:r>
              <w:rPr>
                <w:rFonts w:hint="eastAsia" w:ascii="宋体" w:hAnsi="宋体"/>
                <w:color w:val="auto"/>
              </w:rPr>
              <w:t>是否允许递交备选磋商方案</w:t>
            </w:r>
          </w:p>
        </w:tc>
        <w:tc>
          <w:tcPr>
            <w:tcW w:w="6135" w:type="dxa"/>
            <w:tcBorders>
              <w:top w:val="single" w:color="auto" w:sz="4" w:space="0"/>
              <w:left w:val="nil"/>
              <w:bottom w:val="single" w:color="auto" w:sz="4" w:space="0"/>
              <w:right w:val="single" w:color="auto" w:sz="4" w:space="0"/>
            </w:tcBorders>
            <w:vAlign w:val="center"/>
          </w:tcPr>
          <w:p w14:paraId="20F998F3">
            <w:pPr>
              <w:pStyle w:val="17"/>
              <w:topLinePunct/>
              <w:adjustRightInd w:val="0"/>
              <w:snapToGrid w:val="0"/>
              <w:spacing w:line="360" w:lineRule="auto"/>
              <w:textAlignment w:val="baseline"/>
              <w:rPr>
                <w:rFonts w:hint="eastAsia" w:ascii="宋体" w:hAnsi="宋体"/>
                <w:color w:val="auto"/>
                <w:kern w:val="2"/>
                <w:sz w:val="21"/>
                <w:szCs w:val="21"/>
              </w:rPr>
            </w:pPr>
            <w:r>
              <w:rPr>
                <w:rFonts w:hint="eastAsia" w:ascii="宋体" w:hAnsi="宋体"/>
                <w:color w:val="auto"/>
                <w:kern w:val="2"/>
                <w:sz w:val="21"/>
                <w:szCs w:val="21"/>
              </w:rPr>
              <w:t>不允许</w:t>
            </w:r>
          </w:p>
        </w:tc>
      </w:tr>
      <w:tr w14:paraId="7080FA58">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823776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3.7.3</w:t>
            </w:r>
          </w:p>
        </w:tc>
        <w:tc>
          <w:tcPr>
            <w:tcW w:w="1727" w:type="dxa"/>
            <w:gridSpan w:val="2"/>
            <w:tcBorders>
              <w:top w:val="single" w:color="auto" w:sz="4" w:space="0"/>
              <w:left w:val="nil"/>
              <w:bottom w:val="single" w:color="auto" w:sz="4" w:space="0"/>
              <w:right w:val="single" w:color="auto" w:sz="4" w:space="0"/>
            </w:tcBorders>
            <w:vAlign w:val="center"/>
          </w:tcPr>
          <w:p w14:paraId="63A8F22D">
            <w:pPr>
              <w:adjustRightInd w:val="0"/>
              <w:snapToGrid w:val="0"/>
              <w:spacing w:line="360" w:lineRule="auto"/>
              <w:jc w:val="center"/>
              <w:textAlignment w:val="baseline"/>
              <w:rPr>
                <w:rFonts w:hint="eastAsia" w:ascii="宋体" w:hAnsi="宋体"/>
                <w:color w:val="auto"/>
              </w:rPr>
            </w:pPr>
            <w:r>
              <w:rPr>
                <w:rFonts w:hint="eastAsia" w:ascii="宋体" w:hAnsi="宋体"/>
                <w:color w:val="auto"/>
              </w:rPr>
              <w:t>签字盖章要求</w:t>
            </w:r>
          </w:p>
        </w:tc>
        <w:tc>
          <w:tcPr>
            <w:tcW w:w="6135" w:type="dxa"/>
            <w:tcBorders>
              <w:top w:val="single" w:color="auto" w:sz="4" w:space="0"/>
              <w:left w:val="nil"/>
              <w:bottom w:val="single" w:color="auto" w:sz="4" w:space="0"/>
              <w:right w:val="single" w:color="auto" w:sz="4" w:space="0"/>
            </w:tcBorders>
            <w:vAlign w:val="center"/>
          </w:tcPr>
          <w:p w14:paraId="635F8BED">
            <w:pPr>
              <w:adjustRightInd w:val="0"/>
              <w:snapToGrid w:val="0"/>
              <w:spacing w:line="360" w:lineRule="auto"/>
              <w:textAlignment w:val="baseline"/>
              <w:rPr>
                <w:rFonts w:hint="eastAsia" w:ascii="宋体" w:hAnsi="宋体"/>
                <w:color w:val="auto"/>
              </w:rPr>
            </w:pPr>
            <w:r>
              <w:rPr>
                <w:rFonts w:hint="eastAsia" w:ascii="宋体" w:hAnsi="宋体"/>
                <w:color w:val="auto"/>
              </w:rPr>
              <w:t>（1）所有要求供应商加盖公章的地方都应用供应商单位的CA签章。</w:t>
            </w:r>
          </w:p>
          <w:p w14:paraId="6387EC4C">
            <w:pPr>
              <w:adjustRightInd w:val="0"/>
              <w:snapToGrid w:val="0"/>
              <w:spacing w:line="360" w:lineRule="auto"/>
              <w:textAlignment w:val="baseline"/>
              <w:rPr>
                <w:rFonts w:hint="eastAsia" w:ascii="宋体" w:hAnsi="宋体"/>
                <w:color w:val="auto"/>
              </w:rPr>
            </w:pPr>
            <w:r>
              <w:rPr>
                <w:rFonts w:hint="eastAsia" w:ascii="宋体" w:hAnsi="宋体"/>
                <w:color w:val="auto"/>
              </w:rPr>
              <w:t>（2）所有要求法定代表人签字的地方都应用法定代表人的CA签章。若有委托代理人，且委托代理人没有CA签章，则响应文件需上传有手写签名的扫描件。</w:t>
            </w:r>
          </w:p>
        </w:tc>
      </w:tr>
      <w:tr w14:paraId="5D675303">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1F1100E6">
            <w:pPr>
              <w:adjustRightInd w:val="0"/>
              <w:snapToGrid w:val="0"/>
              <w:spacing w:line="360" w:lineRule="auto"/>
              <w:jc w:val="center"/>
              <w:textAlignment w:val="baseline"/>
              <w:rPr>
                <w:rFonts w:hint="eastAsia" w:ascii="宋体" w:hAnsi="宋体"/>
                <w:color w:val="auto"/>
              </w:rPr>
            </w:pPr>
            <w:r>
              <w:rPr>
                <w:rFonts w:hint="eastAsia" w:ascii="宋体" w:hAnsi="宋体"/>
                <w:color w:val="auto"/>
              </w:rPr>
              <w:t>3.7.4</w:t>
            </w:r>
          </w:p>
        </w:tc>
        <w:tc>
          <w:tcPr>
            <w:tcW w:w="1727" w:type="dxa"/>
            <w:gridSpan w:val="2"/>
            <w:tcBorders>
              <w:top w:val="single" w:color="auto" w:sz="4" w:space="0"/>
              <w:left w:val="nil"/>
              <w:bottom w:val="single" w:color="auto" w:sz="4" w:space="0"/>
              <w:right w:val="single" w:color="auto" w:sz="4" w:space="0"/>
            </w:tcBorders>
            <w:vAlign w:val="center"/>
          </w:tcPr>
          <w:p w14:paraId="6A5C45D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响应文件份数</w:t>
            </w:r>
          </w:p>
        </w:tc>
        <w:tc>
          <w:tcPr>
            <w:tcW w:w="6135" w:type="dxa"/>
            <w:tcBorders>
              <w:top w:val="single" w:color="auto" w:sz="4" w:space="0"/>
              <w:left w:val="nil"/>
              <w:bottom w:val="single" w:color="auto" w:sz="4" w:space="0"/>
              <w:right w:val="single" w:color="auto" w:sz="4" w:space="0"/>
            </w:tcBorders>
            <w:vAlign w:val="center"/>
          </w:tcPr>
          <w:p w14:paraId="70F0B547">
            <w:pPr>
              <w:adjustRightInd w:val="0"/>
              <w:snapToGrid w:val="0"/>
              <w:spacing w:line="360" w:lineRule="auto"/>
              <w:rPr>
                <w:rFonts w:hint="eastAsia" w:ascii="宋体" w:hAnsi="宋体"/>
                <w:b/>
                <w:color w:val="auto"/>
              </w:rPr>
            </w:pPr>
            <w:r>
              <w:rPr>
                <w:rFonts w:hint="eastAsia" w:ascii="宋体" w:hAnsi="宋体"/>
                <w:b/>
                <w:color w:val="auto"/>
              </w:rPr>
              <w:t>网上上传的电子响应文件应使用数字证书认证并加密的电子响应文件壹份（*.hntf 格式，在会员系统指定位置上传）。</w:t>
            </w:r>
          </w:p>
        </w:tc>
      </w:tr>
      <w:tr w14:paraId="4F56B6D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FE87B6C">
            <w:pPr>
              <w:adjustRightInd w:val="0"/>
              <w:snapToGrid w:val="0"/>
              <w:spacing w:line="360" w:lineRule="auto"/>
              <w:jc w:val="center"/>
              <w:textAlignment w:val="baseline"/>
              <w:rPr>
                <w:rFonts w:ascii="宋体" w:hAnsi="宋体"/>
                <w:color w:val="auto"/>
              </w:rPr>
            </w:pPr>
            <w:r>
              <w:rPr>
                <w:rFonts w:hint="eastAsia" w:ascii="宋体" w:hAnsi="宋体"/>
                <w:color w:val="auto"/>
              </w:rPr>
              <w:t>4.2.1</w:t>
            </w:r>
          </w:p>
        </w:tc>
        <w:tc>
          <w:tcPr>
            <w:tcW w:w="1727" w:type="dxa"/>
            <w:gridSpan w:val="2"/>
            <w:tcBorders>
              <w:top w:val="single" w:color="auto" w:sz="4" w:space="0"/>
              <w:left w:val="nil"/>
              <w:bottom w:val="single" w:color="auto" w:sz="4" w:space="0"/>
              <w:right w:val="single" w:color="auto" w:sz="4" w:space="0"/>
            </w:tcBorders>
            <w:vAlign w:val="center"/>
          </w:tcPr>
          <w:p w14:paraId="74D3B633">
            <w:pPr>
              <w:adjustRightInd w:val="0"/>
              <w:snapToGrid w:val="0"/>
              <w:spacing w:line="360" w:lineRule="auto"/>
              <w:jc w:val="center"/>
              <w:textAlignment w:val="baseline"/>
              <w:rPr>
                <w:rFonts w:hint="eastAsia" w:ascii="宋体" w:hAnsi="宋体"/>
                <w:color w:val="auto"/>
              </w:rPr>
            </w:pPr>
            <w:r>
              <w:rPr>
                <w:rFonts w:hint="eastAsia" w:ascii="宋体" w:hAnsi="宋体" w:cs="宋体"/>
                <w:color w:val="auto"/>
              </w:rPr>
              <w:t>响应文件的递交</w:t>
            </w:r>
          </w:p>
        </w:tc>
        <w:tc>
          <w:tcPr>
            <w:tcW w:w="6135" w:type="dxa"/>
            <w:tcBorders>
              <w:top w:val="single" w:color="auto" w:sz="4" w:space="0"/>
              <w:left w:val="nil"/>
              <w:bottom w:val="single" w:color="auto" w:sz="4" w:space="0"/>
              <w:right w:val="single" w:color="auto" w:sz="4" w:space="0"/>
            </w:tcBorders>
            <w:vAlign w:val="center"/>
          </w:tcPr>
          <w:p w14:paraId="7901A5CE">
            <w:pPr>
              <w:adjustRightInd w:val="0"/>
              <w:snapToGrid w:val="0"/>
              <w:spacing w:line="360" w:lineRule="auto"/>
              <w:rPr>
                <w:rFonts w:hint="eastAsia" w:ascii="宋体" w:hAnsi="宋体"/>
                <w:bCs/>
                <w:color w:val="auto"/>
              </w:rPr>
            </w:pPr>
            <w:r>
              <w:rPr>
                <w:rFonts w:hint="eastAsia" w:ascii="宋体" w:hAnsi="宋体"/>
                <w:bCs/>
                <w:color w:val="auto"/>
              </w:rPr>
              <w:t>(1)各供应商应在投标截止时间前上传加密的电子响应文件（*.hntf）到会员系统的指定位置。上传时必须得到电脑“上传成功”的确认回复。请供应商在上传时认真检查上传响应文件是否完整、正确。</w:t>
            </w:r>
          </w:p>
          <w:p w14:paraId="4F42C399">
            <w:pPr>
              <w:adjustRightInd w:val="0"/>
              <w:snapToGrid w:val="0"/>
              <w:spacing w:line="360" w:lineRule="auto"/>
              <w:rPr>
                <w:rFonts w:hint="eastAsia" w:ascii="宋体" w:hAnsi="宋体"/>
                <w:b/>
                <w:color w:val="auto"/>
              </w:rPr>
            </w:pPr>
            <w:r>
              <w:rPr>
                <w:rFonts w:hint="eastAsia" w:ascii="宋体" w:hAnsi="宋体"/>
                <w:bCs/>
                <w:color w:val="auto"/>
              </w:rPr>
              <w:t>(2)供应商因交易中心投标系统问题无法上传电子响应文件时，请在工作时间与河南省公共资源交易中心联系，联系电话：0371-86095925。</w:t>
            </w:r>
          </w:p>
        </w:tc>
      </w:tr>
      <w:tr w14:paraId="541B5B29">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4CB17CBF">
            <w:pPr>
              <w:adjustRightInd w:val="0"/>
              <w:snapToGrid w:val="0"/>
              <w:spacing w:line="360" w:lineRule="auto"/>
              <w:jc w:val="center"/>
              <w:textAlignment w:val="baseline"/>
              <w:rPr>
                <w:rFonts w:hint="eastAsia" w:ascii="宋体" w:hAnsi="宋体"/>
                <w:color w:val="auto"/>
              </w:rPr>
            </w:pPr>
            <w:r>
              <w:rPr>
                <w:rFonts w:hint="eastAsia" w:ascii="宋体" w:hAnsi="宋体"/>
                <w:color w:val="auto"/>
              </w:rPr>
              <w:t>4.2.2</w:t>
            </w:r>
          </w:p>
        </w:tc>
        <w:tc>
          <w:tcPr>
            <w:tcW w:w="1727" w:type="dxa"/>
            <w:gridSpan w:val="2"/>
            <w:tcBorders>
              <w:top w:val="single" w:color="auto" w:sz="4" w:space="0"/>
              <w:left w:val="nil"/>
              <w:bottom w:val="single" w:color="auto" w:sz="4" w:space="0"/>
              <w:right w:val="single" w:color="auto" w:sz="4" w:space="0"/>
            </w:tcBorders>
            <w:vAlign w:val="center"/>
          </w:tcPr>
          <w:p w14:paraId="500B8407">
            <w:pPr>
              <w:adjustRightInd w:val="0"/>
              <w:snapToGrid w:val="0"/>
              <w:spacing w:line="360" w:lineRule="auto"/>
              <w:jc w:val="center"/>
              <w:textAlignment w:val="baseline"/>
              <w:rPr>
                <w:rFonts w:hint="eastAsia" w:ascii="宋体" w:hAnsi="宋体"/>
                <w:color w:val="auto"/>
              </w:rPr>
            </w:pPr>
            <w:r>
              <w:rPr>
                <w:rFonts w:hint="eastAsia" w:ascii="宋体" w:hAnsi="宋体"/>
                <w:color w:val="auto"/>
              </w:rPr>
              <w:t>提交响应文件地点</w:t>
            </w:r>
          </w:p>
        </w:tc>
        <w:tc>
          <w:tcPr>
            <w:tcW w:w="6135" w:type="dxa"/>
            <w:tcBorders>
              <w:top w:val="single" w:color="auto" w:sz="4" w:space="0"/>
              <w:left w:val="nil"/>
              <w:bottom w:val="single" w:color="auto" w:sz="4" w:space="0"/>
              <w:right w:val="single" w:color="auto" w:sz="4" w:space="0"/>
            </w:tcBorders>
            <w:vAlign w:val="center"/>
          </w:tcPr>
          <w:p w14:paraId="64D4D5CF">
            <w:pPr>
              <w:adjustRightInd w:val="0"/>
              <w:snapToGrid w:val="0"/>
              <w:spacing w:line="360" w:lineRule="auto"/>
              <w:jc w:val="left"/>
              <w:rPr>
                <w:rFonts w:hint="eastAsia" w:ascii="宋体" w:hAnsi="宋体"/>
                <w:color w:val="auto"/>
              </w:rPr>
            </w:pPr>
            <w:r>
              <w:rPr>
                <w:rFonts w:hint="eastAsia" w:ascii="宋体" w:hAnsi="宋体"/>
                <w:color w:val="auto"/>
              </w:rPr>
              <w:t>河南省公共资源交易中心交易系统平台。各供应商应在响应文件提交截止时间前，通过河南省公共资源交易中心交易系统上传加密的电子响应文件。请各供应商在上传前务必认真检查上传电子响应文件是否完整、正确，加密电子响应文件逾期上传，采购人不予受理。</w:t>
            </w:r>
          </w:p>
        </w:tc>
      </w:tr>
      <w:tr w14:paraId="17082871">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3885227D">
            <w:pPr>
              <w:adjustRightInd w:val="0"/>
              <w:snapToGrid w:val="0"/>
              <w:spacing w:line="360" w:lineRule="auto"/>
              <w:jc w:val="center"/>
              <w:textAlignment w:val="baseline"/>
              <w:rPr>
                <w:rFonts w:hint="eastAsia" w:ascii="宋体" w:hAnsi="宋体"/>
                <w:color w:val="auto"/>
              </w:rPr>
            </w:pPr>
            <w:r>
              <w:rPr>
                <w:rFonts w:hint="eastAsia" w:ascii="宋体" w:hAnsi="宋体"/>
                <w:color w:val="auto"/>
              </w:rPr>
              <w:t>4.2.4</w:t>
            </w:r>
          </w:p>
        </w:tc>
        <w:tc>
          <w:tcPr>
            <w:tcW w:w="1727" w:type="dxa"/>
            <w:gridSpan w:val="2"/>
            <w:tcBorders>
              <w:top w:val="single" w:color="auto" w:sz="4" w:space="0"/>
              <w:left w:val="nil"/>
              <w:bottom w:val="single" w:color="auto" w:sz="4" w:space="0"/>
              <w:right w:val="single" w:color="auto" w:sz="4" w:space="0"/>
            </w:tcBorders>
            <w:vAlign w:val="center"/>
          </w:tcPr>
          <w:p w14:paraId="6688F32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是否退还响应文件</w:t>
            </w:r>
          </w:p>
        </w:tc>
        <w:tc>
          <w:tcPr>
            <w:tcW w:w="6135" w:type="dxa"/>
            <w:tcBorders>
              <w:top w:val="single" w:color="auto" w:sz="4" w:space="0"/>
              <w:left w:val="nil"/>
              <w:bottom w:val="single" w:color="auto" w:sz="4" w:space="0"/>
              <w:right w:val="single" w:color="auto" w:sz="4" w:space="0"/>
            </w:tcBorders>
            <w:vAlign w:val="center"/>
          </w:tcPr>
          <w:p w14:paraId="2EE4B533">
            <w:pPr>
              <w:pStyle w:val="17"/>
              <w:topLinePunct/>
              <w:adjustRightInd w:val="0"/>
              <w:snapToGrid w:val="0"/>
              <w:spacing w:line="360" w:lineRule="auto"/>
              <w:textAlignment w:val="baseline"/>
              <w:rPr>
                <w:rFonts w:hint="eastAsia" w:ascii="宋体" w:hAnsi="宋体"/>
                <w:color w:val="auto"/>
                <w:kern w:val="2"/>
                <w:sz w:val="21"/>
                <w:szCs w:val="21"/>
              </w:rPr>
            </w:pPr>
            <w:r>
              <w:rPr>
                <w:rFonts w:hint="eastAsia" w:ascii="宋体" w:hAnsi="宋体"/>
                <w:color w:val="auto"/>
                <w:kern w:val="2"/>
                <w:sz w:val="21"/>
                <w:szCs w:val="21"/>
              </w:rPr>
              <w:t>否</w:t>
            </w:r>
          </w:p>
        </w:tc>
      </w:tr>
      <w:tr w14:paraId="242FADBC">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2F043265">
            <w:pPr>
              <w:adjustRightInd w:val="0"/>
              <w:snapToGrid w:val="0"/>
              <w:spacing w:line="360" w:lineRule="auto"/>
              <w:jc w:val="center"/>
              <w:textAlignment w:val="baseline"/>
              <w:rPr>
                <w:rFonts w:hint="eastAsia" w:ascii="宋体" w:hAnsi="宋体"/>
                <w:color w:val="auto"/>
              </w:rPr>
            </w:pPr>
            <w:r>
              <w:rPr>
                <w:rFonts w:hint="eastAsia" w:ascii="宋体" w:hAnsi="宋体"/>
                <w:color w:val="auto"/>
              </w:rPr>
              <w:t>5.1</w:t>
            </w:r>
          </w:p>
        </w:tc>
        <w:tc>
          <w:tcPr>
            <w:tcW w:w="1727" w:type="dxa"/>
            <w:gridSpan w:val="2"/>
            <w:tcBorders>
              <w:top w:val="single" w:color="auto" w:sz="4" w:space="0"/>
              <w:left w:val="nil"/>
              <w:bottom w:val="single" w:color="auto" w:sz="4" w:space="0"/>
              <w:right w:val="single" w:color="auto" w:sz="4" w:space="0"/>
            </w:tcBorders>
            <w:vAlign w:val="center"/>
          </w:tcPr>
          <w:p w14:paraId="4F0E2123">
            <w:pPr>
              <w:adjustRightInd w:val="0"/>
              <w:snapToGrid w:val="0"/>
              <w:spacing w:line="360" w:lineRule="auto"/>
              <w:jc w:val="center"/>
              <w:textAlignment w:val="baseline"/>
              <w:rPr>
                <w:rFonts w:hint="eastAsia" w:ascii="宋体" w:hAnsi="宋体"/>
                <w:color w:val="auto"/>
              </w:rPr>
            </w:pPr>
            <w:r>
              <w:rPr>
                <w:rFonts w:hint="eastAsia" w:ascii="宋体" w:hAnsi="宋体"/>
                <w:color w:val="auto"/>
              </w:rPr>
              <w:t>磋商时间和地点</w:t>
            </w:r>
          </w:p>
        </w:tc>
        <w:tc>
          <w:tcPr>
            <w:tcW w:w="6135" w:type="dxa"/>
            <w:tcBorders>
              <w:top w:val="single" w:color="auto" w:sz="4" w:space="0"/>
              <w:left w:val="nil"/>
              <w:bottom w:val="single" w:color="auto" w:sz="4" w:space="0"/>
              <w:right w:val="single" w:color="auto" w:sz="4" w:space="0"/>
            </w:tcBorders>
            <w:vAlign w:val="center"/>
          </w:tcPr>
          <w:p w14:paraId="6C1A0A63">
            <w:pPr>
              <w:autoSpaceDE w:val="0"/>
              <w:autoSpaceDN w:val="0"/>
              <w:adjustRightInd w:val="0"/>
              <w:snapToGrid w:val="0"/>
              <w:spacing w:line="360" w:lineRule="auto"/>
              <w:rPr>
                <w:rFonts w:hint="eastAsia" w:ascii="宋体" w:hAnsi="宋体"/>
                <w:b/>
                <w:bCs/>
                <w:color w:val="auto"/>
              </w:rPr>
            </w:pPr>
            <w:r>
              <w:rPr>
                <w:rFonts w:hint="eastAsia" w:ascii="宋体" w:hAnsi="宋体"/>
                <w:b/>
                <w:bCs/>
                <w:color w:val="auto"/>
              </w:rPr>
              <w:t>磋商时间：同提交响应文件截止时间</w:t>
            </w:r>
          </w:p>
          <w:p w14:paraId="3E0D6D87">
            <w:pPr>
              <w:autoSpaceDE w:val="0"/>
              <w:autoSpaceDN w:val="0"/>
              <w:adjustRightInd w:val="0"/>
              <w:snapToGrid w:val="0"/>
              <w:spacing w:line="360" w:lineRule="auto"/>
              <w:rPr>
                <w:rFonts w:hint="eastAsia" w:ascii="宋体" w:hAnsi="宋体"/>
                <w:color w:val="auto"/>
              </w:rPr>
            </w:pPr>
            <w:r>
              <w:rPr>
                <w:rFonts w:hint="eastAsia" w:ascii="宋体" w:hAnsi="宋体"/>
                <w:b/>
                <w:bCs/>
                <w:color w:val="auto"/>
              </w:rPr>
              <w:t>磋商地点：河南省公共资源交易中心远程开标室（</w:t>
            </w:r>
            <w:r>
              <w:rPr>
                <w:rFonts w:hint="eastAsia" w:ascii="宋体" w:hAnsi="宋体"/>
                <w:b/>
                <w:bCs/>
                <w:color w:val="auto"/>
                <w:lang w:eastAsia="zh-CN"/>
              </w:rPr>
              <w:t>三</w:t>
            </w:r>
            <w:r>
              <w:rPr>
                <w:rFonts w:hint="eastAsia" w:ascii="宋体" w:hAnsi="宋体"/>
                <w:b/>
                <w:bCs/>
                <w:color w:val="auto"/>
              </w:rPr>
              <w:t>）-</w:t>
            </w:r>
            <w:r>
              <w:rPr>
                <w:rFonts w:hint="eastAsia" w:ascii="宋体" w:hAnsi="宋体"/>
                <w:b/>
                <w:bCs/>
                <w:color w:val="auto"/>
                <w:lang w:val="en-US" w:eastAsia="zh-CN"/>
              </w:rPr>
              <w:t>6</w:t>
            </w:r>
            <w:r>
              <w:rPr>
                <w:rFonts w:hint="eastAsia" w:ascii="宋体" w:hAnsi="宋体"/>
                <w:b/>
                <w:bCs/>
                <w:color w:val="auto"/>
              </w:rPr>
              <w:t>，（郑州市经二路12号，经二路与纬四路向南50米路西）</w:t>
            </w:r>
          </w:p>
        </w:tc>
      </w:tr>
      <w:tr w14:paraId="6201616B">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5428C908">
            <w:pPr>
              <w:adjustRightInd w:val="0"/>
              <w:snapToGrid w:val="0"/>
              <w:spacing w:line="360" w:lineRule="auto"/>
              <w:jc w:val="center"/>
              <w:textAlignment w:val="baseline"/>
              <w:rPr>
                <w:rFonts w:hint="eastAsia" w:ascii="宋体" w:hAnsi="宋体"/>
                <w:color w:val="auto"/>
              </w:rPr>
            </w:pPr>
            <w:r>
              <w:rPr>
                <w:rFonts w:hint="eastAsia" w:ascii="宋体" w:hAnsi="宋体"/>
                <w:color w:val="auto"/>
              </w:rPr>
              <w:t>6.1</w:t>
            </w:r>
          </w:p>
        </w:tc>
        <w:tc>
          <w:tcPr>
            <w:tcW w:w="1727" w:type="dxa"/>
            <w:gridSpan w:val="2"/>
            <w:tcBorders>
              <w:top w:val="single" w:color="auto" w:sz="4" w:space="0"/>
              <w:left w:val="nil"/>
              <w:bottom w:val="single" w:color="auto" w:sz="4" w:space="0"/>
              <w:right w:val="single" w:color="auto" w:sz="4" w:space="0"/>
            </w:tcBorders>
            <w:vAlign w:val="center"/>
          </w:tcPr>
          <w:p w14:paraId="3BB5198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磋商小组的组建</w:t>
            </w:r>
          </w:p>
        </w:tc>
        <w:tc>
          <w:tcPr>
            <w:tcW w:w="6135" w:type="dxa"/>
            <w:tcBorders>
              <w:top w:val="single" w:color="auto" w:sz="4" w:space="0"/>
              <w:left w:val="nil"/>
              <w:bottom w:val="single" w:color="auto" w:sz="4" w:space="0"/>
              <w:right w:val="single" w:color="auto" w:sz="4" w:space="0"/>
            </w:tcBorders>
            <w:vAlign w:val="center"/>
          </w:tcPr>
          <w:p w14:paraId="2DA1909C">
            <w:pPr>
              <w:adjustRightInd w:val="0"/>
              <w:snapToGrid w:val="0"/>
              <w:spacing w:line="360" w:lineRule="auto"/>
              <w:textAlignment w:val="baseline"/>
              <w:rPr>
                <w:rFonts w:hint="eastAsia" w:ascii="宋体" w:hAnsi="宋体"/>
                <w:color w:val="auto"/>
              </w:rPr>
            </w:pPr>
            <w:r>
              <w:rPr>
                <w:rFonts w:hint="eastAsia" w:ascii="宋体" w:hAnsi="宋体"/>
                <w:color w:val="auto"/>
              </w:rPr>
              <w:t>磋商小组构成：3人，由1名采购人代表、相关评标专家组成；</w:t>
            </w:r>
          </w:p>
          <w:p w14:paraId="2A358378">
            <w:pPr>
              <w:adjustRightInd w:val="0"/>
              <w:snapToGrid w:val="0"/>
              <w:spacing w:line="360" w:lineRule="auto"/>
              <w:textAlignment w:val="baseline"/>
              <w:rPr>
                <w:rFonts w:hint="eastAsia" w:ascii="宋体" w:hAnsi="宋体"/>
                <w:color w:val="auto"/>
              </w:rPr>
            </w:pPr>
            <w:r>
              <w:rPr>
                <w:rFonts w:hint="eastAsia" w:ascii="宋体" w:hAnsi="宋体"/>
                <w:color w:val="auto"/>
              </w:rPr>
              <w:t>相关评标专家确定方式：磋商前在河南省</w:t>
            </w:r>
            <w:r>
              <w:rPr>
                <w:rFonts w:hint="eastAsia" w:ascii="宋体" w:hAnsi="宋体"/>
                <w:color w:val="auto"/>
                <w:kern w:val="0"/>
              </w:rPr>
              <w:t>政府采购评审</w:t>
            </w:r>
            <w:r>
              <w:rPr>
                <w:rFonts w:hint="eastAsia" w:ascii="宋体" w:hAnsi="宋体"/>
                <w:color w:val="auto"/>
              </w:rPr>
              <w:t>专家库中随机抽取。</w:t>
            </w:r>
          </w:p>
        </w:tc>
      </w:tr>
      <w:tr w14:paraId="1522D314">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6A032301">
            <w:pPr>
              <w:adjustRightInd w:val="0"/>
              <w:snapToGrid w:val="0"/>
              <w:spacing w:line="360" w:lineRule="auto"/>
              <w:jc w:val="center"/>
              <w:textAlignment w:val="baseline"/>
              <w:rPr>
                <w:rFonts w:hint="eastAsia" w:ascii="宋体" w:hAnsi="宋体"/>
                <w:color w:val="auto"/>
              </w:rPr>
            </w:pPr>
            <w:r>
              <w:rPr>
                <w:rFonts w:hint="eastAsia" w:ascii="宋体" w:hAnsi="宋体"/>
                <w:color w:val="auto"/>
              </w:rPr>
              <w:t>7.1</w:t>
            </w:r>
          </w:p>
        </w:tc>
        <w:tc>
          <w:tcPr>
            <w:tcW w:w="1727" w:type="dxa"/>
            <w:gridSpan w:val="2"/>
            <w:tcBorders>
              <w:top w:val="single" w:color="auto" w:sz="4" w:space="0"/>
              <w:left w:val="nil"/>
              <w:bottom w:val="single" w:color="auto" w:sz="4" w:space="0"/>
              <w:right w:val="single" w:color="auto" w:sz="4" w:space="0"/>
            </w:tcBorders>
            <w:vAlign w:val="center"/>
          </w:tcPr>
          <w:p w14:paraId="1562D51A">
            <w:pPr>
              <w:adjustRightInd w:val="0"/>
              <w:snapToGrid w:val="0"/>
              <w:spacing w:line="360" w:lineRule="auto"/>
              <w:jc w:val="center"/>
              <w:textAlignment w:val="baseline"/>
              <w:rPr>
                <w:rFonts w:hint="eastAsia" w:ascii="宋体" w:hAnsi="宋体"/>
                <w:color w:val="auto"/>
              </w:rPr>
            </w:pPr>
            <w:r>
              <w:rPr>
                <w:rFonts w:hint="eastAsia" w:ascii="宋体" w:hAnsi="宋体"/>
                <w:color w:val="auto"/>
              </w:rPr>
              <w:t>是否授权磋商小组确定成交人</w:t>
            </w:r>
          </w:p>
        </w:tc>
        <w:tc>
          <w:tcPr>
            <w:tcW w:w="6135" w:type="dxa"/>
            <w:tcBorders>
              <w:top w:val="single" w:color="auto" w:sz="4" w:space="0"/>
              <w:left w:val="nil"/>
              <w:bottom w:val="single" w:color="auto" w:sz="4" w:space="0"/>
              <w:right w:val="single" w:color="auto" w:sz="4" w:space="0"/>
            </w:tcBorders>
            <w:vAlign w:val="center"/>
          </w:tcPr>
          <w:p w14:paraId="0B9603F7">
            <w:pPr>
              <w:adjustRightInd w:val="0"/>
              <w:snapToGrid w:val="0"/>
              <w:spacing w:line="360" w:lineRule="auto"/>
              <w:textAlignment w:val="baseline"/>
              <w:rPr>
                <w:rFonts w:hint="eastAsia" w:ascii="宋体" w:hAnsi="宋体"/>
                <w:color w:val="auto"/>
              </w:rPr>
            </w:pPr>
            <w:r>
              <w:rPr>
                <w:rFonts w:hint="eastAsia" w:ascii="宋体" w:hAnsi="宋体"/>
                <w:color w:val="auto"/>
              </w:rPr>
              <w:t>否；推荐的成交候选人数：3名</w:t>
            </w:r>
          </w:p>
        </w:tc>
      </w:tr>
      <w:tr w14:paraId="567592BC">
        <w:tblPrEx>
          <w:tblCellMar>
            <w:top w:w="0" w:type="dxa"/>
            <w:left w:w="108" w:type="dxa"/>
            <w:bottom w:w="0" w:type="dxa"/>
            <w:right w:w="108" w:type="dxa"/>
          </w:tblCellMar>
        </w:tblPrEx>
        <w:trPr>
          <w:trHeight w:val="23" w:hRule="atLeast"/>
          <w:jc w:val="center"/>
        </w:trPr>
        <w:tc>
          <w:tcPr>
            <w:tcW w:w="980" w:type="dxa"/>
            <w:tcBorders>
              <w:top w:val="single" w:color="auto" w:sz="4" w:space="0"/>
              <w:left w:val="single" w:color="auto" w:sz="4" w:space="0"/>
              <w:bottom w:val="single" w:color="auto" w:sz="4" w:space="0"/>
              <w:right w:val="single" w:color="auto" w:sz="4" w:space="0"/>
            </w:tcBorders>
            <w:vAlign w:val="center"/>
          </w:tcPr>
          <w:p w14:paraId="74087084">
            <w:pPr>
              <w:adjustRightInd w:val="0"/>
              <w:snapToGrid w:val="0"/>
              <w:spacing w:line="360" w:lineRule="auto"/>
              <w:jc w:val="center"/>
              <w:textAlignment w:val="baseline"/>
              <w:rPr>
                <w:rFonts w:hint="eastAsia" w:ascii="宋体" w:hAnsi="宋体"/>
                <w:color w:val="auto"/>
              </w:rPr>
            </w:pPr>
            <w:r>
              <w:rPr>
                <w:rFonts w:hint="eastAsia" w:ascii="宋体" w:hAnsi="宋体"/>
                <w:color w:val="auto"/>
              </w:rPr>
              <w:t>7.3.1</w:t>
            </w:r>
          </w:p>
        </w:tc>
        <w:tc>
          <w:tcPr>
            <w:tcW w:w="1727" w:type="dxa"/>
            <w:gridSpan w:val="2"/>
            <w:tcBorders>
              <w:top w:val="single" w:color="auto" w:sz="4" w:space="0"/>
              <w:left w:val="nil"/>
              <w:bottom w:val="single" w:color="auto" w:sz="4" w:space="0"/>
              <w:right w:val="single" w:color="auto" w:sz="4" w:space="0"/>
            </w:tcBorders>
            <w:vAlign w:val="center"/>
          </w:tcPr>
          <w:p w14:paraId="02D17862">
            <w:pPr>
              <w:adjustRightInd w:val="0"/>
              <w:snapToGrid w:val="0"/>
              <w:spacing w:line="360" w:lineRule="auto"/>
              <w:jc w:val="center"/>
              <w:textAlignment w:val="baseline"/>
              <w:rPr>
                <w:rFonts w:hint="eastAsia" w:ascii="宋体" w:hAnsi="宋体"/>
                <w:color w:val="auto"/>
              </w:rPr>
            </w:pPr>
            <w:r>
              <w:rPr>
                <w:rFonts w:hint="eastAsia" w:ascii="宋体" w:hAnsi="宋体"/>
                <w:color w:val="auto"/>
              </w:rPr>
              <w:t>履约保证金</w:t>
            </w:r>
          </w:p>
        </w:tc>
        <w:tc>
          <w:tcPr>
            <w:tcW w:w="6135" w:type="dxa"/>
            <w:tcBorders>
              <w:top w:val="single" w:color="auto" w:sz="4" w:space="0"/>
              <w:left w:val="nil"/>
              <w:bottom w:val="single" w:color="auto" w:sz="4" w:space="0"/>
              <w:right w:val="single" w:color="auto" w:sz="4" w:space="0"/>
            </w:tcBorders>
            <w:vAlign w:val="center"/>
          </w:tcPr>
          <w:p w14:paraId="390407D1">
            <w:pPr>
              <w:autoSpaceDE w:val="0"/>
              <w:autoSpaceDN w:val="0"/>
              <w:adjustRightInd w:val="0"/>
              <w:snapToGrid w:val="0"/>
              <w:spacing w:line="360" w:lineRule="auto"/>
              <w:jc w:val="left"/>
              <w:rPr>
                <w:color w:val="auto"/>
              </w:rPr>
            </w:pPr>
            <w:r>
              <w:rPr>
                <w:color w:val="auto"/>
              </w:rPr>
              <w:t>是否要求中标人提供履约担保：是</w:t>
            </w:r>
          </w:p>
          <w:p w14:paraId="6AACA9F4">
            <w:pPr>
              <w:autoSpaceDE w:val="0"/>
              <w:autoSpaceDN w:val="0"/>
              <w:adjustRightInd w:val="0"/>
              <w:snapToGrid w:val="0"/>
              <w:spacing w:line="360" w:lineRule="auto"/>
              <w:jc w:val="left"/>
              <w:rPr>
                <w:color w:val="auto"/>
              </w:rPr>
            </w:pPr>
            <w:r>
              <w:rPr>
                <w:color w:val="auto"/>
              </w:rPr>
              <w:t>缴纳形式：</w:t>
            </w:r>
            <w:r>
              <w:rPr>
                <w:rFonts w:hint="eastAsia"/>
                <w:color w:val="auto"/>
              </w:rPr>
              <w:t>转账或</w:t>
            </w:r>
            <w:r>
              <w:rPr>
                <w:color w:val="auto"/>
              </w:rPr>
              <w:t>银行保函</w:t>
            </w:r>
          </w:p>
          <w:p w14:paraId="7D00DBFD">
            <w:pPr>
              <w:autoSpaceDE w:val="0"/>
              <w:autoSpaceDN w:val="0"/>
              <w:adjustRightInd w:val="0"/>
              <w:snapToGrid w:val="0"/>
              <w:spacing w:line="360" w:lineRule="auto"/>
              <w:jc w:val="left"/>
              <w:rPr>
                <w:color w:val="auto"/>
              </w:rPr>
            </w:pPr>
            <w:r>
              <w:rPr>
                <w:color w:val="auto"/>
              </w:rPr>
              <w:t>金额：</w:t>
            </w:r>
            <w:r>
              <w:rPr>
                <w:rFonts w:hint="eastAsia"/>
                <w:color w:val="auto"/>
              </w:rPr>
              <w:t>合同金额</w:t>
            </w:r>
            <w:r>
              <w:rPr>
                <w:color w:val="auto"/>
              </w:rPr>
              <w:t>的5%</w:t>
            </w:r>
          </w:p>
          <w:p w14:paraId="25047DC3">
            <w:pPr>
              <w:autoSpaceDE w:val="0"/>
              <w:autoSpaceDN w:val="0"/>
              <w:adjustRightInd w:val="0"/>
              <w:snapToGrid w:val="0"/>
              <w:spacing w:line="360" w:lineRule="auto"/>
              <w:jc w:val="left"/>
              <w:rPr>
                <w:color w:val="auto"/>
              </w:rPr>
            </w:pPr>
            <w:r>
              <w:rPr>
                <w:color w:val="auto"/>
              </w:rPr>
              <w:t>缴纳时间：</w:t>
            </w:r>
            <w:r>
              <w:rPr>
                <w:rFonts w:hint="eastAsia"/>
                <w:color w:val="auto"/>
              </w:rPr>
              <w:t>成交</w:t>
            </w:r>
            <w:r>
              <w:rPr>
                <w:color w:val="auto"/>
              </w:rPr>
              <w:t>通知书发出后</w:t>
            </w:r>
            <w:r>
              <w:rPr>
                <w:rFonts w:hint="eastAsia"/>
                <w:color w:val="auto"/>
              </w:rPr>
              <w:t>1</w:t>
            </w:r>
            <w:r>
              <w:rPr>
                <w:color w:val="auto"/>
              </w:rPr>
              <w:t>5日内</w:t>
            </w:r>
          </w:p>
          <w:p w14:paraId="38595744">
            <w:pPr>
              <w:autoSpaceDE w:val="0"/>
              <w:autoSpaceDN w:val="0"/>
              <w:adjustRightInd w:val="0"/>
              <w:snapToGrid w:val="0"/>
              <w:spacing w:line="360" w:lineRule="auto"/>
              <w:jc w:val="left"/>
              <w:rPr>
                <w:color w:val="auto"/>
              </w:rPr>
            </w:pPr>
            <w:r>
              <w:rPr>
                <w:color w:val="auto"/>
              </w:rPr>
              <w:t>退还时间：</w:t>
            </w:r>
            <w:r>
              <w:rPr>
                <w:color w:val="auto"/>
                <w:highlight w:val="none"/>
              </w:rPr>
              <w:t>全部产品质保期结束，无质量问题退还。履约保函期限应覆盖供货期和中标人承诺的质保期。</w:t>
            </w:r>
          </w:p>
        </w:tc>
      </w:tr>
      <w:tr w14:paraId="2E165375">
        <w:tblPrEx>
          <w:tblCellMar>
            <w:top w:w="0" w:type="dxa"/>
            <w:left w:w="108" w:type="dxa"/>
            <w:bottom w:w="0" w:type="dxa"/>
            <w:right w:w="108" w:type="dxa"/>
          </w:tblCellMar>
        </w:tblPrEx>
        <w:trPr>
          <w:trHeight w:val="23" w:hRule="atLeast"/>
          <w:jc w:val="center"/>
        </w:trPr>
        <w:tc>
          <w:tcPr>
            <w:tcW w:w="8842" w:type="dxa"/>
            <w:gridSpan w:val="4"/>
            <w:tcBorders>
              <w:top w:val="single" w:color="auto" w:sz="4" w:space="0"/>
              <w:left w:val="single" w:color="auto" w:sz="4" w:space="0"/>
              <w:bottom w:val="single" w:color="auto" w:sz="4" w:space="0"/>
              <w:right w:val="single" w:color="auto" w:sz="4" w:space="0"/>
            </w:tcBorders>
            <w:vAlign w:val="center"/>
          </w:tcPr>
          <w:p w14:paraId="778B17A0">
            <w:pPr>
              <w:adjustRightInd w:val="0"/>
              <w:snapToGrid w:val="0"/>
              <w:spacing w:line="360" w:lineRule="auto"/>
              <w:jc w:val="left"/>
              <w:textAlignment w:val="baseline"/>
              <w:rPr>
                <w:rFonts w:hint="eastAsia" w:ascii="宋体" w:hAnsi="宋体"/>
                <w:color w:val="auto"/>
              </w:rPr>
            </w:pPr>
            <w:r>
              <w:rPr>
                <w:rFonts w:hint="eastAsia" w:ascii="宋体" w:hAnsi="宋体"/>
                <w:b/>
                <w:bCs/>
                <w:color w:val="auto"/>
              </w:rPr>
              <w:t>10.需要补充的其他内容</w:t>
            </w:r>
          </w:p>
        </w:tc>
      </w:tr>
      <w:tr w14:paraId="4BAFBC0D">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98C6C6C">
            <w:pPr>
              <w:adjustRightInd w:val="0"/>
              <w:snapToGrid w:val="0"/>
              <w:spacing w:line="360" w:lineRule="auto"/>
              <w:jc w:val="center"/>
              <w:textAlignment w:val="baseline"/>
              <w:rPr>
                <w:rFonts w:hint="eastAsia" w:ascii="宋体" w:hAnsi="宋体"/>
                <w:color w:val="auto"/>
              </w:rPr>
            </w:pPr>
            <w:bookmarkStart w:id="46" w:name="_Toc144974497"/>
            <w:r>
              <w:rPr>
                <w:rFonts w:hint="eastAsia" w:ascii="宋体" w:hAnsi="宋体"/>
                <w:color w:val="auto"/>
              </w:rPr>
              <w:t>10.1</w:t>
            </w:r>
            <w:bookmarkEnd w:id="46"/>
          </w:p>
        </w:tc>
        <w:tc>
          <w:tcPr>
            <w:tcW w:w="1707" w:type="dxa"/>
            <w:tcBorders>
              <w:top w:val="single" w:color="auto" w:sz="4" w:space="0"/>
              <w:left w:val="nil"/>
              <w:bottom w:val="single" w:color="auto" w:sz="4" w:space="0"/>
              <w:right w:val="single" w:color="auto" w:sz="4" w:space="0"/>
            </w:tcBorders>
            <w:vAlign w:val="center"/>
          </w:tcPr>
          <w:p w14:paraId="0B283890">
            <w:pPr>
              <w:adjustRightInd w:val="0"/>
              <w:snapToGrid w:val="0"/>
              <w:spacing w:line="360" w:lineRule="auto"/>
              <w:jc w:val="center"/>
              <w:textAlignment w:val="baseline"/>
              <w:rPr>
                <w:rFonts w:hint="eastAsia" w:ascii="宋体" w:hAnsi="宋体"/>
                <w:color w:val="auto"/>
              </w:rPr>
            </w:pPr>
            <w:r>
              <w:rPr>
                <w:rFonts w:hint="eastAsia" w:ascii="宋体" w:hAnsi="宋体"/>
                <w:color w:val="auto"/>
              </w:rPr>
              <w:t>解释权</w:t>
            </w:r>
          </w:p>
        </w:tc>
        <w:tc>
          <w:tcPr>
            <w:tcW w:w="6135" w:type="dxa"/>
            <w:tcBorders>
              <w:top w:val="single" w:color="auto" w:sz="4" w:space="0"/>
              <w:left w:val="nil"/>
              <w:bottom w:val="single" w:color="auto" w:sz="4" w:space="0"/>
              <w:right w:val="single" w:color="auto" w:sz="4" w:space="0"/>
            </w:tcBorders>
            <w:vAlign w:val="center"/>
          </w:tcPr>
          <w:p w14:paraId="210EB12C">
            <w:pPr>
              <w:adjustRightInd w:val="0"/>
              <w:snapToGrid w:val="0"/>
              <w:spacing w:line="360" w:lineRule="auto"/>
              <w:textAlignment w:val="baseline"/>
              <w:rPr>
                <w:rFonts w:hint="eastAsia" w:ascii="宋体" w:hAnsi="宋体"/>
                <w:color w:val="auto"/>
              </w:rPr>
            </w:pPr>
            <w:r>
              <w:rPr>
                <w:rFonts w:hint="eastAsia" w:ascii="宋体" w:hAnsi="宋体"/>
                <w:color w:val="auto"/>
              </w:rPr>
              <w:t>构成本磋商文件的各个组成文件应互为解释，互为说明；如有不明确或不一致，按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58A75523">
        <w:tblPrEx>
          <w:tblCellMar>
            <w:top w:w="0" w:type="dxa"/>
            <w:left w:w="108" w:type="dxa"/>
            <w:bottom w:w="0" w:type="dxa"/>
            <w:right w:w="108" w:type="dxa"/>
          </w:tblCellMar>
        </w:tblPrEx>
        <w:trPr>
          <w:trHeight w:val="525"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FCE1B1C">
            <w:pPr>
              <w:adjustRightInd w:val="0"/>
              <w:snapToGrid w:val="0"/>
              <w:spacing w:line="360" w:lineRule="auto"/>
              <w:jc w:val="center"/>
              <w:rPr>
                <w:rFonts w:hint="eastAsia" w:ascii="宋体" w:hAnsi="宋体"/>
                <w:color w:val="auto"/>
              </w:rPr>
            </w:pPr>
            <w:r>
              <w:rPr>
                <w:rFonts w:hint="eastAsia" w:ascii="宋体" w:hAnsi="宋体"/>
                <w:color w:val="auto"/>
              </w:rPr>
              <w:t>10.2</w:t>
            </w:r>
          </w:p>
        </w:tc>
        <w:tc>
          <w:tcPr>
            <w:tcW w:w="1707" w:type="dxa"/>
            <w:tcBorders>
              <w:top w:val="single" w:color="auto" w:sz="4" w:space="0"/>
              <w:left w:val="nil"/>
              <w:bottom w:val="single" w:color="auto" w:sz="4" w:space="0"/>
              <w:right w:val="single" w:color="auto" w:sz="4" w:space="0"/>
            </w:tcBorders>
            <w:vAlign w:val="center"/>
          </w:tcPr>
          <w:p w14:paraId="10F2D997">
            <w:pPr>
              <w:adjustRightInd w:val="0"/>
              <w:snapToGrid w:val="0"/>
              <w:spacing w:line="360" w:lineRule="auto"/>
              <w:jc w:val="center"/>
              <w:rPr>
                <w:rFonts w:hint="eastAsia" w:ascii="宋体" w:hAnsi="宋体"/>
                <w:b/>
                <w:bCs/>
                <w:color w:val="auto"/>
              </w:rPr>
            </w:pPr>
            <w:r>
              <w:rPr>
                <w:rFonts w:hint="eastAsia" w:ascii="宋体" w:hAnsi="宋体"/>
                <w:b/>
                <w:bCs/>
                <w:color w:val="auto"/>
              </w:rPr>
              <w:t>最高限价</w:t>
            </w:r>
          </w:p>
        </w:tc>
        <w:tc>
          <w:tcPr>
            <w:tcW w:w="6135" w:type="dxa"/>
            <w:tcBorders>
              <w:top w:val="single" w:color="auto" w:sz="4" w:space="0"/>
              <w:left w:val="nil"/>
              <w:bottom w:val="single" w:color="auto" w:sz="4" w:space="0"/>
              <w:right w:val="single" w:color="auto" w:sz="4" w:space="0"/>
            </w:tcBorders>
            <w:vAlign w:val="center"/>
          </w:tcPr>
          <w:p w14:paraId="4F923638">
            <w:pPr>
              <w:adjustRightInd w:val="0"/>
              <w:snapToGrid w:val="0"/>
              <w:spacing w:line="360" w:lineRule="auto"/>
              <w:rPr>
                <w:rFonts w:hint="eastAsia" w:ascii="宋体" w:hAnsi="宋体" w:eastAsia="宋体"/>
                <w:b/>
                <w:bCs/>
                <w:color w:val="auto"/>
                <w:lang w:eastAsia="zh-CN"/>
              </w:rPr>
            </w:pPr>
            <w:r>
              <w:rPr>
                <w:rFonts w:hint="eastAsia" w:ascii="宋体" w:hAnsi="宋体"/>
                <w:b/>
                <w:bCs/>
                <w:color w:val="auto"/>
              </w:rPr>
              <w:t>大写：人民币</w:t>
            </w:r>
            <w:r>
              <w:rPr>
                <w:rFonts w:hint="eastAsia" w:ascii="宋体" w:hAnsi="宋体"/>
                <w:b/>
                <w:bCs/>
                <w:color w:val="auto"/>
                <w:lang w:eastAsia="zh-CN"/>
              </w:rPr>
              <w:t>壹佰柒拾万元整</w:t>
            </w:r>
          </w:p>
          <w:p w14:paraId="3736DD4F">
            <w:pPr>
              <w:adjustRightInd w:val="0"/>
              <w:snapToGrid w:val="0"/>
              <w:spacing w:line="360" w:lineRule="auto"/>
              <w:rPr>
                <w:rFonts w:hint="eastAsia" w:ascii="宋体" w:hAnsi="宋体"/>
                <w:color w:val="auto"/>
              </w:rPr>
            </w:pPr>
            <w:r>
              <w:rPr>
                <w:rFonts w:hint="eastAsia" w:ascii="宋体" w:hAnsi="宋体"/>
                <w:b/>
                <w:bCs/>
                <w:color w:val="auto"/>
              </w:rPr>
              <w:t>小写：¥1700000元</w:t>
            </w:r>
          </w:p>
          <w:p w14:paraId="4ED4E6CE">
            <w:pPr>
              <w:adjustRightInd w:val="0"/>
              <w:snapToGrid w:val="0"/>
              <w:spacing w:line="360" w:lineRule="auto"/>
              <w:rPr>
                <w:rFonts w:hint="eastAsia" w:ascii="宋体" w:hAnsi="宋体"/>
                <w:color w:val="auto"/>
              </w:rPr>
            </w:pPr>
            <w:r>
              <w:rPr>
                <w:rFonts w:hint="eastAsia" w:ascii="宋体" w:hAnsi="宋体"/>
                <w:color w:val="auto"/>
              </w:rPr>
              <w:t>超过最高限价的按无效投标处理。</w:t>
            </w:r>
          </w:p>
        </w:tc>
      </w:tr>
      <w:tr w14:paraId="31B6FB27">
        <w:tblPrEx>
          <w:tblCellMar>
            <w:top w:w="0" w:type="dxa"/>
            <w:left w:w="108" w:type="dxa"/>
            <w:bottom w:w="0" w:type="dxa"/>
            <w:right w:w="108" w:type="dxa"/>
          </w:tblCellMar>
        </w:tblPrEx>
        <w:trPr>
          <w:trHeight w:val="548"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2679F390">
            <w:pPr>
              <w:adjustRightInd w:val="0"/>
              <w:snapToGrid w:val="0"/>
              <w:spacing w:line="360" w:lineRule="auto"/>
              <w:jc w:val="center"/>
              <w:rPr>
                <w:rFonts w:hint="eastAsia" w:ascii="宋体" w:hAnsi="宋体"/>
                <w:color w:val="auto"/>
              </w:rPr>
            </w:pPr>
            <w:r>
              <w:rPr>
                <w:rFonts w:hint="eastAsia" w:ascii="宋体" w:hAnsi="宋体"/>
                <w:color w:val="auto"/>
              </w:rPr>
              <w:t>10.3</w:t>
            </w:r>
          </w:p>
        </w:tc>
        <w:tc>
          <w:tcPr>
            <w:tcW w:w="1707" w:type="dxa"/>
            <w:tcBorders>
              <w:top w:val="single" w:color="auto" w:sz="4" w:space="0"/>
              <w:left w:val="nil"/>
              <w:bottom w:val="single" w:color="auto" w:sz="4" w:space="0"/>
              <w:right w:val="single" w:color="auto" w:sz="4" w:space="0"/>
            </w:tcBorders>
            <w:vAlign w:val="center"/>
          </w:tcPr>
          <w:p w14:paraId="2F81989B">
            <w:pPr>
              <w:adjustRightInd w:val="0"/>
              <w:snapToGrid w:val="0"/>
              <w:spacing w:line="360" w:lineRule="auto"/>
              <w:jc w:val="center"/>
              <w:rPr>
                <w:rFonts w:hint="eastAsia" w:ascii="宋体" w:hAnsi="宋体"/>
                <w:b/>
                <w:bCs/>
                <w:color w:val="auto"/>
              </w:rPr>
            </w:pPr>
            <w:r>
              <w:rPr>
                <w:rFonts w:hint="eastAsia" w:ascii="宋体" w:hAnsi="宋体"/>
                <w:color w:val="auto"/>
              </w:rPr>
              <w:t>付款方式</w:t>
            </w:r>
          </w:p>
        </w:tc>
        <w:tc>
          <w:tcPr>
            <w:tcW w:w="6135" w:type="dxa"/>
            <w:tcBorders>
              <w:top w:val="single" w:color="auto" w:sz="4" w:space="0"/>
              <w:left w:val="nil"/>
              <w:bottom w:val="single" w:color="auto" w:sz="4" w:space="0"/>
              <w:right w:val="single" w:color="auto" w:sz="4" w:space="0"/>
            </w:tcBorders>
            <w:vAlign w:val="center"/>
          </w:tcPr>
          <w:p w14:paraId="19C83C1E">
            <w:pPr>
              <w:adjustRightInd w:val="0"/>
              <w:snapToGrid w:val="0"/>
              <w:spacing w:line="360" w:lineRule="auto"/>
              <w:rPr>
                <w:rFonts w:hint="eastAsia" w:ascii="宋体" w:hAnsi="宋体"/>
                <w:color w:val="auto"/>
              </w:rPr>
            </w:pPr>
            <w:r>
              <w:rPr>
                <w:rFonts w:hint="eastAsia" w:ascii="宋体" w:hAnsi="宋体"/>
                <w:color w:val="auto"/>
              </w:rPr>
              <w:t>货到安装、调试、验收合格后，乙方按照合同金额的100%向甲方开具发票，甲方支付100%合同价款给乙方。</w:t>
            </w:r>
          </w:p>
        </w:tc>
      </w:tr>
      <w:tr w14:paraId="30C398FB">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3CDE01B">
            <w:pPr>
              <w:adjustRightInd w:val="0"/>
              <w:snapToGrid w:val="0"/>
              <w:spacing w:line="360" w:lineRule="auto"/>
              <w:jc w:val="center"/>
              <w:rPr>
                <w:rFonts w:hint="eastAsia" w:ascii="宋体" w:hAnsi="宋体"/>
                <w:color w:val="auto"/>
              </w:rPr>
            </w:pPr>
            <w:r>
              <w:rPr>
                <w:rFonts w:hint="eastAsia" w:ascii="宋体" w:hAnsi="宋体"/>
                <w:color w:val="auto"/>
              </w:rPr>
              <w:t>10.4</w:t>
            </w:r>
          </w:p>
        </w:tc>
        <w:tc>
          <w:tcPr>
            <w:tcW w:w="1707" w:type="dxa"/>
            <w:tcBorders>
              <w:top w:val="single" w:color="auto" w:sz="4" w:space="0"/>
              <w:left w:val="nil"/>
              <w:bottom w:val="single" w:color="auto" w:sz="4" w:space="0"/>
              <w:right w:val="single" w:color="auto" w:sz="4" w:space="0"/>
            </w:tcBorders>
            <w:vAlign w:val="center"/>
          </w:tcPr>
          <w:p w14:paraId="1C1B5CF4">
            <w:pPr>
              <w:adjustRightInd w:val="0"/>
              <w:snapToGrid w:val="0"/>
              <w:spacing w:line="360" w:lineRule="auto"/>
              <w:jc w:val="center"/>
              <w:rPr>
                <w:rFonts w:hint="eastAsia" w:ascii="宋体" w:hAnsi="宋体"/>
                <w:color w:val="auto"/>
              </w:rPr>
            </w:pPr>
            <w:r>
              <w:rPr>
                <w:rFonts w:hint="eastAsia" w:ascii="宋体" w:hAnsi="宋体"/>
                <w:color w:val="auto"/>
              </w:rPr>
              <w:t>成交服务费</w:t>
            </w:r>
          </w:p>
        </w:tc>
        <w:tc>
          <w:tcPr>
            <w:tcW w:w="6135" w:type="dxa"/>
            <w:tcBorders>
              <w:top w:val="single" w:color="auto" w:sz="4" w:space="0"/>
              <w:left w:val="nil"/>
              <w:bottom w:val="single" w:color="auto" w:sz="4" w:space="0"/>
              <w:right w:val="single" w:color="auto" w:sz="4" w:space="0"/>
            </w:tcBorders>
            <w:vAlign w:val="center"/>
          </w:tcPr>
          <w:p w14:paraId="60C9BAC1">
            <w:pPr>
              <w:adjustRightInd w:val="0"/>
              <w:snapToGrid w:val="0"/>
              <w:spacing w:line="360" w:lineRule="auto"/>
              <w:rPr>
                <w:rFonts w:hint="eastAsia" w:ascii="宋体" w:hAnsi="宋体"/>
                <w:color w:val="auto"/>
              </w:rPr>
            </w:pPr>
            <w:r>
              <w:rPr>
                <w:rFonts w:hint="eastAsia" w:ascii="宋体" w:hAnsi="宋体"/>
                <w:color w:val="auto"/>
              </w:rPr>
              <w:t>1、供应商准备和参加磋商活动发生的费用自理。在任何情况下采购人和采购代理机构对上述费用均不承担任何责任。</w:t>
            </w:r>
          </w:p>
          <w:p w14:paraId="360E6E35">
            <w:pPr>
              <w:adjustRightInd w:val="0"/>
              <w:snapToGrid w:val="0"/>
              <w:spacing w:line="360" w:lineRule="auto"/>
              <w:rPr>
                <w:rFonts w:hint="eastAsia" w:ascii="宋体" w:hAnsi="宋体"/>
                <w:color w:val="auto"/>
              </w:rPr>
            </w:pPr>
            <w:r>
              <w:rPr>
                <w:rFonts w:hint="eastAsia" w:ascii="宋体" w:hAnsi="宋体"/>
                <w:color w:val="auto"/>
              </w:rPr>
              <w:t>2、本项目采购代理服务费参照《河南省招标代理服务收费指导意见》豫招协[2023]002号文件规定的“河南省招标代理服务收费计算标准”收取，由成交供应商在领取成交通知书时，一次性向采购代理机构缴纳。</w:t>
            </w:r>
            <w:r>
              <w:rPr>
                <w:rFonts w:hint="eastAsia" w:ascii="宋体" w:hAnsi="宋体"/>
                <w:b/>
                <w:bCs/>
                <w:color w:val="auto"/>
              </w:rPr>
              <w:t>类别：货物招标。</w:t>
            </w:r>
          </w:p>
          <w:p w14:paraId="62A6B6E7">
            <w:pPr>
              <w:adjustRightInd w:val="0"/>
              <w:snapToGrid w:val="0"/>
              <w:spacing w:line="360" w:lineRule="auto"/>
              <w:rPr>
                <w:color w:val="auto"/>
              </w:rPr>
            </w:pPr>
            <w:r>
              <w:rPr>
                <w:rFonts w:hint="eastAsia" w:ascii="宋体" w:hAnsi="宋体"/>
                <w:color w:val="auto"/>
              </w:rPr>
              <w:t>供应商在转账和汇款时，请务必注明所投项目的项目名称（简写）代理服务费。</w:t>
            </w:r>
          </w:p>
        </w:tc>
      </w:tr>
      <w:tr w14:paraId="0FB5413C">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AD09F96">
            <w:pPr>
              <w:adjustRightInd w:val="0"/>
              <w:snapToGrid w:val="0"/>
              <w:spacing w:line="360" w:lineRule="auto"/>
              <w:jc w:val="center"/>
              <w:rPr>
                <w:rFonts w:ascii="宋体" w:hAnsi="宋体"/>
                <w:color w:val="auto"/>
              </w:rPr>
            </w:pPr>
            <w:r>
              <w:rPr>
                <w:rFonts w:hint="eastAsia" w:ascii="宋体" w:hAnsi="宋体"/>
                <w:color w:val="auto"/>
              </w:rPr>
              <w:t>10.5</w:t>
            </w:r>
          </w:p>
        </w:tc>
        <w:tc>
          <w:tcPr>
            <w:tcW w:w="1707" w:type="dxa"/>
            <w:tcBorders>
              <w:top w:val="single" w:color="auto" w:sz="4" w:space="0"/>
              <w:left w:val="nil"/>
              <w:bottom w:val="single" w:color="auto" w:sz="4" w:space="0"/>
              <w:right w:val="single" w:color="auto" w:sz="4" w:space="0"/>
            </w:tcBorders>
            <w:vAlign w:val="center"/>
          </w:tcPr>
          <w:p w14:paraId="1087257F">
            <w:pPr>
              <w:adjustRightInd w:val="0"/>
              <w:snapToGrid w:val="0"/>
              <w:spacing w:line="360" w:lineRule="auto"/>
              <w:jc w:val="center"/>
              <w:rPr>
                <w:rFonts w:hint="eastAsia" w:ascii="宋体" w:hAnsi="宋体"/>
                <w:color w:val="auto"/>
              </w:rPr>
            </w:pPr>
            <w:r>
              <w:rPr>
                <w:rFonts w:hint="eastAsia" w:ascii="宋体" w:hAnsi="宋体"/>
                <w:color w:val="auto"/>
              </w:rPr>
              <w:t>政府采购政策要求</w:t>
            </w:r>
          </w:p>
        </w:tc>
        <w:tc>
          <w:tcPr>
            <w:tcW w:w="6135" w:type="dxa"/>
            <w:tcBorders>
              <w:top w:val="single" w:color="auto" w:sz="4" w:space="0"/>
              <w:left w:val="nil"/>
              <w:bottom w:val="single" w:color="auto" w:sz="4" w:space="0"/>
              <w:right w:val="single" w:color="auto" w:sz="4" w:space="0"/>
            </w:tcBorders>
            <w:vAlign w:val="center"/>
          </w:tcPr>
          <w:p w14:paraId="23EE801B">
            <w:pPr>
              <w:adjustRightInd w:val="0"/>
              <w:snapToGrid w:val="0"/>
              <w:spacing w:line="360" w:lineRule="auto"/>
              <w:ind w:firstLineChars="0"/>
              <w:rPr>
                <w:rFonts w:ascii="宋体" w:hAnsi="宋体" w:cs="宋体"/>
                <w:color w:val="auto"/>
              </w:rPr>
            </w:pPr>
            <w:r>
              <w:rPr>
                <w:rFonts w:hint="eastAsia" w:ascii="宋体" w:hAnsi="宋体" w:cs="宋体"/>
                <w:color w:val="auto"/>
              </w:rPr>
              <w:t>1.为贯彻落实《财政部 工业和信息化部关于印发《政府采购促进中小企业发展管理办法》的通知》（财库〔2020〕46号）和《关于进一步加大政府采购支持中小企业力度的通知》（财库〔2022〕19号）。本项目鼓励中小企业参与，若供应商为符合政府采购政策价格扣除的小型及微型企业，应提交信息完整有效的《中小企业声明函》。若不能提供，则视为非小微型企业，价格不予扣除；（声明函格式详见第六章响应文件格式部分）</w:t>
            </w:r>
          </w:p>
          <w:p w14:paraId="5186682C">
            <w:pPr>
              <w:adjustRightInd w:val="0"/>
              <w:snapToGrid w:val="0"/>
              <w:spacing w:line="360" w:lineRule="auto"/>
              <w:ind w:firstLineChars="0"/>
              <w:rPr>
                <w:rFonts w:ascii="宋体" w:hAnsi="宋体" w:cs="宋体"/>
                <w:b/>
                <w:bCs/>
                <w:color w:val="auto"/>
              </w:rPr>
            </w:pPr>
            <w:r>
              <w:rPr>
                <w:rFonts w:hint="eastAsia" w:ascii="宋体" w:hAnsi="宋体" w:cs="宋体"/>
                <w:b/>
                <w:bCs/>
                <w:color w:val="auto"/>
              </w:rPr>
              <w:t>本项目对属于</w:t>
            </w:r>
            <w:r>
              <w:rPr>
                <w:rFonts w:hint="eastAsia" w:ascii="宋体" w:hAnsi="宋体" w:cs="宋体"/>
                <w:b/>
                <w:bCs/>
                <w:color w:val="auto"/>
                <w:u w:val="single"/>
              </w:rPr>
              <w:t>小型及微型</w:t>
            </w:r>
            <w:r>
              <w:rPr>
                <w:rFonts w:hint="eastAsia" w:ascii="宋体" w:hAnsi="宋体" w:cs="宋体"/>
                <w:b/>
                <w:bCs/>
                <w:color w:val="auto"/>
              </w:rPr>
              <w:t>企业的供应商报价给予10%的价格扣除。</w:t>
            </w:r>
          </w:p>
          <w:p w14:paraId="7C8F3970">
            <w:pPr>
              <w:adjustRightInd w:val="0"/>
              <w:snapToGrid w:val="0"/>
              <w:spacing w:line="360" w:lineRule="auto"/>
              <w:ind w:firstLineChars="0"/>
              <w:rPr>
                <w:rFonts w:ascii="宋体" w:hAnsi="宋体" w:cs="宋体"/>
                <w:color w:val="auto"/>
              </w:rPr>
            </w:pPr>
            <w:r>
              <w:rPr>
                <w:rFonts w:hint="eastAsia" w:ascii="宋体" w:hAnsi="宋体" w:cs="宋体"/>
                <w:color w:val="auto"/>
              </w:rPr>
              <w:t>说明：投标货物全部由小微企业制造，即货物由小微企业生产且使用该小微企业商号或者注册商标的视为小微企业。大型企业提供小微企业制造的货物视同为小微企业。</w:t>
            </w:r>
          </w:p>
          <w:p w14:paraId="726208B4">
            <w:pPr>
              <w:adjustRightInd w:val="0"/>
              <w:snapToGrid w:val="0"/>
              <w:spacing w:line="360" w:lineRule="auto"/>
              <w:ind w:firstLineChars="0"/>
              <w:rPr>
                <w:rFonts w:hint="eastAsia" w:ascii="宋体" w:hAnsi="宋体" w:cs="宋体"/>
                <w:color w:val="auto"/>
              </w:rPr>
            </w:pPr>
            <w:r>
              <w:rPr>
                <w:rFonts w:hint="eastAsia" w:ascii="宋体" w:hAnsi="宋体" w:cs="宋体"/>
                <w:color w:val="auto"/>
              </w:rPr>
              <w:t>2．中小企业划型标准以《工业和信息化部国家统计局国家发展和改革委财政部关于印发中小企业划型标准规定的通知》（工信部联企业〔2011〕300号）为依据。其中企业的营业收入、资产总额判定依据为最近一年度的财务审计报告，企业从业人员总数判定依据为缴纳统筹人员总数。</w:t>
            </w:r>
          </w:p>
          <w:p w14:paraId="0A0B3C3B">
            <w:pPr>
              <w:adjustRightInd w:val="0"/>
              <w:snapToGrid w:val="0"/>
              <w:spacing w:line="360" w:lineRule="auto"/>
              <w:ind w:firstLineChars="0"/>
              <w:rPr>
                <w:rFonts w:ascii="宋体" w:hAnsi="宋体" w:cs="宋体"/>
                <w:color w:val="auto"/>
              </w:rPr>
            </w:pPr>
            <w:r>
              <w:rPr>
                <w:rFonts w:hint="eastAsia" w:ascii="宋体" w:hAnsi="宋体" w:cs="宋体"/>
                <w:color w:val="auto"/>
              </w:rPr>
              <w:t>3.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w:t>
            </w:r>
          </w:p>
          <w:p w14:paraId="50F7AFB5">
            <w:pPr>
              <w:adjustRightInd w:val="0"/>
              <w:snapToGrid w:val="0"/>
              <w:spacing w:line="360" w:lineRule="auto"/>
              <w:ind w:firstLineChars="0"/>
              <w:rPr>
                <w:rFonts w:ascii="宋体" w:hAnsi="宋体" w:cs="宋体"/>
                <w:color w:val="auto"/>
              </w:rPr>
            </w:pPr>
            <w:r>
              <w:rPr>
                <w:rFonts w:hint="eastAsia" w:ascii="宋体" w:hAnsi="宋体" w:cs="宋体"/>
                <w:color w:val="auto"/>
              </w:rPr>
              <w:t>4.根据《财政部、民政部、中国残疾人联合会关于促进残疾人就业政府采购政策的通知》（财库〔2017〕141号）规定，本项目支持残疾人福利性单位参与政府采购活动。在政府采购活动中，残疾人福利性单位视同小型、微型企业，享受评审中价格扣除等促进中小企业发展的政府采购政策。</w:t>
            </w:r>
          </w:p>
          <w:p w14:paraId="2B4C44AE">
            <w:pPr>
              <w:adjustRightInd w:val="0"/>
              <w:snapToGrid w:val="0"/>
              <w:spacing w:line="360" w:lineRule="auto"/>
              <w:jc w:val="left"/>
              <w:rPr>
                <w:rFonts w:hint="eastAsia" w:ascii="宋体" w:hAnsi="宋体"/>
                <w:b/>
                <w:bCs/>
                <w:color w:val="auto"/>
              </w:rPr>
            </w:pPr>
            <w:r>
              <w:rPr>
                <w:rFonts w:hint="eastAsia" w:ascii="宋体" w:hAnsi="宋体"/>
                <w:color w:val="auto"/>
              </w:rPr>
              <w:t>5.根据《财政部 发展改革委 生态环境部 市场监管总局关于调整优化节能产品、环境标志产品政府采购执行机制的通知》（财库〔2019〕9 号）和《关于印发节能产品政府采购品目清单的通知》（财库〔2019〕19 号）的规定，应当依据国家确定的认证机构出具的、处于有效期之内的节能产品、环境标志产品认证证书，对获得证书的产品实施政府强制采购或优先采购。属于优先采购节能产品的，未提供节能产品认证证书的不予优先推荐。属于政府强制采购节能产品的，未提供强制采购节能产品认证证书的其投标将被认定为投标无效</w:t>
            </w:r>
            <w:r>
              <w:rPr>
                <w:rFonts w:hint="eastAsia" w:ascii="宋体" w:hAnsi="宋体" w:cs="宋体"/>
                <w:color w:val="auto"/>
                <w:kern w:val="0"/>
              </w:rPr>
              <w:t>。</w:t>
            </w:r>
            <w:r>
              <w:rPr>
                <w:rFonts w:hint="eastAsia" w:ascii="宋体" w:hAnsi="宋体"/>
                <w:b/>
                <w:bCs/>
                <w:color w:val="auto"/>
              </w:rPr>
              <w:t>本项目不涉及。</w:t>
            </w:r>
          </w:p>
          <w:p w14:paraId="3765632A">
            <w:pPr>
              <w:adjustRightInd w:val="0"/>
              <w:snapToGrid w:val="0"/>
              <w:spacing w:line="360" w:lineRule="auto"/>
              <w:jc w:val="left"/>
              <w:rPr>
                <w:rFonts w:hint="eastAsia" w:ascii="宋体" w:hAnsi="宋体"/>
                <w:color w:val="auto"/>
              </w:rPr>
            </w:pPr>
            <w:r>
              <w:rPr>
                <w:rFonts w:hint="eastAsia" w:ascii="宋体" w:hAnsi="宋体"/>
                <w:color w:val="auto"/>
              </w:rPr>
              <w:t>6.投标产品已列入强制性产品认证目录的，必须经过经国家认监委指定的认证机构认证。提供有效认证证书复印件，否则其投标将被认定为投标无效。</w:t>
            </w:r>
          </w:p>
          <w:p w14:paraId="125A0883">
            <w:pPr>
              <w:adjustRightInd w:val="0"/>
              <w:snapToGrid w:val="0"/>
              <w:spacing w:line="360" w:lineRule="auto"/>
              <w:jc w:val="left"/>
              <w:rPr>
                <w:rFonts w:hint="eastAsia" w:ascii="宋体" w:hAnsi="宋体"/>
                <w:b/>
                <w:bCs/>
                <w:color w:val="auto"/>
              </w:rPr>
            </w:pPr>
            <w:r>
              <w:rPr>
                <w:rFonts w:hint="eastAsia" w:ascii="宋体" w:hAnsi="宋体"/>
                <w:b/>
                <w:bCs/>
                <w:color w:val="auto"/>
              </w:rPr>
              <w:t>本项目所涉及的强制认证产品：无。</w:t>
            </w:r>
          </w:p>
          <w:p w14:paraId="25E543B4">
            <w:pPr>
              <w:adjustRightInd w:val="0"/>
              <w:snapToGrid w:val="0"/>
              <w:spacing w:line="360" w:lineRule="auto"/>
              <w:jc w:val="left"/>
              <w:rPr>
                <w:rFonts w:hint="eastAsia" w:ascii="宋体" w:hAnsi="宋体"/>
                <w:color w:val="auto"/>
              </w:rPr>
            </w:pPr>
            <w:r>
              <w:rPr>
                <w:rFonts w:hint="eastAsia" w:ascii="宋体" w:hAnsi="宋体"/>
                <w:color w:val="auto"/>
              </w:rPr>
              <w:t>7.投标产品的包装应符合《财政部等三部门联合印发商品包装和快递包装政府采购需求标准（试行）》（财办库〔2020〕123 号）的规定。</w:t>
            </w:r>
          </w:p>
          <w:p w14:paraId="675BBD81">
            <w:pPr>
              <w:adjustRightInd w:val="0"/>
              <w:snapToGrid w:val="0"/>
              <w:spacing w:line="360" w:lineRule="auto"/>
              <w:rPr>
                <w:rFonts w:ascii="宋体" w:hAnsi="宋体" w:cs="宋体"/>
                <w:color w:val="auto"/>
              </w:rPr>
            </w:pPr>
            <w:r>
              <w:rPr>
                <w:rFonts w:hint="eastAsia" w:ascii="宋体" w:hAnsi="宋体" w:cs="宋体"/>
                <w:color w:val="auto"/>
                <w:szCs w:val="24"/>
              </w:rPr>
              <w:t>8.</w:t>
            </w:r>
            <w:r>
              <w:rPr>
                <w:rFonts w:hint="eastAsia" w:ascii="宋体" w:hAnsi="宋体" w:cs="宋体"/>
                <w:color w:val="auto"/>
              </w:rPr>
              <w:t>根据国家互联网信息办公室、工业和信息化部、公安部、国家认证认可监督管理委员会关于调整网络安全专用产品安全管理有关事项的公告（2023年第1号）和关于调整《网络关键设备和网络安全专用产品目录》的公告（2023年第2号），如投标产品列入《网络关键设备和网络安全专用产品目录》，应当按照《信息安全技术网络安全专用产品安全技术要求》等相关国家标准的强制性要求，由具备资格的机构安全认证合格或者安全检测符合要求后，方可销售或者提供。</w:t>
            </w:r>
          </w:p>
          <w:p w14:paraId="4581EC3C">
            <w:pPr>
              <w:adjustRightInd w:val="0"/>
              <w:snapToGrid w:val="0"/>
              <w:spacing w:line="360" w:lineRule="auto"/>
              <w:rPr>
                <w:rFonts w:ascii="宋体" w:hAnsi="宋体" w:cs="宋体"/>
                <w:b/>
                <w:bCs/>
                <w:color w:val="auto"/>
              </w:rPr>
            </w:pPr>
            <w:r>
              <w:rPr>
                <w:rFonts w:hint="eastAsia" w:ascii="宋体" w:hAnsi="宋体" w:cs="宋体"/>
                <w:b/>
                <w:bCs/>
                <w:color w:val="auto"/>
                <w:kern w:val="0"/>
              </w:rPr>
              <w:t>本项目不涉及</w:t>
            </w:r>
            <w:r>
              <w:rPr>
                <w:rFonts w:hint="eastAsia" w:ascii="宋体" w:hAnsi="宋体" w:cs="宋体"/>
                <w:b/>
                <w:bCs/>
                <w:color w:val="auto"/>
              </w:rPr>
              <w:t>网络关键设备和网络安全专用产品。</w:t>
            </w:r>
          </w:p>
          <w:p w14:paraId="245082A1">
            <w:pPr>
              <w:adjustRightInd w:val="0"/>
              <w:snapToGrid w:val="0"/>
              <w:spacing w:line="360" w:lineRule="auto"/>
              <w:rPr>
                <w:rFonts w:ascii="宋体" w:hAnsi="宋体" w:cs="宋体"/>
                <w:b/>
                <w:bCs/>
                <w:color w:val="auto"/>
              </w:rPr>
            </w:pPr>
            <w:r>
              <w:rPr>
                <w:rFonts w:hint="eastAsia" w:ascii="宋体" w:hAnsi="宋体" w:cs="宋体"/>
                <w:b/>
                <w:bCs/>
                <w:color w:val="auto"/>
              </w:rPr>
              <w:t>9.对本国产品的支持政策</w:t>
            </w:r>
          </w:p>
          <w:p w14:paraId="3FB0233E">
            <w:pPr>
              <w:adjustRightInd w:val="0"/>
              <w:snapToGrid w:val="0"/>
              <w:spacing w:line="360" w:lineRule="auto"/>
              <w:rPr>
                <w:rFonts w:ascii="宋体" w:hAnsi="宋体" w:cs="宋体"/>
                <w:color w:val="auto"/>
              </w:rPr>
            </w:pPr>
            <w:r>
              <w:rPr>
                <w:rFonts w:hint="eastAsia" w:ascii="宋体" w:hAnsi="宋体" w:cs="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44E9AC">
            <w:pPr>
              <w:adjustRightInd w:val="0"/>
              <w:snapToGrid w:val="0"/>
              <w:spacing w:line="360" w:lineRule="auto"/>
              <w:rPr>
                <w:rFonts w:ascii="宋体" w:hAnsi="宋体" w:cs="宋体"/>
                <w:color w:val="auto"/>
              </w:rPr>
            </w:pPr>
            <w:r>
              <w:rPr>
                <w:rFonts w:hint="eastAsia" w:ascii="宋体" w:hAnsi="宋体" w:cs="宋体"/>
                <w:color w:val="auto"/>
              </w:rPr>
              <w:t>评标委员会须根据《国务院办公厅关于在政府采购中实施本国产品标准及相关政策的通知》（国办发〔2025〕34号）的规定，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65C557C1">
            <w:pPr>
              <w:adjustRightInd w:val="0"/>
              <w:snapToGrid w:val="0"/>
              <w:spacing w:line="360" w:lineRule="auto"/>
              <w:rPr>
                <w:rFonts w:ascii="宋体" w:hAnsi="宋体" w:cs="宋体"/>
                <w:color w:val="auto"/>
              </w:rPr>
            </w:pPr>
            <w:r>
              <w:rPr>
                <w:rFonts w:hint="eastAsia" w:ascii="宋体" w:hAnsi="宋体" w:cs="宋体"/>
                <w:color w:val="auto"/>
              </w:rPr>
              <w:t>本国产品应符合的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在分产品的中国境内生产组件成本占比要求，以及对特定产品关键组件、关键工序的相关要求实施前，只要是符合在中国境内生产要求的产品，在政府采购活动中即视同本国产品。</w:t>
            </w:r>
          </w:p>
          <w:p w14:paraId="5EC47302">
            <w:pPr>
              <w:adjustRightInd w:val="0"/>
              <w:snapToGrid w:val="0"/>
              <w:spacing w:line="360" w:lineRule="auto"/>
              <w:rPr>
                <w:rFonts w:ascii="宋体" w:hAnsi="宋体" w:cs="宋体"/>
                <w:color w:val="auto"/>
              </w:rPr>
            </w:pPr>
            <w:r>
              <w:rPr>
                <w:rFonts w:hint="eastAsia" w:ascii="宋体" w:hAnsi="宋体" w:cs="宋体"/>
                <w:color w:val="auto"/>
              </w:rPr>
              <w:t>投标供应商须对其提供的产品出具《关于符合本国产品标准的声明函》或财政部会同有关部门规定的有关证明文件。</w:t>
            </w:r>
          </w:p>
          <w:p w14:paraId="317D0325">
            <w:pPr>
              <w:adjustRightInd w:val="0"/>
              <w:snapToGrid w:val="0"/>
              <w:spacing w:line="360" w:lineRule="auto"/>
              <w:rPr>
                <w:rFonts w:ascii="宋体" w:hAnsi="宋体" w:cs="宋体"/>
                <w:color w:val="auto"/>
              </w:rPr>
            </w:pPr>
            <w:r>
              <w:rPr>
                <w:rFonts w:hint="eastAsia" w:ascii="宋体" w:hAnsi="宋体" w:cs="宋体"/>
                <w:color w:val="auto"/>
              </w:rPr>
              <w:t>采购人、采购代理机构应当随中标、成交结果同时公告中标、成交供应商提供的《声明函》或有关证明文件。</w:t>
            </w:r>
          </w:p>
          <w:p w14:paraId="0B11B33B">
            <w:pPr>
              <w:adjustRightInd w:val="0"/>
              <w:snapToGrid w:val="0"/>
              <w:spacing w:line="360" w:lineRule="auto"/>
              <w:rPr>
                <w:rFonts w:hint="default" w:ascii="宋体" w:hAnsi="宋体" w:eastAsia="宋体" w:cs="宋体"/>
                <w:color w:val="auto"/>
                <w:lang w:val="en-US" w:eastAsia="zh-CN"/>
              </w:rPr>
            </w:pPr>
            <w:r>
              <w:rPr>
                <w:rFonts w:hint="eastAsia" w:ascii="宋体" w:hAnsi="宋体" w:cs="宋体"/>
                <w:color w:val="auto"/>
              </w:rPr>
              <w:t>供应商提供虚假《声明函》或虚假证明文件谋取中标、成交的，依照《中华人民共和国政府采购法》等法律法规规定追究相应责任。</w:t>
            </w:r>
          </w:p>
        </w:tc>
      </w:tr>
      <w:tr w14:paraId="69A1F327">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379461D4">
            <w:pPr>
              <w:adjustRightInd w:val="0"/>
              <w:snapToGrid w:val="0"/>
              <w:spacing w:line="360" w:lineRule="auto"/>
              <w:jc w:val="center"/>
              <w:rPr>
                <w:rFonts w:hint="eastAsia" w:ascii="宋体" w:hAnsi="宋体"/>
                <w:color w:val="auto"/>
              </w:rPr>
            </w:pPr>
            <w:bookmarkStart w:id="47" w:name="_Toc466298091"/>
            <w:r>
              <w:rPr>
                <w:rFonts w:hint="eastAsia" w:ascii="宋体" w:hAnsi="宋体"/>
                <w:color w:val="auto"/>
              </w:rPr>
              <w:t>10.6</w:t>
            </w:r>
          </w:p>
        </w:tc>
        <w:tc>
          <w:tcPr>
            <w:tcW w:w="1707" w:type="dxa"/>
            <w:tcBorders>
              <w:top w:val="single" w:color="auto" w:sz="4" w:space="0"/>
              <w:left w:val="nil"/>
              <w:bottom w:val="single" w:color="auto" w:sz="4" w:space="0"/>
              <w:right w:val="single" w:color="auto" w:sz="4" w:space="0"/>
            </w:tcBorders>
            <w:vAlign w:val="center"/>
          </w:tcPr>
          <w:p w14:paraId="5279E359">
            <w:pPr>
              <w:adjustRightInd w:val="0"/>
              <w:snapToGrid w:val="0"/>
              <w:spacing w:line="360" w:lineRule="auto"/>
              <w:jc w:val="center"/>
              <w:rPr>
                <w:rFonts w:hint="eastAsia" w:ascii="宋体" w:hAnsi="宋体"/>
                <w:color w:val="auto"/>
              </w:rPr>
            </w:pPr>
            <w:r>
              <w:rPr>
                <w:rStyle w:val="97"/>
                <w:rFonts w:hint="eastAsia" w:ascii="宋体" w:hAnsi="宋体" w:cs="宋体"/>
                <w:color w:val="auto"/>
                <w:szCs w:val="24"/>
              </w:rPr>
              <w:t>本项目所属行业</w:t>
            </w:r>
          </w:p>
        </w:tc>
        <w:tc>
          <w:tcPr>
            <w:tcW w:w="6135" w:type="dxa"/>
            <w:tcBorders>
              <w:top w:val="single" w:color="auto" w:sz="4" w:space="0"/>
              <w:left w:val="nil"/>
              <w:bottom w:val="single" w:color="auto" w:sz="4" w:space="0"/>
              <w:right w:val="single" w:color="auto" w:sz="4" w:space="0"/>
            </w:tcBorders>
            <w:vAlign w:val="center"/>
          </w:tcPr>
          <w:p w14:paraId="2913A54D">
            <w:pPr>
              <w:adjustRightInd w:val="0"/>
              <w:snapToGrid w:val="0"/>
              <w:spacing w:line="360" w:lineRule="auto"/>
              <w:rPr>
                <w:rStyle w:val="97"/>
                <w:rFonts w:ascii="宋体" w:hAnsi="宋体" w:cs="宋体"/>
                <w:b/>
                <w:bCs/>
                <w:color w:val="auto"/>
                <w:szCs w:val="24"/>
              </w:rPr>
            </w:pPr>
            <w:r>
              <w:rPr>
                <w:rStyle w:val="97"/>
                <w:rFonts w:hint="eastAsia" w:ascii="宋体" w:hAnsi="宋体" w:cs="宋体"/>
                <w:b/>
                <w:bCs/>
                <w:color w:val="auto"/>
                <w:szCs w:val="24"/>
              </w:rPr>
              <w:t>本项目所属行业:</w:t>
            </w:r>
            <w:r>
              <w:rPr>
                <w:rStyle w:val="97"/>
                <w:rFonts w:ascii="宋体" w:hAnsi="宋体" w:cs="宋体"/>
                <w:b/>
                <w:bCs/>
                <w:color w:val="auto"/>
                <w:szCs w:val="24"/>
              </w:rPr>
              <w:t>工业</w:t>
            </w:r>
          </w:p>
          <w:p w14:paraId="71B937E3">
            <w:pPr>
              <w:adjustRightInd w:val="0"/>
              <w:snapToGrid w:val="0"/>
              <w:spacing w:line="360" w:lineRule="auto"/>
              <w:jc w:val="left"/>
              <w:rPr>
                <w:rFonts w:hint="eastAsia" w:ascii="宋体" w:hAnsi="宋体"/>
                <w:color w:val="auto"/>
              </w:rPr>
            </w:pPr>
            <w:r>
              <w:rPr>
                <w:rStyle w:val="97"/>
                <w:rFonts w:hint="eastAsia" w:ascii="宋体" w:hAnsi="宋体" w:cs="宋体"/>
                <w:color w:val="auto"/>
                <w:szCs w:val="24"/>
              </w:rPr>
              <w:t>中小企业划型标准：中小微企业划分按照“工业和信息化部、国家统计局、国家发展和改革委员会、财政部文件《关于印发中小企业划型标准规定的通知》（工信部联企业【2011】300号）”规定的划型标准为依据。</w:t>
            </w:r>
          </w:p>
        </w:tc>
      </w:tr>
      <w:tr w14:paraId="6DCD68F2">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04FA0A65">
            <w:pPr>
              <w:adjustRightInd w:val="0"/>
              <w:snapToGrid w:val="0"/>
              <w:spacing w:line="360" w:lineRule="auto"/>
              <w:jc w:val="center"/>
              <w:rPr>
                <w:rFonts w:hint="eastAsia" w:ascii="宋体" w:hAnsi="宋体"/>
                <w:color w:val="auto"/>
              </w:rPr>
            </w:pPr>
            <w:r>
              <w:rPr>
                <w:rFonts w:hint="eastAsia" w:ascii="宋体" w:hAnsi="宋体"/>
                <w:color w:val="auto"/>
              </w:rPr>
              <w:t>10.7</w:t>
            </w:r>
          </w:p>
        </w:tc>
        <w:tc>
          <w:tcPr>
            <w:tcW w:w="1707" w:type="dxa"/>
            <w:tcBorders>
              <w:top w:val="single" w:color="auto" w:sz="4" w:space="0"/>
              <w:left w:val="nil"/>
              <w:bottom w:val="single" w:color="auto" w:sz="4" w:space="0"/>
              <w:right w:val="single" w:color="auto" w:sz="4" w:space="0"/>
            </w:tcBorders>
            <w:vAlign w:val="center"/>
          </w:tcPr>
          <w:p w14:paraId="076D7566">
            <w:pPr>
              <w:adjustRightInd w:val="0"/>
              <w:snapToGrid w:val="0"/>
              <w:spacing w:line="360" w:lineRule="auto"/>
              <w:jc w:val="center"/>
              <w:rPr>
                <w:rStyle w:val="97"/>
                <w:rFonts w:hint="eastAsia" w:ascii="宋体" w:hAnsi="宋体" w:cs="宋体"/>
                <w:color w:val="auto"/>
                <w:szCs w:val="24"/>
              </w:rPr>
            </w:pPr>
            <w:r>
              <w:rPr>
                <w:rStyle w:val="97"/>
                <w:rFonts w:hint="eastAsia" w:ascii="宋体" w:hAnsi="宋体" w:cs="宋体"/>
                <w:color w:val="auto"/>
                <w:szCs w:val="24"/>
              </w:rPr>
              <w:t>质疑投诉</w:t>
            </w:r>
          </w:p>
        </w:tc>
        <w:tc>
          <w:tcPr>
            <w:tcW w:w="6135" w:type="dxa"/>
            <w:tcBorders>
              <w:top w:val="single" w:color="auto" w:sz="4" w:space="0"/>
              <w:left w:val="nil"/>
              <w:bottom w:val="single" w:color="auto" w:sz="4" w:space="0"/>
              <w:right w:val="single" w:color="auto" w:sz="4" w:space="0"/>
            </w:tcBorders>
            <w:vAlign w:val="center"/>
          </w:tcPr>
          <w:p w14:paraId="0D3D8015">
            <w:pPr>
              <w:adjustRightInd w:val="0"/>
              <w:snapToGrid w:val="0"/>
              <w:spacing w:line="360" w:lineRule="auto"/>
              <w:rPr>
                <w:color w:val="auto"/>
              </w:rPr>
            </w:pPr>
            <w:r>
              <w:rPr>
                <w:rFonts w:hint="eastAsia"/>
                <w:color w:val="auto"/>
              </w:rPr>
              <w:t>针对同一采购程序环节的质疑次数：</w:t>
            </w:r>
            <w:r>
              <w:rPr>
                <w:rFonts w:hint="eastAsia"/>
                <w:b/>
                <w:bCs/>
                <w:color w:val="auto"/>
              </w:rPr>
              <w:t>一次性提出</w:t>
            </w:r>
          </w:p>
          <w:p w14:paraId="0B6757AF">
            <w:pPr>
              <w:adjustRightInd w:val="0"/>
              <w:snapToGrid w:val="0"/>
              <w:spacing w:line="360" w:lineRule="auto"/>
              <w:rPr>
                <w:color w:val="auto"/>
              </w:rPr>
            </w:pPr>
            <w:r>
              <w:rPr>
                <w:rFonts w:hint="eastAsia"/>
                <w:color w:val="auto"/>
              </w:rPr>
              <w:t>供应商认为竞争性磋商文件、采购过程、中标或者成交结果使自己的权益受到损害的，可以在知道或者应知其权益受到损害之日起7个工作日内，以书面形式向采购人、采购代理机构提出质疑，具体事项按照《中华人民共和国财政部令第94号--政府采购质疑和投诉办法》执行。</w:t>
            </w:r>
          </w:p>
          <w:p w14:paraId="169B94F1">
            <w:pPr>
              <w:adjustRightInd w:val="0"/>
              <w:snapToGrid w:val="0"/>
              <w:spacing w:line="360" w:lineRule="auto"/>
              <w:rPr>
                <w:color w:val="auto"/>
              </w:rPr>
            </w:pPr>
            <w:r>
              <w:rPr>
                <w:rFonts w:hint="eastAsia"/>
                <w:color w:val="auto"/>
              </w:rPr>
              <w:t>提出质疑的供应商（以下简称质疑供应商）应当是参与所质疑项目采购活动的供应商。</w:t>
            </w:r>
          </w:p>
          <w:p w14:paraId="69AD9626">
            <w:pPr>
              <w:adjustRightInd w:val="0"/>
              <w:snapToGrid w:val="0"/>
              <w:spacing w:line="360" w:lineRule="auto"/>
              <w:rPr>
                <w:color w:val="auto"/>
              </w:rPr>
            </w:pPr>
            <w:r>
              <w:rPr>
                <w:rFonts w:hint="eastAsia"/>
                <w:color w:val="auto"/>
              </w:rPr>
              <w:t>采购人、采购代理机构接收质疑函的方式：</w:t>
            </w:r>
          </w:p>
          <w:p w14:paraId="43661D46">
            <w:pPr>
              <w:adjustRightInd w:val="0"/>
              <w:snapToGrid w:val="0"/>
              <w:spacing w:line="360" w:lineRule="auto"/>
              <w:rPr>
                <w:color w:val="auto"/>
              </w:rPr>
            </w:pPr>
            <w:r>
              <w:rPr>
                <w:rFonts w:hint="eastAsia"/>
                <w:color w:val="auto"/>
              </w:rPr>
              <w:t>对竞争性磋商文件、采购过程提出的质疑：在河南省公共资源交易系统内提出，并电话告知代理机构。同时将签字盖章的PDF纸质版</w:t>
            </w:r>
            <w:r>
              <w:rPr>
                <w:rFonts w:hint="eastAsia"/>
                <w:color w:val="auto"/>
                <w:lang w:eastAsia="zh-CN"/>
              </w:rPr>
              <w:t>及</w:t>
            </w:r>
            <w:r>
              <w:rPr>
                <w:rFonts w:hint="eastAsia"/>
                <w:color w:val="auto"/>
                <w:lang w:val="en-US" w:eastAsia="zh-CN"/>
              </w:rPr>
              <w:t>word可编辑版质疑</w:t>
            </w:r>
            <w:r>
              <w:rPr>
                <w:rFonts w:hint="eastAsia"/>
                <w:color w:val="auto"/>
              </w:rPr>
              <w:t>文件扫描发</w:t>
            </w:r>
            <w:r>
              <w:rPr>
                <w:rFonts w:hint="eastAsia"/>
                <w:color w:val="auto"/>
                <w:lang w:eastAsia="zh-CN"/>
              </w:rPr>
              <w:t>送</w:t>
            </w:r>
            <w:r>
              <w:rPr>
                <w:rFonts w:hint="eastAsia"/>
                <w:color w:val="auto"/>
              </w:rPr>
              <w:t>至招标代理邮箱:zjsh86556161@163.com。</w:t>
            </w:r>
          </w:p>
          <w:p w14:paraId="3F7DEEBB">
            <w:pPr>
              <w:adjustRightInd w:val="0"/>
              <w:snapToGrid w:val="0"/>
              <w:spacing w:line="360" w:lineRule="auto"/>
              <w:rPr>
                <w:color w:val="auto"/>
              </w:rPr>
            </w:pPr>
            <w:r>
              <w:rPr>
                <w:rFonts w:hint="eastAsia"/>
                <w:color w:val="auto"/>
              </w:rPr>
              <w:t>对成交结果提出的质疑：书面形式当面递交，由法定代表人或其授权代表携带本人身份证件（原件和加盖公章的复印件）、质疑函原件(加盖公章及法定代表人或其授权代表签字)及相关证明材料向采购人和采购代理机构提出质疑，逾期将不再受理，质疑函格式详见附件1。</w:t>
            </w:r>
          </w:p>
          <w:p w14:paraId="5D3C4FC7">
            <w:pPr>
              <w:adjustRightInd w:val="0"/>
              <w:snapToGrid w:val="0"/>
              <w:spacing w:line="360" w:lineRule="auto"/>
              <w:rPr>
                <w:rStyle w:val="97"/>
                <w:rFonts w:hint="eastAsia" w:ascii="宋体" w:hAnsi="宋体" w:cs="宋体"/>
                <w:color w:val="auto"/>
                <w:szCs w:val="24"/>
              </w:rPr>
            </w:pPr>
            <w:r>
              <w:rPr>
                <w:rFonts w:hint="eastAsia"/>
                <w:color w:val="auto"/>
              </w:rPr>
              <w:t>接受质疑的联系电话和通讯地址详见竞争性磋商公告。</w:t>
            </w:r>
          </w:p>
        </w:tc>
      </w:tr>
      <w:tr w14:paraId="304EE363">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7C3FFC14">
            <w:pPr>
              <w:adjustRightInd w:val="0"/>
              <w:snapToGrid w:val="0"/>
              <w:spacing w:line="360" w:lineRule="auto"/>
              <w:jc w:val="center"/>
              <w:rPr>
                <w:rFonts w:hint="eastAsia" w:ascii="宋体" w:hAnsi="宋体"/>
                <w:color w:val="auto"/>
              </w:rPr>
            </w:pPr>
            <w:r>
              <w:rPr>
                <w:rFonts w:hint="eastAsia" w:ascii="宋体" w:hAnsi="宋体"/>
                <w:color w:val="auto"/>
              </w:rPr>
              <w:t>10.</w:t>
            </w:r>
            <w:bookmarkEnd w:id="47"/>
            <w:r>
              <w:rPr>
                <w:rFonts w:hint="eastAsia" w:ascii="宋体" w:hAnsi="宋体"/>
                <w:color w:val="auto"/>
              </w:rPr>
              <w:t>8</w:t>
            </w:r>
          </w:p>
        </w:tc>
        <w:tc>
          <w:tcPr>
            <w:tcW w:w="1707" w:type="dxa"/>
            <w:tcBorders>
              <w:top w:val="single" w:color="auto" w:sz="4" w:space="0"/>
              <w:left w:val="nil"/>
              <w:bottom w:val="single" w:color="auto" w:sz="4" w:space="0"/>
              <w:right w:val="single" w:color="auto" w:sz="4" w:space="0"/>
            </w:tcBorders>
            <w:vAlign w:val="center"/>
          </w:tcPr>
          <w:p w14:paraId="3DB68852">
            <w:pPr>
              <w:adjustRightInd w:val="0"/>
              <w:snapToGrid w:val="0"/>
              <w:spacing w:line="360" w:lineRule="auto"/>
              <w:jc w:val="center"/>
              <w:rPr>
                <w:rFonts w:hint="eastAsia" w:ascii="宋体" w:hAnsi="宋体"/>
                <w:color w:val="auto"/>
              </w:rPr>
            </w:pPr>
            <w:r>
              <w:rPr>
                <w:rFonts w:hint="eastAsia" w:ascii="宋体" w:hAnsi="宋体"/>
                <w:color w:val="auto"/>
              </w:rPr>
              <w:t>政府采购合同融资政策</w:t>
            </w:r>
          </w:p>
        </w:tc>
        <w:tc>
          <w:tcPr>
            <w:tcW w:w="6135" w:type="dxa"/>
            <w:tcBorders>
              <w:top w:val="single" w:color="auto" w:sz="4" w:space="0"/>
              <w:left w:val="nil"/>
              <w:bottom w:val="single" w:color="auto" w:sz="4" w:space="0"/>
              <w:right w:val="single" w:color="auto" w:sz="4" w:space="0"/>
            </w:tcBorders>
            <w:vAlign w:val="center"/>
          </w:tcPr>
          <w:p w14:paraId="1E9891C6">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河南省政府采购合同融资政策告知函</w:t>
            </w:r>
          </w:p>
          <w:p w14:paraId="5E1D268E">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各供应商：</w:t>
            </w:r>
          </w:p>
          <w:p w14:paraId="1F5CF652">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欢迎贵公司参与河南省政府采购活动！</w:t>
            </w:r>
          </w:p>
          <w:p w14:paraId="4C626E5F">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7311065">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贷款渠道和提供贷款的金融机构，可在河南省政府采购网“河南省政府采购合同融资平台”查询联系。</w:t>
            </w:r>
          </w:p>
        </w:tc>
      </w:tr>
      <w:tr w14:paraId="3F949946">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D7607A2">
            <w:pPr>
              <w:adjustRightInd w:val="0"/>
              <w:snapToGrid w:val="0"/>
              <w:spacing w:line="360" w:lineRule="auto"/>
              <w:jc w:val="center"/>
              <w:rPr>
                <w:rFonts w:hint="eastAsia" w:ascii="宋体" w:hAnsi="宋体"/>
                <w:color w:val="auto"/>
              </w:rPr>
            </w:pPr>
            <w:r>
              <w:rPr>
                <w:rFonts w:hint="eastAsia" w:ascii="宋体" w:hAnsi="宋体"/>
                <w:color w:val="auto"/>
              </w:rPr>
              <w:t>10.9</w:t>
            </w:r>
          </w:p>
        </w:tc>
        <w:tc>
          <w:tcPr>
            <w:tcW w:w="1707" w:type="dxa"/>
            <w:tcBorders>
              <w:top w:val="single" w:color="auto" w:sz="4" w:space="0"/>
              <w:left w:val="nil"/>
              <w:bottom w:val="single" w:color="auto" w:sz="4" w:space="0"/>
              <w:right w:val="single" w:color="auto" w:sz="4" w:space="0"/>
            </w:tcBorders>
            <w:vAlign w:val="center"/>
          </w:tcPr>
          <w:p w14:paraId="140FB44F">
            <w:pPr>
              <w:adjustRightInd w:val="0"/>
              <w:snapToGrid w:val="0"/>
              <w:spacing w:line="360" w:lineRule="auto"/>
              <w:jc w:val="center"/>
              <w:rPr>
                <w:rFonts w:hint="eastAsia" w:ascii="宋体" w:hAnsi="宋体"/>
                <w:color w:val="auto"/>
              </w:rPr>
            </w:pPr>
            <w:r>
              <w:rPr>
                <w:rFonts w:hint="eastAsia" w:ascii="宋体" w:hAnsi="宋体"/>
                <w:color w:val="auto"/>
              </w:rPr>
              <w:t>关于知识产权</w:t>
            </w:r>
          </w:p>
        </w:tc>
        <w:tc>
          <w:tcPr>
            <w:tcW w:w="6135" w:type="dxa"/>
            <w:tcBorders>
              <w:top w:val="single" w:color="auto" w:sz="4" w:space="0"/>
              <w:left w:val="nil"/>
              <w:bottom w:val="single" w:color="auto" w:sz="4" w:space="0"/>
              <w:right w:val="single" w:color="auto" w:sz="4" w:space="0"/>
            </w:tcBorders>
            <w:vAlign w:val="center"/>
          </w:tcPr>
          <w:p w14:paraId="3985081A">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供应商应保证在本项目中使用的任何产品和服务(包含部分使用），不会产生因第三方提出侵犯其专利权、商标权或其它知识产权而引起的法律和经济纠纷，如因专利权、商标权或其它知识产权而引起法律和经济纠纷，由供应商承担所有相关责任。</w:t>
            </w:r>
          </w:p>
        </w:tc>
      </w:tr>
      <w:tr w14:paraId="3EBF9015">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42C8E560">
            <w:pPr>
              <w:adjustRightInd w:val="0"/>
              <w:snapToGrid w:val="0"/>
              <w:spacing w:line="360" w:lineRule="auto"/>
              <w:jc w:val="center"/>
              <w:rPr>
                <w:rFonts w:hint="eastAsia" w:ascii="宋体" w:hAnsi="宋体"/>
                <w:color w:val="auto"/>
              </w:rPr>
            </w:pPr>
            <w:r>
              <w:rPr>
                <w:rFonts w:hint="eastAsia" w:ascii="宋体" w:hAnsi="宋体"/>
                <w:color w:val="auto"/>
              </w:rPr>
              <w:t>10.10</w:t>
            </w:r>
          </w:p>
        </w:tc>
        <w:tc>
          <w:tcPr>
            <w:tcW w:w="1707" w:type="dxa"/>
            <w:tcBorders>
              <w:top w:val="single" w:color="auto" w:sz="4" w:space="0"/>
              <w:left w:val="nil"/>
              <w:bottom w:val="single" w:color="auto" w:sz="4" w:space="0"/>
              <w:right w:val="single" w:color="auto" w:sz="4" w:space="0"/>
            </w:tcBorders>
            <w:vAlign w:val="center"/>
          </w:tcPr>
          <w:p w14:paraId="301470A3">
            <w:pPr>
              <w:adjustRightInd w:val="0"/>
              <w:snapToGrid w:val="0"/>
              <w:spacing w:line="360" w:lineRule="auto"/>
              <w:jc w:val="center"/>
              <w:rPr>
                <w:rFonts w:hint="eastAsia" w:ascii="宋体" w:hAnsi="宋体"/>
                <w:color w:val="auto"/>
              </w:rPr>
            </w:pPr>
            <w:r>
              <w:rPr>
                <w:rFonts w:hint="eastAsia" w:ascii="宋体" w:hAnsi="宋体"/>
                <w:color w:val="auto"/>
              </w:rPr>
              <w:t>解释权</w:t>
            </w:r>
          </w:p>
        </w:tc>
        <w:tc>
          <w:tcPr>
            <w:tcW w:w="6135" w:type="dxa"/>
            <w:tcBorders>
              <w:top w:val="single" w:color="auto" w:sz="4" w:space="0"/>
              <w:left w:val="nil"/>
              <w:bottom w:val="single" w:color="auto" w:sz="4" w:space="0"/>
              <w:right w:val="single" w:color="auto" w:sz="4" w:space="0"/>
            </w:tcBorders>
            <w:vAlign w:val="center"/>
          </w:tcPr>
          <w:p w14:paraId="1B31F21C">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构成本磋商文件的各个组成文件应互为解释，互为说明；如有不明确或不一致，按磋商公告、供应商须知、评标办法、响应文件格式的先后顺序解释；同一组成文件不同版本之间有不一致的，以形成时间在后者为准。按本款前述规定仍不能形成结论的，由采购人负责解释。供应商对磋商文件内容有疑义的，在磋商文件规定时间内提出，否则，因供应商理解错误造成的后果由供应商自行承担。</w:t>
            </w:r>
          </w:p>
          <w:p w14:paraId="6621EE4B">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竞争性磋商文件的最终解释权归采购人，其它未尽事宜，按国家有关法律、法规执行。</w:t>
            </w:r>
          </w:p>
        </w:tc>
      </w:tr>
      <w:tr w14:paraId="08B9D71F">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607517D">
            <w:pPr>
              <w:adjustRightInd w:val="0"/>
              <w:snapToGrid w:val="0"/>
              <w:spacing w:line="360" w:lineRule="auto"/>
              <w:jc w:val="center"/>
              <w:rPr>
                <w:rFonts w:ascii="宋体" w:hAnsi="宋体"/>
                <w:color w:val="auto"/>
              </w:rPr>
            </w:pPr>
            <w:r>
              <w:rPr>
                <w:rFonts w:hint="eastAsia" w:ascii="宋体" w:hAnsi="宋体"/>
                <w:color w:val="auto"/>
              </w:rPr>
              <w:t>10.11</w:t>
            </w:r>
          </w:p>
        </w:tc>
        <w:tc>
          <w:tcPr>
            <w:tcW w:w="1707" w:type="dxa"/>
            <w:tcBorders>
              <w:top w:val="single" w:color="auto" w:sz="4" w:space="0"/>
              <w:left w:val="nil"/>
              <w:bottom w:val="single" w:color="auto" w:sz="4" w:space="0"/>
              <w:right w:val="single" w:color="auto" w:sz="4" w:space="0"/>
            </w:tcBorders>
            <w:vAlign w:val="center"/>
          </w:tcPr>
          <w:p w14:paraId="71CE1CC5">
            <w:pPr>
              <w:adjustRightInd w:val="0"/>
              <w:snapToGrid w:val="0"/>
              <w:spacing w:line="360" w:lineRule="auto"/>
              <w:jc w:val="center"/>
              <w:rPr>
                <w:rFonts w:hint="eastAsia" w:ascii="宋体" w:hAnsi="宋体" w:eastAsia="宋体"/>
                <w:color w:val="auto"/>
                <w:lang w:eastAsia="zh-CN"/>
              </w:rPr>
            </w:pPr>
            <w:r>
              <w:rPr>
                <w:rFonts w:hint="eastAsia" w:ascii="宋体" w:hAnsi="宋体"/>
                <w:color w:val="auto"/>
              </w:rPr>
              <w:t>投标供应商数量确定</w:t>
            </w:r>
            <w:r>
              <w:rPr>
                <w:rFonts w:hint="eastAsia" w:ascii="宋体" w:hAnsi="宋体"/>
                <w:color w:val="auto"/>
                <w:lang w:eastAsia="zh-CN"/>
              </w:rPr>
              <w:t>原则</w:t>
            </w:r>
          </w:p>
        </w:tc>
        <w:tc>
          <w:tcPr>
            <w:tcW w:w="6135" w:type="dxa"/>
            <w:tcBorders>
              <w:top w:val="single" w:color="auto" w:sz="4" w:space="0"/>
              <w:left w:val="nil"/>
              <w:bottom w:val="single" w:color="auto" w:sz="4" w:space="0"/>
              <w:right w:val="single" w:color="auto" w:sz="4" w:space="0"/>
            </w:tcBorders>
            <w:vAlign w:val="center"/>
          </w:tcPr>
          <w:p w14:paraId="0B32B525">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出现多个供应商提供相同品牌产品的，按以下原则进行评审：</w:t>
            </w:r>
          </w:p>
          <w:p w14:paraId="335BFE6B">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1）单一产品采购项目，提供相同品牌产品且通过资格审查、符合性审查的不同供应商参加同一合同项下投标的，按一家供应商计算，评审后得分最高的同品牌供应商获得中标人推荐资格；评审得分相同的，投标报价低的供应商获得中标人推荐资格；投标报价也相同的，采取随机抽取方式确定一家供应商获得中标人推荐资格，其他同品牌供应商不作为中标候选人。</w:t>
            </w:r>
          </w:p>
          <w:p w14:paraId="6B3C2EA1">
            <w:pPr>
              <w:pStyle w:val="16"/>
              <w:adjustRightInd w:val="0"/>
              <w:snapToGrid w:val="0"/>
              <w:spacing w:line="360" w:lineRule="auto"/>
              <w:rPr>
                <w:rFonts w:hint="eastAsia" w:ascii="宋体" w:hAnsi="宋体"/>
                <w:color w:val="auto"/>
                <w:sz w:val="21"/>
                <w:szCs w:val="21"/>
              </w:rPr>
            </w:pPr>
            <w:r>
              <w:rPr>
                <w:rFonts w:hint="eastAsia" w:ascii="宋体" w:hAnsi="宋体"/>
                <w:color w:val="auto"/>
                <w:sz w:val="21"/>
                <w:szCs w:val="21"/>
              </w:rPr>
              <w:t>（2）非单一产品采购项目，采购人将根据采购项目技术构成、产品价格比重等合理确定核心产品，确定的核心产品见招标文件的采购清单。多家供应商提供的核心产品品牌相同，且通过资格审查、符合性审查的不同供应商参加同一合同项下投标的，按一家供应商计算，评审后得分最高的同品牌供应商获得中标人推荐资格；评审得分相同的，投标报价低的供应商获得中标人推荐资格；投标报价也相同的，采取随机抽取方式确定一家供应商获得中标人推荐资格，其他同品牌供应商不作为中标候选人。</w:t>
            </w:r>
          </w:p>
          <w:p w14:paraId="7ED5B592">
            <w:pPr>
              <w:pStyle w:val="16"/>
              <w:adjustRightInd w:val="0"/>
              <w:snapToGrid w:val="0"/>
              <w:spacing w:line="360" w:lineRule="auto"/>
              <w:rPr>
                <w:rFonts w:hint="eastAsia" w:ascii="宋体" w:hAnsi="宋体"/>
                <w:b/>
                <w:bCs/>
                <w:color w:val="auto"/>
                <w:sz w:val="21"/>
                <w:szCs w:val="21"/>
              </w:rPr>
            </w:pPr>
            <w:r>
              <w:rPr>
                <w:rFonts w:hint="eastAsia" w:ascii="宋体" w:hAnsi="宋体"/>
                <w:b/>
                <w:bCs/>
                <w:color w:val="auto"/>
                <w:sz w:val="21"/>
                <w:szCs w:val="21"/>
              </w:rPr>
              <w:t>本项目属于</w:t>
            </w:r>
            <w:r>
              <w:rPr>
                <w:rFonts w:hint="eastAsia" w:ascii="宋体" w:hAnsi="宋体"/>
                <w:b/>
                <w:bCs/>
                <w:color w:val="auto"/>
                <w:sz w:val="21"/>
                <w:szCs w:val="21"/>
                <w:lang w:eastAsia="zh-CN"/>
              </w:rPr>
              <w:t>（</w:t>
            </w:r>
            <w:r>
              <w:rPr>
                <w:rFonts w:hint="eastAsia" w:ascii="宋体" w:hAnsi="宋体"/>
                <w:b/>
                <w:bCs/>
                <w:color w:val="auto"/>
                <w:sz w:val="21"/>
                <w:szCs w:val="21"/>
                <w:lang w:val="en-US" w:eastAsia="zh-CN"/>
              </w:rPr>
              <w:t>2</w:t>
            </w:r>
            <w:r>
              <w:rPr>
                <w:rFonts w:hint="eastAsia" w:ascii="宋体" w:hAnsi="宋体"/>
                <w:b/>
                <w:bCs/>
                <w:color w:val="auto"/>
                <w:sz w:val="21"/>
                <w:szCs w:val="21"/>
                <w:lang w:eastAsia="zh-CN"/>
              </w:rPr>
              <w:t>）</w:t>
            </w:r>
            <w:r>
              <w:rPr>
                <w:rFonts w:hint="eastAsia" w:ascii="宋体" w:hAnsi="宋体"/>
                <w:b/>
                <w:bCs/>
                <w:color w:val="auto"/>
                <w:sz w:val="21"/>
                <w:szCs w:val="21"/>
              </w:rPr>
              <w:t>非单一产品采购</w:t>
            </w:r>
            <w:r>
              <w:rPr>
                <w:rFonts w:hint="eastAsia" w:ascii="宋体" w:hAnsi="宋体"/>
                <w:b/>
                <w:bCs/>
                <w:color w:val="auto"/>
                <w:sz w:val="21"/>
                <w:szCs w:val="21"/>
                <w:lang w:eastAsia="zh-CN"/>
              </w:rPr>
              <w:t>项目</w:t>
            </w:r>
            <w:r>
              <w:rPr>
                <w:rFonts w:hint="eastAsia" w:ascii="宋体" w:hAnsi="宋体"/>
                <w:b/>
                <w:bCs/>
                <w:color w:val="auto"/>
                <w:sz w:val="21"/>
                <w:szCs w:val="21"/>
              </w:rPr>
              <w:t>。</w:t>
            </w:r>
          </w:p>
          <w:p w14:paraId="67A38F35">
            <w:pPr>
              <w:pStyle w:val="16"/>
              <w:adjustRightInd w:val="0"/>
              <w:snapToGrid w:val="0"/>
              <w:spacing w:line="360" w:lineRule="auto"/>
              <w:rPr>
                <w:rFonts w:ascii="宋体" w:hAnsi="宋体"/>
                <w:b/>
                <w:bCs/>
                <w:color w:val="auto"/>
                <w:sz w:val="21"/>
                <w:szCs w:val="21"/>
              </w:rPr>
            </w:pPr>
            <w:r>
              <w:rPr>
                <w:rFonts w:hint="eastAsia" w:ascii="宋体" w:hAnsi="宋体"/>
                <w:b/>
                <w:bCs/>
                <w:color w:val="auto"/>
                <w:sz w:val="21"/>
                <w:szCs w:val="21"/>
              </w:rPr>
              <w:t>核心产品：</w:t>
            </w:r>
            <w:r>
              <w:rPr>
                <w:rFonts w:hint="eastAsia"/>
                <w:b/>
                <w:bCs/>
                <w:color w:val="auto"/>
              </w:rPr>
              <w:t>超高温石墨化炉</w:t>
            </w:r>
          </w:p>
        </w:tc>
      </w:tr>
      <w:tr w14:paraId="26300798">
        <w:tblPrEx>
          <w:tblCellMar>
            <w:top w:w="0" w:type="dxa"/>
            <w:left w:w="108" w:type="dxa"/>
            <w:bottom w:w="0" w:type="dxa"/>
            <w:right w:w="108" w:type="dxa"/>
          </w:tblCellMar>
        </w:tblPrEx>
        <w:trPr>
          <w:trHeight w:val="23" w:hRule="atLeast"/>
          <w:jc w:val="center"/>
        </w:trPr>
        <w:tc>
          <w:tcPr>
            <w:tcW w:w="1000" w:type="dxa"/>
            <w:gridSpan w:val="2"/>
            <w:tcBorders>
              <w:top w:val="single" w:color="auto" w:sz="4" w:space="0"/>
              <w:left w:val="single" w:color="auto" w:sz="4" w:space="0"/>
              <w:bottom w:val="single" w:color="auto" w:sz="4" w:space="0"/>
              <w:right w:val="single" w:color="auto" w:sz="4" w:space="0"/>
            </w:tcBorders>
            <w:vAlign w:val="center"/>
          </w:tcPr>
          <w:p w14:paraId="5C7E8532">
            <w:pPr>
              <w:adjustRightInd w:val="0"/>
              <w:snapToGrid w:val="0"/>
              <w:spacing w:line="360" w:lineRule="auto"/>
              <w:jc w:val="center"/>
              <w:rPr>
                <w:rFonts w:ascii="宋体" w:hAnsi="宋体"/>
                <w:color w:val="auto"/>
              </w:rPr>
            </w:pPr>
            <w:bookmarkStart w:id="48" w:name="_Toc13133"/>
            <w:bookmarkStart w:id="49" w:name="_Toc17687"/>
            <w:bookmarkStart w:id="50" w:name="_Toc19784"/>
            <w:bookmarkStart w:id="51" w:name="_Toc22301"/>
            <w:r>
              <w:rPr>
                <w:rFonts w:hint="eastAsia" w:ascii="宋体" w:hAnsi="宋体"/>
                <w:color w:val="auto"/>
              </w:rPr>
              <w:t>10.12</w:t>
            </w:r>
          </w:p>
        </w:tc>
        <w:tc>
          <w:tcPr>
            <w:tcW w:w="1707" w:type="dxa"/>
            <w:tcBorders>
              <w:top w:val="single" w:color="auto" w:sz="4" w:space="0"/>
              <w:left w:val="nil"/>
              <w:bottom w:val="single" w:color="auto" w:sz="4" w:space="0"/>
              <w:right w:val="single" w:color="auto" w:sz="4" w:space="0"/>
            </w:tcBorders>
            <w:vAlign w:val="center"/>
          </w:tcPr>
          <w:p w14:paraId="7CC8AD32">
            <w:pPr>
              <w:adjustRightInd w:val="0"/>
              <w:snapToGrid w:val="0"/>
              <w:spacing w:line="360" w:lineRule="auto"/>
              <w:jc w:val="center"/>
              <w:rPr>
                <w:rFonts w:hint="eastAsia" w:ascii="宋体" w:hAnsi="宋体"/>
                <w:color w:val="auto"/>
              </w:rPr>
            </w:pPr>
            <w:r>
              <w:rPr>
                <w:rStyle w:val="97"/>
                <w:rFonts w:hint="eastAsia" w:ascii="宋体" w:hAnsi="宋体" w:cs="宋体"/>
                <w:color w:val="auto"/>
              </w:rPr>
              <w:t>异常低价问题的审查</w:t>
            </w:r>
          </w:p>
        </w:tc>
        <w:tc>
          <w:tcPr>
            <w:tcW w:w="6135" w:type="dxa"/>
            <w:tcBorders>
              <w:top w:val="single" w:color="auto" w:sz="4" w:space="0"/>
              <w:left w:val="nil"/>
              <w:bottom w:val="single" w:color="auto" w:sz="4" w:space="0"/>
              <w:right w:val="single" w:color="auto" w:sz="4" w:space="0"/>
            </w:tcBorders>
            <w:vAlign w:val="center"/>
          </w:tcPr>
          <w:p w14:paraId="39A955CB">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落实《关于推动解决政府采购异常低价问题的通知》财库〔2026〕2号文件，强化政府采购异常低价审查：</w:t>
            </w:r>
          </w:p>
          <w:p w14:paraId="304D258A">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①政府采购评审中出现下列情形之一的，评审委员会应当启动异常低价投标（响应）审查程序：</w:t>
            </w:r>
          </w:p>
          <w:p w14:paraId="1AA5DBFA">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1.投标（响应）报价低于全部通过符合性审查供应商投标（响应）报价平均值50%的，即投标（响应）报价〈全部通过符合性审查供应商投标（响应）报价平均值×50%；</w:t>
            </w:r>
          </w:p>
          <w:p w14:paraId="67F4CC2D">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2.投标（响应）报价低于通过符合性审查的次低报价供应商投标（响应）报价50%的，即投标（响应）报价〈通过符合性审查的次低报价供应商投标（响应）报价×50%；</w:t>
            </w:r>
          </w:p>
          <w:p w14:paraId="3549C9B1">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3.投标（响应）报价低于采购项目最高限价 45%的，即投标（响应）报价〈采购项目最高限价×45%；</w:t>
            </w:r>
          </w:p>
          <w:p w14:paraId="6ACB61FE">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4.评审委员会基于专业判断，认为供应商报价过低，有可能影响产品质量或者不能诚信履约的其他情形。</w:t>
            </w:r>
          </w:p>
          <w:p w14:paraId="177B2D2F">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②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B812ABB">
            <w:pPr>
              <w:pStyle w:val="39"/>
              <w:adjustRightInd w:val="0"/>
              <w:snapToGrid w:val="0"/>
              <w:spacing w:before="0" w:beforeAutospacing="0" w:after="0" w:line="360" w:lineRule="auto"/>
              <w:ind w:firstLine="0" w:firstLineChars="0"/>
              <w:rPr>
                <w:rFonts w:hint="eastAsia" w:ascii="宋体" w:hAnsi="宋体" w:cs="宋体"/>
                <w:color w:val="auto"/>
                <w:kern w:val="0"/>
                <w:szCs w:val="21"/>
              </w:rPr>
            </w:pPr>
            <w:r>
              <w:rPr>
                <w:rFonts w:hint="eastAsia" w:ascii="宋体" w:hAnsi="宋体" w:cs="宋体"/>
                <w:color w:val="auto"/>
                <w:kern w:val="0"/>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5512CC9">
            <w:pPr>
              <w:topLinePunct/>
              <w:adjustRightInd w:val="0"/>
              <w:snapToGrid w:val="0"/>
              <w:spacing w:line="360" w:lineRule="auto"/>
              <w:jc w:val="left"/>
              <w:rPr>
                <w:rFonts w:hint="eastAsia" w:ascii="宋体" w:hAnsi="宋体"/>
                <w:b/>
                <w:bCs/>
                <w:color w:val="auto"/>
              </w:rPr>
            </w:pPr>
            <w:r>
              <w:rPr>
                <w:rFonts w:hint="eastAsia" w:ascii="宋体" w:hAnsi="宋体" w:cs="宋体"/>
                <w:color w:val="auto"/>
                <w:kern w:val="0"/>
              </w:rPr>
              <w:t>异常低价投标（响应）审查的启动原因、审查意见和审查结果应当在评审报告中记录，并随供应商提供的相关书面说明及证明材料，以及评审委员会有关互联网浏览、查询历史一并归档。</w:t>
            </w:r>
          </w:p>
        </w:tc>
      </w:tr>
    </w:tbl>
    <w:p w14:paraId="1BA00D44">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52" w:name="_Toc21190"/>
      <w:bookmarkEnd w:id="52"/>
      <w:r>
        <w:rPr>
          <w:rFonts w:hint="eastAsia" w:ascii="宋体" w:hAnsi="宋体" w:eastAsia="宋体"/>
          <w:b/>
          <w:bCs w:val="0"/>
          <w:color w:val="auto"/>
          <w:sz w:val="21"/>
          <w:szCs w:val="21"/>
        </w:rPr>
        <w:br w:type="page"/>
      </w:r>
      <w:bookmarkStart w:id="53" w:name="_Toc18078"/>
      <w:r>
        <w:rPr>
          <w:rFonts w:hint="eastAsia" w:ascii="宋体" w:hAnsi="宋体" w:eastAsia="宋体"/>
          <w:b/>
          <w:bCs w:val="0"/>
          <w:color w:val="auto"/>
          <w:sz w:val="21"/>
          <w:szCs w:val="21"/>
        </w:rPr>
        <w:t>1. 总则</w:t>
      </w:r>
      <w:bookmarkEnd w:id="48"/>
      <w:bookmarkEnd w:id="49"/>
      <w:bookmarkEnd w:id="50"/>
      <w:bookmarkEnd w:id="51"/>
      <w:bookmarkEnd w:id="53"/>
    </w:p>
    <w:p w14:paraId="6629A246">
      <w:pPr>
        <w:pStyle w:val="102"/>
        <w:keepNext w:val="0"/>
        <w:keepLines w:val="0"/>
        <w:spacing w:line="440" w:lineRule="exact"/>
        <w:rPr>
          <w:rFonts w:hint="eastAsia" w:ascii="宋体" w:hAnsi="宋体" w:eastAsia="宋体"/>
          <w:b/>
          <w:bCs/>
          <w:color w:val="auto"/>
          <w:sz w:val="21"/>
          <w:szCs w:val="21"/>
        </w:rPr>
      </w:pPr>
      <w:bookmarkStart w:id="54" w:name="_Toc29023"/>
      <w:bookmarkEnd w:id="54"/>
      <w:bookmarkStart w:id="55" w:name="_Toc318450675"/>
      <w:bookmarkEnd w:id="55"/>
      <w:bookmarkStart w:id="56" w:name="_Toc15709"/>
      <w:bookmarkEnd w:id="56"/>
      <w:bookmarkStart w:id="57" w:name="_Toc490667828"/>
      <w:bookmarkEnd w:id="57"/>
      <w:bookmarkStart w:id="58" w:name="_Toc144974499"/>
      <w:bookmarkEnd w:id="58"/>
      <w:bookmarkStart w:id="59" w:name="_Toc31404"/>
      <w:bookmarkEnd w:id="59"/>
      <w:bookmarkStart w:id="60" w:name="_Toc455080109"/>
      <w:bookmarkEnd w:id="60"/>
      <w:bookmarkStart w:id="61" w:name="_Toc10273"/>
      <w:bookmarkEnd w:id="61"/>
      <w:bookmarkStart w:id="62" w:name="_Toc274409866"/>
      <w:bookmarkEnd w:id="62"/>
      <w:bookmarkStart w:id="63" w:name="_Toc466298092"/>
      <w:bookmarkEnd w:id="63"/>
      <w:bookmarkStart w:id="64" w:name="_Toc281380952"/>
      <w:bookmarkEnd w:id="64"/>
      <w:bookmarkStart w:id="65" w:name="_Toc152045531"/>
      <w:bookmarkEnd w:id="65"/>
      <w:bookmarkStart w:id="66" w:name="_Toc1172"/>
      <w:bookmarkEnd w:id="66"/>
      <w:bookmarkStart w:id="67" w:name="_Toc509667261"/>
      <w:bookmarkEnd w:id="67"/>
      <w:bookmarkStart w:id="68" w:name="_Toc21458"/>
      <w:bookmarkEnd w:id="68"/>
      <w:bookmarkStart w:id="69" w:name="_Toc455867769"/>
      <w:bookmarkEnd w:id="69"/>
      <w:bookmarkStart w:id="70" w:name="_Toc129073458"/>
      <w:bookmarkStart w:id="71" w:name="_Toc24625"/>
      <w:bookmarkStart w:id="72" w:name="_Toc152042307"/>
      <w:r>
        <w:rPr>
          <w:rFonts w:hint="eastAsia" w:ascii="宋体" w:hAnsi="宋体" w:eastAsia="宋体"/>
          <w:b/>
          <w:bCs/>
          <w:color w:val="auto"/>
          <w:sz w:val="21"/>
          <w:szCs w:val="21"/>
        </w:rPr>
        <w:t>1.1 适用范围</w:t>
      </w:r>
      <w:bookmarkEnd w:id="70"/>
      <w:bookmarkEnd w:id="71"/>
      <w:bookmarkEnd w:id="72"/>
    </w:p>
    <w:p w14:paraId="66433696">
      <w:pPr>
        <w:spacing w:line="440" w:lineRule="exact"/>
        <w:ind w:firstLine="420" w:firstLineChars="200"/>
        <w:rPr>
          <w:rFonts w:hint="eastAsia" w:ascii="宋体" w:hAnsi="宋体"/>
          <w:color w:val="auto"/>
        </w:rPr>
      </w:pPr>
      <w:r>
        <w:rPr>
          <w:rFonts w:hint="eastAsia" w:ascii="宋体" w:hAnsi="宋体"/>
          <w:color w:val="auto"/>
        </w:rPr>
        <w:t>1.1.1根据《中华人民共和国政府采购法》、《政府采购竞争性磋商采购方式管理暂行办法》等有关法律、法规和规章的规定，编制本项目磋商文件。</w:t>
      </w:r>
    </w:p>
    <w:p w14:paraId="3B920C8F">
      <w:pPr>
        <w:pStyle w:val="102"/>
        <w:keepNext w:val="0"/>
        <w:keepLines w:val="0"/>
        <w:spacing w:line="440" w:lineRule="exact"/>
        <w:rPr>
          <w:rFonts w:hint="eastAsia" w:ascii="宋体" w:hAnsi="宋体" w:eastAsia="宋体"/>
          <w:b/>
          <w:bCs/>
          <w:color w:val="auto"/>
          <w:sz w:val="21"/>
          <w:szCs w:val="21"/>
        </w:rPr>
      </w:pPr>
      <w:bookmarkStart w:id="73" w:name="_Toc710"/>
      <w:bookmarkEnd w:id="73"/>
      <w:bookmarkStart w:id="74" w:name="_Toc455080110"/>
      <w:bookmarkEnd w:id="74"/>
      <w:bookmarkStart w:id="75" w:name="_Toc281405468"/>
      <w:bookmarkEnd w:id="75"/>
      <w:bookmarkStart w:id="76" w:name="_Toc490667829"/>
      <w:bookmarkEnd w:id="76"/>
      <w:bookmarkStart w:id="77" w:name="_Toc318450676"/>
      <w:bookmarkEnd w:id="77"/>
      <w:bookmarkStart w:id="78" w:name="_Toc3336"/>
      <w:bookmarkEnd w:id="78"/>
      <w:bookmarkStart w:id="79" w:name="_Toc274409867"/>
      <w:bookmarkEnd w:id="79"/>
      <w:bookmarkStart w:id="80" w:name="_Toc30891"/>
      <w:bookmarkEnd w:id="80"/>
      <w:bookmarkStart w:id="81" w:name="_Toc509667262"/>
      <w:bookmarkEnd w:id="81"/>
      <w:bookmarkStart w:id="82" w:name="_Toc455867770"/>
      <w:bookmarkEnd w:id="82"/>
      <w:bookmarkStart w:id="83" w:name="_Toc32619"/>
      <w:bookmarkEnd w:id="83"/>
      <w:bookmarkStart w:id="84" w:name="_Toc2929"/>
      <w:bookmarkEnd w:id="84"/>
      <w:bookmarkStart w:id="85" w:name="_Toc25773"/>
      <w:bookmarkEnd w:id="85"/>
      <w:bookmarkStart w:id="86" w:name="_Toc466298093"/>
      <w:bookmarkStart w:id="87" w:name="_Toc16575"/>
      <w:bookmarkStart w:id="88" w:name="_Toc129073459"/>
      <w:r>
        <w:rPr>
          <w:rFonts w:hint="eastAsia" w:ascii="宋体" w:hAnsi="宋体" w:eastAsia="宋体"/>
          <w:b/>
          <w:bCs/>
          <w:color w:val="auto"/>
          <w:sz w:val="21"/>
          <w:szCs w:val="21"/>
        </w:rPr>
        <w:t>1.2 采购项目说明</w:t>
      </w:r>
      <w:bookmarkEnd w:id="86"/>
      <w:bookmarkEnd w:id="87"/>
      <w:bookmarkEnd w:id="88"/>
    </w:p>
    <w:p w14:paraId="6CF88B49">
      <w:pPr>
        <w:spacing w:line="440" w:lineRule="exact"/>
        <w:ind w:firstLine="420" w:firstLineChars="200"/>
        <w:rPr>
          <w:rFonts w:hint="eastAsia" w:ascii="宋体" w:hAnsi="宋体"/>
          <w:color w:val="auto"/>
        </w:rPr>
      </w:pPr>
      <w:r>
        <w:rPr>
          <w:rFonts w:hint="eastAsia" w:ascii="宋体" w:hAnsi="宋体"/>
          <w:color w:val="auto"/>
        </w:rPr>
        <w:t>1.2.1 本项目采购人：见供应商须知前附表。</w:t>
      </w:r>
    </w:p>
    <w:p w14:paraId="16045859">
      <w:pPr>
        <w:spacing w:line="440" w:lineRule="exact"/>
        <w:ind w:firstLine="420" w:firstLineChars="200"/>
        <w:rPr>
          <w:rFonts w:hint="eastAsia" w:ascii="宋体" w:hAnsi="宋体"/>
          <w:color w:val="auto"/>
        </w:rPr>
      </w:pPr>
      <w:r>
        <w:rPr>
          <w:rFonts w:hint="eastAsia" w:ascii="宋体" w:hAnsi="宋体"/>
          <w:color w:val="auto"/>
        </w:rPr>
        <w:t>1.2.2 本项目采购代理机构：见供应商须知前附表。</w:t>
      </w:r>
    </w:p>
    <w:p w14:paraId="3FBE064E">
      <w:pPr>
        <w:spacing w:line="440" w:lineRule="exact"/>
        <w:ind w:firstLine="420" w:firstLineChars="200"/>
        <w:rPr>
          <w:rFonts w:hint="eastAsia" w:ascii="宋体" w:hAnsi="宋体"/>
          <w:color w:val="auto"/>
        </w:rPr>
      </w:pPr>
      <w:r>
        <w:rPr>
          <w:rFonts w:hint="eastAsia" w:ascii="宋体" w:hAnsi="宋体"/>
          <w:color w:val="auto"/>
        </w:rPr>
        <w:t>1.2.3 本项目名称：见供应商须知前附表。</w:t>
      </w:r>
    </w:p>
    <w:p w14:paraId="7804AC1C">
      <w:pPr>
        <w:spacing w:line="440" w:lineRule="exact"/>
        <w:ind w:firstLine="420" w:firstLineChars="200"/>
        <w:rPr>
          <w:rFonts w:hint="eastAsia" w:ascii="宋体" w:hAnsi="宋体"/>
          <w:color w:val="auto"/>
        </w:rPr>
      </w:pPr>
      <w:r>
        <w:rPr>
          <w:rFonts w:hint="eastAsia" w:ascii="宋体" w:hAnsi="宋体"/>
          <w:color w:val="auto"/>
        </w:rPr>
        <w:t>1.2.4 本项目资金来源及落实情况：见供应商须知前附表。</w:t>
      </w:r>
    </w:p>
    <w:p w14:paraId="664B9CD7">
      <w:pPr>
        <w:pStyle w:val="102"/>
        <w:keepNext w:val="0"/>
        <w:keepLines w:val="0"/>
        <w:spacing w:line="440" w:lineRule="exact"/>
        <w:rPr>
          <w:rFonts w:hint="eastAsia" w:ascii="宋体" w:hAnsi="宋体" w:eastAsia="宋体"/>
          <w:b/>
          <w:bCs/>
          <w:color w:val="auto"/>
          <w:sz w:val="21"/>
          <w:szCs w:val="21"/>
        </w:rPr>
      </w:pPr>
      <w:bookmarkStart w:id="89" w:name="_Toc490667830"/>
      <w:bookmarkEnd w:id="89"/>
      <w:bookmarkStart w:id="90" w:name="_Toc3477"/>
      <w:bookmarkEnd w:id="90"/>
      <w:bookmarkStart w:id="91" w:name="_Toc16931"/>
      <w:bookmarkEnd w:id="91"/>
      <w:bookmarkStart w:id="92" w:name="_Toc274409868"/>
      <w:bookmarkEnd w:id="92"/>
      <w:bookmarkStart w:id="93" w:name="_Toc17016"/>
      <w:bookmarkEnd w:id="93"/>
      <w:bookmarkStart w:id="94" w:name="_Toc455867771"/>
      <w:bookmarkEnd w:id="94"/>
      <w:bookmarkStart w:id="95" w:name="_Toc281405469"/>
      <w:bookmarkEnd w:id="95"/>
      <w:bookmarkStart w:id="96" w:name="_Toc18960"/>
      <w:bookmarkEnd w:id="96"/>
      <w:bookmarkStart w:id="97" w:name="_Toc4952"/>
      <w:bookmarkEnd w:id="97"/>
      <w:bookmarkStart w:id="98" w:name="_Toc509667263"/>
      <w:bookmarkEnd w:id="98"/>
      <w:bookmarkStart w:id="99" w:name="_Toc318450677"/>
      <w:bookmarkEnd w:id="99"/>
      <w:bookmarkStart w:id="100" w:name="_Toc1373"/>
      <w:bookmarkEnd w:id="100"/>
      <w:bookmarkStart w:id="101" w:name="_Toc466298094"/>
      <w:bookmarkEnd w:id="101"/>
      <w:bookmarkStart w:id="102" w:name="_Toc129073460"/>
      <w:bookmarkStart w:id="103" w:name="_Toc20824"/>
      <w:bookmarkStart w:id="104" w:name="_Toc455080111"/>
      <w:r>
        <w:rPr>
          <w:rFonts w:hint="eastAsia" w:ascii="宋体" w:hAnsi="宋体" w:eastAsia="宋体"/>
          <w:b/>
          <w:bCs/>
          <w:color w:val="auto"/>
          <w:sz w:val="21"/>
          <w:szCs w:val="21"/>
        </w:rPr>
        <w:t>1.3 定义及解释</w:t>
      </w:r>
      <w:bookmarkEnd w:id="102"/>
      <w:bookmarkEnd w:id="103"/>
      <w:bookmarkEnd w:id="104"/>
    </w:p>
    <w:p w14:paraId="7DCCC8E1">
      <w:pPr>
        <w:spacing w:line="440" w:lineRule="exact"/>
        <w:ind w:firstLine="420" w:firstLineChars="200"/>
        <w:rPr>
          <w:rFonts w:hint="eastAsia" w:ascii="宋体" w:hAnsi="宋体"/>
          <w:color w:val="auto"/>
        </w:rPr>
      </w:pPr>
      <w:r>
        <w:rPr>
          <w:rFonts w:hint="eastAsia" w:ascii="宋体" w:hAnsi="宋体"/>
          <w:color w:val="auto"/>
        </w:rPr>
        <w:t>1.3.1采购人：依法进行政府采购的国家机关、事业单位、团体组织。</w:t>
      </w:r>
    </w:p>
    <w:p w14:paraId="34436BB5">
      <w:pPr>
        <w:spacing w:line="440" w:lineRule="exact"/>
        <w:ind w:firstLine="420" w:firstLineChars="200"/>
        <w:rPr>
          <w:rFonts w:hint="eastAsia" w:ascii="宋体" w:hAnsi="宋体"/>
          <w:color w:val="auto"/>
        </w:rPr>
      </w:pPr>
      <w:r>
        <w:rPr>
          <w:rFonts w:hint="eastAsia" w:ascii="宋体" w:hAnsi="宋体"/>
          <w:color w:val="auto"/>
        </w:rPr>
        <w:t>1.3.2采购代理机构：取得政府采购采购代理资质，受采购人委托组织招标活动的社会中介组织。</w:t>
      </w:r>
    </w:p>
    <w:p w14:paraId="1987BDEC">
      <w:pPr>
        <w:spacing w:line="440" w:lineRule="exact"/>
        <w:ind w:firstLine="420" w:firstLineChars="200"/>
        <w:rPr>
          <w:rFonts w:hint="eastAsia" w:ascii="宋体" w:hAnsi="宋体"/>
          <w:color w:val="auto"/>
        </w:rPr>
      </w:pPr>
      <w:r>
        <w:rPr>
          <w:rFonts w:hint="eastAsia" w:ascii="宋体" w:hAnsi="宋体"/>
          <w:color w:val="auto"/>
        </w:rPr>
        <w:t>1.3.3工程：系指根据本磋商文件规定供应商须承担的工程以及伴随服务等。</w:t>
      </w:r>
    </w:p>
    <w:p w14:paraId="078DBEEF">
      <w:pPr>
        <w:spacing w:line="440" w:lineRule="exact"/>
        <w:ind w:firstLine="420" w:firstLineChars="200"/>
        <w:rPr>
          <w:rFonts w:hint="eastAsia" w:ascii="宋体" w:hAnsi="宋体"/>
          <w:color w:val="auto"/>
        </w:rPr>
      </w:pPr>
      <w:r>
        <w:rPr>
          <w:rFonts w:hint="eastAsia" w:ascii="宋体" w:hAnsi="宋体"/>
          <w:color w:val="auto"/>
        </w:rPr>
        <w:t>1.3.4货物：根据本磋商文件规定供应商须提供并安装的产品及伴随服务。</w:t>
      </w:r>
    </w:p>
    <w:p w14:paraId="63E29324">
      <w:pPr>
        <w:spacing w:line="440" w:lineRule="exact"/>
        <w:ind w:firstLine="420" w:firstLineChars="200"/>
        <w:rPr>
          <w:rFonts w:hint="eastAsia" w:ascii="宋体" w:hAnsi="宋体"/>
          <w:color w:val="auto"/>
        </w:rPr>
      </w:pPr>
      <w:r>
        <w:rPr>
          <w:rFonts w:hint="eastAsia" w:ascii="宋体" w:hAnsi="宋体"/>
          <w:color w:val="auto"/>
        </w:rPr>
        <w:t>1.3.5供应商：响应磋商文件、参加磋商竞争的中华人民共和国境内的法人、其它组织、自然人。</w:t>
      </w:r>
    </w:p>
    <w:p w14:paraId="0633AE63">
      <w:pPr>
        <w:spacing w:line="440" w:lineRule="exact"/>
        <w:ind w:firstLine="420" w:firstLineChars="200"/>
        <w:rPr>
          <w:rFonts w:hint="eastAsia" w:ascii="宋体" w:hAnsi="宋体"/>
          <w:color w:val="auto"/>
        </w:rPr>
      </w:pPr>
      <w:r>
        <w:rPr>
          <w:rFonts w:hint="eastAsia" w:ascii="宋体" w:hAnsi="宋体"/>
          <w:color w:val="auto"/>
        </w:rPr>
        <w:t>1.3.6响应文件：指供应商根据磋商文件提交的所有文件。</w:t>
      </w:r>
    </w:p>
    <w:p w14:paraId="07B5CB6F">
      <w:pPr>
        <w:spacing w:line="440" w:lineRule="exact"/>
        <w:ind w:firstLine="420" w:firstLineChars="200"/>
        <w:rPr>
          <w:rFonts w:hint="eastAsia" w:ascii="宋体" w:hAnsi="宋体"/>
          <w:color w:val="auto"/>
        </w:rPr>
      </w:pPr>
      <w:r>
        <w:rPr>
          <w:rFonts w:hint="eastAsia" w:ascii="宋体" w:hAnsi="宋体"/>
          <w:color w:val="auto"/>
        </w:rPr>
        <w:t>1.3.7磋商小组：依据《政府采购竞争性磋商采购方式管理暂行办法》及有关法律、法规的规定依法组建的专门负责本次评标工作的临时机构。</w:t>
      </w:r>
    </w:p>
    <w:p w14:paraId="644A0F07">
      <w:pPr>
        <w:spacing w:line="440" w:lineRule="exact"/>
        <w:ind w:firstLine="420" w:firstLineChars="200"/>
        <w:rPr>
          <w:rFonts w:hint="eastAsia" w:ascii="宋体" w:hAnsi="宋体"/>
          <w:color w:val="auto"/>
        </w:rPr>
      </w:pPr>
      <w:r>
        <w:rPr>
          <w:rFonts w:hint="eastAsia" w:ascii="宋体" w:hAnsi="宋体"/>
          <w:color w:val="auto"/>
        </w:rPr>
        <w:t>1.3.8偏离：响应文件的响应相对于磋商文件要求的偏差，该偏差优于磋商文件要求的为正偏离；劣于的，为负偏离。</w:t>
      </w:r>
    </w:p>
    <w:p w14:paraId="082F781B">
      <w:pPr>
        <w:spacing w:line="440" w:lineRule="exact"/>
        <w:ind w:firstLine="420" w:firstLineChars="200"/>
        <w:rPr>
          <w:rFonts w:hint="eastAsia" w:ascii="宋体" w:hAnsi="宋体"/>
          <w:color w:val="auto"/>
        </w:rPr>
      </w:pPr>
      <w:r>
        <w:rPr>
          <w:rFonts w:hint="eastAsia" w:ascii="宋体" w:hAnsi="宋体"/>
          <w:color w:val="auto"/>
        </w:rPr>
        <w:t>1.3.9“日期”或“天”：指日历天。</w:t>
      </w:r>
    </w:p>
    <w:p w14:paraId="201F6141">
      <w:pPr>
        <w:spacing w:line="440" w:lineRule="exact"/>
        <w:ind w:firstLine="420" w:firstLineChars="200"/>
        <w:rPr>
          <w:rFonts w:hint="eastAsia" w:ascii="宋体" w:hAnsi="宋体"/>
          <w:color w:val="auto"/>
        </w:rPr>
      </w:pPr>
      <w:r>
        <w:rPr>
          <w:rFonts w:hint="eastAsia" w:ascii="宋体" w:hAnsi="宋体"/>
          <w:color w:val="auto"/>
        </w:rPr>
        <w:t>1.3.10合同：指依据本次服务采购招标结果签订的协议或合约文件。</w:t>
      </w:r>
    </w:p>
    <w:p w14:paraId="6EE2ABFD">
      <w:pPr>
        <w:spacing w:line="440" w:lineRule="exact"/>
        <w:ind w:firstLine="420" w:firstLineChars="200"/>
        <w:rPr>
          <w:rFonts w:hint="eastAsia" w:ascii="宋体" w:hAnsi="宋体"/>
          <w:color w:val="auto"/>
        </w:rPr>
      </w:pPr>
      <w:r>
        <w:rPr>
          <w:rFonts w:hint="eastAsia" w:ascii="宋体" w:hAnsi="宋体"/>
          <w:color w:val="auto"/>
        </w:rPr>
        <w:t>1.3.11磋商文件中的标题或题名仅起引导作用，而不应视为对磋商文件内容的理解和解释。</w:t>
      </w:r>
    </w:p>
    <w:p w14:paraId="08ECFDA7">
      <w:pPr>
        <w:pStyle w:val="102"/>
        <w:keepNext w:val="0"/>
        <w:keepLines w:val="0"/>
        <w:spacing w:line="440" w:lineRule="exact"/>
        <w:rPr>
          <w:rFonts w:hint="eastAsia" w:ascii="宋体" w:hAnsi="宋体" w:eastAsia="宋体"/>
          <w:b/>
          <w:bCs/>
          <w:color w:val="auto"/>
          <w:sz w:val="21"/>
          <w:szCs w:val="21"/>
        </w:rPr>
      </w:pPr>
      <w:bookmarkStart w:id="105" w:name="_Toc21766"/>
      <w:bookmarkEnd w:id="105"/>
      <w:bookmarkStart w:id="106" w:name="_Toc455080112"/>
      <w:bookmarkEnd w:id="106"/>
      <w:bookmarkStart w:id="107" w:name="_Toc19363"/>
      <w:bookmarkEnd w:id="107"/>
      <w:bookmarkStart w:id="108" w:name="_Toc27407"/>
      <w:bookmarkEnd w:id="108"/>
      <w:bookmarkStart w:id="109" w:name="_Toc466298095"/>
      <w:bookmarkEnd w:id="109"/>
      <w:bookmarkStart w:id="110" w:name="_Toc490667831"/>
      <w:bookmarkEnd w:id="110"/>
      <w:bookmarkStart w:id="111" w:name="_Toc152042308"/>
      <w:bookmarkEnd w:id="111"/>
      <w:bookmarkStart w:id="112" w:name="_Toc144974500"/>
      <w:bookmarkEnd w:id="112"/>
      <w:bookmarkStart w:id="113" w:name="_Toc12752"/>
      <w:bookmarkEnd w:id="113"/>
      <w:bookmarkStart w:id="114" w:name="_Toc14043"/>
      <w:bookmarkEnd w:id="114"/>
      <w:bookmarkStart w:id="115" w:name="_Toc509667264"/>
      <w:bookmarkEnd w:id="115"/>
      <w:bookmarkStart w:id="116" w:name="_Toc455867772"/>
      <w:bookmarkEnd w:id="116"/>
      <w:bookmarkStart w:id="117" w:name="_Toc16470"/>
      <w:bookmarkEnd w:id="117"/>
      <w:bookmarkStart w:id="118" w:name="_Toc152045532"/>
      <w:bookmarkEnd w:id="118"/>
      <w:bookmarkStart w:id="119" w:name="_Toc129073461"/>
      <w:bookmarkStart w:id="120" w:name="_Toc318450678"/>
      <w:bookmarkStart w:id="121" w:name="_Toc4335"/>
      <w:r>
        <w:rPr>
          <w:rFonts w:hint="eastAsia" w:ascii="宋体" w:hAnsi="宋体" w:eastAsia="宋体"/>
          <w:b/>
          <w:bCs/>
          <w:color w:val="auto"/>
          <w:sz w:val="21"/>
          <w:szCs w:val="21"/>
        </w:rPr>
        <w:t>1.4 采购内容及标段划分和</w:t>
      </w:r>
      <w:bookmarkEnd w:id="119"/>
      <w:bookmarkEnd w:id="120"/>
      <w:r>
        <w:rPr>
          <w:rFonts w:hint="eastAsia" w:ascii="宋体" w:hAnsi="宋体" w:eastAsia="宋体"/>
          <w:b/>
          <w:bCs/>
          <w:color w:val="auto"/>
          <w:sz w:val="21"/>
          <w:szCs w:val="21"/>
        </w:rPr>
        <w:t>交货期、质量要求、质保期</w:t>
      </w:r>
      <w:bookmarkEnd w:id="121"/>
    </w:p>
    <w:p w14:paraId="06CBA2FF">
      <w:pPr>
        <w:spacing w:line="440" w:lineRule="exact"/>
        <w:ind w:firstLine="420" w:firstLineChars="200"/>
        <w:rPr>
          <w:rFonts w:hint="eastAsia" w:ascii="宋体" w:hAnsi="宋体"/>
          <w:color w:val="auto"/>
        </w:rPr>
      </w:pPr>
      <w:r>
        <w:rPr>
          <w:rFonts w:hint="eastAsia" w:ascii="宋体" w:hAnsi="宋体"/>
          <w:color w:val="auto"/>
        </w:rPr>
        <w:t>1.4.1 本次采购内容及标段划分：见供应商须知前附表。</w:t>
      </w:r>
    </w:p>
    <w:p w14:paraId="4D38D45F">
      <w:pPr>
        <w:spacing w:line="440" w:lineRule="exact"/>
        <w:ind w:firstLine="420" w:firstLineChars="200"/>
        <w:rPr>
          <w:rFonts w:hint="eastAsia" w:ascii="宋体" w:hAnsi="宋体"/>
          <w:color w:val="auto"/>
        </w:rPr>
      </w:pPr>
      <w:r>
        <w:rPr>
          <w:rFonts w:hint="eastAsia" w:ascii="宋体" w:hAnsi="宋体"/>
          <w:color w:val="auto"/>
        </w:rPr>
        <w:t>1.4.2 本项目的交货地点：见供应商须知前附表。</w:t>
      </w:r>
    </w:p>
    <w:p w14:paraId="18382225">
      <w:pPr>
        <w:spacing w:line="440" w:lineRule="exact"/>
        <w:ind w:firstLine="420" w:firstLineChars="200"/>
        <w:rPr>
          <w:rFonts w:hint="eastAsia" w:ascii="宋体" w:hAnsi="宋体"/>
          <w:color w:val="auto"/>
        </w:rPr>
      </w:pPr>
      <w:r>
        <w:rPr>
          <w:rFonts w:hint="eastAsia" w:ascii="宋体" w:hAnsi="宋体"/>
          <w:color w:val="auto"/>
        </w:rPr>
        <w:t>1.4.3 本项目的交货期：见供应商须知前附表。</w:t>
      </w:r>
    </w:p>
    <w:p w14:paraId="3C82B2EB">
      <w:pPr>
        <w:spacing w:line="440" w:lineRule="exact"/>
        <w:ind w:firstLine="420" w:firstLineChars="200"/>
        <w:rPr>
          <w:rFonts w:hint="eastAsia" w:ascii="宋体" w:hAnsi="宋体"/>
          <w:color w:val="auto"/>
        </w:rPr>
      </w:pPr>
      <w:r>
        <w:rPr>
          <w:rFonts w:hint="eastAsia" w:ascii="宋体" w:hAnsi="宋体"/>
          <w:color w:val="auto"/>
        </w:rPr>
        <w:t>1.4.4 本项目的质量要求：见供应商须知前附表。</w:t>
      </w:r>
    </w:p>
    <w:p w14:paraId="7D16B42A">
      <w:pPr>
        <w:spacing w:line="440" w:lineRule="exact"/>
        <w:ind w:firstLine="420" w:firstLineChars="200"/>
        <w:rPr>
          <w:rFonts w:hint="eastAsia" w:ascii="宋体" w:hAnsi="宋体"/>
          <w:color w:val="auto"/>
        </w:rPr>
      </w:pPr>
      <w:r>
        <w:rPr>
          <w:rFonts w:hint="eastAsia" w:ascii="宋体" w:hAnsi="宋体"/>
          <w:color w:val="auto"/>
        </w:rPr>
        <w:t>1.4.5 本项目的质保期：见供应商须知前附表。</w:t>
      </w:r>
    </w:p>
    <w:p w14:paraId="6B0AA471">
      <w:pPr>
        <w:pStyle w:val="102"/>
        <w:keepNext w:val="0"/>
        <w:keepLines w:val="0"/>
        <w:spacing w:line="440" w:lineRule="exact"/>
        <w:rPr>
          <w:rFonts w:hint="eastAsia" w:ascii="宋体" w:hAnsi="宋体" w:eastAsia="宋体"/>
          <w:b/>
          <w:bCs/>
          <w:color w:val="auto"/>
          <w:sz w:val="21"/>
          <w:szCs w:val="21"/>
        </w:rPr>
      </w:pPr>
      <w:bookmarkStart w:id="122" w:name="_Toc18689"/>
      <w:bookmarkEnd w:id="122"/>
      <w:bookmarkStart w:id="123" w:name="_Toc4301"/>
      <w:bookmarkEnd w:id="123"/>
      <w:bookmarkStart w:id="124" w:name="_Toc152042310"/>
      <w:bookmarkEnd w:id="124"/>
      <w:bookmarkStart w:id="125" w:name="_Toc22643"/>
      <w:bookmarkEnd w:id="125"/>
      <w:bookmarkStart w:id="126" w:name="_Toc466298096"/>
      <w:bookmarkEnd w:id="126"/>
      <w:bookmarkStart w:id="127" w:name="_Toc490667832"/>
      <w:bookmarkEnd w:id="127"/>
      <w:bookmarkStart w:id="128" w:name="_Toc5019"/>
      <w:bookmarkEnd w:id="128"/>
      <w:bookmarkStart w:id="129" w:name="_Toc455080113"/>
      <w:bookmarkEnd w:id="129"/>
      <w:bookmarkStart w:id="130" w:name="_Toc455867773"/>
      <w:bookmarkEnd w:id="130"/>
      <w:bookmarkStart w:id="131" w:name="_Toc11063"/>
      <w:bookmarkEnd w:id="131"/>
      <w:bookmarkStart w:id="132" w:name="_Toc152045534"/>
      <w:bookmarkEnd w:id="132"/>
      <w:bookmarkStart w:id="133" w:name="_Toc318450679"/>
      <w:bookmarkEnd w:id="133"/>
      <w:bookmarkStart w:id="134" w:name="_Toc144974502"/>
      <w:bookmarkEnd w:id="134"/>
      <w:bookmarkStart w:id="135" w:name="_Toc509667265"/>
      <w:bookmarkEnd w:id="135"/>
      <w:bookmarkStart w:id="136" w:name="_Toc7209"/>
      <w:bookmarkStart w:id="137" w:name="_Toc9585"/>
      <w:bookmarkStart w:id="138" w:name="_Toc129073462"/>
      <w:r>
        <w:rPr>
          <w:rFonts w:hint="eastAsia" w:ascii="宋体" w:hAnsi="宋体" w:eastAsia="宋体"/>
          <w:b/>
          <w:bCs/>
          <w:color w:val="auto"/>
          <w:sz w:val="21"/>
          <w:szCs w:val="21"/>
        </w:rPr>
        <w:t xml:space="preserve">1.5 </w:t>
      </w:r>
      <w:bookmarkEnd w:id="136"/>
      <w:r>
        <w:rPr>
          <w:rFonts w:hint="eastAsia" w:ascii="宋体" w:hAnsi="宋体" w:eastAsia="宋体"/>
          <w:b/>
          <w:bCs/>
          <w:color w:val="auto"/>
          <w:sz w:val="21"/>
          <w:szCs w:val="21"/>
        </w:rPr>
        <w:t>供应商资质条件和能力</w:t>
      </w:r>
      <w:bookmarkEnd w:id="137"/>
      <w:bookmarkEnd w:id="138"/>
    </w:p>
    <w:p w14:paraId="1253868E">
      <w:pPr>
        <w:spacing w:line="440" w:lineRule="exact"/>
        <w:ind w:firstLine="420" w:firstLineChars="200"/>
        <w:rPr>
          <w:rFonts w:hint="eastAsia" w:ascii="宋体" w:hAnsi="宋体"/>
          <w:color w:val="auto"/>
        </w:rPr>
      </w:pPr>
      <w:r>
        <w:rPr>
          <w:rFonts w:hint="eastAsia" w:ascii="宋体" w:hAnsi="宋体"/>
          <w:color w:val="auto"/>
        </w:rPr>
        <w:t>1.5.1供应商资质及能力要求：见供应商须知前附表。</w:t>
      </w:r>
    </w:p>
    <w:p w14:paraId="295DA0AC">
      <w:pPr>
        <w:spacing w:line="440" w:lineRule="exact"/>
        <w:ind w:firstLine="420" w:firstLineChars="200"/>
        <w:rPr>
          <w:rFonts w:hint="eastAsia" w:ascii="宋体" w:hAnsi="宋体"/>
          <w:color w:val="auto"/>
        </w:rPr>
      </w:pPr>
      <w:r>
        <w:rPr>
          <w:rFonts w:hint="eastAsia" w:ascii="宋体" w:hAnsi="宋体"/>
          <w:color w:val="auto"/>
        </w:rPr>
        <w:t>1.5.2是否接受联合体：见供应商须知前附表。</w:t>
      </w:r>
    </w:p>
    <w:p w14:paraId="07E9AAF9">
      <w:pPr>
        <w:pStyle w:val="102"/>
        <w:keepNext w:val="0"/>
        <w:keepLines w:val="0"/>
        <w:spacing w:line="440" w:lineRule="exact"/>
        <w:rPr>
          <w:rFonts w:hint="eastAsia" w:ascii="宋体" w:hAnsi="宋体" w:eastAsia="宋体"/>
          <w:b/>
          <w:bCs/>
          <w:color w:val="auto"/>
          <w:sz w:val="21"/>
          <w:szCs w:val="21"/>
        </w:rPr>
      </w:pPr>
      <w:bookmarkStart w:id="139" w:name="_Toc144974503"/>
      <w:bookmarkEnd w:id="139"/>
      <w:bookmarkStart w:id="140" w:name="_Toc31854"/>
      <w:bookmarkEnd w:id="140"/>
      <w:bookmarkStart w:id="141" w:name="_Toc490667833"/>
      <w:bookmarkEnd w:id="141"/>
      <w:bookmarkStart w:id="142" w:name="_Toc318450680"/>
      <w:bookmarkEnd w:id="142"/>
      <w:bookmarkStart w:id="143" w:name="_Toc455080114"/>
      <w:bookmarkEnd w:id="143"/>
      <w:bookmarkStart w:id="144" w:name="_Toc981"/>
      <w:bookmarkEnd w:id="144"/>
      <w:bookmarkStart w:id="145" w:name="_Toc16889"/>
      <w:bookmarkEnd w:id="145"/>
      <w:bookmarkStart w:id="146" w:name="_Toc12403"/>
      <w:bookmarkEnd w:id="146"/>
      <w:bookmarkStart w:id="147" w:name="_Toc5162"/>
      <w:bookmarkEnd w:id="147"/>
      <w:bookmarkStart w:id="148" w:name="_Toc152042311"/>
      <w:bookmarkEnd w:id="148"/>
      <w:bookmarkStart w:id="149" w:name="_Toc509667266"/>
      <w:bookmarkEnd w:id="149"/>
      <w:bookmarkStart w:id="150" w:name="_Toc466298097"/>
      <w:bookmarkEnd w:id="150"/>
      <w:bookmarkStart w:id="151" w:name="_Toc455867774"/>
      <w:bookmarkEnd w:id="151"/>
      <w:bookmarkStart w:id="152" w:name="_Toc651"/>
      <w:bookmarkEnd w:id="152"/>
      <w:bookmarkStart w:id="153" w:name="_Toc14279"/>
      <w:bookmarkStart w:id="154" w:name="_Toc129073463"/>
      <w:bookmarkStart w:id="155" w:name="_Toc152045535"/>
      <w:r>
        <w:rPr>
          <w:rFonts w:hint="eastAsia" w:ascii="宋体" w:hAnsi="宋体" w:eastAsia="宋体"/>
          <w:b/>
          <w:bCs/>
          <w:color w:val="auto"/>
          <w:sz w:val="21"/>
          <w:szCs w:val="21"/>
        </w:rPr>
        <w:t>1.6 费用承担</w:t>
      </w:r>
      <w:bookmarkEnd w:id="153"/>
      <w:bookmarkEnd w:id="154"/>
      <w:bookmarkEnd w:id="155"/>
    </w:p>
    <w:p w14:paraId="2A50C6AF">
      <w:pPr>
        <w:spacing w:line="440" w:lineRule="exact"/>
        <w:ind w:firstLine="420" w:firstLineChars="200"/>
        <w:rPr>
          <w:rFonts w:hint="eastAsia" w:ascii="宋体" w:hAnsi="宋体"/>
          <w:color w:val="auto"/>
        </w:rPr>
      </w:pPr>
      <w:r>
        <w:rPr>
          <w:rFonts w:hint="eastAsia" w:ascii="宋体" w:hAnsi="宋体"/>
          <w:color w:val="auto"/>
        </w:rPr>
        <w:t>供应商准备和参加磋商活动发生的费用自理，不论磋商的结果如何，采购人和采购代理机构在任何情况下均无义务和责任承担这些费用。</w:t>
      </w:r>
    </w:p>
    <w:p w14:paraId="77E2F233">
      <w:pPr>
        <w:pStyle w:val="102"/>
        <w:keepNext w:val="0"/>
        <w:keepLines w:val="0"/>
        <w:spacing w:line="440" w:lineRule="exact"/>
        <w:rPr>
          <w:rFonts w:hint="eastAsia" w:ascii="宋体" w:hAnsi="宋体" w:eastAsia="宋体"/>
          <w:b/>
          <w:bCs/>
          <w:color w:val="auto"/>
          <w:sz w:val="21"/>
          <w:szCs w:val="21"/>
        </w:rPr>
      </w:pPr>
      <w:bookmarkStart w:id="156" w:name="_Toc152045536"/>
      <w:bookmarkEnd w:id="156"/>
      <w:bookmarkStart w:id="157" w:name="_Toc509667267"/>
      <w:bookmarkEnd w:id="157"/>
      <w:bookmarkStart w:id="158" w:name="_Toc455080115"/>
      <w:bookmarkEnd w:id="158"/>
      <w:bookmarkStart w:id="159" w:name="_Toc20145"/>
      <w:bookmarkEnd w:id="159"/>
      <w:bookmarkStart w:id="160" w:name="_Toc144974504"/>
      <w:bookmarkEnd w:id="160"/>
      <w:bookmarkStart w:id="161" w:name="_Toc8055"/>
      <w:bookmarkEnd w:id="161"/>
      <w:bookmarkStart w:id="162" w:name="_Toc490667834"/>
      <w:bookmarkEnd w:id="162"/>
      <w:bookmarkStart w:id="163" w:name="_Toc32053"/>
      <w:bookmarkEnd w:id="163"/>
      <w:bookmarkStart w:id="164" w:name="_Toc455867775"/>
      <w:bookmarkEnd w:id="164"/>
      <w:bookmarkStart w:id="165" w:name="_Toc318450681"/>
      <w:bookmarkEnd w:id="165"/>
      <w:bookmarkStart w:id="166" w:name="_Toc5402"/>
      <w:bookmarkEnd w:id="166"/>
      <w:bookmarkStart w:id="167" w:name="_Toc152042312"/>
      <w:bookmarkEnd w:id="167"/>
      <w:bookmarkStart w:id="168" w:name="_Toc2622"/>
      <w:bookmarkEnd w:id="168"/>
      <w:bookmarkStart w:id="169" w:name="_Toc6014"/>
      <w:bookmarkEnd w:id="169"/>
      <w:bookmarkStart w:id="170" w:name="_Toc29729"/>
      <w:bookmarkStart w:id="171" w:name="_Toc466298098"/>
      <w:bookmarkStart w:id="172" w:name="_Toc129073464"/>
      <w:r>
        <w:rPr>
          <w:rFonts w:hint="eastAsia" w:ascii="宋体" w:hAnsi="宋体" w:eastAsia="宋体"/>
          <w:b/>
          <w:bCs/>
          <w:color w:val="auto"/>
          <w:sz w:val="21"/>
          <w:szCs w:val="21"/>
        </w:rPr>
        <w:t>1.7 保密</w:t>
      </w:r>
      <w:bookmarkEnd w:id="170"/>
      <w:bookmarkEnd w:id="171"/>
      <w:bookmarkEnd w:id="172"/>
    </w:p>
    <w:p w14:paraId="58728B6F">
      <w:pPr>
        <w:spacing w:line="440" w:lineRule="exact"/>
        <w:ind w:firstLine="420" w:firstLineChars="200"/>
        <w:rPr>
          <w:rFonts w:hint="eastAsia" w:ascii="宋体" w:hAnsi="宋体"/>
          <w:color w:val="auto"/>
        </w:rPr>
      </w:pPr>
      <w:r>
        <w:rPr>
          <w:rFonts w:hint="eastAsia" w:ascii="宋体" w:hAnsi="宋体"/>
          <w:color w:val="auto"/>
        </w:rPr>
        <w:t xml:space="preserve">参与磋商活动的各方应对磋商文件和响应文件中的商业和技术等秘密保密，违者应对由此造成的后果承担法律责任。 </w:t>
      </w:r>
    </w:p>
    <w:p w14:paraId="3D5BF35F">
      <w:pPr>
        <w:pStyle w:val="102"/>
        <w:keepNext w:val="0"/>
        <w:keepLines w:val="0"/>
        <w:spacing w:line="440" w:lineRule="exact"/>
        <w:rPr>
          <w:rFonts w:hint="eastAsia" w:ascii="宋体" w:hAnsi="宋体" w:eastAsia="宋体"/>
          <w:b/>
          <w:bCs/>
          <w:color w:val="auto"/>
          <w:sz w:val="21"/>
          <w:szCs w:val="21"/>
        </w:rPr>
      </w:pPr>
      <w:bookmarkStart w:id="173" w:name="_Toc30583"/>
      <w:bookmarkEnd w:id="173"/>
      <w:bookmarkStart w:id="174" w:name="_Toc318450682"/>
      <w:bookmarkEnd w:id="174"/>
      <w:bookmarkStart w:id="175" w:name="_Toc21089"/>
      <w:bookmarkEnd w:id="175"/>
      <w:bookmarkStart w:id="176" w:name="_Toc509667268"/>
      <w:bookmarkEnd w:id="176"/>
      <w:bookmarkStart w:id="177" w:name="_Toc14775"/>
      <w:bookmarkEnd w:id="177"/>
      <w:bookmarkStart w:id="178" w:name="_Toc144974505"/>
      <w:bookmarkEnd w:id="178"/>
      <w:bookmarkStart w:id="179" w:name="_Toc152042313"/>
      <w:bookmarkEnd w:id="179"/>
      <w:bookmarkStart w:id="180" w:name="_Toc466298099"/>
      <w:bookmarkEnd w:id="180"/>
      <w:bookmarkStart w:id="181" w:name="_Toc25517"/>
      <w:bookmarkEnd w:id="181"/>
      <w:bookmarkStart w:id="182" w:name="_Toc3628"/>
      <w:bookmarkEnd w:id="182"/>
      <w:bookmarkStart w:id="183" w:name="_Toc30747"/>
      <w:bookmarkEnd w:id="183"/>
      <w:bookmarkStart w:id="184" w:name="_Toc455867776"/>
      <w:bookmarkEnd w:id="184"/>
      <w:bookmarkStart w:id="185" w:name="_Toc455080116"/>
      <w:bookmarkEnd w:id="185"/>
      <w:bookmarkStart w:id="186" w:name="_Toc490667835"/>
      <w:bookmarkEnd w:id="186"/>
      <w:bookmarkStart w:id="187" w:name="_Toc152045537"/>
      <w:bookmarkStart w:id="188" w:name="_Toc31792"/>
      <w:bookmarkStart w:id="189" w:name="_Toc129073465"/>
      <w:r>
        <w:rPr>
          <w:rFonts w:hint="eastAsia" w:ascii="宋体" w:hAnsi="宋体" w:eastAsia="宋体"/>
          <w:b/>
          <w:bCs/>
          <w:color w:val="auto"/>
          <w:sz w:val="21"/>
          <w:szCs w:val="21"/>
        </w:rPr>
        <w:t>1.8 语言</w:t>
      </w:r>
      <w:bookmarkEnd w:id="187"/>
      <w:r>
        <w:rPr>
          <w:rFonts w:hint="eastAsia" w:ascii="宋体" w:hAnsi="宋体" w:eastAsia="宋体"/>
          <w:b/>
          <w:bCs/>
          <w:color w:val="auto"/>
          <w:sz w:val="21"/>
          <w:szCs w:val="21"/>
        </w:rPr>
        <w:t>文字</w:t>
      </w:r>
      <w:bookmarkEnd w:id="188"/>
      <w:bookmarkEnd w:id="189"/>
    </w:p>
    <w:p w14:paraId="0B945962">
      <w:pPr>
        <w:spacing w:line="440" w:lineRule="exact"/>
        <w:ind w:firstLine="420" w:firstLineChars="200"/>
        <w:rPr>
          <w:rFonts w:hint="eastAsia" w:ascii="宋体" w:hAnsi="宋体"/>
          <w:color w:val="auto"/>
        </w:rPr>
      </w:pPr>
      <w:r>
        <w:rPr>
          <w:rFonts w:hint="eastAsia" w:ascii="宋体" w:hAnsi="宋体"/>
          <w:color w:val="auto"/>
        </w:rPr>
        <w:t>除专用术语外，与磋商有关的语言均使用中文。必要时专用术语应附有中文注释，对不同文字文本响应文件的解释发生异议的，以中文文本为准。</w:t>
      </w:r>
    </w:p>
    <w:p w14:paraId="5535BE38">
      <w:pPr>
        <w:pStyle w:val="102"/>
        <w:keepNext w:val="0"/>
        <w:keepLines w:val="0"/>
        <w:spacing w:line="440" w:lineRule="exact"/>
        <w:rPr>
          <w:rFonts w:hint="eastAsia" w:ascii="宋体" w:hAnsi="宋体" w:eastAsia="宋体"/>
          <w:b/>
          <w:bCs/>
          <w:color w:val="auto"/>
          <w:sz w:val="21"/>
          <w:szCs w:val="21"/>
        </w:rPr>
      </w:pPr>
      <w:bookmarkStart w:id="190" w:name="_Toc152042314"/>
      <w:bookmarkEnd w:id="190"/>
      <w:bookmarkStart w:id="191" w:name="_Toc22378"/>
      <w:bookmarkEnd w:id="191"/>
      <w:bookmarkStart w:id="192" w:name="_Toc9446"/>
      <w:bookmarkEnd w:id="192"/>
      <w:bookmarkStart w:id="193" w:name="_Toc24337"/>
      <w:bookmarkEnd w:id="193"/>
      <w:bookmarkStart w:id="194" w:name="_Toc152045538"/>
      <w:bookmarkEnd w:id="194"/>
      <w:bookmarkStart w:id="195" w:name="_Toc144974506"/>
      <w:bookmarkEnd w:id="195"/>
      <w:bookmarkStart w:id="196" w:name="_Toc509667269"/>
      <w:bookmarkEnd w:id="196"/>
      <w:bookmarkStart w:id="197" w:name="_Toc490667836"/>
      <w:bookmarkEnd w:id="197"/>
      <w:bookmarkStart w:id="198" w:name="_Toc455080117"/>
      <w:bookmarkEnd w:id="198"/>
      <w:bookmarkStart w:id="199" w:name="_Toc318450683"/>
      <w:bookmarkEnd w:id="199"/>
      <w:bookmarkStart w:id="200" w:name="_Toc2702"/>
      <w:bookmarkEnd w:id="200"/>
      <w:bookmarkStart w:id="201" w:name="_Toc455867777"/>
      <w:bookmarkEnd w:id="201"/>
      <w:bookmarkStart w:id="202" w:name="_Toc4237"/>
      <w:bookmarkEnd w:id="202"/>
      <w:bookmarkStart w:id="203" w:name="_Toc466298100"/>
      <w:bookmarkEnd w:id="203"/>
      <w:bookmarkStart w:id="204" w:name="_Toc32507"/>
      <w:bookmarkStart w:id="205" w:name="_Toc10014"/>
      <w:bookmarkStart w:id="206" w:name="_Toc129073466"/>
      <w:r>
        <w:rPr>
          <w:rFonts w:hint="eastAsia" w:ascii="宋体" w:hAnsi="宋体" w:eastAsia="宋体"/>
          <w:b/>
          <w:bCs/>
          <w:color w:val="auto"/>
          <w:sz w:val="21"/>
          <w:szCs w:val="21"/>
        </w:rPr>
        <w:t>1.9 计量单位</w:t>
      </w:r>
      <w:bookmarkEnd w:id="204"/>
      <w:bookmarkEnd w:id="205"/>
      <w:bookmarkEnd w:id="206"/>
    </w:p>
    <w:p w14:paraId="09CF5E56">
      <w:pPr>
        <w:spacing w:line="440" w:lineRule="exact"/>
        <w:ind w:firstLine="420" w:firstLineChars="200"/>
        <w:rPr>
          <w:rFonts w:hint="eastAsia" w:ascii="宋体" w:hAnsi="宋体"/>
          <w:color w:val="auto"/>
        </w:rPr>
      </w:pPr>
      <w:r>
        <w:rPr>
          <w:rFonts w:hint="eastAsia" w:ascii="宋体" w:hAnsi="宋体"/>
          <w:color w:val="auto"/>
        </w:rPr>
        <w:t>所有计量均采用中华人民共和国法定计量单位。</w:t>
      </w:r>
    </w:p>
    <w:p w14:paraId="7362C39C">
      <w:pPr>
        <w:pStyle w:val="102"/>
        <w:keepNext w:val="0"/>
        <w:keepLines w:val="0"/>
        <w:spacing w:line="440" w:lineRule="exact"/>
        <w:rPr>
          <w:rFonts w:hint="eastAsia" w:ascii="宋体" w:hAnsi="宋体" w:eastAsia="宋体"/>
          <w:b/>
          <w:bCs/>
          <w:color w:val="auto"/>
          <w:sz w:val="21"/>
          <w:szCs w:val="21"/>
        </w:rPr>
      </w:pPr>
      <w:bookmarkStart w:id="207" w:name="_Toc466298101"/>
      <w:bookmarkEnd w:id="207"/>
      <w:bookmarkStart w:id="208" w:name="_Toc27570"/>
      <w:bookmarkEnd w:id="208"/>
      <w:bookmarkStart w:id="209" w:name="_Toc13675"/>
      <w:bookmarkEnd w:id="209"/>
      <w:bookmarkStart w:id="210" w:name="_Toc318450684"/>
      <w:bookmarkEnd w:id="210"/>
      <w:bookmarkStart w:id="211" w:name="_Toc455867778"/>
      <w:bookmarkEnd w:id="211"/>
      <w:bookmarkStart w:id="212" w:name="_Toc2508"/>
      <w:bookmarkEnd w:id="212"/>
      <w:bookmarkStart w:id="213" w:name="_Toc509667270"/>
      <w:bookmarkEnd w:id="213"/>
      <w:bookmarkStart w:id="214" w:name="_Toc152045540"/>
      <w:bookmarkEnd w:id="214"/>
      <w:bookmarkStart w:id="215" w:name="_Toc144974508"/>
      <w:bookmarkEnd w:id="215"/>
      <w:bookmarkStart w:id="216" w:name="_Toc152042316"/>
      <w:bookmarkEnd w:id="216"/>
      <w:bookmarkStart w:id="217" w:name="_Toc490667837"/>
      <w:bookmarkEnd w:id="217"/>
      <w:bookmarkStart w:id="218" w:name="_Toc284"/>
      <w:bookmarkEnd w:id="218"/>
      <w:bookmarkStart w:id="219" w:name="_Toc12027"/>
      <w:bookmarkEnd w:id="219"/>
      <w:bookmarkStart w:id="220" w:name="_Toc455080118"/>
      <w:bookmarkEnd w:id="220"/>
      <w:bookmarkStart w:id="221" w:name="_Toc129073467"/>
      <w:bookmarkStart w:id="222" w:name="_Toc20958"/>
      <w:bookmarkStart w:id="223" w:name="_Toc338"/>
      <w:r>
        <w:rPr>
          <w:rFonts w:hint="eastAsia" w:ascii="宋体" w:hAnsi="宋体" w:eastAsia="宋体"/>
          <w:b/>
          <w:bCs/>
          <w:color w:val="auto"/>
          <w:sz w:val="21"/>
          <w:szCs w:val="21"/>
        </w:rPr>
        <w:t xml:space="preserve">1.10 </w:t>
      </w:r>
      <w:bookmarkEnd w:id="221"/>
      <w:bookmarkEnd w:id="222"/>
      <w:bookmarkEnd w:id="223"/>
      <w:r>
        <w:rPr>
          <w:rFonts w:hint="eastAsia" w:ascii="宋体" w:hAnsi="宋体" w:eastAsia="宋体"/>
          <w:b/>
          <w:bCs/>
          <w:color w:val="auto"/>
          <w:sz w:val="21"/>
          <w:szCs w:val="21"/>
        </w:rPr>
        <w:t>踏勘现场</w:t>
      </w:r>
    </w:p>
    <w:p w14:paraId="2EF7249E">
      <w:pPr>
        <w:spacing w:line="440" w:lineRule="exact"/>
        <w:ind w:firstLine="420" w:firstLineChars="200"/>
        <w:rPr>
          <w:rFonts w:hint="eastAsia" w:ascii="宋体" w:hAnsi="宋体"/>
          <w:color w:val="auto"/>
        </w:rPr>
      </w:pPr>
      <w:r>
        <w:rPr>
          <w:rFonts w:hint="eastAsia" w:ascii="宋体" w:hAnsi="宋体"/>
          <w:color w:val="auto"/>
        </w:rPr>
        <w:t>本项目不统一组织，供应商可自行踏勘现场。</w:t>
      </w:r>
    </w:p>
    <w:p w14:paraId="5A449F48">
      <w:pPr>
        <w:pStyle w:val="102"/>
        <w:keepNext w:val="0"/>
        <w:keepLines w:val="0"/>
        <w:spacing w:line="440" w:lineRule="exact"/>
        <w:rPr>
          <w:rFonts w:hint="eastAsia" w:ascii="宋体" w:hAnsi="宋体" w:eastAsia="宋体"/>
          <w:b/>
          <w:bCs/>
          <w:color w:val="auto"/>
          <w:sz w:val="21"/>
          <w:szCs w:val="21"/>
        </w:rPr>
      </w:pPr>
      <w:r>
        <w:rPr>
          <w:rFonts w:hint="eastAsia" w:ascii="宋体" w:hAnsi="宋体" w:eastAsia="宋体"/>
          <w:b/>
          <w:bCs/>
          <w:color w:val="auto"/>
          <w:sz w:val="21"/>
          <w:szCs w:val="21"/>
        </w:rPr>
        <w:t>1.11 磋商预备会</w:t>
      </w:r>
    </w:p>
    <w:p w14:paraId="159F7DDA">
      <w:pPr>
        <w:spacing w:line="440" w:lineRule="exact"/>
        <w:ind w:firstLine="420" w:firstLineChars="200"/>
        <w:rPr>
          <w:rFonts w:hint="eastAsia" w:ascii="宋体" w:hAnsi="宋体"/>
          <w:color w:val="auto"/>
        </w:rPr>
      </w:pPr>
      <w:r>
        <w:rPr>
          <w:rFonts w:hint="eastAsia" w:ascii="宋体" w:hAnsi="宋体"/>
          <w:color w:val="auto"/>
        </w:rPr>
        <w:t>不召开磋商预备会。</w:t>
      </w:r>
    </w:p>
    <w:p w14:paraId="22ABCEDE">
      <w:pPr>
        <w:pStyle w:val="102"/>
        <w:keepNext w:val="0"/>
        <w:keepLines w:val="0"/>
        <w:spacing w:line="440" w:lineRule="exact"/>
        <w:rPr>
          <w:rFonts w:hint="eastAsia" w:ascii="宋体" w:hAnsi="宋体" w:eastAsia="宋体"/>
          <w:b/>
          <w:bCs/>
          <w:color w:val="auto"/>
          <w:sz w:val="21"/>
          <w:szCs w:val="21"/>
        </w:rPr>
      </w:pPr>
      <w:bookmarkStart w:id="224" w:name="_Toc12562"/>
      <w:bookmarkEnd w:id="224"/>
      <w:bookmarkStart w:id="225" w:name="_Toc152045541"/>
      <w:bookmarkEnd w:id="225"/>
      <w:bookmarkStart w:id="226" w:name="_Toc466298102"/>
      <w:bookmarkEnd w:id="226"/>
      <w:bookmarkStart w:id="227" w:name="_Toc152042317"/>
      <w:bookmarkEnd w:id="227"/>
      <w:bookmarkStart w:id="228" w:name="_Toc32757"/>
      <w:bookmarkEnd w:id="228"/>
      <w:bookmarkStart w:id="229" w:name="_Toc24262"/>
      <w:bookmarkEnd w:id="229"/>
      <w:bookmarkStart w:id="230" w:name="_Toc23635"/>
      <w:bookmarkEnd w:id="230"/>
      <w:bookmarkStart w:id="231" w:name="_Toc509667271"/>
      <w:bookmarkEnd w:id="231"/>
      <w:bookmarkStart w:id="232" w:name="_Toc455080119"/>
      <w:bookmarkEnd w:id="232"/>
      <w:bookmarkStart w:id="233" w:name="_Toc318450685"/>
      <w:bookmarkEnd w:id="233"/>
      <w:bookmarkStart w:id="234" w:name="_Toc455867779"/>
      <w:bookmarkEnd w:id="234"/>
      <w:bookmarkStart w:id="235" w:name="_Toc490667838"/>
      <w:bookmarkEnd w:id="235"/>
      <w:bookmarkStart w:id="236" w:name="_Toc23678"/>
      <w:bookmarkEnd w:id="236"/>
      <w:bookmarkStart w:id="237" w:name="_Toc144974509"/>
      <w:bookmarkEnd w:id="237"/>
      <w:bookmarkStart w:id="238" w:name="_Toc11744"/>
      <w:bookmarkStart w:id="239" w:name="_Toc129073468"/>
      <w:bookmarkStart w:id="240" w:name="_Toc5087"/>
      <w:r>
        <w:rPr>
          <w:rFonts w:hint="eastAsia" w:ascii="宋体" w:hAnsi="宋体" w:eastAsia="宋体"/>
          <w:b/>
          <w:bCs/>
          <w:color w:val="auto"/>
          <w:sz w:val="21"/>
          <w:szCs w:val="21"/>
        </w:rPr>
        <w:t>1.11分包</w:t>
      </w:r>
      <w:bookmarkEnd w:id="238"/>
      <w:bookmarkEnd w:id="239"/>
      <w:bookmarkEnd w:id="240"/>
    </w:p>
    <w:p w14:paraId="342BD6BE">
      <w:pPr>
        <w:spacing w:line="440" w:lineRule="exact"/>
        <w:ind w:firstLine="567" w:firstLineChars="270"/>
        <w:rPr>
          <w:rFonts w:hint="eastAsia" w:ascii="宋体" w:hAnsi="宋体"/>
          <w:color w:val="auto"/>
        </w:rPr>
      </w:pPr>
      <w:r>
        <w:rPr>
          <w:rFonts w:hint="eastAsia" w:ascii="宋体" w:hAnsi="宋体"/>
          <w:color w:val="auto"/>
        </w:rPr>
        <w:t>不允许分包。</w:t>
      </w:r>
    </w:p>
    <w:p w14:paraId="10DA046D">
      <w:pPr>
        <w:pStyle w:val="102"/>
        <w:keepNext w:val="0"/>
        <w:keepLines w:val="0"/>
        <w:spacing w:line="440" w:lineRule="exact"/>
        <w:rPr>
          <w:rFonts w:hint="eastAsia" w:ascii="宋体" w:hAnsi="宋体" w:eastAsia="宋体"/>
          <w:b/>
          <w:bCs/>
          <w:color w:val="auto"/>
          <w:sz w:val="21"/>
          <w:szCs w:val="21"/>
        </w:rPr>
      </w:pPr>
      <w:r>
        <w:rPr>
          <w:rFonts w:hint="eastAsia" w:ascii="宋体" w:hAnsi="宋体" w:eastAsia="宋体"/>
          <w:b/>
          <w:bCs/>
          <w:color w:val="auto"/>
          <w:sz w:val="21"/>
          <w:szCs w:val="21"/>
        </w:rPr>
        <w:t>1.12 偏离</w:t>
      </w:r>
    </w:p>
    <w:p w14:paraId="16E8956E">
      <w:pPr>
        <w:spacing w:line="440" w:lineRule="exact"/>
        <w:ind w:firstLine="420" w:firstLineChars="200"/>
        <w:rPr>
          <w:rFonts w:hint="eastAsia" w:ascii="宋体" w:hAnsi="宋体"/>
          <w:color w:val="auto"/>
        </w:rPr>
      </w:pPr>
      <w:r>
        <w:rPr>
          <w:rFonts w:ascii="宋体" w:hAnsi="宋体"/>
          <w:color w:val="auto"/>
        </w:rPr>
        <w:t>本项目商务条款</w:t>
      </w:r>
      <w:r>
        <w:rPr>
          <w:rFonts w:hint="eastAsia" w:ascii="宋体" w:hAnsi="宋体"/>
          <w:color w:val="auto"/>
        </w:rPr>
        <w:t>和实质性要求</w:t>
      </w:r>
      <w:r>
        <w:rPr>
          <w:rFonts w:ascii="宋体" w:hAnsi="宋体"/>
          <w:color w:val="auto"/>
        </w:rPr>
        <w:t>不允许负偏离，技术条款依照第三章评</w:t>
      </w:r>
      <w:r>
        <w:rPr>
          <w:rFonts w:hint="eastAsia" w:ascii="宋体" w:hAnsi="宋体"/>
          <w:color w:val="auto"/>
        </w:rPr>
        <w:t>标</w:t>
      </w:r>
      <w:r>
        <w:rPr>
          <w:rFonts w:ascii="宋体" w:hAnsi="宋体"/>
          <w:color w:val="auto"/>
        </w:rPr>
        <w:t>办法</w:t>
      </w:r>
      <w:r>
        <w:rPr>
          <w:rFonts w:hint="eastAsia" w:ascii="宋体" w:hAnsi="宋体"/>
          <w:color w:val="auto"/>
        </w:rPr>
        <w:t>相应标准</w:t>
      </w:r>
      <w:r>
        <w:rPr>
          <w:rFonts w:ascii="宋体" w:hAnsi="宋体"/>
          <w:color w:val="auto"/>
        </w:rPr>
        <w:t>执行。</w:t>
      </w:r>
    </w:p>
    <w:p w14:paraId="73B9498A">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241" w:name="_Toc21248"/>
      <w:bookmarkEnd w:id="241"/>
      <w:bookmarkStart w:id="242" w:name="_Toc144974510"/>
      <w:bookmarkEnd w:id="242"/>
      <w:bookmarkStart w:id="243" w:name="_Toc152042318"/>
      <w:bookmarkEnd w:id="243"/>
      <w:bookmarkStart w:id="244" w:name="_Toc152045542"/>
      <w:bookmarkEnd w:id="244"/>
      <w:bookmarkStart w:id="245" w:name="_Toc509667272"/>
      <w:bookmarkEnd w:id="245"/>
      <w:bookmarkStart w:id="246" w:name="_Toc455080120"/>
      <w:bookmarkStart w:id="247" w:name="_Toc29703"/>
      <w:bookmarkStart w:id="248" w:name="_Toc5748"/>
      <w:bookmarkStart w:id="249" w:name="_Toc18819"/>
      <w:bookmarkStart w:id="250" w:name="_Toc32666"/>
      <w:bookmarkStart w:id="251" w:name="_Toc25216"/>
      <w:r>
        <w:rPr>
          <w:rFonts w:hint="eastAsia" w:ascii="宋体" w:hAnsi="宋体" w:eastAsia="宋体"/>
          <w:b/>
          <w:bCs w:val="0"/>
          <w:color w:val="auto"/>
          <w:sz w:val="21"/>
          <w:szCs w:val="21"/>
        </w:rPr>
        <w:t xml:space="preserve">2. </w:t>
      </w:r>
      <w:bookmarkEnd w:id="246"/>
      <w:r>
        <w:rPr>
          <w:rFonts w:hint="eastAsia" w:ascii="宋体" w:hAnsi="宋体" w:eastAsia="宋体"/>
          <w:b/>
          <w:bCs w:val="0"/>
          <w:color w:val="auto"/>
          <w:sz w:val="21"/>
          <w:szCs w:val="21"/>
        </w:rPr>
        <w:t>磋商文件</w:t>
      </w:r>
      <w:bookmarkEnd w:id="247"/>
      <w:bookmarkEnd w:id="248"/>
      <w:bookmarkEnd w:id="249"/>
      <w:bookmarkEnd w:id="250"/>
      <w:bookmarkEnd w:id="251"/>
    </w:p>
    <w:p w14:paraId="26473642">
      <w:pPr>
        <w:pStyle w:val="102"/>
        <w:keepNext w:val="0"/>
        <w:keepLines w:val="0"/>
        <w:spacing w:line="440" w:lineRule="exact"/>
        <w:rPr>
          <w:rFonts w:hint="eastAsia" w:ascii="宋体" w:hAnsi="宋体" w:eastAsia="宋体"/>
          <w:b/>
          <w:bCs/>
          <w:color w:val="auto"/>
          <w:sz w:val="21"/>
          <w:szCs w:val="21"/>
        </w:rPr>
      </w:pPr>
      <w:bookmarkStart w:id="252" w:name="_Toc1008"/>
      <w:bookmarkEnd w:id="252"/>
      <w:bookmarkStart w:id="253" w:name="_Toc490667840"/>
      <w:bookmarkEnd w:id="253"/>
      <w:bookmarkStart w:id="254" w:name="_Toc455867781"/>
      <w:bookmarkEnd w:id="254"/>
      <w:bookmarkStart w:id="255" w:name="_Toc12640"/>
      <w:bookmarkEnd w:id="255"/>
      <w:bookmarkStart w:id="256" w:name="_Toc9780"/>
      <w:bookmarkEnd w:id="256"/>
      <w:bookmarkStart w:id="257" w:name="_Toc466298104"/>
      <w:bookmarkEnd w:id="257"/>
      <w:bookmarkStart w:id="258" w:name="_Toc32711"/>
      <w:bookmarkEnd w:id="258"/>
      <w:bookmarkStart w:id="259" w:name="_Toc11567"/>
      <w:bookmarkEnd w:id="259"/>
      <w:bookmarkStart w:id="260" w:name="_Toc152045543"/>
      <w:bookmarkEnd w:id="260"/>
      <w:bookmarkStart w:id="261" w:name="_Toc509667273"/>
      <w:bookmarkEnd w:id="261"/>
      <w:bookmarkStart w:id="262" w:name="_Toc11599"/>
      <w:bookmarkEnd w:id="262"/>
      <w:bookmarkStart w:id="263" w:name="_Toc144974511"/>
      <w:bookmarkEnd w:id="263"/>
      <w:bookmarkStart w:id="264" w:name="_Toc152042319"/>
      <w:bookmarkEnd w:id="264"/>
      <w:bookmarkStart w:id="265" w:name="_Toc455080121"/>
      <w:bookmarkEnd w:id="265"/>
      <w:bookmarkStart w:id="266" w:name="_Toc11999"/>
      <w:bookmarkStart w:id="267" w:name="_Toc129073470"/>
      <w:bookmarkStart w:id="268" w:name="_Toc318450687"/>
      <w:r>
        <w:rPr>
          <w:rFonts w:hint="eastAsia" w:ascii="宋体" w:hAnsi="宋体" w:eastAsia="宋体"/>
          <w:b/>
          <w:bCs/>
          <w:color w:val="auto"/>
          <w:sz w:val="21"/>
          <w:szCs w:val="21"/>
        </w:rPr>
        <w:t>2.1 磋商文件的组成</w:t>
      </w:r>
      <w:bookmarkEnd w:id="266"/>
      <w:bookmarkEnd w:id="267"/>
      <w:bookmarkEnd w:id="268"/>
    </w:p>
    <w:p w14:paraId="14F956E0">
      <w:pPr>
        <w:spacing w:line="440" w:lineRule="exact"/>
        <w:ind w:firstLine="420" w:firstLineChars="200"/>
        <w:rPr>
          <w:rFonts w:hint="eastAsia" w:ascii="宋体" w:hAnsi="宋体"/>
          <w:color w:val="auto"/>
        </w:rPr>
      </w:pPr>
      <w:r>
        <w:rPr>
          <w:rFonts w:hint="eastAsia" w:ascii="宋体" w:hAnsi="宋体"/>
          <w:color w:val="auto"/>
        </w:rPr>
        <w:t>本磋商文件包括：</w:t>
      </w:r>
    </w:p>
    <w:p w14:paraId="3C867B22">
      <w:pPr>
        <w:spacing w:line="440" w:lineRule="exact"/>
        <w:ind w:firstLine="567" w:firstLineChars="270"/>
        <w:rPr>
          <w:rFonts w:hint="eastAsia" w:ascii="宋体" w:hAnsi="宋体"/>
          <w:color w:val="auto"/>
        </w:rPr>
      </w:pPr>
      <w:r>
        <w:rPr>
          <w:rFonts w:hint="eastAsia" w:ascii="宋体" w:hAnsi="宋体"/>
          <w:color w:val="auto"/>
        </w:rPr>
        <w:t>第一章  竞争性磋商公告</w:t>
      </w:r>
    </w:p>
    <w:p w14:paraId="0E2EA431">
      <w:pPr>
        <w:spacing w:line="440" w:lineRule="exact"/>
        <w:ind w:firstLine="567" w:firstLineChars="270"/>
        <w:rPr>
          <w:rFonts w:hint="eastAsia" w:ascii="宋体" w:hAnsi="宋体"/>
          <w:color w:val="auto"/>
        </w:rPr>
      </w:pPr>
      <w:r>
        <w:rPr>
          <w:rFonts w:hint="eastAsia" w:ascii="宋体" w:hAnsi="宋体"/>
          <w:color w:val="auto"/>
        </w:rPr>
        <w:t>第二章  供应商须知</w:t>
      </w:r>
    </w:p>
    <w:p w14:paraId="2E5DA14D">
      <w:pPr>
        <w:spacing w:line="440" w:lineRule="exact"/>
        <w:ind w:firstLine="567" w:firstLineChars="270"/>
        <w:rPr>
          <w:rFonts w:hint="eastAsia" w:ascii="宋体" w:hAnsi="宋体"/>
          <w:color w:val="auto"/>
        </w:rPr>
      </w:pPr>
      <w:r>
        <w:rPr>
          <w:rFonts w:hint="eastAsia" w:ascii="宋体" w:hAnsi="宋体"/>
          <w:color w:val="auto"/>
        </w:rPr>
        <w:t>第三章  评标办法（综合评分法）</w:t>
      </w:r>
    </w:p>
    <w:p w14:paraId="5901D4F9">
      <w:pPr>
        <w:spacing w:line="440" w:lineRule="exact"/>
        <w:ind w:firstLine="567" w:firstLineChars="270"/>
        <w:rPr>
          <w:rFonts w:hint="eastAsia" w:ascii="宋体" w:hAnsi="宋体"/>
          <w:color w:val="auto"/>
        </w:rPr>
      </w:pPr>
      <w:r>
        <w:rPr>
          <w:rFonts w:hint="eastAsia" w:ascii="宋体" w:hAnsi="宋体"/>
          <w:color w:val="auto"/>
        </w:rPr>
        <w:t>第四章  合同格式及条款</w:t>
      </w:r>
    </w:p>
    <w:p w14:paraId="365431AB">
      <w:pPr>
        <w:spacing w:line="440" w:lineRule="exact"/>
        <w:ind w:firstLine="567" w:firstLineChars="270"/>
        <w:rPr>
          <w:rFonts w:hint="eastAsia" w:ascii="宋体" w:hAnsi="宋体"/>
          <w:color w:val="auto"/>
        </w:rPr>
      </w:pPr>
      <w:r>
        <w:rPr>
          <w:rFonts w:hint="eastAsia" w:ascii="宋体" w:hAnsi="宋体"/>
          <w:color w:val="auto"/>
        </w:rPr>
        <w:t>第五章  采购需求</w:t>
      </w:r>
    </w:p>
    <w:p w14:paraId="57024576">
      <w:pPr>
        <w:spacing w:line="440" w:lineRule="exact"/>
        <w:ind w:firstLine="567" w:firstLineChars="270"/>
        <w:rPr>
          <w:rFonts w:hint="eastAsia" w:ascii="宋体" w:hAnsi="宋体"/>
          <w:color w:val="auto"/>
        </w:rPr>
      </w:pPr>
      <w:r>
        <w:rPr>
          <w:rFonts w:hint="eastAsia" w:ascii="宋体" w:hAnsi="宋体"/>
          <w:color w:val="auto"/>
        </w:rPr>
        <w:t>第六章  响应文件格式</w:t>
      </w:r>
    </w:p>
    <w:p w14:paraId="0D2F9FA1">
      <w:pPr>
        <w:spacing w:line="440" w:lineRule="exact"/>
        <w:ind w:firstLine="420" w:firstLineChars="200"/>
        <w:rPr>
          <w:rFonts w:hint="eastAsia" w:ascii="宋体" w:hAnsi="宋体"/>
          <w:color w:val="auto"/>
        </w:rPr>
      </w:pPr>
      <w:r>
        <w:rPr>
          <w:rFonts w:hint="eastAsia" w:ascii="宋体" w:hAnsi="宋体"/>
          <w:color w:val="auto"/>
        </w:rPr>
        <w:t>根据本章第2.2款和第2.3款对磋商文件所作的澄清、修改，构成磋商文件的组成部分。</w:t>
      </w:r>
    </w:p>
    <w:p w14:paraId="770B9C35">
      <w:pPr>
        <w:pStyle w:val="102"/>
        <w:keepNext w:val="0"/>
        <w:keepLines w:val="0"/>
        <w:spacing w:line="440" w:lineRule="exact"/>
        <w:rPr>
          <w:rFonts w:hint="eastAsia" w:ascii="宋体" w:hAnsi="宋体" w:eastAsia="宋体"/>
          <w:b/>
          <w:bCs/>
          <w:color w:val="auto"/>
          <w:sz w:val="21"/>
          <w:szCs w:val="21"/>
        </w:rPr>
      </w:pPr>
      <w:bookmarkStart w:id="269" w:name="_Toc455080122"/>
      <w:bookmarkEnd w:id="269"/>
      <w:bookmarkStart w:id="270" w:name="_Toc8943"/>
      <w:bookmarkEnd w:id="270"/>
      <w:bookmarkStart w:id="271" w:name="_Toc490667841"/>
      <w:bookmarkEnd w:id="271"/>
      <w:bookmarkStart w:id="272" w:name="_Toc466298105"/>
      <w:bookmarkEnd w:id="272"/>
      <w:bookmarkStart w:id="273" w:name="_Toc17296"/>
      <w:bookmarkEnd w:id="273"/>
      <w:bookmarkStart w:id="274" w:name="_Toc8875"/>
      <w:bookmarkEnd w:id="274"/>
      <w:bookmarkStart w:id="275" w:name="_Toc152045544"/>
      <w:bookmarkEnd w:id="275"/>
      <w:bookmarkStart w:id="276" w:name="_Toc318450688"/>
      <w:bookmarkEnd w:id="276"/>
      <w:bookmarkStart w:id="277" w:name="_Toc152042320"/>
      <w:bookmarkEnd w:id="277"/>
      <w:bookmarkStart w:id="278" w:name="_Toc509667274"/>
      <w:bookmarkEnd w:id="278"/>
      <w:bookmarkStart w:id="279" w:name="_Toc455867782"/>
      <w:bookmarkEnd w:id="279"/>
      <w:bookmarkStart w:id="280" w:name="_Toc144974512"/>
      <w:bookmarkEnd w:id="280"/>
      <w:bookmarkStart w:id="281" w:name="_Toc7939"/>
      <w:bookmarkEnd w:id="281"/>
      <w:bookmarkStart w:id="282" w:name="_Toc18661"/>
      <w:bookmarkEnd w:id="282"/>
      <w:bookmarkStart w:id="283" w:name="_Toc129073471"/>
      <w:bookmarkStart w:id="284" w:name="_Toc13700"/>
      <w:bookmarkStart w:id="285" w:name="_Toc29343"/>
      <w:r>
        <w:rPr>
          <w:rFonts w:hint="eastAsia" w:ascii="宋体" w:hAnsi="宋体" w:eastAsia="宋体"/>
          <w:b/>
          <w:bCs/>
          <w:color w:val="auto"/>
          <w:sz w:val="21"/>
          <w:szCs w:val="21"/>
        </w:rPr>
        <w:t>2.2 磋商文件的澄清</w:t>
      </w:r>
      <w:bookmarkEnd w:id="283"/>
      <w:bookmarkEnd w:id="284"/>
      <w:bookmarkEnd w:id="285"/>
    </w:p>
    <w:p w14:paraId="13748A5A">
      <w:pPr>
        <w:spacing w:line="440" w:lineRule="exact"/>
        <w:ind w:firstLine="420" w:firstLineChars="200"/>
        <w:rPr>
          <w:rFonts w:hint="eastAsia" w:ascii="宋体" w:hAnsi="宋体"/>
          <w:color w:val="auto"/>
        </w:rPr>
      </w:pPr>
      <w:bookmarkStart w:id="286" w:name="_Toc2131"/>
      <w:bookmarkEnd w:id="286"/>
      <w:bookmarkStart w:id="287" w:name="_Toc14966"/>
      <w:bookmarkEnd w:id="287"/>
      <w:bookmarkStart w:id="288" w:name="_Toc455867783"/>
      <w:bookmarkEnd w:id="288"/>
      <w:bookmarkStart w:id="289" w:name="_Toc152045545"/>
      <w:bookmarkEnd w:id="289"/>
      <w:bookmarkStart w:id="290" w:name="_Toc11948"/>
      <w:bookmarkEnd w:id="290"/>
      <w:bookmarkStart w:id="291" w:name="_Toc13617"/>
      <w:bookmarkEnd w:id="291"/>
      <w:bookmarkStart w:id="292" w:name="_Toc490667842"/>
      <w:bookmarkEnd w:id="292"/>
      <w:bookmarkStart w:id="293" w:name="_Toc152042321"/>
      <w:bookmarkEnd w:id="293"/>
      <w:bookmarkStart w:id="294" w:name="_Toc455080123"/>
      <w:bookmarkEnd w:id="294"/>
      <w:bookmarkStart w:id="295" w:name="_Toc466298106"/>
      <w:bookmarkEnd w:id="295"/>
      <w:bookmarkStart w:id="296" w:name="_Toc5907"/>
      <w:bookmarkEnd w:id="296"/>
      <w:bookmarkStart w:id="297" w:name="_Toc509667275"/>
      <w:bookmarkEnd w:id="297"/>
      <w:bookmarkStart w:id="298" w:name="_Toc318450689"/>
      <w:bookmarkEnd w:id="298"/>
      <w:bookmarkStart w:id="299" w:name="_Toc17619"/>
      <w:bookmarkEnd w:id="299"/>
      <w:bookmarkStart w:id="300" w:name="_Toc144974513"/>
      <w:bookmarkStart w:id="301" w:name="_Toc129073472"/>
      <w:r>
        <w:rPr>
          <w:rFonts w:ascii="宋体" w:hAnsi="宋体"/>
          <w:color w:val="auto"/>
        </w:rPr>
        <w:t>2.2.1 供应商应仔细阅读和检查磋商文件的全部内容。如有疑问，应在供应商须知前附表规定的时间前在河南省公共资源交易中心交易平台上进行提问，要求采购人对磋商文件予以澄清，并及时电话告知采购人和采购代理机构。供应商在规定的时间内未按要求对磋商文件提出疑问的，采购人和采购代理机构将视其为无异议，开标后，采购人和采购代理机构可以不接受其对磋商文件内容的质疑。</w:t>
      </w:r>
    </w:p>
    <w:p w14:paraId="78EC6427">
      <w:pPr>
        <w:spacing w:line="440" w:lineRule="exact"/>
        <w:ind w:firstLine="420" w:firstLineChars="200"/>
        <w:rPr>
          <w:rFonts w:hint="eastAsia" w:ascii="宋体" w:hAnsi="宋体"/>
          <w:color w:val="auto"/>
        </w:rPr>
      </w:pPr>
      <w:r>
        <w:rPr>
          <w:rFonts w:ascii="宋体" w:hAnsi="宋体"/>
          <w:color w:val="auto"/>
        </w:rPr>
        <w:t>2.2.2 磋商文件的澄清或答疑将在供应商须知前附表规定的时间前发给领取磋商文件的供应商，但不指明澄清或答疑问题的来源。如果澄清发出的时间距提交响应文件截止时间不足5天，并且澄清内容影响磋商响应文件编制的，将相应延长响应文件递交截止时间。</w:t>
      </w:r>
    </w:p>
    <w:p w14:paraId="1FCB149F">
      <w:pPr>
        <w:spacing w:line="440" w:lineRule="exact"/>
        <w:ind w:firstLine="420" w:firstLineChars="200"/>
        <w:rPr>
          <w:rFonts w:hint="eastAsia" w:ascii="宋体" w:hAnsi="宋体"/>
          <w:color w:val="auto"/>
        </w:rPr>
      </w:pPr>
      <w:r>
        <w:rPr>
          <w:rFonts w:ascii="宋体" w:hAnsi="宋体"/>
          <w:color w:val="auto"/>
        </w:rPr>
        <w:t>2.2.3</w:t>
      </w:r>
      <w:r>
        <w:rPr>
          <w:rFonts w:hint="eastAsia" w:ascii="宋体" w:hAnsi="宋体"/>
          <w:color w:val="auto"/>
        </w:rPr>
        <w:t xml:space="preserve"> </w:t>
      </w:r>
      <w:r>
        <w:rPr>
          <w:rFonts w:ascii="宋体" w:hAnsi="宋体"/>
          <w:color w:val="auto"/>
        </w:rPr>
        <w:t>澄清内容是磋商文件的组成部分，澄清内容一经在项目公告网站和电子交易平台发布，视作已送达所有供应商，并对供应商具有约束力。</w:t>
      </w:r>
    </w:p>
    <w:p w14:paraId="4CE2D32E">
      <w:pPr>
        <w:spacing w:line="440" w:lineRule="exact"/>
        <w:ind w:firstLine="420" w:firstLineChars="200"/>
        <w:rPr>
          <w:rFonts w:hint="eastAsia" w:ascii="宋体" w:hAnsi="宋体"/>
          <w:color w:val="auto"/>
        </w:rPr>
      </w:pPr>
      <w:bookmarkStart w:id="302" w:name="_Toc30689"/>
      <w:r>
        <w:rPr>
          <w:rFonts w:hint="eastAsia" w:ascii="宋体" w:hAnsi="宋体"/>
          <w:color w:val="auto"/>
        </w:rPr>
        <w:t>2.2.4 供应商在投标截止时间前须自行查看项目进展、下载磋商文件的澄清等，因供应商未及时查看和下载而造成的后果自负。</w:t>
      </w:r>
      <w:bookmarkEnd w:id="302"/>
    </w:p>
    <w:p w14:paraId="34CC6720">
      <w:pPr>
        <w:pStyle w:val="102"/>
        <w:keepNext w:val="0"/>
        <w:keepLines w:val="0"/>
        <w:spacing w:line="440" w:lineRule="exact"/>
        <w:rPr>
          <w:rFonts w:hint="eastAsia" w:ascii="宋体" w:hAnsi="宋体" w:eastAsia="宋体"/>
          <w:b/>
          <w:bCs/>
          <w:color w:val="auto"/>
          <w:sz w:val="21"/>
          <w:szCs w:val="21"/>
        </w:rPr>
      </w:pPr>
      <w:bookmarkStart w:id="303" w:name="_Toc26377"/>
      <w:r>
        <w:rPr>
          <w:rFonts w:hint="eastAsia" w:ascii="宋体" w:hAnsi="宋体" w:eastAsia="宋体"/>
          <w:b/>
          <w:bCs/>
          <w:color w:val="auto"/>
          <w:sz w:val="21"/>
          <w:szCs w:val="21"/>
        </w:rPr>
        <w:t>2.3 磋商文件的修改</w:t>
      </w:r>
      <w:bookmarkEnd w:id="300"/>
      <w:bookmarkEnd w:id="301"/>
      <w:bookmarkEnd w:id="303"/>
    </w:p>
    <w:p w14:paraId="209D012E">
      <w:pPr>
        <w:spacing w:line="440" w:lineRule="exact"/>
        <w:ind w:firstLine="420" w:firstLineChars="200"/>
        <w:rPr>
          <w:rFonts w:hint="eastAsia" w:ascii="宋体" w:hAnsi="宋体"/>
          <w:color w:val="auto"/>
        </w:rPr>
      </w:pPr>
      <w:r>
        <w:rPr>
          <w:rFonts w:hint="eastAsia" w:ascii="宋体" w:hAnsi="宋体"/>
          <w:color w:val="auto"/>
        </w:rPr>
        <w:t>2.3.1采购人或者采购代理机构可以对已发出的竞争性磋商文件进行必要的修改，但不得改变采购标的和资格条件，修改的内容为竞争性磋商文件的组成部分。</w:t>
      </w:r>
    </w:p>
    <w:p w14:paraId="42431149">
      <w:pPr>
        <w:spacing w:line="440" w:lineRule="exact"/>
        <w:ind w:firstLine="420" w:firstLineChars="200"/>
        <w:rPr>
          <w:rFonts w:hint="eastAsia" w:ascii="宋体" w:hAnsi="宋体"/>
          <w:color w:val="auto"/>
        </w:rPr>
      </w:pPr>
      <w:r>
        <w:rPr>
          <w:rFonts w:hint="eastAsia" w:ascii="宋体" w:hAnsi="宋体"/>
          <w:color w:val="auto"/>
        </w:rPr>
        <w:t>2.3.2采购人或采购代理机构以供应商须知前附表规定的形式修改竞争性磋商文件，并通知所有已获取竞争性磋商文件的供应商，同时在原公告媒体发布变更公告。修改竞争性磋商文件的时间距提交首次响应文件截止时间不足5日的，并且修改内容可能影响响应文件编制的，将相应延长提交首次响应文件截止时间。</w:t>
      </w:r>
    </w:p>
    <w:p w14:paraId="21FAF39D">
      <w:pPr>
        <w:spacing w:line="440" w:lineRule="exact"/>
        <w:ind w:firstLine="420" w:firstLineChars="200"/>
        <w:jc w:val="left"/>
        <w:rPr>
          <w:rFonts w:hint="eastAsia" w:ascii="宋体" w:hAnsi="宋体"/>
          <w:color w:val="auto"/>
        </w:rPr>
      </w:pPr>
      <w:r>
        <w:rPr>
          <w:rFonts w:hint="eastAsia" w:ascii="宋体" w:hAnsi="宋体"/>
          <w:color w:val="auto"/>
        </w:rPr>
        <w:t>2.3.3修改内容是竞争性磋商文件的组成部分，修改内容一经在项目公告网站和电子交易平台发布，视作已送达所有供应商，并对供应商具有约束力。若供应商对修改内容仍有疑问，应在修改内容发出后24小时内在电子交易平台进行提问，否则视为已接收，并同意修改或澄清内容。开标后，采购人和采购代理机构不接受其对竞争性磋商文件内容的质疑。</w:t>
      </w:r>
    </w:p>
    <w:p w14:paraId="33609C90">
      <w:pPr>
        <w:spacing w:line="440" w:lineRule="exact"/>
        <w:ind w:firstLine="420" w:firstLineChars="200"/>
        <w:jc w:val="left"/>
        <w:rPr>
          <w:rFonts w:hint="eastAsia" w:ascii="宋体" w:hAnsi="宋体"/>
          <w:color w:val="auto"/>
        </w:rPr>
      </w:pPr>
      <w:r>
        <w:rPr>
          <w:rFonts w:hint="eastAsia" w:ascii="宋体" w:hAnsi="宋体"/>
          <w:color w:val="auto"/>
        </w:rPr>
        <w:t>2.3.4供应商在投标截止时间前须自行查看项目进展、下载竞争性磋商文件的修改等，因供应商未及时查看和下载而造成的后果自负。</w:t>
      </w:r>
    </w:p>
    <w:p w14:paraId="1C630194">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304" w:name="_Toc509667276"/>
      <w:bookmarkEnd w:id="304"/>
      <w:bookmarkStart w:id="305" w:name="_Toc152045546"/>
      <w:bookmarkEnd w:id="305"/>
      <w:bookmarkStart w:id="306" w:name="_Toc152042322"/>
      <w:bookmarkEnd w:id="306"/>
      <w:bookmarkStart w:id="307" w:name="_Toc144974514"/>
      <w:bookmarkEnd w:id="307"/>
      <w:bookmarkStart w:id="308" w:name="_Toc455080124"/>
      <w:bookmarkEnd w:id="308"/>
      <w:bookmarkStart w:id="309" w:name="_Toc7665"/>
      <w:bookmarkStart w:id="310" w:name="_Toc2596"/>
      <w:bookmarkStart w:id="311" w:name="_Toc2939"/>
      <w:bookmarkStart w:id="312" w:name="_Toc5018"/>
      <w:bookmarkStart w:id="313" w:name="_Toc20033"/>
      <w:bookmarkStart w:id="314" w:name="_Toc10391"/>
      <w:r>
        <w:rPr>
          <w:rFonts w:hint="eastAsia" w:ascii="宋体" w:hAnsi="宋体" w:eastAsia="宋体"/>
          <w:b/>
          <w:bCs w:val="0"/>
          <w:color w:val="auto"/>
          <w:sz w:val="21"/>
          <w:szCs w:val="21"/>
        </w:rPr>
        <w:t xml:space="preserve">3. </w:t>
      </w:r>
      <w:bookmarkEnd w:id="309"/>
      <w:r>
        <w:rPr>
          <w:rFonts w:hint="eastAsia" w:ascii="宋体" w:hAnsi="宋体" w:eastAsia="宋体"/>
          <w:b/>
          <w:bCs w:val="0"/>
          <w:color w:val="auto"/>
          <w:sz w:val="21"/>
          <w:szCs w:val="21"/>
        </w:rPr>
        <w:t>响应文件</w:t>
      </w:r>
      <w:bookmarkEnd w:id="310"/>
      <w:bookmarkEnd w:id="311"/>
      <w:bookmarkEnd w:id="312"/>
      <w:bookmarkEnd w:id="313"/>
      <w:bookmarkEnd w:id="314"/>
    </w:p>
    <w:p w14:paraId="1D404643">
      <w:pPr>
        <w:pStyle w:val="102"/>
        <w:keepNext w:val="0"/>
        <w:keepLines w:val="0"/>
        <w:spacing w:line="440" w:lineRule="exact"/>
        <w:jc w:val="left"/>
        <w:rPr>
          <w:rFonts w:hint="eastAsia" w:ascii="宋体" w:hAnsi="宋体" w:eastAsia="宋体"/>
          <w:b/>
          <w:bCs/>
          <w:color w:val="auto"/>
          <w:sz w:val="21"/>
          <w:szCs w:val="21"/>
        </w:rPr>
      </w:pPr>
      <w:bookmarkStart w:id="315" w:name="_Toc152045547"/>
      <w:bookmarkEnd w:id="315"/>
      <w:bookmarkStart w:id="316" w:name="_Toc152042323"/>
      <w:bookmarkEnd w:id="316"/>
      <w:bookmarkStart w:id="317" w:name="_Toc24440"/>
      <w:bookmarkEnd w:id="317"/>
      <w:bookmarkStart w:id="318" w:name="_Toc490667844"/>
      <w:bookmarkEnd w:id="318"/>
      <w:bookmarkStart w:id="319" w:name="_Toc15810"/>
      <w:bookmarkEnd w:id="319"/>
      <w:bookmarkStart w:id="320" w:name="_Toc144974515"/>
      <w:bookmarkEnd w:id="320"/>
      <w:bookmarkStart w:id="321" w:name="_Toc129073474"/>
      <w:bookmarkStart w:id="322" w:name="_Toc318450691"/>
      <w:bookmarkStart w:id="323" w:name="_Toc15440"/>
      <w:r>
        <w:rPr>
          <w:rFonts w:hint="eastAsia" w:ascii="宋体" w:hAnsi="宋体" w:eastAsia="宋体"/>
          <w:b/>
          <w:bCs/>
          <w:color w:val="auto"/>
          <w:sz w:val="21"/>
          <w:szCs w:val="21"/>
        </w:rPr>
        <w:t>3.1 响应文件的组成</w:t>
      </w:r>
      <w:bookmarkEnd w:id="321"/>
      <w:bookmarkEnd w:id="322"/>
      <w:bookmarkEnd w:id="323"/>
    </w:p>
    <w:p w14:paraId="45D4345B">
      <w:pPr>
        <w:spacing w:line="440" w:lineRule="exact"/>
        <w:ind w:firstLine="365" w:firstLineChars="174"/>
        <w:jc w:val="left"/>
        <w:rPr>
          <w:rFonts w:hint="eastAsia" w:ascii="宋体" w:hAnsi="宋体"/>
          <w:color w:val="auto"/>
        </w:rPr>
      </w:pPr>
      <w:bookmarkStart w:id="324" w:name="_Toc455867785"/>
      <w:bookmarkEnd w:id="324"/>
      <w:bookmarkStart w:id="325" w:name="_Toc466298108"/>
      <w:bookmarkEnd w:id="325"/>
      <w:bookmarkStart w:id="326" w:name="_Toc26291"/>
      <w:bookmarkEnd w:id="326"/>
      <w:bookmarkStart w:id="327" w:name="_Toc455080125"/>
      <w:bookmarkEnd w:id="327"/>
      <w:bookmarkStart w:id="328" w:name="_Toc144974516"/>
      <w:bookmarkEnd w:id="328"/>
      <w:bookmarkStart w:id="329" w:name="_Toc779"/>
      <w:bookmarkEnd w:id="329"/>
      <w:bookmarkStart w:id="330" w:name="_Toc18750"/>
      <w:bookmarkEnd w:id="330"/>
      <w:bookmarkStart w:id="331" w:name="_Toc13280"/>
      <w:bookmarkEnd w:id="331"/>
      <w:bookmarkStart w:id="332" w:name="_Toc152045548"/>
      <w:bookmarkEnd w:id="332"/>
      <w:bookmarkStart w:id="333" w:name="_Toc152042324"/>
      <w:bookmarkEnd w:id="333"/>
      <w:bookmarkStart w:id="334" w:name="_Toc318450692"/>
      <w:bookmarkEnd w:id="334"/>
      <w:bookmarkStart w:id="335" w:name="_Toc279156232"/>
      <w:bookmarkEnd w:id="335"/>
      <w:bookmarkStart w:id="336" w:name="_Toc30182"/>
      <w:bookmarkEnd w:id="336"/>
      <w:bookmarkStart w:id="337" w:name="_Toc22864"/>
      <w:bookmarkEnd w:id="337"/>
      <w:bookmarkStart w:id="338" w:name="_Toc899"/>
      <w:r>
        <w:rPr>
          <w:rFonts w:hint="eastAsia" w:ascii="宋体" w:hAnsi="宋体"/>
          <w:color w:val="auto"/>
        </w:rPr>
        <w:t>详见第六章“响应文件格式”</w:t>
      </w:r>
      <w:bookmarkEnd w:id="338"/>
    </w:p>
    <w:p w14:paraId="78E973DA">
      <w:pPr>
        <w:pStyle w:val="102"/>
        <w:keepNext w:val="0"/>
        <w:keepLines w:val="0"/>
        <w:spacing w:line="440" w:lineRule="exact"/>
        <w:jc w:val="left"/>
        <w:rPr>
          <w:rFonts w:hint="eastAsia" w:ascii="宋体" w:hAnsi="宋体" w:eastAsia="宋体"/>
          <w:b/>
          <w:bCs/>
          <w:color w:val="auto"/>
          <w:sz w:val="21"/>
          <w:szCs w:val="21"/>
        </w:rPr>
      </w:pPr>
      <w:bookmarkStart w:id="339" w:name="_Toc129073475"/>
      <w:bookmarkStart w:id="340" w:name="_Toc13183"/>
      <w:r>
        <w:rPr>
          <w:rFonts w:hint="eastAsia" w:ascii="宋体" w:hAnsi="宋体" w:eastAsia="宋体"/>
          <w:b/>
          <w:bCs/>
          <w:color w:val="auto"/>
          <w:sz w:val="21"/>
          <w:szCs w:val="21"/>
        </w:rPr>
        <w:t>3.2 磋商报价</w:t>
      </w:r>
      <w:bookmarkEnd w:id="339"/>
      <w:bookmarkEnd w:id="340"/>
    </w:p>
    <w:p w14:paraId="2F0E6882">
      <w:pPr>
        <w:spacing w:line="440" w:lineRule="exact"/>
        <w:ind w:firstLine="365" w:firstLineChars="174"/>
        <w:rPr>
          <w:rFonts w:hint="eastAsia" w:ascii="宋体" w:hAnsi="宋体"/>
          <w:color w:val="auto"/>
        </w:rPr>
      </w:pPr>
      <w:r>
        <w:rPr>
          <w:rFonts w:hint="eastAsia" w:ascii="宋体" w:hAnsi="宋体"/>
          <w:color w:val="auto"/>
        </w:rPr>
        <w:t>3.2.1供应商应根据第五章“采购需求”的要求，综合考虑并填写报价。</w:t>
      </w:r>
    </w:p>
    <w:p w14:paraId="56CC15DF">
      <w:pPr>
        <w:spacing w:line="440" w:lineRule="exact"/>
        <w:ind w:firstLine="365" w:firstLineChars="174"/>
        <w:rPr>
          <w:rFonts w:hint="eastAsia" w:ascii="宋体" w:hAnsi="宋体"/>
          <w:color w:val="auto"/>
        </w:rPr>
      </w:pPr>
      <w:r>
        <w:rPr>
          <w:rFonts w:hint="eastAsia" w:ascii="宋体" w:hAnsi="宋体"/>
          <w:color w:val="auto"/>
        </w:rPr>
        <w:t>3.2.2供应商在磋商截止时间前修改投标函中的磋商报价，应同时修改分项报价表中相应报价。</w:t>
      </w:r>
    </w:p>
    <w:p w14:paraId="6E6FF343">
      <w:pPr>
        <w:spacing w:line="440" w:lineRule="exact"/>
        <w:ind w:firstLine="365" w:firstLineChars="174"/>
        <w:rPr>
          <w:rFonts w:hint="eastAsia" w:ascii="宋体" w:hAnsi="宋体"/>
          <w:color w:val="auto"/>
        </w:rPr>
      </w:pPr>
      <w:r>
        <w:rPr>
          <w:rFonts w:hint="eastAsia" w:ascii="宋体" w:hAnsi="宋体"/>
          <w:color w:val="auto"/>
        </w:rPr>
        <w:t>3.2.3磋商过程供应商需二轮报价（首轮报价、最终报价不能超出最高限价，否则视为无效标）。</w:t>
      </w:r>
    </w:p>
    <w:p w14:paraId="57D436B7">
      <w:pPr>
        <w:spacing w:line="440" w:lineRule="exact"/>
        <w:ind w:firstLine="365" w:firstLineChars="174"/>
        <w:rPr>
          <w:rFonts w:hint="eastAsia" w:ascii="宋体" w:hAnsi="宋体"/>
          <w:b/>
          <w:color w:val="auto"/>
        </w:rPr>
      </w:pPr>
      <w:r>
        <w:rPr>
          <w:rFonts w:hint="eastAsia" w:ascii="宋体" w:hAnsi="宋体"/>
          <w:color w:val="auto"/>
        </w:rPr>
        <w:t>3.2.4成交人不得以任何理由在磋商截止后对磋商报价予以修改，报价在磋商有效期内是固定的，不因任何原因而改变。任何包含价格调整要求和条件的磋商，将被视为非实质性响应磋商而予与拒绝。</w:t>
      </w:r>
    </w:p>
    <w:p w14:paraId="0344018C">
      <w:pPr>
        <w:pStyle w:val="102"/>
        <w:keepNext w:val="0"/>
        <w:keepLines w:val="0"/>
        <w:spacing w:line="440" w:lineRule="exact"/>
        <w:jc w:val="left"/>
        <w:rPr>
          <w:rFonts w:hint="eastAsia" w:ascii="宋体" w:hAnsi="宋体" w:eastAsia="宋体"/>
          <w:b/>
          <w:bCs/>
          <w:color w:val="auto"/>
          <w:sz w:val="21"/>
          <w:szCs w:val="21"/>
        </w:rPr>
      </w:pPr>
      <w:bookmarkStart w:id="341" w:name="_Toc152042325"/>
      <w:bookmarkEnd w:id="341"/>
      <w:bookmarkStart w:id="342" w:name="_Toc2425"/>
      <w:bookmarkEnd w:id="342"/>
      <w:bookmarkStart w:id="343" w:name="_Toc455867786"/>
      <w:bookmarkEnd w:id="343"/>
      <w:bookmarkStart w:id="344" w:name="_Toc21600"/>
      <w:bookmarkEnd w:id="344"/>
      <w:bookmarkStart w:id="345" w:name="_Toc21680"/>
      <w:bookmarkEnd w:id="345"/>
      <w:bookmarkStart w:id="346" w:name="_Toc6105"/>
      <w:bookmarkEnd w:id="346"/>
      <w:bookmarkStart w:id="347" w:name="_Toc490667846"/>
      <w:bookmarkEnd w:id="347"/>
      <w:bookmarkStart w:id="348" w:name="_Toc455080126"/>
      <w:bookmarkEnd w:id="348"/>
      <w:bookmarkStart w:id="349" w:name="_Toc509667277"/>
      <w:bookmarkEnd w:id="349"/>
      <w:bookmarkStart w:id="350" w:name="_Toc144974517"/>
      <w:bookmarkEnd w:id="350"/>
      <w:bookmarkStart w:id="351" w:name="_Toc152045549"/>
      <w:bookmarkEnd w:id="351"/>
      <w:bookmarkStart w:id="352" w:name="_Toc7910"/>
      <w:bookmarkEnd w:id="352"/>
      <w:bookmarkStart w:id="353" w:name="_Toc3624"/>
      <w:bookmarkEnd w:id="353"/>
      <w:bookmarkStart w:id="354" w:name="_Toc318450693"/>
      <w:bookmarkEnd w:id="354"/>
      <w:bookmarkStart w:id="355" w:name="_Toc466298109"/>
      <w:bookmarkStart w:id="356" w:name="_Toc129073476"/>
      <w:bookmarkStart w:id="357" w:name="_Toc17496"/>
      <w:r>
        <w:rPr>
          <w:rFonts w:hint="eastAsia" w:ascii="宋体" w:hAnsi="宋体" w:eastAsia="宋体"/>
          <w:b/>
          <w:bCs/>
          <w:color w:val="auto"/>
          <w:sz w:val="21"/>
          <w:szCs w:val="21"/>
        </w:rPr>
        <w:t>3.3 磋商有效期</w:t>
      </w:r>
      <w:bookmarkEnd w:id="355"/>
      <w:bookmarkEnd w:id="356"/>
      <w:bookmarkEnd w:id="357"/>
    </w:p>
    <w:p w14:paraId="62FBFD06">
      <w:pPr>
        <w:spacing w:line="440" w:lineRule="exact"/>
        <w:ind w:firstLine="420" w:firstLineChars="200"/>
        <w:rPr>
          <w:rFonts w:hint="eastAsia" w:ascii="宋体" w:hAnsi="宋体"/>
          <w:color w:val="auto"/>
        </w:rPr>
      </w:pPr>
      <w:r>
        <w:rPr>
          <w:rFonts w:hint="eastAsia" w:ascii="宋体" w:hAnsi="宋体"/>
          <w:color w:val="auto"/>
        </w:rPr>
        <w:t>3.3.1在供应商须知前附表规定的磋商有效期内，供应商不得要求撤销或修改其响应文件。</w:t>
      </w:r>
    </w:p>
    <w:p w14:paraId="7826AC9D">
      <w:pPr>
        <w:spacing w:line="440" w:lineRule="exact"/>
        <w:ind w:firstLine="420" w:firstLineChars="200"/>
        <w:rPr>
          <w:rFonts w:hint="eastAsia" w:ascii="宋体" w:hAnsi="宋体"/>
          <w:color w:val="auto"/>
        </w:rPr>
      </w:pPr>
      <w:r>
        <w:rPr>
          <w:rFonts w:hint="eastAsia" w:ascii="宋体" w:hAnsi="宋体"/>
          <w:color w:val="auto"/>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7EB90748">
      <w:pPr>
        <w:pStyle w:val="102"/>
        <w:keepNext w:val="0"/>
        <w:keepLines w:val="0"/>
        <w:spacing w:line="440" w:lineRule="exact"/>
        <w:jc w:val="left"/>
        <w:rPr>
          <w:rFonts w:hint="eastAsia" w:ascii="宋体" w:hAnsi="宋体" w:eastAsia="宋体"/>
          <w:b/>
          <w:bCs/>
          <w:color w:val="auto"/>
          <w:sz w:val="21"/>
          <w:szCs w:val="21"/>
        </w:rPr>
      </w:pPr>
      <w:bookmarkStart w:id="358" w:name="_Toc466298110"/>
      <w:bookmarkEnd w:id="358"/>
      <w:bookmarkStart w:id="359" w:name="_Toc152045550"/>
      <w:bookmarkEnd w:id="359"/>
      <w:bookmarkStart w:id="360" w:name="_Toc490667847"/>
      <w:bookmarkEnd w:id="360"/>
      <w:bookmarkStart w:id="361" w:name="_Toc318450694"/>
      <w:bookmarkEnd w:id="361"/>
      <w:bookmarkStart w:id="362" w:name="_Toc30697"/>
      <w:bookmarkEnd w:id="362"/>
      <w:bookmarkStart w:id="363" w:name="_Toc144974518"/>
      <w:bookmarkEnd w:id="363"/>
      <w:bookmarkStart w:id="364" w:name="_Toc7973"/>
      <w:bookmarkEnd w:id="364"/>
      <w:bookmarkStart w:id="365" w:name="_Toc509667278"/>
      <w:bookmarkEnd w:id="365"/>
      <w:bookmarkStart w:id="366" w:name="_Toc455867787"/>
      <w:bookmarkEnd w:id="366"/>
      <w:bookmarkStart w:id="367" w:name="_Toc2505"/>
      <w:bookmarkEnd w:id="367"/>
      <w:bookmarkStart w:id="368" w:name="_Toc4165"/>
      <w:bookmarkEnd w:id="368"/>
      <w:bookmarkStart w:id="369" w:name="_Toc152042326"/>
      <w:bookmarkEnd w:id="369"/>
      <w:bookmarkStart w:id="370" w:name="_Toc7057"/>
      <w:bookmarkEnd w:id="370"/>
      <w:bookmarkStart w:id="371" w:name="_Toc455080127"/>
      <w:bookmarkEnd w:id="371"/>
      <w:bookmarkStart w:id="372" w:name="_Toc13390"/>
      <w:bookmarkStart w:id="373" w:name="_Toc10370"/>
      <w:bookmarkStart w:id="374" w:name="_Toc129073477"/>
      <w:r>
        <w:rPr>
          <w:rFonts w:hint="eastAsia" w:ascii="宋体" w:hAnsi="宋体" w:eastAsia="宋体"/>
          <w:b/>
          <w:bCs/>
          <w:color w:val="auto"/>
          <w:sz w:val="21"/>
          <w:szCs w:val="21"/>
        </w:rPr>
        <w:t>3.4 磋商保证金</w:t>
      </w:r>
      <w:bookmarkEnd w:id="372"/>
    </w:p>
    <w:p w14:paraId="1B5945ED">
      <w:pPr>
        <w:spacing w:line="440" w:lineRule="exact"/>
        <w:ind w:firstLine="420" w:firstLineChars="200"/>
        <w:rPr>
          <w:rFonts w:hint="eastAsia" w:ascii="宋体" w:hAnsi="宋体"/>
          <w:color w:val="auto"/>
        </w:rPr>
      </w:pPr>
      <w:r>
        <w:rPr>
          <w:rFonts w:hint="eastAsia" w:ascii="宋体" w:hAnsi="宋体"/>
          <w:color w:val="auto"/>
        </w:rPr>
        <w:t>根据《关于优化政府采购营商环境有关问题的通知》(豫财购〔2019〕4号)的相关要求，本项目不再收取磋商保证金。</w:t>
      </w:r>
    </w:p>
    <w:bookmarkEnd w:id="373"/>
    <w:bookmarkEnd w:id="374"/>
    <w:p w14:paraId="4ADC56CF">
      <w:pPr>
        <w:pStyle w:val="102"/>
        <w:keepNext w:val="0"/>
        <w:keepLines w:val="0"/>
        <w:spacing w:line="440" w:lineRule="exact"/>
        <w:jc w:val="left"/>
        <w:rPr>
          <w:rFonts w:hint="eastAsia" w:ascii="宋体" w:hAnsi="宋体" w:eastAsia="宋体"/>
          <w:b/>
          <w:bCs/>
          <w:color w:val="auto"/>
          <w:sz w:val="21"/>
          <w:szCs w:val="21"/>
        </w:rPr>
      </w:pPr>
      <w:bookmarkStart w:id="375" w:name="_Toc466298111"/>
      <w:bookmarkEnd w:id="375"/>
      <w:bookmarkStart w:id="376" w:name="_Toc152042328"/>
      <w:bookmarkEnd w:id="376"/>
      <w:bookmarkStart w:id="377" w:name="_Toc318450695"/>
      <w:bookmarkEnd w:id="377"/>
      <w:bookmarkStart w:id="378" w:name="_Toc509667279"/>
      <w:bookmarkEnd w:id="378"/>
      <w:bookmarkStart w:id="379" w:name="_Toc16747"/>
      <w:bookmarkEnd w:id="379"/>
      <w:bookmarkStart w:id="380" w:name="_Toc455080128"/>
      <w:bookmarkEnd w:id="380"/>
      <w:bookmarkStart w:id="381" w:name="_Toc17153"/>
      <w:bookmarkEnd w:id="381"/>
      <w:bookmarkStart w:id="382" w:name="_Toc22384"/>
      <w:bookmarkEnd w:id="382"/>
      <w:bookmarkStart w:id="383" w:name="_Toc22527"/>
      <w:bookmarkEnd w:id="383"/>
      <w:bookmarkStart w:id="384" w:name="_Toc152045552"/>
      <w:bookmarkEnd w:id="384"/>
      <w:bookmarkStart w:id="385" w:name="_Toc27579"/>
      <w:bookmarkEnd w:id="385"/>
      <w:bookmarkStart w:id="386" w:name="_Toc490667848"/>
      <w:bookmarkEnd w:id="386"/>
      <w:bookmarkStart w:id="387" w:name="_Toc144974520"/>
      <w:bookmarkEnd w:id="387"/>
      <w:bookmarkStart w:id="388" w:name="_Toc455867788"/>
      <w:bookmarkEnd w:id="388"/>
      <w:bookmarkStart w:id="389" w:name="_Toc8708"/>
      <w:bookmarkStart w:id="390" w:name="_Toc11077"/>
      <w:bookmarkStart w:id="391" w:name="_Toc129073478"/>
      <w:r>
        <w:rPr>
          <w:rFonts w:hint="eastAsia" w:ascii="宋体" w:hAnsi="宋体" w:eastAsia="宋体"/>
          <w:b/>
          <w:bCs/>
          <w:color w:val="auto"/>
          <w:sz w:val="21"/>
          <w:szCs w:val="21"/>
        </w:rPr>
        <w:t>3.5资格审查资料</w:t>
      </w:r>
      <w:bookmarkEnd w:id="389"/>
      <w:bookmarkEnd w:id="390"/>
      <w:bookmarkEnd w:id="391"/>
    </w:p>
    <w:p w14:paraId="01FB2882">
      <w:pPr>
        <w:spacing w:line="440" w:lineRule="exact"/>
        <w:ind w:firstLine="420" w:firstLineChars="200"/>
        <w:rPr>
          <w:rFonts w:hint="eastAsia" w:ascii="宋体" w:hAnsi="宋体"/>
          <w:color w:val="auto"/>
        </w:rPr>
      </w:pPr>
      <w:bookmarkStart w:id="392" w:name="_Toc318450696"/>
      <w:bookmarkEnd w:id="392"/>
      <w:bookmarkStart w:id="393" w:name="_Toc152045553"/>
      <w:bookmarkEnd w:id="393"/>
      <w:bookmarkStart w:id="394" w:name="_Toc26258"/>
      <w:bookmarkEnd w:id="394"/>
      <w:bookmarkStart w:id="395" w:name="_Toc144974521"/>
      <w:bookmarkEnd w:id="395"/>
      <w:bookmarkStart w:id="396" w:name="_Toc152042329"/>
      <w:bookmarkEnd w:id="396"/>
      <w:bookmarkStart w:id="397" w:name="_Toc5132"/>
      <w:r>
        <w:rPr>
          <w:rFonts w:hint="eastAsia" w:ascii="宋体" w:hAnsi="宋体"/>
          <w:color w:val="auto"/>
        </w:rPr>
        <w:t>见供应商须知前附表。</w:t>
      </w:r>
      <w:bookmarkEnd w:id="397"/>
    </w:p>
    <w:p w14:paraId="1B4DA685">
      <w:pPr>
        <w:pStyle w:val="102"/>
        <w:keepNext w:val="0"/>
        <w:keepLines w:val="0"/>
        <w:spacing w:line="440" w:lineRule="exact"/>
        <w:jc w:val="left"/>
        <w:rPr>
          <w:rFonts w:hint="eastAsia" w:ascii="宋体" w:hAnsi="宋体" w:eastAsia="宋体"/>
          <w:b/>
          <w:bCs/>
          <w:color w:val="auto"/>
          <w:sz w:val="21"/>
          <w:szCs w:val="21"/>
        </w:rPr>
      </w:pPr>
      <w:bookmarkStart w:id="398" w:name="_Toc466298112"/>
      <w:bookmarkEnd w:id="398"/>
      <w:bookmarkStart w:id="399" w:name="_Toc509667280"/>
      <w:bookmarkEnd w:id="399"/>
      <w:bookmarkStart w:id="400" w:name="_Toc9015"/>
      <w:bookmarkEnd w:id="400"/>
      <w:bookmarkStart w:id="401" w:name="_Toc490667849"/>
      <w:bookmarkEnd w:id="401"/>
      <w:bookmarkStart w:id="402" w:name="_Toc455080129"/>
      <w:bookmarkEnd w:id="402"/>
      <w:bookmarkStart w:id="403" w:name="_Toc11694"/>
      <w:bookmarkEnd w:id="403"/>
      <w:bookmarkStart w:id="404" w:name="_Toc19724"/>
      <w:bookmarkEnd w:id="404"/>
      <w:bookmarkStart w:id="405" w:name="_Toc30442"/>
      <w:bookmarkEnd w:id="405"/>
      <w:bookmarkStart w:id="406" w:name="_Toc455867789"/>
      <w:bookmarkStart w:id="407" w:name="_Toc20349"/>
      <w:bookmarkStart w:id="408" w:name="_Toc129073479"/>
      <w:r>
        <w:rPr>
          <w:rFonts w:hint="eastAsia" w:ascii="宋体" w:hAnsi="宋体" w:eastAsia="宋体"/>
          <w:b/>
          <w:bCs/>
          <w:color w:val="auto"/>
          <w:sz w:val="21"/>
          <w:szCs w:val="21"/>
        </w:rPr>
        <w:t>3.6 备选方案</w:t>
      </w:r>
      <w:bookmarkEnd w:id="406"/>
      <w:bookmarkEnd w:id="407"/>
      <w:bookmarkEnd w:id="408"/>
    </w:p>
    <w:p w14:paraId="0CFA0501">
      <w:pPr>
        <w:spacing w:line="440" w:lineRule="exact"/>
        <w:ind w:firstLine="420" w:firstLineChars="200"/>
        <w:rPr>
          <w:rFonts w:hint="eastAsia" w:ascii="宋体" w:hAnsi="宋体"/>
          <w:color w:val="auto"/>
        </w:rPr>
      </w:pPr>
      <w:r>
        <w:rPr>
          <w:rFonts w:hint="eastAsia" w:ascii="宋体" w:hAnsi="宋体"/>
          <w:color w:val="auto"/>
        </w:rPr>
        <w:t>除供应商须知前附表另有规定外，供应商不得递交备选磋商方案。</w:t>
      </w:r>
    </w:p>
    <w:p w14:paraId="6E9EA2D2">
      <w:pPr>
        <w:pStyle w:val="102"/>
        <w:keepNext w:val="0"/>
        <w:keepLines w:val="0"/>
        <w:spacing w:line="440" w:lineRule="exact"/>
        <w:jc w:val="left"/>
        <w:rPr>
          <w:rFonts w:hint="eastAsia" w:ascii="宋体" w:hAnsi="宋体" w:eastAsia="宋体"/>
          <w:b/>
          <w:bCs/>
          <w:color w:val="auto"/>
          <w:sz w:val="21"/>
          <w:szCs w:val="21"/>
        </w:rPr>
      </w:pPr>
      <w:bookmarkStart w:id="409" w:name="_Toc152042330"/>
      <w:bookmarkEnd w:id="409"/>
      <w:bookmarkStart w:id="410" w:name="_Toc7626"/>
      <w:bookmarkEnd w:id="410"/>
      <w:bookmarkStart w:id="411" w:name="_Toc152045554"/>
      <w:bookmarkEnd w:id="411"/>
      <w:bookmarkStart w:id="412" w:name="_Toc466298113"/>
      <w:bookmarkEnd w:id="412"/>
      <w:bookmarkStart w:id="413" w:name="_Toc318450697"/>
      <w:bookmarkEnd w:id="413"/>
      <w:bookmarkStart w:id="414" w:name="_Toc455867790"/>
      <w:bookmarkEnd w:id="414"/>
      <w:bookmarkStart w:id="415" w:name="_Toc144974522"/>
      <w:bookmarkEnd w:id="415"/>
      <w:bookmarkStart w:id="416" w:name="_Toc6323"/>
      <w:bookmarkEnd w:id="416"/>
      <w:bookmarkStart w:id="417" w:name="_Toc25620"/>
      <w:bookmarkEnd w:id="417"/>
      <w:bookmarkStart w:id="418" w:name="_Toc7966"/>
      <w:bookmarkEnd w:id="418"/>
      <w:bookmarkStart w:id="419" w:name="_Toc28656"/>
      <w:bookmarkEnd w:id="419"/>
      <w:bookmarkStart w:id="420" w:name="_Toc455080130"/>
      <w:bookmarkEnd w:id="420"/>
      <w:bookmarkStart w:id="421" w:name="_Toc12275"/>
      <w:bookmarkEnd w:id="421"/>
      <w:bookmarkStart w:id="422" w:name="_Toc509667281"/>
      <w:bookmarkEnd w:id="422"/>
      <w:bookmarkStart w:id="423" w:name="_Toc490667850"/>
      <w:bookmarkStart w:id="424" w:name="_Toc129073480"/>
      <w:bookmarkStart w:id="425" w:name="_Toc25601"/>
      <w:r>
        <w:rPr>
          <w:rFonts w:hint="eastAsia" w:ascii="宋体" w:hAnsi="宋体" w:eastAsia="宋体"/>
          <w:b/>
          <w:bCs/>
          <w:color w:val="auto"/>
          <w:sz w:val="21"/>
          <w:szCs w:val="21"/>
        </w:rPr>
        <w:t>3.7 响应文件的编制</w:t>
      </w:r>
      <w:bookmarkEnd w:id="423"/>
      <w:bookmarkEnd w:id="424"/>
      <w:bookmarkEnd w:id="425"/>
    </w:p>
    <w:p w14:paraId="56D9399D">
      <w:pPr>
        <w:pStyle w:val="22"/>
        <w:spacing w:line="440" w:lineRule="exact"/>
        <w:ind w:firstLine="420" w:firstLineChars="200"/>
        <w:rPr>
          <w:rFonts w:hint="eastAsia" w:ascii="宋体" w:hAnsi="宋体"/>
          <w:color w:val="auto"/>
          <w:kern w:val="2"/>
          <w:sz w:val="21"/>
          <w:szCs w:val="21"/>
        </w:rPr>
      </w:pPr>
      <w:r>
        <w:rPr>
          <w:rFonts w:hint="eastAsia" w:ascii="宋体" w:hAnsi="宋体"/>
          <w:color w:val="auto"/>
          <w:kern w:val="2"/>
          <w:sz w:val="21"/>
          <w:szCs w:val="21"/>
        </w:rPr>
        <w:t xml:space="preserve">3.7.1 响应文件应按“第六章响应文件格式”进行编写，如有必要，可以增加附页， 作为响应文件的组成部分。其中，磋商函附录在满足磋商文件实质性要求的基础上，可以提出比磋商文件要求更有利于采购人的承诺。 </w:t>
      </w:r>
    </w:p>
    <w:p w14:paraId="66842874">
      <w:pPr>
        <w:pStyle w:val="22"/>
        <w:spacing w:line="440" w:lineRule="exact"/>
        <w:ind w:firstLine="420" w:firstLineChars="200"/>
        <w:rPr>
          <w:rFonts w:hint="eastAsia" w:ascii="宋体" w:hAnsi="宋体"/>
          <w:color w:val="auto"/>
          <w:kern w:val="2"/>
          <w:sz w:val="21"/>
          <w:szCs w:val="21"/>
        </w:rPr>
      </w:pPr>
      <w:r>
        <w:rPr>
          <w:rFonts w:hint="eastAsia" w:ascii="宋体" w:hAnsi="宋体"/>
          <w:color w:val="auto"/>
          <w:kern w:val="2"/>
          <w:sz w:val="21"/>
          <w:szCs w:val="21"/>
        </w:rPr>
        <w:t xml:space="preserve">3.7.2 响应文件应当对磋商文件有关交货期、磋商有效期、质量要求、采购内容等实质性内容作出响应。 </w:t>
      </w:r>
    </w:p>
    <w:p w14:paraId="7710E3F9">
      <w:pPr>
        <w:pStyle w:val="22"/>
        <w:spacing w:line="440" w:lineRule="exact"/>
        <w:ind w:firstLine="420" w:firstLineChars="200"/>
        <w:rPr>
          <w:rFonts w:hint="eastAsia" w:ascii="宋体" w:hAnsi="宋体"/>
          <w:color w:val="auto"/>
          <w:kern w:val="2"/>
          <w:sz w:val="21"/>
          <w:szCs w:val="21"/>
        </w:rPr>
      </w:pPr>
      <w:r>
        <w:rPr>
          <w:rFonts w:hint="eastAsia" w:ascii="宋体" w:hAnsi="宋体"/>
          <w:color w:val="auto"/>
          <w:kern w:val="2"/>
          <w:sz w:val="21"/>
          <w:szCs w:val="21"/>
        </w:rPr>
        <w:t xml:space="preserve">3.7.3 响应文件全部采用电子文档，除供应商须知前附表另有规定外，响应文件所附证书证件均为原件扫描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签字或盖章的具体要求见供应商须知前附表。 </w:t>
      </w:r>
    </w:p>
    <w:p w14:paraId="5E06AEA2">
      <w:pPr>
        <w:pStyle w:val="22"/>
        <w:spacing w:line="440" w:lineRule="exact"/>
        <w:ind w:firstLine="420" w:firstLineChars="200"/>
        <w:rPr>
          <w:rFonts w:hint="eastAsia" w:ascii="宋体" w:hAnsi="宋体"/>
          <w:color w:val="auto"/>
          <w:kern w:val="2"/>
          <w:sz w:val="21"/>
          <w:szCs w:val="21"/>
        </w:rPr>
      </w:pPr>
      <w:r>
        <w:rPr>
          <w:rFonts w:hint="eastAsia" w:ascii="宋体" w:hAnsi="宋体"/>
          <w:color w:val="auto"/>
          <w:kern w:val="2"/>
          <w:sz w:val="21"/>
          <w:szCs w:val="21"/>
        </w:rPr>
        <w:t xml:space="preserve">3.7.4 供应商编制响应文件时，涉及营业执照、资质、业绩、获奖、人员、财务、社保、纳税、各类证书等内容，在市场主体信息库中已登记的信息中选取，并附进响应文件中。供应商应及时对市场主体信息库的相关内容进行补充、更新。 </w:t>
      </w:r>
    </w:p>
    <w:p w14:paraId="41665B56">
      <w:pPr>
        <w:pStyle w:val="22"/>
        <w:spacing w:line="440" w:lineRule="exact"/>
        <w:ind w:firstLine="420" w:firstLineChars="200"/>
        <w:rPr>
          <w:rFonts w:hint="eastAsia" w:ascii="宋体" w:hAnsi="宋体"/>
          <w:color w:val="auto"/>
          <w:kern w:val="2"/>
          <w:sz w:val="21"/>
          <w:szCs w:val="21"/>
        </w:rPr>
      </w:pPr>
      <w:r>
        <w:rPr>
          <w:rFonts w:hint="eastAsia" w:ascii="宋体" w:hAnsi="宋体"/>
          <w:color w:val="auto"/>
          <w:kern w:val="2"/>
          <w:sz w:val="21"/>
          <w:szCs w:val="21"/>
        </w:rPr>
        <w:t>3.7.5 主体信息库中上传的资料扫描件必须完整、清晰、易辨，如因证件上传问题导致未能给予认定的，供应商自行承担责任。</w:t>
      </w:r>
    </w:p>
    <w:p w14:paraId="0ECACDF5">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426" w:name="_Toc23788"/>
      <w:bookmarkEnd w:id="426"/>
      <w:bookmarkStart w:id="427" w:name="_Toc22280"/>
      <w:bookmarkStart w:id="428" w:name="_Toc10652"/>
      <w:bookmarkStart w:id="429" w:name="_Toc25454"/>
      <w:bookmarkStart w:id="430" w:name="_Toc13989"/>
      <w:bookmarkStart w:id="431" w:name="_Toc3696"/>
      <w:r>
        <w:rPr>
          <w:rFonts w:hint="eastAsia" w:ascii="宋体" w:hAnsi="宋体" w:eastAsia="宋体"/>
          <w:b/>
          <w:bCs w:val="0"/>
          <w:color w:val="auto"/>
          <w:sz w:val="21"/>
          <w:szCs w:val="21"/>
        </w:rPr>
        <w:t xml:space="preserve">4. </w:t>
      </w:r>
      <w:bookmarkEnd w:id="427"/>
      <w:bookmarkEnd w:id="428"/>
      <w:r>
        <w:rPr>
          <w:rFonts w:hint="eastAsia" w:ascii="宋体" w:hAnsi="宋体" w:eastAsia="宋体"/>
          <w:b/>
          <w:bCs w:val="0"/>
          <w:color w:val="auto"/>
          <w:sz w:val="21"/>
          <w:szCs w:val="21"/>
        </w:rPr>
        <w:t>响应文件递交</w:t>
      </w:r>
      <w:bookmarkEnd w:id="429"/>
      <w:bookmarkEnd w:id="430"/>
      <w:bookmarkEnd w:id="431"/>
    </w:p>
    <w:p w14:paraId="154BF012">
      <w:pPr>
        <w:pStyle w:val="102"/>
        <w:keepNext w:val="0"/>
        <w:keepLines w:val="0"/>
        <w:spacing w:line="440" w:lineRule="exact"/>
        <w:ind w:firstLine="422" w:firstLineChars="200"/>
        <w:rPr>
          <w:rFonts w:hint="eastAsia" w:ascii="宋体" w:hAnsi="宋体" w:eastAsia="宋体"/>
          <w:b/>
          <w:bCs/>
          <w:color w:val="auto"/>
          <w:sz w:val="21"/>
          <w:szCs w:val="21"/>
        </w:rPr>
      </w:pPr>
      <w:bookmarkStart w:id="432" w:name="_Toc16783"/>
      <w:bookmarkEnd w:id="432"/>
      <w:bookmarkStart w:id="433" w:name="_Toc16962"/>
      <w:bookmarkEnd w:id="433"/>
      <w:bookmarkStart w:id="434" w:name="_Toc26550"/>
      <w:bookmarkEnd w:id="434"/>
      <w:bookmarkStart w:id="435" w:name="_Toc31492"/>
      <w:bookmarkEnd w:id="435"/>
      <w:bookmarkStart w:id="436" w:name="_Toc144974524"/>
      <w:bookmarkEnd w:id="436"/>
      <w:bookmarkStart w:id="437" w:name="_Toc11243"/>
      <w:bookmarkEnd w:id="437"/>
      <w:bookmarkStart w:id="438" w:name="_Toc318450699"/>
      <w:bookmarkEnd w:id="438"/>
      <w:bookmarkStart w:id="439" w:name="_Toc16344"/>
      <w:bookmarkEnd w:id="439"/>
      <w:bookmarkStart w:id="440" w:name="_Toc509667283"/>
      <w:bookmarkEnd w:id="440"/>
      <w:bookmarkStart w:id="441" w:name="_Toc455080132"/>
      <w:bookmarkEnd w:id="441"/>
      <w:bookmarkStart w:id="442" w:name="_Toc490667852"/>
      <w:bookmarkEnd w:id="442"/>
      <w:bookmarkStart w:id="443" w:name="_Toc455867792"/>
      <w:bookmarkEnd w:id="443"/>
      <w:bookmarkStart w:id="444" w:name="_Toc152045556"/>
      <w:bookmarkEnd w:id="444"/>
      <w:bookmarkStart w:id="445" w:name="_Toc466298115"/>
      <w:bookmarkEnd w:id="445"/>
      <w:bookmarkStart w:id="446" w:name="_Toc152042332"/>
      <w:bookmarkStart w:id="447" w:name="_Toc392"/>
      <w:bookmarkStart w:id="448" w:name="_Toc129073482"/>
      <w:r>
        <w:rPr>
          <w:rFonts w:hint="eastAsia" w:ascii="宋体" w:hAnsi="宋体" w:eastAsia="宋体"/>
          <w:b/>
          <w:bCs/>
          <w:color w:val="auto"/>
          <w:sz w:val="21"/>
          <w:szCs w:val="21"/>
        </w:rPr>
        <w:t>4.1 响应文件的密封和标记</w:t>
      </w:r>
      <w:bookmarkEnd w:id="446"/>
      <w:bookmarkEnd w:id="447"/>
      <w:bookmarkEnd w:id="448"/>
    </w:p>
    <w:p w14:paraId="1D45A1A2">
      <w:pPr>
        <w:pStyle w:val="102"/>
        <w:keepNext w:val="0"/>
        <w:keepLines w:val="0"/>
        <w:spacing w:line="440" w:lineRule="exact"/>
        <w:ind w:firstLine="422" w:firstLineChars="200"/>
        <w:rPr>
          <w:rFonts w:hint="eastAsia" w:ascii="宋体" w:hAnsi="宋体" w:eastAsia="宋体"/>
          <w:b/>
          <w:bCs/>
          <w:color w:val="auto"/>
          <w:sz w:val="21"/>
          <w:szCs w:val="21"/>
        </w:rPr>
      </w:pPr>
      <w:bookmarkStart w:id="449" w:name="_Toc28272"/>
      <w:bookmarkEnd w:id="449"/>
      <w:bookmarkStart w:id="450" w:name="_Toc144974525"/>
      <w:bookmarkEnd w:id="450"/>
      <w:bookmarkStart w:id="451" w:name="_Toc318450700"/>
      <w:bookmarkEnd w:id="451"/>
      <w:bookmarkStart w:id="452" w:name="_Toc16832"/>
      <w:bookmarkEnd w:id="452"/>
      <w:bookmarkStart w:id="453" w:name="_Toc466298116"/>
      <w:bookmarkEnd w:id="453"/>
      <w:bookmarkStart w:id="454" w:name="_Toc462"/>
      <w:bookmarkEnd w:id="454"/>
      <w:bookmarkStart w:id="455" w:name="_Toc21072"/>
      <w:bookmarkEnd w:id="455"/>
      <w:bookmarkStart w:id="456" w:name="_Toc27132"/>
      <w:bookmarkEnd w:id="456"/>
      <w:bookmarkStart w:id="457" w:name="_Toc152042333"/>
      <w:bookmarkEnd w:id="457"/>
      <w:bookmarkStart w:id="458" w:name="_Toc455080133"/>
      <w:bookmarkEnd w:id="458"/>
      <w:bookmarkStart w:id="459" w:name="_Toc455867793"/>
      <w:bookmarkEnd w:id="459"/>
      <w:bookmarkStart w:id="460" w:name="_Toc8754"/>
      <w:bookmarkEnd w:id="460"/>
      <w:bookmarkStart w:id="461" w:name="_Toc509667284"/>
      <w:bookmarkEnd w:id="461"/>
      <w:bookmarkStart w:id="462" w:name="_Toc152045557"/>
      <w:bookmarkEnd w:id="462"/>
      <w:bookmarkStart w:id="463" w:name="_Toc129073483"/>
      <w:bookmarkStart w:id="464" w:name="_Toc10496"/>
      <w:r>
        <w:rPr>
          <w:rFonts w:hint="eastAsia" w:ascii="宋体" w:hAnsi="宋体" w:eastAsia="宋体"/>
          <w:b/>
          <w:bCs/>
          <w:color w:val="auto"/>
          <w:sz w:val="21"/>
          <w:szCs w:val="21"/>
        </w:rPr>
        <w:t>4.2 响应文件的递交</w:t>
      </w:r>
      <w:bookmarkEnd w:id="463"/>
      <w:bookmarkEnd w:id="464"/>
    </w:p>
    <w:p w14:paraId="13567515">
      <w:pPr>
        <w:spacing w:line="440" w:lineRule="exact"/>
        <w:ind w:firstLine="420" w:firstLineChars="200"/>
        <w:jc w:val="left"/>
        <w:rPr>
          <w:color w:val="auto"/>
        </w:rPr>
      </w:pPr>
      <w:bookmarkStart w:id="465" w:name="_Toc129073484"/>
      <w:r>
        <w:rPr>
          <w:rFonts w:hint="eastAsia"/>
          <w:color w:val="auto"/>
        </w:rPr>
        <w:t xml:space="preserve">4.2.1 加密的电子响应文件（*.hntf 格式）,应在响应文件递交截止时间前通过“河南省公共资源交易中心”电子交易平台内上传。 </w:t>
      </w:r>
    </w:p>
    <w:p w14:paraId="76D66710">
      <w:pPr>
        <w:spacing w:line="440" w:lineRule="exact"/>
        <w:ind w:firstLine="420" w:firstLineChars="200"/>
        <w:jc w:val="left"/>
        <w:rPr>
          <w:color w:val="auto"/>
        </w:rPr>
      </w:pPr>
      <w:r>
        <w:rPr>
          <w:rFonts w:hint="eastAsia"/>
          <w:color w:val="auto"/>
        </w:rPr>
        <w:t xml:space="preserve">4.2.2 本项目采用“远程不见面”开标方式，远程开标大厅网址为 http://hnsggzyjy.henan.gov.cn/BidOpening/bidopeninghallaction/hall/login，供应商无需到河南省公共资源交易中心现场参加开标会议。供应商应当在响应文件递交截止时间前，登录远程开标大厅，在线准时参加开标活动并进行文件解密及二次报价等。 在规定时间内响应文件未解密及未二次报价的供应商，视为放弃磋商投标。 </w:t>
      </w:r>
    </w:p>
    <w:p w14:paraId="1A3CD91C">
      <w:pPr>
        <w:spacing w:line="440" w:lineRule="exact"/>
        <w:ind w:firstLine="420" w:firstLineChars="200"/>
        <w:jc w:val="left"/>
        <w:rPr>
          <w:color w:val="auto"/>
        </w:rPr>
      </w:pPr>
      <w:r>
        <w:rPr>
          <w:rFonts w:hint="eastAsia"/>
          <w:color w:val="auto"/>
        </w:rPr>
        <w:t xml:space="preserve">4.2.3 不见面服务的具体事宜请查阅河南省公共资源交易中心网站“办事指南”专区的《河南省公共资源交易平台不见面服务系统使用指南》。 </w:t>
      </w:r>
    </w:p>
    <w:p w14:paraId="2B61CA3C">
      <w:pPr>
        <w:spacing w:line="440" w:lineRule="exact"/>
        <w:ind w:firstLine="420" w:firstLineChars="200"/>
        <w:jc w:val="left"/>
        <w:rPr>
          <w:color w:val="auto"/>
        </w:rPr>
      </w:pPr>
      <w:r>
        <w:rPr>
          <w:rFonts w:hint="eastAsia"/>
          <w:color w:val="auto"/>
        </w:rPr>
        <w:t xml:space="preserve">4.2.4 除供应商须知前附表另有规定外，供应商所递交的响应文件不予退还。 </w:t>
      </w:r>
    </w:p>
    <w:p w14:paraId="61982913">
      <w:pPr>
        <w:spacing w:line="440" w:lineRule="exact"/>
        <w:ind w:firstLine="420" w:firstLineChars="200"/>
        <w:jc w:val="left"/>
        <w:rPr>
          <w:color w:val="auto"/>
        </w:rPr>
      </w:pPr>
      <w:r>
        <w:rPr>
          <w:rFonts w:hint="eastAsia"/>
          <w:color w:val="auto"/>
        </w:rPr>
        <w:t>4.2.5 逾期送达的响应文件，电子招标投标交易平台将予以拒收。</w:t>
      </w:r>
    </w:p>
    <w:p w14:paraId="256CB078">
      <w:pPr>
        <w:spacing w:line="440" w:lineRule="exact"/>
        <w:ind w:firstLine="422" w:firstLineChars="200"/>
        <w:jc w:val="left"/>
        <w:rPr>
          <w:b/>
          <w:bCs/>
          <w:color w:val="auto"/>
        </w:rPr>
      </w:pPr>
      <w:r>
        <w:rPr>
          <w:rFonts w:hint="eastAsia"/>
          <w:b/>
          <w:bCs/>
          <w:color w:val="auto"/>
        </w:rPr>
        <w:t>4.3 响应文件的修改与撤回</w:t>
      </w:r>
      <w:bookmarkEnd w:id="465"/>
    </w:p>
    <w:p w14:paraId="55BABB04">
      <w:pPr>
        <w:spacing w:line="440" w:lineRule="exact"/>
        <w:ind w:firstLine="420" w:firstLineChars="200"/>
        <w:jc w:val="left"/>
        <w:rPr>
          <w:color w:val="auto"/>
        </w:rPr>
      </w:pPr>
      <w:r>
        <w:rPr>
          <w:rFonts w:hint="eastAsia"/>
          <w:color w:val="auto"/>
        </w:rPr>
        <w:t xml:space="preserve">4.3.1 </w:t>
      </w:r>
      <w:bookmarkStart w:id="466" w:name="_Toc152045559"/>
      <w:bookmarkEnd w:id="466"/>
      <w:bookmarkStart w:id="467" w:name="_Toc509667286"/>
      <w:bookmarkEnd w:id="467"/>
      <w:bookmarkStart w:id="468" w:name="_Toc144974527"/>
      <w:bookmarkEnd w:id="468"/>
      <w:bookmarkStart w:id="469" w:name="_Toc455080135"/>
      <w:bookmarkEnd w:id="469"/>
      <w:bookmarkStart w:id="470" w:name="_Toc152042335"/>
      <w:bookmarkEnd w:id="470"/>
      <w:bookmarkStart w:id="471" w:name="_Toc30851"/>
      <w:r>
        <w:rPr>
          <w:rFonts w:hint="eastAsia"/>
          <w:color w:val="auto"/>
        </w:rPr>
        <w:t xml:space="preserve">在本章第 2.2.2 项规定的响应文件递交截止时间前，供应商可以在河南省公共资源交易中心系统内撤回已上传的响应文件。 </w:t>
      </w:r>
    </w:p>
    <w:p w14:paraId="77A576F8">
      <w:pPr>
        <w:spacing w:line="440" w:lineRule="exact"/>
        <w:ind w:firstLine="420" w:firstLineChars="200"/>
        <w:jc w:val="left"/>
        <w:rPr>
          <w:color w:val="auto"/>
        </w:rPr>
      </w:pPr>
      <w:r>
        <w:rPr>
          <w:rFonts w:hint="eastAsia"/>
          <w:color w:val="auto"/>
        </w:rPr>
        <w:t xml:space="preserve">4.3.2 供应商有下列情形之一的，采购人将拒绝接受其响应性文件： </w:t>
      </w:r>
    </w:p>
    <w:p w14:paraId="21D2053A">
      <w:pPr>
        <w:spacing w:line="440" w:lineRule="exact"/>
        <w:ind w:firstLine="420" w:firstLineChars="200"/>
        <w:jc w:val="left"/>
        <w:rPr>
          <w:color w:val="auto"/>
        </w:rPr>
      </w:pPr>
      <w:r>
        <w:rPr>
          <w:rFonts w:hint="eastAsia"/>
          <w:color w:val="auto"/>
        </w:rPr>
        <w:t xml:space="preserve">（1）在竞争性磋商文件规定的递交竞争性磋商文件截止时间之后递交竞争性磋商文件的。 </w:t>
      </w:r>
    </w:p>
    <w:p w14:paraId="111F4296">
      <w:pPr>
        <w:spacing w:line="440" w:lineRule="exact"/>
        <w:ind w:firstLine="420" w:firstLineChars="200"/>
        <w:jc w:val="left"/>
        <w:rPr>
          <w:color w:val="auto"/>
        </w:rPr>
      </w:pPr>
      <w:r>
        <w:rPr>
          <w:rFonts w:hint="eastAsia"/>
          <w:color w:val="auto"/>
        </w:rPr>
        <w:t xml:space="preserve">（2）响应性文件未按竞争性磋商文件规定上传解密的。 </w:t>
      </w:r>
    </w:p>
    <w:p w14:paraId="774A3707">
      <w:pPr>
        <w:spacing w:line="440" w:lineRule="exact"/>
        <w:ind w:firstLine="420" w:firstLineChars="200"/>
        <w:jc w:val="left"/>
        <w:rPr>
          <w:color w:val="auto"/>
        </w:rPr>
      </w:pPr>
      <w:r>
        <w:rPr>
          <w:rFonts w:hint="eastAsia"/>
          <w:color w:val="auto"/>
        </w:rPr>
        <w:t>（3）未按规定方式取得竞争性磋商文件参加磋商的。</w:t>
      </w:r>
    </w:p>
    <w:p w14:paraId="752DECC5">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472" w:name="_Toc26769"/>
      <w:bookmarkStart w:id="473" w:name="_Toc4265"/>
      <w:bookmarkStart w:id="474" w:name="_Toc4682"/>
      <w:bookmarkStart w:id="475" w:name="_Toc31989"/>
      <w:bookmarkStart w:id="476" w:name="_Toc14191"/>
      <w:r>
        <w:rPr>
          <w:rFonts w:hint="eastAsia" w:ascii="宋体" w:hAnsi="宋体" w:eastAsia="宋体"/>
          <w:b/>
          <w:bCs w:val="0"/>
          <w:color w:val="auto"/>
          <w:sz w:val="21"/>
          <w:szCs w:val="21"/>
        </w:rPr>
        <w:t xml:space="preserve">5. </w:t>
      </w:r>
      <w:bookmarkEnd w:id="471"/>
      <w:bookmarkEnd w:id="472"/>
      <w:bookmarkEnd w:id="473"/>
      <w:r>
        <w:rPr>
          <w:rFonts w:hint="eastAsia" w:ascii="宋体" w:hAnsi="宋体" w:eastAsia="宋体"/>
          <w:b/>
          <w:bCs w:val="0"/>
          <w:color w:val="auto"/>
          <w:sz w:val="21"/>
          <w:szCs w:val="21"/>
        </w:rPr>
        <w:t>磋商</w:t>
      </w:r>
      <w:bookmarkEnd w:id="474"/>
      <w:bookmarkEnd w:id="475"/>
      <w:bookmarkEnd w:id="476"/>
    </w:p>
    <w:p w14:paraId="7DE12AB0">
      <w:pPr>
        <w:pStyle w:val="102"/>
        <w:keepNext w:val="0"/>
        <w:keepLines w:val="0"/>
        <w:spacing w:line="440" w:lineRule="exact"/>
        <w:rPr>
          <w:rFonts w:hint="eastAsia" w:ascii="宋体" w:hAnsi="宋体" w:eastAsia="宋体"/>
          <w:b/>
          <w:bCs/>
          <w:color w:val="auto"/>
          <w:sz w:val="21"/>
          <w:szCs w:val="21"/>
        </w:rPr>
      </w:pPr>
      <w:bookmarkStart w:id="477" w:name="_Toc152045560"/>
      <w:bookmarkEnd w:id="477"/>
      <w:bookmarkStart w:id="478" w:name="_Toc26426"/>
      <w:bookmarkEnd w:id="478"/>
      <w:bookmarkStart w:id="479" w:name="_Toc455867796"/>
      <w:bookmarkEnd w:id="479"/>
      <w:bookmarkStart w:id="480" w:name="_Toc490667856"/>
      <w:bookmarkEnd w:id="480"/>
      <w:bookmarkStart w:id="481" w:name="_Toc455080136"/>
      <w:bookmarkEnd w:id="481"/>
      <w:bookmarkStart w:id="482" w:name="_Toc509667287"/>
      <w:bookmarkEnd w:id="482"/>
      <w:bookmarkStart w:id="483" w:name="_Toc14"/>
      <w:bookmarkEnd w:id="483"/>
      <w:bookmarkStart w:id="484" w:name="_Toc9969"/>
      <w:bookmarkEnd w:id="484"/>
      <w:bookmarkStart w:id="485" w:name="_Toc20333"/>
      <w:bookmarkEnd w:id="485"/>
      <w:bookmarkStart w:id="486" w:name="_Toc152042336"/>
      <w:bookmarkEnd w:id="486"/>
      <w:bookmarkStart w:id="487" w:name="_Toc25533"/>
      <w:bookmarkEnd w:id="487"/>
      <w:bookmarkStart w:id="488" w:name="_Toc25809"/>
      <w:bookmarkEnd w:id="488"/>
      <w:bookmarkStart w:id="489" w:name="_Toc144974528"/>
      <w:bookmarkEnd w:id="489"/>
      <w:bookmarkStart w:id="490" w:name="_Toc466298119"/>
      <w:bookmarkEnd w:id="490"/>
      <w:bookmarkStart w:id="491" w:name="_Toc31972"/>
      <w:bookmarkStart w:id="492" w:name="_Toc129073486"/>
      <w:bookmarkStart w:id="493" w:name="_Toc318450703"/>
      <w:r>
        <w:rPr>
          <w:rFonts w:hint="eastAsia" w:ascii="宋体" w:hAnsi="宋体" w:eastAsia="宋体"/>
          <w:b/>
          <w:bCs/>
          <w:color w:val="auto"/>
          <w:sz w:val="21"/>
          <w:szCs w:val="21"/>
        </w:rPr>
        <w:t>5.1 磋商时间和地点</w:t>
      </w:r>
      <w:bookmarkEnd w:id="491"/>
      <w:bookmarkEnd w:id="492"/>
      <w:bookmarkEnd w:id="493"/>
    </w:p>
    <w:p w14:paraId="422F9C25">
      <w:pPr>
        <w:spacing w:line="440" w:lineRule="exact"/>
        <w:ind w:firstLine="480"/>
        <w:rPr>
          <w:rFonts w:hint="eastAsia" w:ascii="宋体" w:hAnsi="宋体"/>
          <w:color w:val="auto"/>
        </w:rPr>
      </w:pPr>
      <w:bookmarkStart w:id="494" w:name="_Toc144974529"/>
      <w:bookmarkEnd w:id="494"/>
      <w:bookmarkStart w:id="495" w:name="_Toc11148"/>
      <w:bookmarkEnd w:id="495"/>
      <w:bookmarkStart w:id="496" w:name="_Toc455080137"/>
      <w:bookmarkEnd w:id="496"/>
      <w:bookmarkStart w:id="497" w:name="_Toc318450704"/>
      <w:bookmarkEnd w:id="497"/>
      <w:bookmarkStart w:id="498" w:name="_Toc152045561"/>
      <w:bookmarkEnd w:id="498"/>
      <w:bookmarkStart w:id="499" w:name="_Toc25911"/>
      <w:bookmarkEnd w:id="499"/>
      <w:bookmarkStart w:id="500" w:name="_Toc3865"/>
      <w:bookmarkEnd w:id="500"/>
      <w:bookmarkStart w:id="501" w:name="_Toc152042337"/>
      <w:bookmarkEnd w:id="501"/>
      <w:bookmarkStart w:id="502" w:name="_Toc30074"/>
      <w:bookmarkEnd w:id="502"/>
      <w:bookmarkStart w:id="503" w:name="_Toc30965"/>
      <w:bookmarkEnd w:id="503"/>
      <w:bookmarkStart w:id="504" w:name="_Toc17491"/>
      <w:r>
        <w:rPr>
          <w:rFonts w:hint="eastAsia" w:ascii="宋体" w:hAnsi="宋体"/>
          <w:color w:val="auto"/>
        </w:rPr>
        <w:t xml:space="preserve">采购人在本章第2.2.2项规定的响应文件递交截止时间和供应商须知前附表规定的地点进行磋商，本项目采用“远程不见面”开标方式，远程开标大厅网址为 </w:t>
      </w:r>
      <w:r>
        <w:rPr>
          <w:rFonts w:hint="eastAsia" w:ascii="宋体" w:hAnsi="宋体" w:cs="宋体"/>
          <w:color w:val="auto"/>
        </w:rPr>
        <w:t>http://hnsggzyjy.henan.gov.cn/BidOpening/bidopeninghallaction/hall/login</w:t>
      </w:r>
      <w:r>
        <w:rPr>
          <w:rFonts w:hint="eastAsia" w:ascii="宋体" w:hAnsi="宋体"/>
          <w:color w:val="auto"/>
        </w:rPr>
        <w:t>，供应商无需到河南省公共资源交易中心现场参加开标会议。供应商应当在响应文件递交截止时间前，登录远程开标大厅，在线准时参加开标活动并进行文件解密等。在规定时间内响应文件未解密的供应商，视为放弃磋商投标。</w:t>
      </w:r>
      <w:bookmarkEnd w:id="504"/>
    </w:p>
    <w:p w14:paraId="37861B2C">
      <w:pPr>
        <w:spacing w:line="440" w:lineRule="exact"/>
        <w:rPr>
          <w:rFonts w:hint="eastAsia" w:ascii="宋体" w:hAnsi="宋体"/>
          <w:color w:val="auto"/>
        </w:rPr>
      </w:pPr>
      <w:r>
        <w:rPr>
          <w:rFonts w:hint="eastAsia" w:ascii="宋体" w:hAnsi="宋体"/>
          <w:b/>
          <w:bCs/>
          <w:color w:val="auto"/>
        </w:rPr>
        <w:t>5.2 磋商会议程序</w:t>
      </w:r>
      <w:r>
        <w:rPr>
          <w:rFonts w:hint="eastAsia" w:ascii="宋体" w:hAnsi="宋体"/>
          <w:color w:val="auto"/>
        </w:rPr>
        <w:t>（按河南省公共资源交易中心“远程不见面”开标程序进行）。</w:t>
      </w:r>
    </w:p>
    <w:p w14:paraId="2ECD37C2">
      <w:pPr>
        <w:spacing w:line="440" w:lineRule="exact"/>
        <w:ind w:firstLine="420" w:firstLineChars="200"/>
        <w:rPr>
          <w:rFonts w:hint="eastAsia" w:ascii="宋体" w:hAnsi="宋体" w:cs="宋体"/>
          <w:snapToGrid w:val="0"/>
          <w:color w:val="auto"/>
        </w:rPr>
      </w:pPr>
      <w:r>
        <w:rPr>
          <w:rFonts w:hint="eastAsia" w:ascii="宋体" w:hAnsi="宋体" w:cs="宋体"/>
          <w:snapToGrid w:val="0"/>
          <w:color w:val="auto"/>
        </w:rPr>
        <w:t>（1）公布供应商；</w:t>
      </w:r>
    </w:p>
    <w:p w14:paraId="11E0DFFA">
      <w:pPr>
        <w:spacing w:line="440" w:lineRule="exact"/>
        <w:ind w:firstLine="420" w:firstLineChars="200"/>
        <w:rPr>
          <w:rFonts w:hint="eastAsia" w:ascii="宋体" w:hAnsi="宋体" w:cs="宋体"/>
          <w:snapToGrid w:val="0"/>
          <w:color w:val="auto"/>
        </w:rPr>
      </w:pPr>
      <w:r>
        <w:rPr>
          <w:rFonts w:hint="eastAsia" w:ascii="宋体" w:hAnsi="宋体" w:cs="宋体"/>
          <w:snapToGrid w:val="0"/>
          <w:color w:val="auto"/>
        </w:rPr>
        <w:t>（2）供应商解密；</w:t>
      </w:r>
    </w:p>
    <w:p w14:paraId="7AFD2CC5">
      <w:pPr>
        <w:spacing w:line="440" w:lineRule="exact"/>
        <w:ind w:firstLine="420" w:firstLineChars="200"/>
        <w:rPr>
          <w:rFonts w:hint="eastAsia" w:ascii="宋体" w:hAnsi="宋体" w:cs="宋体"/>
          <w:snapToGrid w:val="0"/>
          <w:color w:val="auto"/>
        </w:rPr>
      </w:pPr>
      <w:r>
        <w:rPr>
          <w:rFonts w:hint="eastAsia" w:ascii="宋体" w:hAnsi="宋体" w:cs="宋体"/>
          <w:snapToGrid w:val="0"/>
          <w:color w:val="auto"/>
        </w:rPr>
        <w:t>（3）招标人解密；</w:t>
      </w:r>
    </w:p>
    <w:p w14:paraId="5DAB6F2F">
      <w:pPr>
        <w:spacing w:line="440" w:lineRule="exact"/>
        <w:ind w:firstLine="420" w:firstLineChars="200"/>
        <w:rPr>
          <w:rFonts w:hint="eastAsia" w:ascii="宋体" w:hAnsi="宋体" w:cs="宋体"/>
          <w:snapToGrid w:val="0"/>
          <w:color w:val="auto"/>
        </w:rPr>
      </w:pPr>
      <w:r>
        <w:rPr>
          <w:rFonts w:hint="eastAsia" w:ascii="宋体" w:hAnsi="宋体" w:cs="宋体"/>
          <w:snapToGrid w:val="0"/>
          <w:color w:val="auto"/>
        </w:rPr>
        <w:t>（4）开标结束。</w:t>
      </w:r>
    </w:p>
    <w:p w14:paraId="14D55464">
      <w:pPr>
        <w:spacing w:line="440" w:lineRule="exact"/>
        <w:rPr>
          <w:rFonts w:hint="eastAsia" w:ascii="宋体" w:hAnsi="宋体" w:cs="宋体"/>
          <w:b/>
          <w:bCs/>
          <w:snapToGrid w:val="0"/>
          <w:color w:val="auto"/>
        </w:rPr>
      </w:pPr>
      <w:r>
        <w:rPr>
          <w:rFonts w:hint="eastAsia" w:ascii="宋体" w:hAnsi="宋体" w:cs="宋体"/>
          <w:b/>
          <w:bCs/>
          <w:snapToGrid w:val="0"/>
          <w:color w:val="auto"/>
        </w:rPr>
        <w:t>5.3 开标异议</w:t>
      </w:r>
    </w:p>
    <w:p w14:paraId="57132C89">
      <w:pPr>
        <w:spacing w:line="440" w:lineRule="exact"/>
        <w:ind w:firstLine="420" w:firstLineChars="200"/>
        <w:rPr>
          <w:rFonts w:hint="eastAsia" w:ascii="宋体" w:hAnsi="宋体" w:cs="宋体"/>
          <w:snapToGrid w:val="0"/>
          <w:color w:val="auto"/>
        </w:rPr>
      </w:pPr>
      <w:r>
        <w:rPr>
          <w:rFonts w:ascii="宋体" w:hAnsi="宋体" w:cs="宋体"/>
          <w:snapToGrid w:val="0"/>
          <w:color w:val="auto"/>
        </w:rPr>
        <w:t>供应商对开标过程有异议的，应当在开标现场提出，采购人当场作出答复。供应商未参加开标的，视同认可开标结果。</w:t>
      </w:r>
    </w:p>
    <w:p w14:paraId="15A0640E">
      <w:pPr>
        <w:spacing w:line="440" w:lineRule="exact"/>
        <w:rPr>
          <w:rFonts w:hint="eastAsia" w:ascii="宋体" w:hAnsi="宋体" w:cs="宋体"/>
          <w:b/>
          <w:bCs/>
          <w:snapToGrid w:val="0"/>
          <w:color w:val="auto"/>
        </w:rPr>
      </w:pPr>
      <w:r>
        <w:rPr>
          <w:rFonts w:hint="eastAsia" w:ascii="宋体" w:hAnsi="宋体" w:cs="宋体"/>
          <w:b/>
          <w:bCs/>
          <w:snapToGrid w:val="0"/>
          <w:color w:val="auto"/>
        </w:rPr>
        <w:t>5.4异常情况处理</w:t>
      </w:r>
    </w:p>
    <w:p w14:paraId="452B3039">
      <w:pPr>
        <w:spacing w:line="440" w:lineRule="exact"/>
        <w:ind w:firstLine="420" w:firstLineChars="200"/>
        <w:rPr>
          <w:rFonts w:hint="eastAsia" w:ascii="宋体" w:hAnsi="宋体" w:cs="宋体"/>
          <w:snapToGrid w:val="0"/>
          <w:color w:val="auto"/>
        </w:rPr>
      </w:pPr>
      <w:r>
        <w:rPr>
          <w:rFonts w:hint="eastAsia" w:ascii="宋体" w:hAnsi="宋体" w:cs="宋体"/>
          <w:snapToGrid w:val="0"/>
          <w:color w:val="auto"/>
        </w:rPr>
        <w:t>在开标、评标过程中，若出现异常情况导致无法正常采用电子开标时，如出现网络中断、服务器发生故障或停电等其它不可抗力情形，导致电子交易系统无法正常运行的，应由采购人、采购代理机构视情况提出解决方案，及时通报监管部门和交易中心研究处理。</w:t>
      </w:r>
    </w:p>
    <w:p w14:paraId="24E5CAF5">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505" w:name="_Toc144974530"/>
      <w:bookmarkEnd w:id="505"/>
      <w:bookmarkStart w:id="506" w:name="_Toc509667289"/>
      <w:bookmarkEnd w:id="506"/>
      <w:bookmarkStart w:id="507" w:name="_Toc490667857"/>
      <w:bookmarkEnd w:id="507"/>
      <w:bookmarkStart w:id="508" w:name="_Toc509667288"/>
      <w:bookmarkEnd w:id="508"/>
      <w:bookmarkStart w:id="509" w:name="_Toc466298120"/>
      <w:bookmarkEnd w:id="509"/>
      <w:bookmarkStart w:id="510" w:name="_Toc152045562"/>
      <w:bookmarkEnd w:id="510"/>
      <w:bookmarkStart w:id="511" w:name="_Toc152042338"/>
      <w:bookmarkEnd w:id="511"/>
      <w:bookmarkStart w:id="512" w:name="_Toc455080138"/>
      <w:bookmarkEnd w:id="512"/>
      <w:bookmarkStart w:id="513" w:name="_Toc13397"/>
      <w:bookmarkEnd w:id="513"/>
      <w:bookmarkStart w:id="514" w:name="_Toc27291"/>
      <w:bookmarkStart w:id="515" w:name="_Toc25851"/>
      <w:bookmarkStart w:id="516" w:name="_Toc15745"/>
      <w:bookmarkStart w:id="517" w:name="_Toc23189"/>
      <w:bookmarkStart w:id="518" w:name="_Toc2746"/>
      <w:r>
        <w:rPr>
          <w:rFonts w:hint="eastAsia" w:ascii="宋体" w:hAnsi="宋体" w:eastAsia="宋体"/>
          <w:b/>
          <w:bCs w:val="0"/>
          <w:color w:val="auto"/>
          <w:sz w:val="21"/>
          <w:szCs w:val="21"/>
        </w:rPr>
        <w:t>6. 磋商小组</w:t>
      </w:r>
      <w:bookmarkEnd w:id="514"/>
      <w:bookmarkEnd w:id="515"/>
      <w:bookmarkEnd w:id="516"/>
      <w:bookmarkEnd w:id="517"/>
      <w:bookmarkEnd w:id="518"/>
    </w:p>
    <w:p w14:paraId="1EA7E116">
      <w:pPr>
        <w:pStyle w:val="102"/>
        <w:keepNext w:val="0"/>
        <w:keepLines w:val="0"/>
        <w:spacing w:line="440" w:lineRule="exact"/>
        <w:rPr>
          <w:rFonts w:ascii="宋体" w:hAnsi="宋体" w:eastAsia="宋体"/>
          <w:b/>
          <w:bCs/>
          <w:color w:val="auto"/>
          <w:sz w:val="21"/>
          <w:szCs w:val="21"/>
        </w:rPr>
      </w:pPr>
      <w:bookmarkStart w:id="519" w:name="_Toc466298122"/>
      <w:bookmarkEnd w:id="519"/>
      <w:bookmarkStart w:id="520" w:name="_Toc490667859"/>
      <w:bookmarkEnd w:id="520"/>
      <w:bookmarkStart w:id="521" w:name="_Toc152042339"/>
      <w:bookmarkEnd w:id="521"/>
      <w:bookmarkStart w:id="522" w:name="_Toc1574"/>
      <w:bookmarkEnd w:id="522"/>
      <w:bookmarkStart w:id="523" w:name="_Toc26098"/>
      <w:bookmarkEnd w:id="523"/>
      <w:bookmarkStart w:id="524" w:name="_Toc9808"/>
      <w:bookmarkEnd w:id="524"/>
      <w:bookmarkStart w:id="525" w:name="_Toc18985"/>
      <w:bookmarkEnd w:id="525"/>
      <w:bookmarkStart w:id="526" w:name="_Toc455867799"/>
      <w:bookmarkEnd w:id="526"/>
      <w:bookmarkStart w:id="527" w:name="_Toc509667290"/>
      <w:bookmarkEnd w:id="527"/>
      <w:bookmarkStart w:id="528" w:name="_Toc144974531"/>
      <w:bookmarkEnd w:id="528"/>
      <w:bookmarkStart w:id="529" w:name="_Toc22250"/>
      <w:bookmarkEnd w:id="529"/>
      <w:bookmarkStart w:id="530" w:name="_Toc318450706"/>
      <w:bookmarkEnd w:id="530"/>
      <w:bookmarkStart w:id="531" w:name="_Toc455080139"/>
      <w:bookmarkEnd w:id="531"/>
      <w:bookmarkStart w:id="532" w:name="_Toc152045563"/>
      <w:bookmarkEnd w:id="532"/>
      <w:bookmarkStart w:id="533" w:name="_Toc1546"/>
      <w:bookmarkStart w:id="534" w:name="_Toc8448"/>
      <w:bookmarkStart w:id="535" w:name="_Toc129073489"/>
      <w:r>
        <w:rPr>
          <w:rFonts w:hint="eastAsia" w:ascii="宋体" w:hAnsi="宋体" w:eastAsia="宋体"/>
          <w:b/>
          <w:bCs/>
          <w:color w:val="auto"/>
          <w:sz w:val="21"/>
          <w:szCs w:val="21"/>
        </w:rPr>
        <w:t xml:space="preserve">6.1 </w:t>
      </w:r>
      <w:bookmarkEnd w:id="533"/>
      <w:r>
        <w:rPr>
          <w:rFonts w:hint="eastAsia" w:ascii="宋体" w:hAnsi="宋体" w:eastAsia="宋体"/>
          <w:b/>
          <w:bCs/>
          <w:color w:val="auto"/>
          <w:sz w:val="21"/>
          <w:szCs w:val="21"/>
        </w:rPr>
        <w:t>磋商小组</w:t>
      </w:r>
      <w:bookmarkEnd w:id="534"/>
      <w:bookmarkEnd w:id="535"/>
      <w:r>
        <w:rPr>
          <w:rFonts w:hint="eastAsia" w:ascii="宋体" w:hAnsi="宋体" w:eastAsia="宋体"/>
          <w:b/>
          <w:bCs/>
          <w:color w:val="auto"/>
          <w:sz w:val="21"/>
          <w:szCs w:val="21"/>
        </w:rPr>
        <w:t>的组建</w:t>
      </w:r>
    </w:p>
    <w:p w14:paraId="2972D8CB">
      <w:pPr>
        <w:spacing w:line="440" w:lineRule="exact"/>
        <w:ind w:firstLine="420" w:firstLineChars="200"/>
        <w:rPr>
          <w:rFonts w:hint="eastAsia" w:ascii="宋体" w:hAnsi="宋体"/>
          <w:color w:val="auto"/>
        </w:rPr>
      </w:pPr>
      <w:r>
        <w:rPr>
          <w:rFonts w:hint="eastAsia" w:ascii="宋体" w:hAnsi="宋体"/>
          <w:color w:val="auto"/>
        </w:rPr>
        <w:t>磋商由采购人依法组建的磋商小组负责。磋商小组由采购人代表以及有关方面的专家组成。磋商小组成员人数以及相关方面专家的确定方式见供应商须知前附表。</w:t>
      </w:r>
    </w:p>
    <w:p w14:paraId="35F3A862">
      <w:pPr>
        <w:pStyle w:val="102"/>
        <w:keepNext w:val="0"/>
        <w:keepLines w:val="0"/>
        <w:spacing w:line="440" w:lineRule="exact"/>
        <w:rPr>
          <w:rFonts w:hint="eastAsia" w:ascii="宋体" w:hAnsi="宋体" w:eastAsia="宋体"/>
          <w:b/>
          <w:bCs/>
          <w:color w:val="auto"/>
          <w:sz w:val="21"/>
          <w:szCs w:val="21"/>
        </w:rPr>
      </w:pPr>
      <w:bookmarkStart w:id="536" w:name="_Toc8248"/>
      <w:bookmarkEnd w:id="536"/>
      <w:bookmarkStart w:id="537" w:name="_Toc21102"/>
      <w:bookmarkEnd w:id="537"/>
      <w:bookmarkStart w:id="538" w:name="_Toc318450707"/>
      <w:bookmarkEnd w:id="538"/>
      <w:bookmarkStart w:id="539" w:name="_Toc22143"/>
      <w:bookmarkEnd w:id="539"/>
      <w:bookmarkStart w:id="540" w:name="_Toc152045564"/>
      <w:bookmarkEnd w:id="540"/>
      <w:bookmarkStart w:id="541" w:name="_Toc4435"/>
      <w:bookmarkEnd w:id="541"/>
      <w:bookmarkStart w:id="542" w:name="_Toc144974532"/>
      <w:bookmarkEnd w:id="542"/>
      <w:bookmarkStart w:id="543" w:name="_Toc490667860"/>
      <w:bookmarkEnd w:id="543"/>
      <w:bookmarkStart w:id="544" w:name="_Toc509667291"/>
      <w:bookmarkEnd w:id="544"/>
      <w:bookmarkStart w:id="545" w:name="_Toc152042340"/>
      <w:bookmarkEnd w:id="545"/>
      <w:bookmarkStart w:id="546" w:name="_Toc466298123"/>
      <w:bookmarkEnd w:id="546"/>
      <w:bookmarkStart w:id="547" w:name="_Toc455867800"/>
      <w:bookmarkEnd w:id="547"/>
      <w:bookmarkStart w:id="548" w:name="_Toc455080140"/>
      <w:bookmarkEnd w:id="548"/>
      <w:bookmarkStart w:id="549" w:name="_Toc25721"/>
      <w:bookmarkEnd w:id="549"/>
      <w:bookmarkStart w:id="550" w:name="_Toc8240"/>
      <w:bookmarkStart w:id="551" w:name="_Toc8961"/>
      <w:bookmarkStart w:id="552" w:name="_Toc129073490"/>
      <w:r>
        <w:rPr>
          <w:rFonts w:hint="eastAsia" w:ascii="宋体" w:hAnsi="宋体" w:eastAsia="宋体"/>
          <w:b/>
          <w:bCs/>
          <w:color w:val="auto"/>
          <w:sz w:val="21"/>
          <w:szCs w:val="21"/>
        </w:rPr>
        <w:t>6.2 磋商原则</w:t>
      </w:r>
      <w:bookmarkEnd w:id="550"/>
      <w:bookmarkEnd w:id="551"/>
      <w:bookmarkEnd w:id="552"/>
    </w:p>
    <w:p w14:paraId="5F8F79C3">
      <w:pPr>
        <w:spacing w:line="440" w:lineRule="exact"/>
        <w:ind w:firstLine="420" w:firstLineChars="200"/>
        <w:rPr>
          <w:rFonts w:hint="eastAsia" w:ascii="宋体" w:hAnsi="宋体"/>
          <w:color w:val="auto"/>
        </w:rPr>
      </w:pPr>
      <w:r>
        <w:rPr>
          <w:rFonts w:hint="eastAsia" w:ascii="宋体" w:hAnsi="宋体"/>
          <w:color w:val="auto"/>
        </w:rPr>
        <w:t>磋商活动遵循客观、公正、审慎的原则。</w:t>
      </w:r>
    </w:p>
    <w:p w14:paraId="1E3F1698">
      <w:pPr>
        <w:pStyle w:val="102"/>
        <w:keepNext w:val="0"/>
        <w:keepLines w:val="0"/>
        <w:spacing w:line="440" w:lineRule="exact"/>
        <w:rPr>
          <w:rFonts w:hint="eastAsia" w:ascii="宋体" w:hAnsi="宋体" w:eastAsia="宋体"/>
          <w:b/>
          <w:bCs/>
          <w:color w:val="auto"/>
          <w:sz w:val="21"/>
          <w:szCs w:val="21"/>
        </w:rPr>
      </w:pPr>
      <w:bookmarkStart w:id="553" w:name="_Toc152042341"/>
      <w:bookmarkEnd w:id="553"/>
      <w:bookmarkStart w:id="554" w:name="_Toc15595"/>
      <w:bookmarkEnd w:id="554"/>
      <w:bookmarkStart w:id="555" w:name="_Toc152045565"/>
      <w:bookmarkEnd w:id="555"/>
      <w:bookmarkStart w:id="556" w:name="_Toc455867801"/>
      <w:bookmarkEnd w:id="556"/>
      <w:bookmarkStart w:id="557" w:name="_Toc144974533"/>
      <w:bookmarkEnd w:id="557"/>
      <w:bookmarkStart w:id="558" w:name="_Toc27036"/>
      <w:bookmarkEnd w:id="558"/>
      <w:bookmarkStart w:id="559" w:name="_Toc8705"/>
      <w:bookmarkEnd w:id="559"/>
      <w:bookmarkStart w:id="560" w:name="_Toc16725"/>
      <w:bookmarkEnd w:id="560"/>
      <w:bookmarkStart w:id="561" w:name="_Toc24358"/>
      <w:bookmarkEnd w:id="561"/>
      <w:bookmarkStart w:id="562" w:name="_Toc455080141"/>
      <w:bookmarkEnd w:id="562"/>
      <w:bookmarkStart w:id="563" w:name="_Toc509667292"/>
      <w:bookmarkEnd w:id="563"/>
      <w:bookmarkStart w:id="564" w:name="_Toc318450708"/>
      <w:bookmarkEnd w:id="564"/>
      <w:bookmarkStart w:id="565" w:name="_Toc466298124"/>
      <w:bookmarkEnd w:id="565"/>
      <w:bookmarkStart w:id="566" w:name="_Toc18756"/>
      <w:bookmarkEnd w:id="566"/>
      <w:bookmarkStart w:id="567" w:name="_Toc490667861"/>
      <w:bookmarkStart w:id="568" w:name="_Toc3766"/>
      <w:bookmarkStart w:id="569" w:name="_Toc129073491"/>
      <w:r>
        <w:rPr>
          <w:rFonts w:hint="eastAsia" w:ascii="宋体" w:hAnsi="宋体" w:eastAsia="宋体"/>
          <w:b/>
          <w:bCs/>
          <w:color w:val="auto"/>
          <w:sz w:val="21"/>
          <w:szCs w:val="21"/>
        </w:rPr>
        <w:t xml:space="preserve">6.3 </w:t>
      </w:r>
      <w:bookmarkEnd w:id="567"/>
      <w:r>
        <w:rPr>
          <w:rFonts w:hint="eastAsia" w:ascii="宋体" w:hAnsi="宋体" w:eastAsia="宋体"/>
          <w:b/>
          <w:bCs/>
          <w:color w:val="auto"/>
          <w:sz w:val="21"/>
          <w:szCs w:val="21"/>
        </w:rPr>
        <w:t>磋商</w:t>
      </w:r>
      <w:bookmarkEnd w:id="568"/>
      <w:bookmarkEnd w:id="569"/>
    </w:p>
    <w:p w14:paraId="75527625">
      <w:pPr>
        <w:pStyle w:val="102"/>
        <w:keepNext w:val="0"/>
        <w:keepLines w:val="0"/>
        <w:spacing w:line="440" w:lineRule="exact"/>
        <w:ind w:firstLine="420" w:firstLineChars="200"/>
        <w:outlineLvl w:val="9"/>
        <w:rPr>
          <w:rFonts w:hint="eastAsia" w:ascii="宋体" w:hAnsi="宋体" w:eastAsia="宋体"/>
          <w:color w:val="auto"/>
          <w:sz w:val="21"/>
          <w:szCs w:val="21"/>
        </w:rPr>
      </w:pPr>
      <w:bookmarkStart w:id="570" w:name="_Toc129073492"/>
      <w:bookmarkStart w:id="571" w:name="_Toc30173"/>
      <w:r>
        <w:rPr>
          <w:rFonts w:hint="eastAsia" w:ascii="宋体" w:hAnsi="宋体" w:eastAsia="宋体"/>
          <w:color w:val="auto"/>
          <w:sz w:val="21"/>
          <w:szCs w:val="21"/>
        </w:rPr>
        <w:t>6.3.1磋商小组按照第三章“评标办法”规定的方法、评审因素、标准和程序对响应文件进行评审。第三章“评标办法”没有规定的方法、评审因素和标准，不作为评标依据。</w:t>
      </w:r>
    </w:p>
    <w:p w14:paraId="778B5ABB">
      <w:pPr>
        <w:pStyle w:val="102"/>
        <w:keepNext w:val="0"/>
        <w:keepLines w:val="0"/>
        <w:spacing w:line="440" w:lineRule="exact"/>
        <w:ind w:firstLine="420" w:firstLineChars="200"/>
        <w:outlineLvl w:val="9"/>
        <w:rPr>
          <w:rFonts w:hint="eastAsia" w:ascii="宋体" w:hAnsi="宋体" w:eastAsia="宋体"/>
          <w:color w:val="auto"/>
          <w:sz w:val="21"/>
          <w:szCs w:val="21"/>
        </w:rPr>
      </w:pPr>
      <w:r>
        <w:rPr>
          <w:rFonts w:hint="eastAsia" w:ascii="宋体" w:hAnsi="宋体" w:eastAsia="宋体"/>
          <w:color w:val="auto"/>
          <w:sz w:val="21"/>
          <w:szCs w:val="21"/>
        </w:rPr>
        <w:t>6.3.2磋商过程中，磋商小组可以根据竞争性磋商文件和磋商情况实质性变动采购需求中的技术、服务要求以及合同草案条款，但不得变动竞争性磋商文件中的其他内容。实质性变动的内容，须经采购人代表确认。该变动是竞争性磋商文件的有效组成部分。对竞争性磋商文件作出的实质性变动是竞争性磋商文件的有效组成部分，磋商小组以书面形式同时通知所有参加磋商的供应商，并要求所有实质性响应的供应商在规定时间内提交最后报价，未提交最终报价的作为无效标处理。提交最终报价的供应商不得少于3家。</w:t>
      </w:r>
    </w:p>
    <w:p w14:paraId="3824AA5A">
      <w:pPr>
        <w:pStyle w:val="102"/>
        <w:keepNext w:val="0"/>
        <w:keepLines w:val="0"/>
        <w:spacing w:line="440" w:lineRule="exact"/>
        <w:ind w:firstLine="420" w:firstLineChars="200"/>
        <w:outlineLvl w:val="9"/>
        <w:rPr>
          <w:rFonts w:hint="eastAsia" w:ascii="宋体" w:hAnsi="宋体" w:eastAsia="宋体"/>
          <w:color w:val="auto"/>
          <w:sz w:val="21"/>
          <w:szCs w:val="21"/>
        </w:rPr>
      </w:pPr>
      <w:r>
        <w:rPr>
          <w:rFonts w:hint="eastAsia" w:ascii="宋体" w:hAnsi="宋体" w:eastAsia="宋体"/>
          <w:color w:val="auto"/>
          <w:sz w:val="21"/>
          <w:szCs w:val="21"/>
        </w:rPr>
        <w:t>6.3.3已提交响应文件的供应商，在提交最后报价之前，可以根据磋商情况退出磋商。</w:t>
      </w:r>
    </w:p>
    <w:p w14:paraId="71A80041">
      <w:pPr>
        <w:pStyle w:val="102"/>
        <w:keepNext w:val="0"/>
        <w:keepLines w:val="0"/>
        <w:spacing w:line="440" w:lineRule="exact"/>
        <w:ind w:firstLine="420" w:firstLineChars="200"/>
        <w:outlineLvl w:val="9"/>
        <w:rPr>
          <w:rFonts w:hint="eastAsia" w:ascii="宋体" w:hAnsi="宋体" w:eastAsia="宋体"/>
          <w:color w:val="auto"/>
          <w:sz w:val="21"/>
          <w:szCs w:val="21"/>
        </w:rPr>
      </w:pPr>
      <w:r>
        <w:rPr>
          <w:rFonts w:hint="eastAsia" w:ascii="宋体" w:hAnsi="宋体" w:eastAsia="宋体"/>
          <w:color w:val="auto"/>
          <w:sz w:val="21"/>
          <w:szCs w:val="21"/>
        </w:rPr>
        <w:t>6.3.4经磋商确定最终采购需求和提交最后报价的供应商后，由磋商小组采用综合评分法对提交最后报价的供应商的响应文件和最后报价进行综合评分。</w:t>
      </w:r>
    </w:p>
    <w:p w14:paraId="551EBB58">
      <w:pPr>
        <w:pStyle w:val="102"/>
        <w:keepNext w:val="0"/>
        <w:keepLines w:val="0"/>
        <w:spacing w:line="440" w:lineRule="exact"/>
        <w:ind w:firstLine="420" w:firstLineChars="200"/>
        <w:outlineLvl w:val="9"/>
        <w:rPr>
          <w:rFonts w:hint="eastAsia" w:ascii="宋体" w:hAnsi="宋体" w:eastAsia="宋体"/>
          <w:color w:val="auto"/>
          <w:sz w:val="21"/>
          <w:szCs w:val="21"/>
        </w:rPr>
      </w:pPr>
      <w:r>
        <w:rPr>
          <w:rFonts w:hint="eastAsia" w:ascii="宋体" w:hAnsi="宋体" w:eastAsia="宋体"/>
          <w:color w:val="auto"/>
          <w:sz w:val="21"/>
          <w:szCs w:val="21"/>
        </w:rPr>
        <w:t>6.3.5评审完成后，磋商小组应当向采购人提交书面评标报告和成交候选供应商名单。磋商小组推荐成交候选供应商数量见供应商须知前附表。</w:t>
      </w:r>
      <w:bookmarkEnd w:id="570"/>
      <w:bookmarkEnd w:id="571"/>
    </w:p>
    <w:p w14:paraId="1705F0DE">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572" w:name="_Toc455080142"/>
      <w:bookmarkEnd w:id="572"/>
      <w:bookmarkStart w:id="573" w:name="_Toc152042342"/>
      <w:bookmarkEnd w:id="573"/>
      <w:bookmarkStart w:id="574" w:name="_Toc152045566"/>
      <w:bookmarkEnd w:id="574"/>
      <w:bookmarkStart w:id="575" w:name="_Toc509667293"/>
      <w:bookmarkEnd w:id="575"/>
      <w:bookmarkStart w:id="576" w:name="_Toc144974534"/>
      <w:bookmarkEnd w:id="576"/>
      <w:bookmarkStart w:id="577" w:name="_Toc17437"/>
      <w:bookmarkStart w:id="578" w:name="_Toc1877"/>
      <w:bookmarkStart w:id="579" w:name="_Toc19595"/>
      <w:bookmarkStart w:id="580" w:name="_Toc842"/>
      <w:bookmarkStart w:id="581" w:name="_Toc13118"/>
      <w:bookmarkStart w:id="582" w:name="_Toc19350"/>
      <w:r>
        <w:rPr>
          <w:rFonts w:hint="eastAsia" w:ascii="宋体" w:hAnsi="宋体" w:eastAsia="宋体"/>
          <w:b/>
          <w:bCs w:val="0"/>
          <w:color w:val="auto"/>
          <w:sz w:val="21"/>
          <w:szCs w:val="21"/>
        </w:rPr>
        <w:t>7. 合同授予</w:t>
      </w:r>
      <w:bookmarkEnd w:id="577"/>
      <w:bookmarkEnd w:id="578"/>
      <w:bookmarkEnd w:id="579"/>
      <w:bookmarkEnd w:id="580"/>
      <w:bookmarkEnd w:id="581"/>
      <w:bookmarkEnd w:id="582"/>
    </w:p>
    <w:p w14:paraId="59F63C94">
      <w:pPr>
        <w:pStyle w:val="102"/>
        <w:keepNext w:val="0"/>
        <w:keepLines w:val="0"/>
        <w:spacing w:line="440" w:lineRule="exact"/>
        <w:rPr>
          <w:rFonts w:hint="eastAsia" w:ascii="宋体" w:hAnsi="宋体" w:eastAsia="宋体"/>
          <w:b/>
          <w:bCs/>
          <w:color w:val="auto"/>
          <w:sz w:val="21"/>
          <w:szCs w:val="21"/>
        </w:rPr>
      </w:pPr>
      <w:bookmarkStart w:id="583" w:name="_Toc29664"/>
      <w:bookmarkEnd w:id="583"/>
      <w:bookmarkStart w:id="584" w:name="_Toc490667863"/>
      <w:bookmarkEnd w:id="584"/>
      <w:bookmarkStart w:id="585" w:name="_Toc14528"/>
      <w:bookmarkEnd w:id="585"/>
      <w:bookmarkStart w:id="586" w:name="_Toc152042343"/>
      <w:bookmarkEnd w:id="586"/>
      <w:bookmarkStart w:id="587" w:name="_Toc11409"/>
      <w:bookmarkEnd w:id="587"/>
      <w:bookmarkStart w:id="588" w:name="_Toc28919"/>
      <w:bookmarkEnd w:id="588"/>
      <w:bookmarkStart w:id="589" w:name="_Toc318450710"/>
      <w:bookmarkEnd w:id="589"/>
      <w:bookmarkStart w:id="590" w:name="_Toc455080143"/>
      <w:bookmarkEnd w:id="590"/>
      <w:bookmarkStart w:id="591" w:name="_Toc7358"/>
      <w:bookmarkEnd w:id="591"/>
      <w:bookmarkStart w:id="592" w:name="_Toc152045567"/>
      <w:bookmarkEnd w:id="592"/>
      <w:bookmarkStart w:id="593" w:name="_Toc509667294"/>
      <w:bookmarkEnd w:id="593"/>
      <w:bookmarkStart w:id="594" w:name="_Toc455867803"/>
      <w:bookmarkEnd w:id="594"/>
      <w:bookmarkStart w:id="595" w:name="_Toc466298126"/>
      <w:bookmarkEnd w:id="595"/>
      <w:bookmarkStart w:id="596" w:name="_Toc144974535"/>
      <w:bookmarkEnd w:id="596"/>
      <w:bookmarkStart w:id="597" w:name="_Toc25316"/>
      <w:bookmarkStart w:id="598" w:name="_Toc3404"/>
      <w:bookmarkStart w:id="599" w:name="_Toc129073494"/>
      <w:r>
        <w:rPr>
          <w:rFonts w:hint="eastAsia" w:ascii="宋体" w:hAnsi="宋体" w:eastAsia="宋体"/>
          <w:b/>
          <w:bCs/>
          <w:color w:val="auto"/>
          <w:sz w:val="21"/>
          <w:szCs w:val="21"/>
        </w:rPr>
        <w:t>7.1 定标方式</w:t>
      </w:r>
      <w:bookmarkEnd w:id="597"/>
      <w:bookmarkEnd w:id="598"/>
      <w:bookmarkEnd w:id="599"/>
    </w:p>
    <w:p w14:paraId="567EE1FD">
      <w:pPr>
        <w:spacing w:line="440" w:lineRule="exact"/>
        <w:ind w:firstLine="420" w:firstLineChars="200"/>
        <w:rPr>
          <w:rFonts w:hint="eastAsia" w:ascii="宋体" w:hAnsi="宋体"/>
          <w:color w:val="auto"/>
        </w:rPr>
      </w:pPr>
      <w:bookmarkStart w:id="600" w:name="_Toc7066"/>
      <w:bookmarkEnd w:id="600"/>
      <w:bookmarkStart w:id="601" w:name="_Toc28254"/>
      <w:bookmarkEnd w:id="601"/>
      <w:bookmarkStart w:id="602" w:name="_Toc152042344"/>
      <w:bookmarkEnd w:id="602"/>
      <w:bookmarkStart w:id="603" w:name="_Toc152045568"/>
      <w:bookmarkEnd w:id="603"/>
      <w:bookmarkStart w:id="604" w:name="_Toc318450711"/>
      <w:bookmarkEnd w:id="604"/>
      <w:bookmarkStart w:id="605" w:name="_Toc144974536"/>
      <w:bookmarkEnd w:id="605"/>
      <w:bookmarkStart w:id="606" w:name="_Toc10868"/>
      <w:r>
        <w:rPr>
          <w:rFonts w:hint="eastAsia" w:ascii="宋体" w:hAnsi="宋体"/>
          <w:color w:val="auto"/>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bookmarkEnd w:id="606"/>
    </w:p>
    <w:p w14:paraId="5CB09A26">
      <w:pPr>
        <w:pStyle w:val="102"/>
        <w:keepNext w:val="0"/>
        <w:keepLines w:val="0"/>
        <w:spacing w:line="440" w:lineRule="exact"/>
        <w:rPr>
          <w:rFonts w:hint="eastAsia" w:ascii="宋体" w:hAnsi="宋体" w:eastAsia="宋体"/>
          <w:b/>
          <w:bCs/>
          <w:color w:val="auto"/>
          <w:sz w:val="21"/>
          <w:szCs w:val="21"/>
        </w:rPr>
      </w:pPr>
      <w:bookmarkStart w:id="607" w:name="_Toc5428"/>
      <w:bookmarkEnd w:id="607"/>
      <w:bookmarkStart w:id="608" w:name="_Toc15825"/>
      <w:bookmarkEnd w:id="608"/>
      <w:bookmarkStart w:id="609" w:name="_Toc466298127"/>
      <w:bookmarkEnd w:id="609"/>
      <w:bookmarkStart w:id="610" w:name="_Toc455080144"/>
      <w:bookmarkEnd w:id="610"/>
      <w:bookmarkStart w:id="611" w:name="_Toc490667864"/>
      <w:bookmarkEnd w:id="611"/>
      <w:bookmarkStart w:id="612" w:name="_Toc455867804"/>
      <w:bookmarkEnd w:id="612"/>
      <w:bookmarkStart w:id="613" w:name="_Toc9897"/>
      <w:bookmarkEnd w:id="613"/>
      <w:bookmarkStart w:id="614" w:name="_Toc129073495"/>
      <w:bookmarkStart w:id="615" w:name="_Toc509667295"/>
      <w:bookmarkStart w:id="616" w:name="_Toc10134"/>
      <w:r>
        <w:rPr>
          <w:rFonts w:hint="eastAsia" w:ascii="宋体" w:hAnsi="宋体" w:eastAsia="宋体"/>
          <w:b/>
          <w:bCs/>
          <w:color w:val="auto"/>
          <w:sz w:val="21"/>
          <w:szCs w:val="21"/>
        </w:rPr>
        <w:t>7.2 成交通知</w:t>
      </w:r>
      <w:bookmarkEnd w:id="614"/>
      <w:bookmarkEnd w:id="615"/>
      <w:bookmarkEnd w:id="616"/>
    </w:p>
    <w:p w14:paraId="7E168B94">
      <w:pPr>
        <w:spacing w:line="440" w:lineRule="exact"/>
        <w:ind w:firstLine="420" w:firstLineChars="200"/>
        <w:rPr>
          <w:rFonts w:hint="eastAsia" w:ascii="宋体" w:hAnsi="宋体"/>
          <w:color w:val="auto"/>
        </w:rPr>
      </w:pPr>
      <w:r>
        <w:rPr>
          <w:rFonts w:hint="eastAsia" w:ascii="宋体" w:hAnsi="宋体"/>
          <w:color w:val="auto"/>
        </w:rPr>
        <w:t>采购代理机构应当自评审结束之日起 2 个工作日内将评审报告送交采购人。采购人应当自收到评审报告之日起 5 个工作日内按评审报告中推荐的成交候选人顺序确定成交人。采购人或者采购代理机构应当自成交人确定之日起 2 个工作日内在省级以上人民政府财政部门指定的媒体上公告成交结果。</w:t>
      </w:r>
    </w:p>
    <w:p w14:paraId="41F59C8F">
      <w:pPr>
        <w:spacing w:line="440" w:lineRule="exact"/>
        <w:ind w:firstLine="420" w:firstLineChars="200"/>
        <w:rPr>
          <w:rFonts w:hint="eastAsia" w:ascii="宋体" w:hAnsi="宋体"/>
          <w:color w:val="auto"/>
        </w:rPr>
      </w:pPr>
      <w:r>
        <w:rPr>
          <w:rFonts w:hint="eastAsia" w:ascii="宋体" w:hAnsi="宋体"/>
          <w:color w:val="auto"/>
        </w:rPr>
        <w:t>在公告成交结果的同时，采购人或者采购代理机构应当向成交供应商发出成交通知书，对未通过资格审查的供应商，告知其未通过的原因并公告成交人得分及排序。</w:t>
      </w:r>
    </w:p>
    <w:p w14:paraId="0683F417">
      <w:pPr>
        <w:pStyle w:val="102"/>
        <w:keepNext w:val="0"/>
        <w:keepLines w:val="0"/>
        <w:spacing w:line="440" w:lineRule="exact"/>
        <w:rPr>
          <w:rFonts w:hint="eastAsia" w:ascii="宋体" w:hAnsi="宋体" w:eastAsia="宋体"/>
          <w:b/>
          <w:bCs/>
          <w:color w:val="auto"/>
          <w:sz w:val="21"/>
          <w:szCs w:val="21"/>
        </w:rPr>
      </w:pPr>
      <w:bookmarkStart w:id="617" w:name="_Toc455867805"/>
      <w:bookmarkEnd w:id="617"/>
      <w:bookmarkStart w:id="618" w:name="_Toc466298128"/>
      <w:bookmarkEnd w:id="618"/>
      <w:bookmarkStart w:id="619" w:name="_Toc13147"/>
      <w:bookmarkEnd w:id="619"/>
      <w:bookmarkStart w:id="620" w:name="_Toc509667296"/>
      <w:bookmarkEnd w:id="620"/>
      <w:bookmarkStart w:id="621" w:name="_Toc8886"/>
      <w:bookmarkEnd w:id="621"/>
      <w:bookmarkStart w:id="622" w:name="_Toc152042346"/>
      <w:bookmarkEnd w:id="622"/>
      <w:bookmarkStart w:id="623" w:name="_Toc15458"/>
      <w:bookmarkEnd w:id="623"/>
      <w:bookmarkStart w:id="624" w:name="_Toc490667865"/>
      <w:bookmarkEnd w:id="624"/>
      <w:bookmarkStart w:id="625" w:name="_Toc26915"/>
      <w:bookmarkEnd w:id="625"/>
      <w:bookmarkStart w:id="626" w:name="_Toc144974538"/>
      <w:bookmarkEnd w:id="626"/>
      <w:bookmarkStart w:id="627" w:name="_Toc455080145"/>
      <w:bookmarkEnd w:id="627"/>
      <w:bookmarkStart w:id="628" w:name="_Toc152045570"/>
      <w:bookmarkEnd w:id="628"/>
      <w:bookmarkStart w:id="629" w:name="_Toc24026"/>
      <w:bookmarkEnd w:id="629"/>
      <w:bookmarkStart w:id="630" w:name="_Toc21271"/>
      <w:bookmarkEnd w:id="630"/>
      <w:bookmarkStart w:id="631" w:name="_Toc129073496"/>
      <w:bookmarkStart w:id="632" w:name="_Toc318450712"/>
      <w:bookmarkStart w:id="633" w:name="_Toc564"/>
      <w:r>
        <w:rPr>
          <w:rFonts w:hint="eastAsia" w:ascii="宋体" w:hAnsi="宋体" w:eastAsia="宋体"/>
          <w:b/>
          <w:bCs/>
          <w:color w:val="auto"/>
          <w:sz w:val="21"/>
          <w:szCs w:val="21"/>
        </w:rPr>
        <w:t>7.3 履约保证金</w:t>
      </w:r>
      <w:bookmarkEnd w:id="631"/>
      <w:bookmarkEnd w:id="632"/>
      <w:bookmarkEnd w:id="633"/>
    </w:p>
    <w:p w14:paraId="0F37DD8A">
      <w:pPr>
        <w:spacing w:line="440" w:lineRule="exact"/>
        <w:ind w:firstLine="420" w:firstLineChars="200"/>
        <w:rPr>
          <w:rFonts w:hint="eastAsia" w:ascii="宋体" w:hAnsi="宋体"/>
          <w:color w:val="auto"/>
        </w:rPr>
      </w:pPr>
      <w:r>
        <w:rPr>
          <w:rFonts w:hint="eastAsia" w:ascii="宋体" w:hAnsi="宋体"/>
          <w:color w:val="auto"/>
        </w:rPr>
        <w:t>7.3.1 在签订合同前，成交供应商应按供应商须知前附表规定的金额、担保形式和竞争性磋商文件第四章“合同条款及格式”规定的履约担保格式向采购人提交履约担保。</w:t>
      </w:r>
    </w:p>
    <w:p w14:paraId="6D3AC009">
      <w:pPr>
        <w:spacing w:line="440" w:lineRule="exact"/>
        <w:ind w:firstLine="420" w:firstLineChars="200"/>
        <w:rPr>
          <w:rFonts w:hint="eastAsia" w:ascii="宋体" w:hAnsi="宋体"/>
          <w:color w:val="auto"/>
        </w:rPr>
      </w:pPr>
      <w:r>
        <w:rPr>
          <w:rFonts w:hint="eastAsia" w:ascii="宋体" w:hAnsi="宋体"/>
          <w:color w:val="auto"/>
        </w:rPr>
        <w:t>7.3.2 成交供应商不能按本章第7.3.1 项要求提交履约担保的，视为放弃中标，给采购人造成的损失较大的，成交供应商还应当对超过部分予以赔偿。</w:t>
      </w:r>
      <w:bookmarkStart w:id="634" w:name="_Toc129073497"/>
    </w:p>
    <w:p w14:paraId="01E60F5C">
      <w:pPr>
        <w:pStyle w:val="102"/>
        <w:keepNext w:val="0"/>
        <w:keepLines w:val="0"/>
        <w:spacing w:line="440" w:lineRule="exact"/>
        <w:rPr>
          <w:rFonts w:hint="eastAsia" w:ascii="宋体" w:hAnsi="宋体" w:eastAsia="宋体"/>
          <w:b/>
          <w:bCs/>
          <w:color w:val="auto"/>
          <w:sz w:val="21"/>
          <w:szCs w:val="21"/>
        </w:rPr>
      </w:pPr>
      <w:bookmarkStart w:id="635" w:name="_Toc16026"/>
      <w:r>
        <w:rPr>
          <w:rFonts w:hint="eastAsia" w:ascii="宋体" w:hAnsi="宋体" w:eastAsia="宋体"/>
          <w:b/>
          <w:bCs/>
          <w:color w:val="auto"/>
          <w:sz w:val="21"/>
          <w:szCs w:val="21"/>
        </w:rPr>
        <w:t>7.4 签订合同</w:t>
      </w:r>
      <w:bookmarkEnd w:id="634"/>
      <w:bookmarkEnd w:id="635"/>
    </w:p>
    <w:p w14:paraId="71E7FA16">
      <w:pPr>
        <w:spacing w:line="440" w:lineRule="exact"/>
        <w:ind w:firstLine="420" w:firstLineChars="200"/>
        <w:rPr>
          <w:rFonts w:hint="eastAsia" w:ascii="宋体" w:hAnsi="宋体"/>
          <w:color w:val="auto"/>
        </w:rPr>
      </w:pPr>
      <w:r>
        <w:rPr>
          <w:rFonts w:hint="eastAsia" w:ascii="宋体" w:hAnsi="宋体"/>
          <w:color w:val="auto"/>
        </w:rPr>
        <w:t>7.4.1 采购人应当自成交通知书发出之日起15日内，按照竞争性磋商文件和成交供应商响应文件的规定，与成交供应商签订书面合同。所签订的合同不得对竞争性磋商文件确定的事项和成交供应商响应文件作实质性修改。采购人不得向成交供应商提出任何不合理的要求作为签订合同的条件。</w:t>
      </w:r>
    </w:p>
    <w:p w14:paraId="6B720AA3">
      <w:pPr>
        <w:spacing w:line="440" w:lineRule="exact"/>
        <w:ind w:firstLine="420" w:firstLineChars="200"/>
        <w:rPr>
          <w:rFonts w:hint="eastAsia" w:ascii="宋体" w:hAnsi="宋体"/>
          <w:color w:val="auto"/>
        </w:rPr>
      </w:pPr>
      <w:r>
        <w:rPr>
          <w:rFonts w:hint="eastAsia" w:ascii="宋体" w:hAnsi="宋体"/>
          <w:color w:val="auto"/>
        </w:rPr>
        <w:t>7.4.2 发出成交通知书后，成交供应商无正当理由拒签合同的，采购人取消其中标资格；给采购人造成的损失较大的，成交供应商还应当予以赔偿；采购人无正当理由拒签合同，给成交供应商造成损失的，还应当赔偿损失。</w:t>
      </w:r>
    </w:p>
    <w:p w14:paraId="110F0E85">
      <w:pPr>
        <w:spacing w:line="440" w:lineRule="exact"/>
        <w:ind w:firstLine="420" w:firstLineChars="200"/>
        <w:rPr>
          <w:rFonts w:hint="eastAsia" w:ascii="宋体" w:hAnsi="宋体"/>
          <w:color w:val="auto"/>
        </w:rPr>
      </w:pPr>
      <w:r>
        <w:rPr>
          <w:rFonts w:hint="eastAsia" w:ascii="宋体" w:hAnsi="宋体"/>
          <w:color w:val="auto"/>
        </w:rPr>
        <w:t>7.4.3采购人需追加（或减少）与合同标的相同的服务的，在不改变合同其它条款的前提下，可以与供应商签订补充合同，但所有补充合同的采购金额不得超过原合同金额的百分之十，且合并不得超过预算总额。补充合同不得对服务内容、单价或其它实质性条款和条件做任何改变。</w:t>
      </w:r>
    </w:p>
    <w:p w14:paraId="09ACCF2C">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636" w:name="_Toc152042350"/>
      <w:bookmarkEnd w:id="636"/>
      <w:bookmarkStart w:id="637" w:name="_Toc455080146"/>
      <w:bookmarkEnd w:id="637"/>
      <w:bookmarkStart w:id="638" w:name="_Toc152045574"/>
      <w:bookmarkEnd w:id="638"/>
      <w:bookmarkStart w:id="639" w:name="_Toc31386"/>
      <w:bookmarkEnd w:id="639"/>
      <w:bookmarkStart w:id="640" w:name="_Toc144974542"/>
      <w:bookmarkEnd w:id="640"/>
      <w:bookmarkStart w:id="641" w:name="_Toc509667297"/>
      <w:bookmarkEnd w:id="641"/>
      <w:bookmarkStart w:id="642" w:name="_Toc2710"/>
      <w:bookmarkStart w:id="643" w:name="_Toc21401"/>
      <w:bookmarkStart w:id="644" w:name="_Toc11519"/>
      <w:bookmarkStart w:id="645" w:name="_Toc21693"/>
      <w:bookmarkStart w:id="646" w:name="_Toc535"/>
      <w:r>
        <w:rPr>
          <w:rFonts w:hint="eastAsia" w:ascii="宋体" w:hAnsi="宋体" w:eastAsia="宋体"/>
          <w:b/>
          <w:bCs w:val="0"/>
          <w:color w:val="auto"/>
          <w:sz w:val="21"/>
          <w:szCs w:val="21"/>
        </w:rPr>
        <w:t>8. 重新招标</w:t>
      </w:r>
      <w:bookmarkEnd w:id="642"/>
      <w:bookmarkEnd w:id="643"/>
      <w:bookmarkEnd w:id="644"/>
      <w:bookmarkEnd w:id="645"/>
      <w:bookmarkEnd w:id="646"/>
    </w:p>
    <w:p w14:paraId="45949011">
      <w:pPr>
        <w:spacing w:line="440" w:lineRule="exact"/>
        <w:ind w:firstLine="480"/>
        <w:rPr>
          <w:rFonts w:hint="eastAsia" w:ascii="宋体" w:hAnsi="宋体"/>
          <w:color w:val="auto"/>
        </w:rPr>
      </w:pPr>
      <w:bookmarkStart w:id="647" w:name="_Toc16556"/>
      <w:bookmarkEnd w:id="647"/>
      <w:r>
        <w:rPr>
          <w:rFonts w:hint="eastAsia" w:ascii="宋体" w:hAnsi="宋体"/>
          <w:color w:val="auto"/>
        </w:rPr>
        <w:t>出现下列情形之一的，采购人或者采购代理机构应当终止竞争性磋商采购活动，发布项目终止公告并说明原因，重新开展采购活动：</w:t>
      </w:r>
    </w:p>
    <w:p w14:paraId="6F67C825">
      <w:pPr>
        <w:spacing w:line="440" w:lineRule="exact"/>
        <w:ind w:firstLine="480"/>
        <w:rPr>
          <w:rFonts w:hint="eastAsia" w:ascii="宋体" w:hAnsi="宋体"/>
          <w:color w:val="auto"/>
        </w:rPr>
      </w:pPr>
      <w:r>
        <w:rPr>
          <w:rFonts w:hint="eastAsia" w:ascii="宋体" w:hAnsi="宋体"/>
          <w:color w:val="auto"/>
        </w:rPr>
        <w:t>（一）因情况变化，不再符合规定的竞争性磋商采购方式适用情形的；</w:t>
      </w:r>
    </w:p>
    <w:p w14:paraId="7B7629D3">
      <w:pPr>
        <w:spacing w:line="440" w:lineRule="exact"/>
        <w:ind w:firstLine="480"/>
        <w:rPr>
          <w:rFonts w:hint="eastAsia" w:ascii="宋体" w:hAnsi="宋体"/>
          <w:color w:val="auto"/>
        </w:rPr>
      </w:pPr>
      <w:r>
        <w:rPr>
          <w:rFonts w:hint="eastAsia" w:ascii="宋体" w:hAnsi="宋体"/>
          <w:color w:val="auto"/>
        </w:rPr>
        <w:t>（二）出现影响采购公正的违法、违规行为的；</w:t>
      </w:r>
    </w:p>
    <w:p w14:paraId="7F2F838D">
      <w:pPr>
        <w:spacing w:line="440" w:lineRule="exact"/>
        <w:ind w:firstLine="480"/>
        <w:rPr>
          <w:rFonts w:hint="eastAsia" w:ascii="宋体" w:hAnsi="宋体"/>
          <w:color w:val="auto"/>
        </w:rPr>
      </w:pPr>
      <w:r>
        <w:rPr>
          <w:rFonts w:hint="eastAsia" w:ascii="宋体" w:hAnsi="宋体"/>
          <w:color w:val="auto"/>
        </w:rPr>
        <w:t>（三）除《政府采购竞争性磋商采购方式管理暂行办法》第二十一条第三款规定的情形外，在采购过程中符合要求的供应商或者报价未超过采购预算的供应商不足 3 家的。</w:t>
      </w:r>
      <w:bookmarkStart w:id="648" w:name="_Toc509667298"/>
      <w:bookmarkEnd w:id="648"/>
      <w:bookmarkStart w:id="649" w:name="_Toc16204"/>
      <w:bookmarkEnd w:id="649"/>
      <w:bookmarkStart w:id="650" w:name="_Toc455080147"/>
    </w:p>
    <w:p w14:paraId="5CD6BAD2">
      <w:pPr>
        <w:pStyle w:val="114"/>
        <w:keepNext w:val="0"/>
        <w:keepLines w:val="0"/>
        <w:spacing w:before="0" w:line="440" w:lineRule="exact"/>
        <w:ind w:firstLine="105" w:firstLineChars="50"/>
        <w:rPr>
          <w:rFonts w:hint="eastAsia" w:ascii="宋体" w:hAnsi="宋体" w:eastAsia="宋体"/>
          <w:b/>
          <w:bCs w:val="0"/>
          <w:color w:val="auto"/>
          <w:sz w:val="21"/>
          <w:szCs w:val="21"/>
        </w:rPr>
      </w:pPr>
      <w:bookmarkStart w:id="651" w:name="_Toc119"/>
      <w:bookmarkStart w:id="652" w:name="_Toc11120"/>
      <w:bookmarkStart w:id="653" w:name="_Toc12617"/>
      <w:bookmarkStart w:id="654" w:name="_Toc15862"/>
      <w:bookmarkStart w:id="655" w:name="_Toc22528"/>
      <w:r>
        <w:rPr>
          <w:rFonts w:hint="eastAsia" w:ascii="宋体" w:hAnsi="宋体" w:eastAsia="宋体"/>
          <w:b/>
          <w:bCs w:val="0"/>
          <w:color w:val="auto"/>
          <w:sz w:val="21"/>
          <w:szCs w:val="21"/>
        </w:rPr>
        <w:t>9. 纪律和监督</w:t>
      </w:r>
      <w:bookmarkEnd w:id="650"/>
      <w:bookmarkEnd w:id="651"/>
      <w:bookmarkEnd w:id="652"/>
      <w:bookmarkEnd w:id="653"/>
      <w:bookmarkEnd w:id="654"/>
      <w:bookmarkEnd w:id="655"/>
    </w:p>
    <w:p w14:paraId="34C9FB35">
      <w:pPr>
        <w:pStyle w:val="106"/>
        <w:keepNext w:val="0"/>
        <w:keepLines w:val="0"/>
        <w:spacing w:line="440" w:lineRule="exact"/>
        <w:rPr>
          <w:rStyle w:val="97"/>
          <w:rFonts w:hint="eastAsia" w:ascii="宋体" w:hAnsi="宋体" w:cs="宋体"/>
          <w:color w:val="auto"/>
        </w:rPr>
      </w:pPr>
      <w:bookmarkStart w:id="656" w:name="_Toc19159"/>
      <w:bookmarkEnd w:id="656"/>
      <w:bookmarkStart w:id="657" w:name="_Toc490667868"/>
      <w:bookmarkEnd w:id="657"/>
      <w:bookmarkStart w:id="658" w:name="_Toc318450714"/>
      <w:bookmarkEnd w:id="658"/>
      <w:bookmarkStart w:id="659" w:name="_Toc144974543"/>
      <w:bookmarkEnd w:id="659"/>
      <w:bookmarkStart w:id="660" w:name="_Toc12992"/>
      <w:bookmarkEnd w:id="660"/>
      <w:bookmarkStart w:id="661" w:name="_Toc1282"/>
      <w:bookmarkEnd w:id="661"/>
      <w:bookmarkStart w:id="662" w:name="_Toc455867808"/>
      <w:bookmarkEnd w:id="662"/>
      <w:bookmarkStart w:id="663" w:name="_Toc152045575"/>
      <w:bookmarkEnd w:id="663"/>
      <w:bookmarkStart w:id="664" w:name="_Toc455080148"/>
      <w:bookmarkEnd w:id="664"/>
      <w:bookmarkStart w:id="665" w:name="_Toc13970"/>
      <w:bookmarkEnd w:id="665"/>
      <w:bookmarkStart w:id="666" w:name="_Toc15592"/>
      <w:bookmarkEnd w:id="666"/>
      <w:bookmarkStart w:id="667" w:name="_Toc20009"/>
      <w:bookmarkEnd w:id="667"/>
      <w:bookmarkStart w:id="668" w:name="_Toc509667299"/>
      <w:bookmarkEnd w:id="668"/>
      <w:bookmarkStart w:id="669" w:name="_Toc152042351"/>
      <w:bookmarkEnd w:id="669"/>
      <w:bookmarkStart w:id="670" w:name="_Toc129073500"/>
      <w:bookmarkStart w:id="671" w:name="_Toc466298131"/>
      <w:r>
        <w:rPr>
          <w:rStyle w:val="97"/>
          <w:rFonts w:hint="eastAsia" w:ascii="宋体" w:hAnsi="宋体" w:cs="宋体"/>
          <w:color w:val="auto"/>
        </w:rPr>
        <w:t>9.1 对采购人的纪律要求</w:t>
      </w:r>
    </w:p>
    <w:p w14:paraId="43B6EFD4">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采购人不得泄漏招标投标活动中应当保密的情况和资料，不得与供应商串通损害国家利益、社会公共利益或者他人合法权益。</w:t>
      </w:r>
    </w:p>
    <w:p w14:paraId="5C1B6E1B">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有下列情形之一的，属于采购人与供应商串通投标：</w:t>
      </w:r>
    </w:p>
    <w:p w14:paraId="235BF6B3">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（一）采购人在开标前开启响应文件并将有关信息泄露给其他供应商；</w:t>
      </w:r>
    </w:p>
    <w:p w14:paraId="1A13F24B">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（二）采购人直接或者间接向供应商泄露标底、磋商小组成员等信息；</w:t>
      </w:r>
    </w:p>
    <w:p w14:paraId="0A42E2BE">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（三）采购人明示或者暗示供应商压低或者抬高磋商报价；</w:t>
      </w:r>
    </w:p>
    <w:p w14:paraId="43014F0B">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（四）采购人授意供应商撤换、修改响应文件；</w:t>
      </w:r>
    </w:p>
    <w:p w14:paraId="24421F6E">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（五）采购人明示或者暗示供应商为特定供应商中标提供方便；</w:t>
      </w:r>
    </w:p>
    <w:p w14:paraId="17BC8EEA">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（六）采购人与供应商为谋求特定供应商中标而采取的其他串通行为。</w:t>
      </w:r>
    </w:p>
    <w:p w14:paraId="37C35337">
      <w:pPr>
        <w:pStyle w:val="106"/>
        <w:keepNext w:val="0"/>
        <w:keepLines w:val="0"/>
        <w:spacing w:line="440" w:lineRule="exact"/>
        <w:rPr>
          <w:rStyle w:val="97"/>
          <w:rFonts w:hint="eastAsia" w:ascii="宋体" w:hAnsi="宋体" w:cs="宋体"/>
          <w:color w:val="auto"/>
        </w:rPr>
      </w:pPr>
      <w:r>
        <w:rPr>
          <w:rStyle w:val="97"/>
          <w:rFonts w:hint="eastAsia" w:ascii="宋体" w:hAnsi="宋体" w:cs="宋体"/>
          <w:color w:val="auto"/>
        </w:rPr>
        <w:t>9.2 对供应商的纪律要求</w:t>
      </w:r>
    </w:p>
    <w:p w14:paraId="5B5C4543">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供应商不得相互串通投标或者与采购人串通投标，不得向采购人或者磋商小组成员行贿谋取中标，不得以他人名义投标或者以其他方式弄虚作假骗取中标；供应商不得以任何方式干扰、影响评审工作。</w:t>
      </w:r>
    </w:p>
    <w:p w14:paraId="7DDA04D6">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9.2.1 有下列情形之一的，视为供应商相互串通投标，其投标无效：</w:t>
      </w:r>
    </w:p>
    <w:p w14:paraId="2FF87C5B">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（一）不同供应商的电子投标（响应）文件上传计算机的网卡MAC地址、CPU序列号和硬盘序列号等硬件信息相同的；</w:t>
      </w:r>
    </w:p>
    <w:p w14:paraId="6AC77736">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（二）不同供应商的投标（响应）文件由同一电子设备编制、打印加密或者上传；</w:t>
      </w:r>
    </w:p>
    <w:p w14:paraId="01354FC0">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（三）不同供应商的投标（响应）文件由同一人送达或者分发，或者不同供应商联系人为同一人或不同联系人的联系电话一致的；</w:t>
      </w:r>
    </w:p>
    <w:p w14:paraId="75413943">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（四）不同供应商的投标（响应）文件的内容存在两处以上细节错误一致；</w:t>
      </w:r>
    </w:p>
    <w:p w14:paraId="623EA83D">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（五）不同供应商的法定代表人、委托代理人、项目经理、项目负责人等由同一个单位缴纳社会保险或者领取报酬的；</w:t>
      </w:r>
    </w:p>
    <w:p w14:paraId="18C91CEE">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（六）不同供应商投标（响应）文件中法定代表人或者负责人签字出自同一人之手；</w:t>
      </w:r>
    </w:p>
    <w:p w14:paraId="76679818">
      <w:pPr>
        <w:spacing w:line="440" w:lineRule="exact"/>
        <w:ind w:firstLine="422" w:firstLineChars="200"/>
        <w:rPr>
          <w:rStyle w:val="97"/>
          <w:rFonts w:hint="eastAsia" w:ascii="宋体" w:hAnsi="宋体" w:cs="宋体"/>
          <w:b/>
          <w:bCs/>
          <w:color w:val="auto"/>
        </w:rPr>
      </w:pPr>
      <w:r>
        <w:rPr>
          <w:rStyle w:val="97"/>
          <w:rFonts w:hint="eastAsia" w:ascii="宋体" w:hAnsi="宋体" w:cs="宋体"/>
          <w:b/>
          <w:bCs/>
          <w:color w:val="auto"/>
        </w:rPr>
        <w:t>（七）其它涉嫌串通的情形。</w:t>
      </w:r>
    </w:p>
    <w:p w14:paraId="7F42D56A">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9.2.2 有下列情形之一的，属于以他人名义投标：</w:t>
      </w:r>
    </w:p>
    <w:p w14:paraId="420237B9">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（一）使用通过受让或者租借等方式获取的资格、资质证书投标的。</w:t>
      </w:r>
    </w:p>
    <w:p w14:paraId="6A20838E">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9.2.3有下列情形之一的，属于以其他方式弄虚作假的行为：</w:t>
      </w:r>
    </w:p>
    <w:p w14:paraId="7C63C622">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（一）使用伪造、变造的许可证件；</w:t>
      </w:r>
    </w:p>
    <w:p w14:paraId="1AB5079B">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（二）提供虚假的财务状况或者业绩；</w:t>
      </w:r>
    </w:p>
    <w:p w14:paraId="2DF18586">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（三）提供虚假的项目负责人或者主要技术人员简历、劳动关系证明；</w:t>
      </w:r>
    </w:p>
    <w:p w14:paraId="259C32B5">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（四）提供虚假的信用状况；</w:t>
      </w:r>
    </w:p>
    <w:p w14:paraId="7452191A">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（五）其他弄虚作假的行为。</w:t>
      </w:r>
    </w:p>
    <w:p w14:paraId="0C99E200">
      <w:pPr>
        <w:pStyle w:val="106"/>
        <w:keepNext w:val="0"/>
        <w:keepLines w:val="0"/>
        <w:spacing w:line="440" w:lineRule="exact"/>
        <w:rPr>
          <w:rStyle w:val="97"/>
          <w:rFonts w:hint="eastAsia" w:ascii="宋体" w:hAnsi="宋体" w:cs="宋体"/>
          <w:color w:val="auto"/>
        </w:rPr>
      </w:pPr>
      <w:r>
        <w:rPr>
          <w:rStyle w:val="97"/>
          <w:rFonts w:hint="eastAsia" w:ascii="宋体" w:hAnsi="宋体" w:cs="宋体"/>
          <w:color w:val="auto"/>
        </w:rPr>
        <w:t>9.3 对磋商小组成员的纪律要求</w:t>
      </w:r>
    </w:p>
    <w:p w14:paraId="067FCE87">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（一）确定参与评审至评审结束前私自接触供应商；</w:t>
      </w:r>
    </w:p>
    <w:p w14:paraId="7022D12E">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（二）接受供应商提出的与响应文件不一致的澄清或者说明；</w:t>
      </w:r>
    </w:p>
    <w:p w14:paraId="02BFBE23">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（三）违反评审纪律发表倾向性意见或者征询采购人的倾向性意见；</w:t>
      </w:r>
    </w:p>
    <w:p w14:paraId="10EDF1E6">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（四）对需要专业判断的主观评审因素协商评分；</w:t>
      </w:r>
    </w:p>
    <w:p w14:paraId="1365CC57">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（五）在评审过程中擅离职守，影响评审程序正常进行的；</w:t>
      </w:r>
    </w:p>
    <w:p w14:paraId="435CF089">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（六）记录、复制或者带走任何评审资料；</w:t>
      </w:r>
    </w:p>
    <w:p w14:paraId="5F8483D2">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（七）其他不遵守评审纪律的行为。</w:t>
      </w:r>
    </w:p>
    <w:p w14:paraId="79C1F723">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磋商小组成员有前款第一至五项行为之一的，其评审意见无效，并不得获取评审劳务报酬和报销异地评审差旅费。</w:t>
      </w:r>
    </w:p>
    <w:p w14:paraId="2132F07A">
      <w:pPr>
        <w:pStyle w:val="106"/>
        <w:keepNext w:val="0"/>
        <w:keepLines w:val="0"/>
        <w:spacing w:line="440" w:lineRule="exact"/>
        <w:rPr>
          <w:rStyle w:val="97"/>
          <w:rFonts w:hint="eastAsia" w:ascii="宋体" w:hAnsi="宋体" w:cs="宋体"/>
          <w:color w:val="auto"/>
        </w:rPr>
      </w:pPr>
      <w:r>
        <w:rPr>
          <w:rStyle w:val="97"/>
          <w:rFonts w:hint="eastAsia" w:ascii="宋体" w:hAnsi="宋体" w:cs="宋体"/>
          <w:color w:val="auto"/>
        </w:rPr>
        <w:t>9.4 对与评审活动有关的工作人员的纪律要求</w:t>
      </w:r>
    </w:p>
    <w:p w14:paraId="3A404E6A">
      <w:pPr>
        <w:spacing w:line="440" w:lineRule="exact"/>
        <w:ind w:firstLine="420" w:firstLineChars="200"/>
        <w:rPr>
          <w:rStyle w:val="97"/>
          <w:rFonts w:hint="eastAsia" w:ascii="宋体" w:hAnsi="宋体" w:cs="宋体"/>
          <w:color w:val="auto"/>
        </w:rPr>
      </w:pPr>
      <w:r>
        <w:rPr>
          <w:rStyle w:val="97"/>
          <w:rFonts w:hint="eastAsia" w:ascii="宋体" w:hAnsi="宋体" w:cs="宋体"/>
          <w:color w:val="auto"/>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500D0708">
      <w:pPr>
        <w:spacing w:line="440" w:lineRule="exact"/>
        <w:rPr>
          <w:rFonts w:hint="eastAsia" w:ascii="宋体" w:hAnsi="宋体"/>
          <w:b/>
          <w:bCs/>
          <w:color w:val="auto"/>
        </w:rPr>
      </w:pPr>
      <w:r>
        <w:rPr>
          <w:rFonts w:hint="eastAsia" w:ascii="宋体" w:hAnsi="宋体"/>
          <w:b/>
          <w:bCs/>
          <w:color w:val="auto"/>
        </w:rPr>
        <w:t>9.5 质疑和投诉</w:t>
      </w:r>
    </w:p>
    <w:p w14:paraId="1ED3A589">
      <w:pPr>
        <w:spacing w:line="440" w:lineRule="exact"/>
        <w:ind w:firstLine="420" w:firstLineChars="200"/>
        <w:rPr>
          <w:rFonts w:hint="eastAsia" w:ascii="宋体" w:hAnsi="宋体"/>
          <w:color w:val="auto"/>
        </w:rPr>
      </w:pPr>
      <w:r>
        <w:rPr>
          <w:rFonts w:hint="eastAsia" w:ascii="宋体" w:hAnsi="宋体"/>
          <w:color w:val="auto"/>
        </w:rPr>
        <w:t>9.5.1供应商认为竞争性磋商文件、采购过程和成交结果使自己的权益受到损害的，可以在知道或者应知其权益受到损害之日起七个工作日内，以书面形式向采购代理机构提出质疑。（格式见本章附件1）</w:t>
      </w:r>
    </w:p>
    <w:p w14:paraId="38823443">
      <w:pPr>
        <w:spacing w:line="440" w:lineRule="exact"/>
        <w:ind w:firstLine="420" w:firstLineChars="200"/>
        <w:rPr>
          <w:rFonts w:hint="eastAsia" w:ascii="宋体" w:hAnsi="宋体"/>
          <w:color w:val="auto"/>
        </w:rPr>
      </w:pPr>
      <w:r>
        <w:rPr>
          <w:rFonts w:hint="eastAsia" w:ascii="宋体" w:hAnsi="宋体"/>
          <w:color w:val="auto"/>
        </w:rPr>
        <w:t>9.5.2供应商应知其权益受到损害之日，是指：</w:t>
      </w:r>
    </w:p>
    <w:p w14:paraId="761BD0B8">
      <w:pPr>
        <w:spacing w:line="440" w:lineRule="exact"/>
        <w:ind w:firstLine="420" w:firstLineChars="200"/>
        <w:rPr>
          <w:rFonts w:hint="eastAsia" w:ascii="宋体" w:hAnsi="宋体"/>
          <w:color w:val="auto"/>
        </w:rPr>
      </w:pPr>
      <w:r>
        <w:rPr>
          <w:rFonts w:hint="eastAsia" w:ascii="宋体" w:hAnsi="宋体"/>
          <w:color w:val="auto"/>
        </w:rPr>
        <w:t>（1）对可以质疑的竞争性磋商文件提出质疑的，为收到竞争性磋商文件之日或者竞争性磋商文件公告期限届满之日；</w:t>
      </w:r>
    </w:p>
    <w:p w14:paraId="24230FA4">
      <w:pPr>
        <w:spacing w:line="440" w:lineRule="exact"/>
        <w:ind w:firstLine="420" w:firstLineChars="200"/>
        <w:rPr>
          <w:rFonts w:hint="eastAsia" w:ascii="宋体" w:hAnsi="宋体"/>
          <w:color w:val="auto"/>
        </w:rPr>
      </w:pPr>
      <w:r>
        <w:rPr>
          <w:rFonts w:hint="eastAsia" w:ascii="宋体" w:hAnsi="宋体"/>
          <w:color w:val="auto"/>
        </w:rPr>
        <w:t>（2）对采购过程提出质疑的，为各采购程序环节结束之日；</w:t>
      </w:r>
    </w:p>
    <w:p w14:paraId="701BD686">
      <w:pPr>
        <w:spacing w:line="440" w:lineRule="exact"/>
        <w:ind w:firstLine="420" w:firstLineChars="200"/>
        <w:rPr>
          <w:rFonts w:hint="eastAsia" w:ascii="宋体" w:hAnsi="宋体"/>
          <w:color w:val="auto"/>
        </w:rPr>
      </w:pPr>
      <w:r>
        <w:rPr>
          <w:rFonts w:hint="eastAsia" w:ascii="宋体" w:hAnsi="宋体"/>
          <w:color w:val="auto"/>
        </w:rPr>
        <w:t>（3）对成交结果提出质疑的，为成交结果公告期限届满之日。</w:t>
      </w:r>
    </w:p>
    <w:p w14:paraId="7701CB9C">
      <w:pPr>
        <w:spacing w:line="440" w:lineRule="exact"/>
        <w:ind w:firstLine="420" w:firstLineChars="200"/>
        <w:rPr>
          <w:rFonts w:hint="eastAsia" w:ascii="宋体" w:hAnsi="宋体"/>
          <w:color w:val="auto"/>
        </w:rPr>
      </w:pPr>
      <w:r>
        <w:rPr>
          <w:rFonts w:hint="eastAsia" w:ascii="宋体" w:hAnsi="宋体"/>
          <w:color w:val="auto"/>
        </w:rPr>
        <w:t>9.5.3质疑供应商应按照财政部制定的《政府采购质疑函范本》格式（可从财政部官方网站下载）或本章附件1格式及《政府采购质疑和投诉办法》的要求，以书面形式提出质疑，针对同一采购程序环节的质疑次数应符合供应商须知前附表的规定。</w:t>
      </w:r>
    </w:p>
    <w:p w14:paraId="1AED2652">
      <w:pPr>
        <w:spacing w:line="440" w:lineRule="exact"/>
        <w:ind w:firstLine="420" w:firstLineChars="200"/>
        <w:rPr>
          <w:rFonts w:hint="eastAsia" w:ascii="宋体" w:hAnsi="宋体"/>
          <w:color w:val="auto"/>
        </w:rPr>
      </w:pPr>
      <w:r>
        <w:rPr>
          <w:rFonts w:hint="eastAsia" w:ascii="宋体" w:hAnsi="宋体"/>
          <w:color w:val="auto"/>
        </w:rPr>
        <w:t>9.5.4超出法定质疑期提交的质疑将被拒绝。重复或分次提出的、内容或形式不符合《政府采购质疑和投诉办法》的，质疑供应商将依法承担不利后果。</w:t>
      </w:r>
    </w:p>
    <w:p w14:paraId="16E3DB01">
      <w:pPr>
        <w:spacing w:line="440" w:lineRule="exact"/>
        <w:ind w:firstLine="420" w:firstLineChars="200"/>
        <w:rPr>
          <w:rFonts w:hint="eastAsia" w:ascii="宋体" w:hAnsi="宋体"/>
          <w:color w:val="auto"/>
        </w:rPr>
      </w:pPr>
      <w:r>
        <w:rPr>
          <w:rFonts w:hint="eastAsia" w:ascii="宋体" w:hAnsi="宋体"/>
          <w:color w:val="auto"/>
        </w:rPr>
        <w:t>9.5.5质疑函接收部门、联系电话和通讯地址，见供应商须知前附表。</w:t>
      </w:r>
    </w:p>
    <w:p w14:paraId="3E556638">
      <w:pPr>
        <w:spacing w:line="440" w:lineRule="exact"/>
        <w:ind w:firstLine="420" w:firstLineChars="200"/>
        <w:rPr>
          <w:rFonts w:hint="eastAsia" w:ascii="宋体" w:hAnsi="宋体"/>
          <w:color w:val="auto"/>
        </w:rPr>
      </w:pPr>
      <w:r>
        <w:rPr>
          <w:rFonts w:hint="eastAsia" w:ascii="宋体" w:hAnsi="宋体"/>
          <w:color w:val="auto"/>
        </w:rPr>
        <w:t>9.5.6采购人或采购代理机构在收到供应商的书面质疑后七个工作日内作出答复，并以书面形式通知质疑供应商和其他有关供应商，答复内容不涉及商业秘密。</w:t>
      </w:r>
    </w:p>
    <w:p w14:paraId="6D3F364D">
      <w:pPr>
        <w:pStyle w:val="114"/>
        <w:keepNext w:val="0"/>
        <w:keepLines w:val="0"/>
        <w:spacing w:before="0" w:line="440" w:lineRule="exact"/>
        <w:rPr>
          <w:rFonts w:hint="eastAsia" w:ascii="宋体" w:hAnsi="宋体" w:eastAsia="宋体"/>
          <w:b/>
          <w:bCs w:val="0"/>
          <w:color w:val="auto"/>
          <w:sz w:val="21"/>
          <w:szCs w:val="21"/>
        </w:rPr>
      </w:pPr>
      <w:bookmarkStart w:id="672" w:name="_Toc12972"/>
      <w:bookmarkStart w:id="673" w:name="_Toc30966"/>
      <w:bookmarkStart w:id="674" w:name="_Toc20771"/>
      <w:bookmarkStart w:id="675" w:name="_Toc6259"/>
      <w:bookmarkStart w:id="676" w:name="_Toc22553"/>
      <w:r>
        <w:rPr>
          <w:rFonts w:hint="eastAsia" w:ascii="宋体" w:hAnsi="宋体" w:eastAsia="宋体"/>
          <w:b/>
          <w:bCs w:val="0"/>
          <w:color w:val="auto"/>
          <w:sz w:val="21"/>
          <w:szCs w:val="21"/>
        </w:rPr>
        <w:t>10. 需要补充的其他内容</w:t>
      </w:r>
      <w:bookmarkEnd w:id="672"/>
      <w:bookmarkEnd w:id="673"/>
      <w:bookmarkEnd w:id="674"/>
      <w:bookmarkEnd w:id="675"/>
      <w:bookmarkEnd w:id="676"/>
    </w:p>
    <w:p w14:paraId="2D131E83">
      <w:pPr>
        <w:spacing w:line="440" w:lineRule="exact"/>
        <w:ind w:firstLine="420" w:firstLineChars="200"/>
        <w:rPr>
          <w:rFonts w:hint="eastAsia" w:ascii="宋体" w:hAnsi="宋体"/>
          <w:color w:val="auto"/>
        </w:rPr>
      </w:pPr>
      <w:r>
        <w:rPr>
          <w:rFonts w:hint="eastAsia" w:ascii="宋体" w:hAnsi="宋体"/>
          <w:color w:val="auto"/>
        </w:rPr>
        <w:t>需要补充的其他内容：见供应商须知前附表。</w:t>
      </w:r>
    </w:p>
    <w:bookmarkEnd w:id="670"/>
    <w:bookmarkEnd w:id="671"/>
    <w:p w14:paraId="518648B4">
      <w:pPr>
        <w:spacing w:line="360" w:lineRule="auto"/>
        <w:ind w:firstLine="420" w:firstLineChars="200"/>
        <w:rPr>
          <w:rFonts w:hint="eastAsia" w:ascii="宋体" w:hAnsi="宋体"/>
          <w:color w:val="auto"/>
        </w:rPr>
      </w:pPr>
      <w:bookmarkStart w:id="677" w:name="_Toc152042375"/>
      <w:bookmarkEnd w:id="677"/>
      <w:bookmarkStart w:id="678" w:name="_Toc144974565"/>
      <w:bookmarkEnd w:id="678"/>
      <w:bookmarkStart w:id="679" w:name="_Toc152045598"/>
      <w:bookmarkEnd w:id="679"/>
    </w:p>
    <w:p w14:paraId="279FF550">
      <w:pPr>
        <w:rPr>
          <w:rFonts w:hint="eastAsia" w:ascii="宋体" w:hAnsi="宋体"/>
          <w:color w:val="auto"/>
        </w:rPr>
      </w:pPr>
      <w:r>
        <w:rPr>
          <w:rFonts w:hint="eastAsia" w:ascii="宋体" w:hAnsi="宋体"/>
          <w:color w:val="auto"/>
        </w:rPr>
        <w:br w:type="page"/>
      </w:r>
    </w:p>
    <w:p w14:paraId="3E92C253">
      <w:pPr>
        <w:spacing w:line="360" w:lineRule="auto"/>
        <w:jc w:val="left"/>
        <w:rPr>
          <w:color w:val="auto"/>
        </w:rPr>
      </w:pPr>
      <w:bookmarkStart w:id="680" w:name="_Toc134452819"/>
      <w:r>
        <w:rPr>
          <w:rFonts w:hint="eastAsia"/>
          <w:color w:val="auto"/>
        </w:rPr>
        <w:t>附件1：质疑函格式（统一格式，需提供原件）</w:t>
      </w:r>
      <w:bookmarkEnd w:id="680"/>
    </w:p>
    <w:p w14:paraId="1F35AFD7">
      <w:pPr>
        <w:autoSpaceDE w:val="0"/>
        <w:autoSpaceDN w:val="0"/>
        <w:spacing w:line="360" w:lineRule="auto"/>
        <w:jc w:val="center"/>
        <w:rPr>
          <w:rFonts w:cs="宋体"/>
          <w:b/>
          <w:color w:val="auto"/>
          <w:kern w:val="0"/>
          <w:sz w:val="28"/>
          <w:szCs w:val="28"/>
        </w:rPr>
      </w:pPr>
      <w:r>
        <w:rPr>
          <w:rFonts w:hint="eastAsia" w:cs="宋体"/>
          <w:b/>
          <w:color w:val="auto"/>
          <w:kern w:val="0"/>
          <w:sz w:val="28"/>
          <w:szCs w:val="28"/>
        </w:rPr>
        <w:t>质 疑 函</w:t>
      </w:r>
    </w:p>
    <w:p w14:paraId="69A77BBB">
      <w:pPr>
        <w:autoSpaceDE w:val="0"/>
        <w:autoSpaceDN w:val="0"/>
        <w:spacing w:line="360" w:lineRule="auto"/>
        <w:ind w:firstLine="420" w:firstLineChars="200"/>
        <w:jc w:val="left"/>
        <w:rPr>
          <w:rFonts w:cs="宋体"/>
          <w:color w:val="auto"/>
          <w:kern w:val="0"/>
        </w:rPr>
      </w:pPr>
      <w:r>
        <w:rPr>
          <w:rFonts w:hint="eastAsia" w:cs="宋体"/>
          <w:color w:val="auto"/>
          <w:kern w:val="0"/>
        </w:rPr>
        <w:t>一、质疑供应商基本信息</w:t>
      </w:r>
    </w:p>
    <w:p w14:paraId="5942B0B7">
      <w:pPr>
        <w:autoSpaceDE w:val="0"/>
        <w:autoSpaceDN w:val="0"/>
        <w:spacing w:line="360" w:lineRule="auto"/>
        <w:ind w:firstLine="420" w:firstLineChars="200"/>
        <w:jc w:val="left"/>
        <w:rPr>
          <w:rFonts w:cs="宋体"/>
          <w:color w:val="auto"/>
          <w:kern w:val="0"/>
        </w:rPr>
      </w:pPr>
      <w:r>
        <w:rPr>
          <w:rFonts w:hint="eastAsia" w:cs="宋体"/>
          <w:color w:val="auto"/>
          <w:kern w:val="0"/>
        </w:rPr>
        <w:t>质疑供应商：</w:t>
      </w:r>
    </w:p>
    <w:p w14:paraId="6E823904">
      <w:pPr>
        <w:autoSpaceDE w:val="0"/>
        <w:autoSpaceDN w:val="0"/>
        <w:spacing w:line="360" w:lineRule="auto"/>
        <w:ind w:firstLine="420" w:firstLineChars="200"/>
        <w:jc w:val="left"/>
        <w:rPr>
          <w:rFonts w:cs="宋体"/>
          <w:color w:val="auto"/>
          <w:kern w:val="0"/>
        </w:rPr>
      </w:pPr>
      <w:r>
        <w:rPr>
          <w:rFonts w:hint="eastAsia" w:cs="宋体"/>
          <w:color w:val="auto"/>
          <w:kern w:val="0"/>
        </w:rPr>
        <w:t>地址：               邮编：</w:t>
      </w:r>
    </w:p>
    <w:p w14:paraId="14D234CF">
      <w:pPr>
        <w:autoSpaceDE w:val="0"/>
        <w:autoSpaceDN w:val="0"/>
        <w:spacing w:line="360" w:lineRule="auto"/>
        <w:ind w:firstLine="420" w:firstLineChars="200"/>
        <w:jc w:val="left"/>
        <w:rPr>
          <w:rFonts w:cs="宋体"/>
          <w:color w:val="auto"/>
          <w:kern w:val="0"/>
        </w:rPr>
      </w:pPr>
      <w:r>
        <w:rPr>
          <w:rFonts w:hint="eastAsia" w:cs="宋体"/>
          <w:color w:val="auto"/>
          <w:kern w:val="0"/>
        </w:rPr>
        <w:t>联系人：           联系电话：</w:t>
      </w:r>
    </w:p>
    <w:p w14:paraId="5F40A152">
      <w:pPr>
        <w:autoSpaceDE w:val="0"/>
        <w:autoSpaceDN w:val="0"/>
        <w:spacing w:line="360" w:lineRule="auto"/>
        <w:ind w:firstLine="420" w:firstLineChars="200"/>
        <w:jc w:val="left"/>
        <w:rPr>
          <w:rFonts w:cs="宋体"/>
          <w:color w:val="auto"/>
          <w:kern w:val="0"/>
        </w:rPr>
      </w:pPr>
      <w:r>
        <w:rPr>
          <w:rFonts w:hint="eastAsia" w:cs="宋体"/>
          <w:color w:val="auto"/>
          <w:kern w:val="0"/>
        </w:rPr>
        <w:t>授权代表：</w:t>
      </w:r>
    </w:p>
    <w:p w14:paraId="4D79A280">
      <w:pPr>
        <w:autoSpaceDE w:val="0"/>
        <w:autoSpaceDN w:val="0"/>
        <w:spacing w:line="360" w:lineRule="auto"/>
        <w:ind w:firstLine="420" w:firstLineChars="200"/>
        <w:jc w:val="left"/>
        <w:rPr>
          <w:rFonts w:cs="宋体"/>
          <w:color w:val="auto"/>
          <w:kern w:val="0"/>
        </w:rPr>
      </w:pPr>
      <w:r>
        <w:rPr>
          <w:rFonts w:hint="eastAsia" w:cs="宋体"/>
          <w:color w:val="auto"/>
          <w:kern w:val="0"/>
        </w:rPr>
        <w:t>联系电话：</w:t>
      </w:r>
    </w:p>
    <w:p w14:paraId="4E5BEEED">
      <w:pPr>
        <w:autoSpaceDE w:val="0"/>
        <w:autoSpaceDN w:val="0"/>
        <w:spacing w:line="360" w:lineRule="auto"/>
        <w:ind w:firstLine="420" w:firstLineChars="200"/>
        <w:jc w:val="left"/>
        <w:rPr>
          <w:rFonts w:cs="宋体"/>
          <w:color w:val="auto"/>
          <w:kern w:val="0"/>
        </w:rPr>
      </w:pPr>
      <w:r>
        <w:rPr>
          <w:rFonts w:hint="eastAsia" w:cs="宋体"/>
          <w:color w:val="auto"/>
          <w:kern w:val="0"/>
        </w:rPr>
        <w:t>地址：             邮编：</w:t>
      </w:r>
    </w:p>
    <w:p w14:paraId="37E9DF8D">
      <w:pPr>
        <w:autoSpaceDE w:val="0"/>
        <w:autoSpaceDN w:val="0"/>
        <w:spacing w:line="360" w:lineRule="auto"/>
        <w:ind w:firstLine="420" w:firstLineChars="200"/>
        <w:jc w:val="left"/>
        <w:rPr>
          <w:rFonts w:cs="宋体"/>
          <w:color w:val="auto"/>
          <w:kern w:val="0"/>
        </w:rPr>
      </w:pPr>
      <w:r>
        <w:rPr>
          <w:rFonts w:hint="eastAsia" w:cs="宋体"/>
          <w:color w:val="auto"/>
          <w:kern w:val="0"/>
        </w:rPr>
        <w:t>二、质疑项目基本信息</w:t>
      </w:r>
    </w:p>
    <w:p w14:paraId="2231FBD1">
      <w:pPr>
        <w:autoSpaceDE w:val="0"/>
        <w:autoSpaceDN w:val="0"/>
        <w:spacing w:line="360" w:lineRule="auto"/>
        <w:ind w:firstLine="420" w:firstLineChars="200"/>
        <w:jc w:val="left"/>
        <w:rPr>
          <w:rFonts w:cs="宋体"/>
          <w:color w:val="auto"/>
          <w:kern w:val="0"/>
        </w:rPr>
      </w:pPr>
      <w:r>
        <w:rPr>
          <w:rFonts w:hint="eastAsia" w:cs="宋体"/>
          <w:color w:val="auto"/>
          <w:kern w:val="0"/>
        </w:rPr>
        <w:t>质疑项目的名称：</w:t>
      </w:r>
    </w:p>
    <w:p w14:paraId="7296415D">
      <w:pPr>
        <w:autoSpaceDE w:val="0"/>
        <w:autoSpaceDN w:val="0"/>
        <w:spacing w:line="360" w:lineRule="auto"/>
        <w:ind w:firstLine="420" w:firstLineChars="200"/>
        <w:jc w:val="left"/>
        <w:rPr>
          <w:rFonts w:cs="宋体"/>
          <w:color w:val="auto"/>
          <w:kern w:val="0"/>
        </w:rPr>
      </w:pPr>
      <w:r>
        <w:rPr>
          <w:rFonts w:hint="eastAsia" w:cs="宋体"/>
          <w:color w:val="auto"/>
          <w:kern w:val="0"/>
        </w:rPr>
        <w:t>质疑项目的编号：</w:t>
      </w:r>
    </w:p>
    <w:p w14:paraId="09566EB8">
      <w:pPr>
        <w:autoSpaceDE w:val="0"/>
        <w:autoSpaceDN w:val="0"/>
        <w:spacing w:line="360" w:lineRule="auto"/>
        <w:ind w:firstLine="420" w:firstLineChars="200"/>
        <w:jc w:val="left"/>
        <w:rPr>
          <w:rFonts w:cs="宋体"/>
          <w:color w:val="auto"/>
          <w:kern w:val="0"/>
        </w:rPr>
      </w:pPr>
      <w:r>
        <w:rPr>
          <w:rFonts w:hint="eastAsia" w:cs="宋体"/>
          <w:color w:val="auto"/>
          <w:kern w:val="0"/>
        </w:rPr>
        <w:t>包号：</w:t>
      </w:r>
    </w:p>
    <w:p w14:paraId="53E24BE7">
      <w:pPr>
        <w:autoSpaceDE w:val="0"/>
        <w:autoSpaceDN w:val="0"/>
        <w:spacing w:line="360" w:lineRule="auto"/>
        <w:ind w:firstLine="420" w:firstLineChars="200"/>
        <w:jc w:val="left"/>
        <w:rPr>
          <w:rFonts w:cs="宋体"/>
          <w:color w:val="auto"/>
          <w:kern w:val="0"/>
        </w:rPr>
      </w:pPr>
      <w:r>
        <w:rPr>
          <w:rFonts w:hint="eastAsia" w:cs="宋体"/>
          <w:color w:val="auto"/>
          <w:kern w:val="0"/>
        </w:rPr>
        <w:t>采购人名称：</w:t>
      </w:r>
    </w:p>
    <w:p w14:paraId="2B86CC90">
      <w:pPr>
        <w:autoSpaceDE w:val="0"/>
        <w:autoSpaceDN w:val="0"/>
        <w:spacing w:line="360" w:lineRule="auto"/>
        <w:ind w:firstLine="420" w:firstLineChars="200"/>
        <w:jc w:val="left"/>
        <w:rPr>
          <w:rFonts w:cs="宋体"/>
          <w:color w:val="auto"/>
          <w:kern w:val="0"/>
        </w:rPr>
      </w:pPr>
      <w:r>
        <w:rPr>
          <w:rFonts w:hint="eastAsia" w:cs="宋体"/>
          <w:color w:val="auto"/>
          <w:kern w:val="0"/>
        </w:rPr>
        <w:t>竞争性磋商文件获取日期：</w:t>
      </w:r>
    </w:p>
    <w:p w14:paraId="6D627C83">
      <w:pPr>
        <w:autoSpaceDE w:val="0"/>
        <w:autoSpaceDN w:val="0"/>
        <w:spacing w:line="360" w:lineRule="auto"/>
        <w:ind w:firstLine="420" w:firstLineChars="200"/>
        <w:jc w:val="left"/>
        <w:rPr>
          <w:rFonts w:cs="宋体"/>
          <w:color w:val="auto"/>
          <w:kern w:val="0"/>
        </w:rPr>
      </w:pPr>
      <w:r>
        <w:rPr>
          <w:rFonts w:hint="eastAsia" w:cs="宋体"/>
          <w:color w:val="auto"/>
          <w:kern w:val="0"/>
        </w:rPr>
        <w:t>三、质疑事项具体内容</w:t>
      </w:r>
    </w:p>
    <w:p w14:paraId="764FA360">
      <w:pPr>
        <w:autoSpaceDE w:val="0"/>
        <w:autoSpaceDN w:val="0"/>
        <w:spacing w:line="360" w:lineRule="auto"/>
        <w:ind w:firstLine="420" w:firstLineChars="200"/>
        <w:jc w:val="left"/>
        <w:rPr>
          <w:rFonts w:cs="宋体"/>
          <w:color w:val="auto"/>
          <w:kern w:val="0"/>
        </w:rPr>
      </w:pPr>
      <w:r>
        <w:rPr>
          <w:rFonts w:hint="eastAsia" w:cs="宋体"/>
          <w:color w:val="auto"/>
          <w:kern w:val="0"/>
        </w:rPr>
        <w:t>质疑事项</w:t>
      </w:r>
      <w:r>
        <w:rPr>
          <w:rFonts w:cs="宋体"/>
          <w:color w:val="auto"/>
          <w:kern w:val="0"/>
        </w:rPr>
        <w:t>1</w:t>
      </w:r>
      <w:r>
        <w:rPr>
          <w:rFonts w:hint="eastAsia" w:cs="宋体"/>
          <w:color w:val="auto"/>
          <w:kern w:val="0"/>
        </w:rPr>
        <w:t>：</w:t>
      </w:r>
    </w:p>
    <w:p w14:paraId="683B8864">
      <w:pPr>
        <w:autoSpaceDE w:val="0"/>
        <w:autoSpaceDN w:val="0"/>
        <w:spacing w:line="360" w:lineRule="auto"/>
        <w:ind w:firstLine="420" w:firstLineChars="200"/>
        <w:jc w:val="left"/>
        <w:rPr>
          <w:rFonts w:cs="宋体"/>
          <w:color w:val="auto"/>
          <w:kern w:val="0"/>
        </w:rPr>
      </w:pPr>
      <w:r>
        <w:rPr>
          <w:rFonts w:hint="eastAsia" w:cs="宋体"/>
          <w:color w:val="auto"/>
          <w:kern w:val="0"/>
        </w:rPr>
        <w:t>事实依据：</w:t>
      </w:r>
    </w:p>
    <w:p w14:paraId="4EEC6188">
      <w:pPr>
        <w:autoSpaceDE w:val="0"/>
        <w:autoSpaceDN w:val="0"/>
        <w:spacing w:line="360" w:lineRule="auto"/>
        <w:ind w:firstLine="420" w:firstLineChars="200"/>
        <w:jc w:val="left"/>
        <w:rPr>
          <w:rFonts w:cs="宋体"/>
          <w:color w:val="auto"/>
          <w:kern w:val="0"/>
        </w:rPr>
      </w:pPr>
      <w:r>
        <w:rPr>
          <w:rFonts w:hint="eastAsia" w:cs="宋体"/>
          <w:color w:val="auto"/>
          <w:kern w:val="0"/>
        </w:rPr>
        <w:t>法律依据：</w:t>
      </w:r>
    </w:p>
    <w:p w14:paraId="5D668C40">
      <w:pPr>
        <w:autoSpaceDE w:val="0"/>
        <w:autoSpaceDN w:val="0"/>
        <w:spacing w:line="360" w:lineRule="auto"/>
        <w:ind w:firstLine="420" w:firstLineChars="200"/>
        <w:jc w:val="left"/>
        <w:rPr>
          <w:rFonts w:cs="宋体"/>
          <w:color w:val="auto"/>
          <w:kern w:val="0"/>
        </w:rPr>
      </w:pPr>
      <w:r>
        <w:rPr>
          <w:rFonts w:hint="eastAsia" w:cs="宋体"/>
          <w:color w:val="auto"/>
          <w:kern w:val="0"/>
        </w:rPr>
        <w:t>质疑事项</w:t>
      </w:r>
      <w:r>
        <w:rPr>
          <w:rFonts w:cs="宋体"/>
          <w:color w:val="auto"/>
          <w:kern w:val="0"/>
        </w:rPr>
        <w:t>2</w:t>
      </w:r>
      <w:r>
        <w:rPr>
          <w:rFonts w:hint="eastAsia" w:cs="宋体"/>
          <w:color w:val="auto"/>
          <w:kern w:val="0"/>
        </w:rPr>
        <w:t>：</w:t>
      </w:r>
    </w:p>
    <w:p w14:paraId="421F5807">
      <w:pPr>
        <w:autoSpaceDE w:val="0"/>
        <w:autoSpaceDN w:val="0"/>
        <w:spacing w:line="360" w:lineRule="auto"/>
        <w:ind w:firstLine="420" w:firstLineChars="200"/>
        <w:jc w:val="left"/>
        <w:rPr>
          <w:rFonts w:cs="宋体"/>
          <w:color w:val="auto"/>
          <w:kern w:val="0"/>
        </w:rPr>
      </w:pPr>
      <w:r>
        <w:rPr>
          <w:rFonts w:hint="eastAsia" w:cs="宋体"/>
          <w:color w:val="auto"/>
          <w:kern w:val="0"/>
        </w:rPr>
        <w:t>……</w:t>
      </w:r>
    </w:p>
    <w:p w14:paraId="4780EA25">
      <w:pPr>
        <w:autoSpaceDE w:val="0"/>
        <w:autoSpaceDN w:val="0"/>
        <w:spacing w:line="360" w:lineRule="auto"/>
        <w:ind w:firstLine="420" w:firstLineChars="200"/>
        <w:jc w:val="left"/>
        <w:rPr>
          <w:rFonts w:cs="宋体"/>
          <w:color w:val="auto"/>
          <w:kern w:val="0"/>
        </w:rPr>
      </w:pPr>
      <w:r>
        <w:rPr>
          <w:rFonts w:hint="eastAsia" w:cs="宋体"/>
          <w:color w:val="auto"/>
          <w:kern w:val="0"/>
        </w:rPr>
        <w:t>四、与质疑事项相关的质疑请求：</w:t>
      </w:r>
    </w:p>
    <w:p w14:paraId="37A372F8">
      <w:pPr>
        <w:autoSpaceDE w:val="0"/>
        <w:autoSpaceDN w:val="0"/>
        <w:spacing w:line="360" w:lineRule="auto"/>
        <w:ind w:firstLine="420" w:firstLineChars="200"/>
        <w:jc w:val="left"/>
        <w:rPr>
          <w:rFonts w:cs="宋体"/>
          <w:color w:val="auto"/>
          <w:kern w:val="0"/>
        </w:rPr>
      </w:pPr>
      <w:r>
        <w:rPr>
          <w:rFonts w:hint="eastAsia" w:cs="宋体"/>
          <w:color w:val="auto"/>
          <w:kern w:val="0"/>
        </w:rPr>
        <w:t>签字（签章）：</w:t>
      </w:r>
    </w:p>
    <w:p w14:paraId="147E72A8">
      <w:pPr>
        <w:autoSpaceDE w:val="0"/>
        <w:autoSpaceDN w:val="0"/>
        <w:spacing w:line="360" w:lineRule="auto"/>
        <w:ind w:firstLine="420" w:firstLineChars="200"/>
        <w:jc w:val="left"/>
        <w:rPr>
          <w:rFonts w:cs="宋体"/>
          <w:color w:val="auto"/>
          <w:kern w:val="0"/>
        </w:rPr>
      </w:pPr>
      <w:r>
        <w:rPr>
          <w:rFonts w:hint="eastAsia" w:cs="宋体"/>
          <w:color w:val="auto"/>
          <w:kern w:val="0"/>
        </w:rPr>
        <w:t>公章：</w:t>
      </w:r>
    </w:p>
    <w:p w14:paraId="52015359">
      <w:pPr>
        <w:spacing w:line="360" w:lineRule="auto"/>
        <w:ind w:firstLine="420" w:firstLineChars="200"/>
        <w:jc w:val="left"/>
        <w:rPr>
          <w:color w:val="auto"/>
        </w:rPr>
      </w:pPr>
      <w:r>
        <w:rPr>
          <w:rFonts w:hint="eastAsia"/>
          <w:color w:val="auto"/>
        </w:rPr>
        <w:t>日期：</w:t>
      </w:r>
    </w:p>
    <w:p w14:paraId="17E75FA4">
      <w:pPr>
        <w:spacing w:line="360" w:lineRule="auto"/>
        <w:ind w:firstLine="420" w:firstLineChars="200"/>
        <w:jc w:val="left"/>
        <w:rPr>
          <w:color w:val="auto"/>
        </w:rPr>
      </w:pPr>
    </w:p>
    <w:p w14:paraId="224CD60B">
      <w:pPr>
        <w:spacing w:line="360" w:lineRule="auto"/>
        <w:ind w:firstLine="420" w:firstLineChars="200"/>
        <w:jc w:val="left"/>
        <w:rPr>
          <w:color w:val="auto"/>
        </w:rPr>
      </w:pPr>
    </w:p>
    <w:p w14:paraId="78BC3810">
      <w:pPr>
        <w:spacing w:line="360" w:lineRule="auto"/>
        <w:ind w:firstLine="420" w:firstLineChars="200"/>
        <w:jc w:val="left"/>
        <w:rPr>
          <w:color w:val="auto"/>
        </w:rPr>
      </w:pPr>
    </w:p>
    <w:p w14:paraId="67BFB65F">
      <w:pPr>
        <w:spacing w:line="360" w:lineRule="auto"/>
        <w:ind w:firstLine="420" w:firstLineChars="200"/>
        <w:jc w:val="left"/>
        <w:rPr>
          <w:bCs/>
          <w:color w:val="auto"/>
        </w:rPr>
      </w:pPr>
      <w:r>
        <w:rPr>
          <w:rFonts w:hint="eastAsia"/>
          <w:bCs/>
          <w:color w:val="auto"/>
        </w:rPr>
        <w:t>质疑函制作说明：</w:t>
      </w:r>
    </w:p>
    <w:p w14:paraId="40C43E64">
      <w:pPr>
        <w:spacing w:line="360" w:lineRule="auto"/>
        <w:ind w:firstLine="420" w:firstLineChars="200"/>
        <w:jc w:val="left"/>
        <w:rPr>
          <w:bCs/>
          <w:color w:val="auto"/>
        </w:rPr>
      </w:pPr>
      <w:r>
        <w:rPr>
          <w:rFonts w:hint="eastAsia"/>
          <w:bCs/>
          <w:color w:val="auto"/>
        </w:rPr>
        <w:t>1.供应商提出质疑时，应提交质疑函和必要的证明材料。</w:t>
      </w:r>
    </w:p>
    <w:p w14:paraId="439A610A">
      <w:pPr>
        <w:spacing w:line="360" w:lineRule="auto"/>
        <w:ind w:firstLine="420" w:firstLineChars="200"/>
        <w:jc w:val="left"/>
        <w:rPr>
          <w:bCs/>
          <w:color w:val="auto"/>
        </w:rPr>
      </w:pPr>
      <w:r>
        <w:rPr>
          <w:rFonts w:hint="eastAsia"/>
          <w:bCs/>
          <w:color w:val="auto"/>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48986E4">
      <w:pPr>
        <w:spacing w:line="360" w:lineRule="auto"/>
        <w:ind w:firstLine="420" w:firstLineChars="200"/>
        <w:jc w:val="left"/>
        <w:rPr>
          <w:bCs/>
          <w:color w:val="auto"/>
        </w:rPr>
      </w:pPr>
      <w:r>
        <w:rPr>
          <w:bCs/>
          <w:color w:val="auto"/>
        </w:rPr>
        <w:t>3</w:t>
      </w:r>
      <w:r>
        <w:rPr>
          <w:rFonts w:hint="eastAsia"/>
          <w:bCs/>
          <w:color w:val="auto"/>
        </w:rPr>
        <w:t>.质疑函的质疑事项应具体、明确，并有必要的事实依据和法律依据。</w:t>
      </w:r>
    </w:p>
    <w:p w14:paraId="7B088C86">
      <w:pPr>
        <w:spacing w:line="360" w:lineRule="auto"/>
        <w:ind w:firstLine="420" w:firstLineChars="200"/>
        <w:jc w:val="left"/>
        <w:rPr>
          <w:bCs/>
          <w:color w:val="auto"/>
        </w:rPr>
      </w:pPr>
      <w:r>
        <w:rPr>
          <w:bCs/>
          <w:color w:val="auto"/>
        </w:rPr>
        <w:t>4</w:t>
      </w:r>
      <w:r>
        <w:rPr>
          <w:rFonts w:hint="eastAsia"/>
          <w:bCs/>
          <w:color w:val="auto"/>
        </w:rPr>
        <w:t>.质疑函的质疑请求应与质疑事项相关。</w:t>
      </w:r>
    </w:p>
    <w:p w14:paraId="1203FD9F">
      <w:pPr>
        <w:spacing w:line="360" w:lineRule="auto"/>
        <w:ind w:firstLine="420" w:firstLineChars="200"/>
        <w:jc w:val="left"/>
        <w:rPr>
          <w:bCs/>
          <w:color w:val="auto"/>
        </w:rPr>
      </w:pPr>
      <w:r>
        <w:rPr>
          <w:bCs/>
          <w:color w:val="auto"/>
        </w:rPr>
        <w:t>5</w:t>
      </w:r>
      <w:r>
        <w:rPr>
          <w:rFonts w:hint="eastAsia"/>
          <w:bCs/>
          <w:color w:val="auto"/>
        </w:rPr>
        <w:t>.质疑供应商为自然人的，质疑函应由本人签字；质疑供应商为法人或者其他组织的，质疑函应由法定代表人、主要负责人或者他授权代表签字或者盖章，并加盖公章。</w:t>
      </w:r>
    </w:p>
    <w:p w14:paraId="3E2589DD">
      <w:pPr>
        <w:jc w:val="left"/>
        <w:rPr>
          <w:rFonts w:hint="eastAsia" w:ascii="宋体" w:hAnsi="宋体" w:cs="宋体"/>
          <w:color w:val="auto"/>
          <w:kern w:val="0"/>
          <w:shd w:val="clear" w:color="auto" w:fill="F9F9F9"/>
        </w:rPr>
      </w:pPr>
      <w:r>
        <w:rPr>
          <w:color w:val="auto"/>
        </w:rPr>
        <w:br w:type="page"/>
      </w:r>
      <w:r>
        <w:rPr>
          <w:rFonts w:hint="eastAsia" w:ascii="宋体" w:hAnsi="宋体" w:cs="宋体"/>
          <w:color w:val="auto"/>
          <w:kern w:val="0"/>
        </w:rPr>
        <w:t>附件2 中小企业划型标准规定</w:t>
      </w:r>
    </w:p>
    <w:p w14:paraId="4126B99A">
      <w:pPr>
        <w:tabs>
          <w:tab w:val="left" w:pos="840"/>
        </w:tabs>
        <w:spacing w:line="416"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中小企业划分标准</w:t>
      </w:r>
    </w:p>
    <w:tbl>
      <w:tblPr>
        <w:tblStyle w:val="41"/>
        <w:tblW w:w="9277" w:type="dxa"/>
        <w:jc w:val="center"/>
        <w:shd w:val="clear" w:color="auto" w:fill="FFFFFF"/>
        <w:tblLayout w:type="autofit"/>
        <w:tblCellMar>
          <w:top w:w="0" w:type="dxa"/>
          <w:left w:w="0" w:type="dxa"/>
          <w:bottom w:w="0" w:type="dxa"/>
          <w:right w:w="0" w:type="dxa"/>
        </w:tblCellMar>
      </w:tblPr>
      <w:tblGrid>
        <w:gridCol w:w="1185"/>
        <w:gridCol w:w="1538"/>
        <w:gridCol w:w="737"/>
        <w:gridCol w:w="1238"/>
        <w:gridCol w:w="1928"/>
        <w:gridCol w:w="1601"/>
        <w:gridCol w:w="1050"/>
      </w:tblGrid>
      <w:tr w14:paraId="3E0C9C0E">
        <w:tblPrEx>
          <w:shd w:val="clear" w:color="auto" w:fill="FFFFFF"/>
          <w:tblCellMar>
            <w:top w:w="0" w:type="dxa"/>
            <w:left w:w="0" w:type="dxa"/>
            <w:bottom w:w="0" w:type="dxa"/>
            <w:right w:w="0" w:type="dxa"/>
          </w:tblCellMar>
        </w:tblPrEx>
        <w:trPr>
          <w:trHeight w:val="588" w:hRule="atLeast"/>
          <w:jc w:val="center"/>
        </w:trPr>
        <w:tc>
          <w:tcPr>
            <w:tcW w:w="1185" w:type="dxa"/>
            <w:tcBorders>
              <w:top w:val="single" w:color="4F81BD" w:sz="6" w:space="0"/>
              <w:left w:val="single" w:color="4F81BD" w:sz="6" w:space="0"/>
              <w:bottom w:val="single" w:color="FFFFFF" w:sz="18" w:space="0"/>
              <w:right w:val="single" w:color="4F81BD" w:sz="6" w:space="0"/>
            </w:tcBorders>
            <w:shd w:val="clear" w:color="auto" w:fill="4F81BD"/>
            <w:tcMar>
              <w:left w:w="105" w:type="dxa"/>
              <w:right w:w="105" w:type="dxa"/>
            </w:tcMar>
            <w:vAlign w:val="center"/>
          </w:tcPr>
          <w:p w14:paraId="05AB2C61">
            <w:pPr>
              <w:widowControl/>
              <w:wordWrap w:val="0"/>
              <w:jc w:val="center"/>
              <w:rPr>
                <w:rFonts w:hint="eastAsia" w:ascii="宋体" w:hAnsi="宋体" w:cs="宋体"/>
                <w:color w:val="auto"/>
                <w:kern w:val="0"/>
              </w:rPr>
            </w:pPr>
            <w:r>
              <w:rPr>
                <w:rFonts w:hint="eastAsia" w:ascii="宋体" w:hAnsi="宋体" w:cs="宋体"/>
                <w:b/>
                <w:bCs/>
                <w:color w:val="auto"/>
                <w:kern w:val="0"/>
              </w:rPr>
              <w:t>行业名称</w:t>
            </w:r>
          </w:p>
        </w:tc>
        <w:tc>
          <w:tcPr>
            <w:tcW w:w="1538"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12D23A24">
            <w:pPr>
              <w:widowControl/>
              <w:wordWrap w:val="0"/>
              <w:jc w:val="center"/>
              <w:rPr>
                <w:rFonts w:hint="eastAsia" w:ascii="宋体" w:hAnsi="宋体" w:cs="宋体"/>
                <w:color w:val="auto"/>
                <w:kern w:val="0"/>
              </w:rPr>
            </w:pPr>
            <w:r>
              <w:rPr>
                <w:rFonts w:hint="eastAsia" w:ascii="宋体" w:hAnsi="宋体" w:cs="宋体"/>
                <w:b/>
                <w:bCs/>
                <w:color w:val="auto"/>
                <w:spacing w:val="8"/>
                <w:kern w:val="0"/>
              </w:rPr>
              <w:t>指标名称</w:t>
            </w:r>
          </w:p>
        </w:tc>
        <w:tc>
          <w:tcPr>
            <w:tcW w:w="737"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260D33B2">
            <w:pPr>
              <w:widowControl/>
              <w:wordWrap w:val="0"/>
              <w:jc w:val="center"/>
              <w:rPr>
                <w:rFonts w:hint="eastAsia" w:ascii="宋体" w:hAnsi="宋体" w:cs="宋体"/>
                <w:color w:val="auto"/>
                <w:kern w:val="0"/>
              </w:rPr>
            </w:pPr>
            <w:r>
              <w:rPr>
                <w:rFonts w:hint="eastAsia" w:ascii="宋体" w:hAnsi="宋体" w:cs="宋体"/>
                <w:b/>
                <w:bCs/>
                <w:color w:val="auto"/>
                <w:spacing w:val="8"/>
                <w:kern w:val="0"/>
              </w:rPr>
              <w:t>计量单位</w:t>
            </w:r>
          </w:p>
        </w:tc>
        <w:tc>
          <w:tcPr>
            <w:tcW w:w="1238"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63850B7A">
            <w:pPr>
              <w:widowControl/>
              <w:wordWrap w:val="0"/>
              <w:jc w:val="center"/>
              <w:rPr>
                <w:rFonts w:hint="eastAsia" w:ascii="宋体" w:hAnsi="宋体" w:cs="宋体"/>
                <w:color w:val="auto"/>
                <w:kern w:val="0"/>
              </w:rPr>
            </w:pPr>
            <w:r>
              <w:rPr>
                <w:rFonts w:hint="eastAsia" w:ascii="宋体" w:hAnsi="宋体" w:cs="宋体"/>
                <w:b/>
                <w:bCs/>
                <w:color w:val="auto"/>
                <w:spacing w:val="8"/>
                <w:kern w:val="0"/>
              </w:rPr>
              <w:t>大型</w:t>
            </w:r>
          </w:p>
        </w:tc>
        <w:tc>
          <w:tcPr>
            <w:tcW w:w="1928"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02164308">
            <w:pPr>
              <w:widowControl/>
              <w:wordWrap w:val="0"/>
              <w:jc w:val="center"/>
              <w:rPr>
                <w:rFonts w:hint="eastAsia" w:ascii="宋体" w:hAnsi="宋体" w:cs="宋体"/>
                <w:color w:val="auto"/>
                <w:kern w:val="0"/>
              </w:rPr>
            </w:pPr>
            <w:r>
              <w:rPr>
                <w:rFonts w:hint="eastAsia" w:ascii="宋体" w:hAnsi="宋体" w:cs="宋体"/>
                <w:b/>
                <w:bCs/>
                <w:color w:val="auto"/>
                <w:spacing w:val="8"/>
                <w:kern w:val="0"/>
              </w:rPr>
              <w:t>中型</w:t>
            </w:r>
          </w:p>
        </w:tc>
        <w:tc>
          <w:tcPr>
            <w:tcW w:w="1601"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2B16391D">
            <w:pPr>
              <w:widowControl/>
              <w:wordWrap w:val="0"/>
              <w:jc w:val="center"/>
              <w:rPr>
                <w:rFonts w:hint="eastAsia" w:ascii="宋体" w:hAnsi="宋体" w:cs="宋体"/>
                <w:color w:val="auto"/>
                <w:kern w:val="0"/>
              </w:rPr>
            </w:pPr>
            <w:r>
              <w:rPr>
                <w:rFonts w:hint="eastAsia" w:ascii="宋体" w:hAnsi="宋体" w:cs="宋体"/>
                <w:b/>
                <w:bCs/>
                <w:color w:val="auto"/>
                <w:spacing w:val="8"/>
                <w:kern w:val="0"/>
              </w:rPr>
              <w:t>小型</w:t>
            </w:r>
          </w:p>
        </w:tc>
        <w:tc>
          <w:tcPr>
            <w:tcW w:w="1050"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0E99D1A7">
            <w:pPr>
              <w:widowControl/>
              <w:wordWrap w:val="0"/>
              <w:jc w:val="center"/>
              <w:rPr>
                <w:rFonts w:hint="eastAsia" w:ascii="宋体" w:hAnsi="宋体" w:cs="宋体"/>
                <w:color w:val="auto"/>
                <w:kern w:val="0"/>
              </w:rPr>
            </w:pPr>
            <w:r>
              <w:rPr>
                <w:rFonts w:hint="eastAsia" w:ascii="宋体" w:hAnsi="宋体" w:cs="宋体"/>
                <w:b/>
                <w:bCs/>
                <w:color w:val="auto"/>
                <w:spacing w:val="8"/>
                <w:kern w:val="0"/>
              </w:rPr>
              <w:t>微型</w:t>
            </w:r>
          </w:p>
        </w:tc>
      </w:tr>
      <w:tr w14:paraId="222F409E">
        <w:tblPrEx>
          <w:shd w:val="clear" w:color="auto" w:fill="FFFFFF"/>
          <w:tblCellMar>
            <w:top w:w="0" w:type="dxa"/>
            <w:left w:w="0" w:type="dxa"/>
            <w:bottom w:w="0" w:type="dxa"/>
            <w:right w:w="0" w:type="dxa"/>
          </w:tblCellMar>
        </w:tblPrEx>
        <w:trPr>
          <w:trHeight w:val="626" w:hRule="atLeast"/>
          <w:jc w:val="center"/>
        </w:trPr>
        <w:tc>
          <w:tcPr>
            <w:tcW w:w="1185" w:type="dxa"/>
            <w:tcBorders>
              <w:top w:val="nil"/>
              <w:left w:val="single" w:color="4F81BD" w:sz="6" w:space="0"/>
              <w:bottom w:val="single" w:color="4F81BD" w:sz="6" w:space="0"/>
              <w:right w:val="single" w:color="4F81BD" w:sz="6" w:space="0"/>
            </w:tcBorders>
            <w:shd w:val="clear" w:color="auto" w:fill="B8CCE4"/>
            <w:tcMar>
              <w:left w:w="105" w:type="dxa"/>
              <w:right w:w="105" w:type="dxa"/>
            </w:tcMar>
            <w:vAlign w:val="center"/>
          </w:tcPr>
          <w:p w14:paraId="04CB9B42">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农、林、牧、渔业</w:t>
            </w: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20FE21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662095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A0C244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Y≥20000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ED9301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500≤Y＜20000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D17540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50≤Y＜500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2FE55D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Y＜50</w:t>
            </w:r>
          </w:p>
        </w:tc>
      </w:tr>
      <w:tr w14:paraId="72B804B5">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9CEB376">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工业 *</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9C762F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12CD1A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F731243">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C90691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300≤X＜1000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B1C352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20≤X＜300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430E46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w:t>
            </w:r>
          </w:p>
        </w:tc>
      </w:tr>
      <w:tr w14:paraId="31DB7095">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8998F2A">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615F807">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3D9001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6E5E44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Y≥40000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C74254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2000≤Y＜40000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EC7F82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300≤Y＜2000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888C43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Y＜300</w:t>
            </w:r>
          </w:p>
        </w:tc>
      </w:tr>
      <w:tr w14:paraId="48D6CBF9">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A7AC371">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建筑业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2A8B28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CD67F4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DE69A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Y≥80000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E887D8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6000≤Y＜80000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5450EB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300≤Y＜6000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5527EC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Y＜300</w:t>
            </w:r>
          </w:p>
        </w:tc>
      </w:tr>
      <w:tr w14:paraId="0265ED4C">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35BD8F5">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59F367A">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资产总额(Z)</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7F9A96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FE3DDE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Z≥80000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3C3F34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5000≤Z＜80000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F59C6D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300≤Z＜5000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22DCED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Z＜300</w:t>
            </w:r>
          </w:p>
        </w:tc>
      </w:tr>
      <w:tr w14:paraId="4F57C5F6">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B4D3D80">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批发业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D3D1683">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B95AD9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830E8B3">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75BDE03">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20≤X＜200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A6101C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5≤X＜20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68D8C9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X＜5</w:t>
            </w:r>
          </w:p>
        </w:tc>
      </w:tr>
      <w:tr w14:paraId="10825384">
        <w:tblPrEx>
          <w:shd w:val="clear" w:color="auto" w:fill="FFFFFF"/>
          <w:tblCellMar>
            <w:top w:w="0" w:type="dxa"/>
            <w:left w:w="0" w:type="dxa"/>
            <w:bottom w:w="0" w:type="dxa"/>
            <w:right w:w="0" w:type="dxa"/>
          </w:tblCellMar>
        </w:tblPrEx>
        <w:trPr>
          <w:trHeight w:val="875"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5525C49">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3AB4843">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D003A3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CC5030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Y≥40000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D12EBB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5000≤Y＜40000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9EA2EE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1000≤Y＜5000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8159F0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Y＜1000</w:t>
            </w:r>
          </w:p>
        </w:tc>
      </w:tr>
      <w:tr w14:paraId="08BD89A8">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2CABA7A">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零售业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60DE1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D36123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E65C8B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1D1A3D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287520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10≤X＜50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C620DE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3552FDD7">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A56A0DC">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86605EB">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CFDD4B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0D69A9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Y≥20000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3F492F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500≤Y＜20000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8B6722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100≤Y＜500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A46485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56DA0B18">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BE0E3B7">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交通运输业 *</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D8CCFA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E0804C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4AC137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873BFE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300≤X＜1000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B94FA0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20≤X＜300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D497A0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w:t>
            </w:r>
          </w:p>
        </w:tc>
      </w:tr>
      <w:tr w14:paraId="52687910">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5E8814C">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3B4F176">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FA0263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DE5F5F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Y≥30000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A1A38E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3000≤Y＜30000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B06FCB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200≤Y＜3000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61AEFA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Y＜200</w:t>
            </w:r>
          </w:p>
        </w:tc>
      </w:tr>
      <w:tr w14:paraId="04820EC0">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CF938C7">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仓储业*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003D53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E17EEF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737F60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8E5C15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100≤X＜200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136B77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29252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w:t>
            </w:r>
          </w:p>
        </w:tc>
      </w:tr>
      <w:tr w14:paraId="71CDD816">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C7C923A">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027092">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2A55F0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D3BDFD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Y≥30000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D0739C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1000≤Y＜30000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94199F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100≤Y＜1000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4BC2B1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3E0C701C">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0E7AFD1">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邮政业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350A71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826DFB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625EC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DAE19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300≤X＜1000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60C596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20≤X＜300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2CDD90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w:t>
            </w:r>
          </w:p>
        </w:tc>
      </w:tr>
      <w:tr w14:paraId="36E487B2">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E35B856">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DEDB719">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3961DA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0FCC5A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Y≥30000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C3812D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2000≤Y＜30000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E37237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100≤Y＜2000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458348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5E082820">
        <w:tblPrEx>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8369146">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住宿业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07033E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84CA9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05BCA6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C6FE3C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B82ECE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8C7A4C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25B44753">
        <w:tblPrEx>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9F82D50">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0EF4029">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57D468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07768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35A9F1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2000≤Y＜10000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696EA5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100≤Y＜2000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6A9A88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39FBF362">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020F8AC">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餐饮业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BF096D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7D733A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5E4A7E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00AA29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30C218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36EBAA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4B284C51">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1B4D876">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1E0E2E2">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B6CE4E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B961B8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8A9F66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2000≤Y＜10000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B5FE09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100≤Y＜2000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83883E3">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01155725">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404A9BF">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信息传输业 *</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1F0FAE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4D7173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AA2468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X≥2000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78E06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100≤X＜2000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45485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2F661D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7AD74C32">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ABCE396">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B73AD5D">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FCE8CC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1FBBB8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154C95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1000≤Y＜100000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CBE15A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100≤Y＜1000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3504E4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585DA459">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0931952">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软件和信息技术服务业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63F1BB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E16BC1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93A367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949307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7D594B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7B6BC2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4925DABB">
        <w:tblPrEx>
          <w:shd w:val="clear" w:color="auto" w:fill="FFFFFF"/>
          <w:tblCellMar>
            <w:top w:w="0" w:type="dxa"/>
            <w:left w:w="0" w:type="dxa"/>
            <w:bottom w:w="0" w:type="dxa"/>
            <w:right w:w="0" w:type="dxa"/>
          </w:tblCellMar>
        </w:tblPrEx>
        <w:trPr>
          <w:trHeight w:val="471"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B76C54C">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67BBBB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3DD43C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A7E238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424C92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1000≤Y＜10000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245CD56">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50≤Y＜1000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AE332F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Y＜50</w:t>
            </w:r>
          </w:p>
        </w:tc>
      </w:tr>
      <w:tr w14:paraId="14C3A90A">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C4524F4">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房地产开发经营</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3A7897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D52935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EB786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Y≥200000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B75D9C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1000≤Y＜200000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331B95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100≤Y＜1000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5A0CC1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Y＜100</w:t>
            </w:r>
          </w:p>
        </w:tc>
      </w:tr>
      <w:tr w14:paraId="1DA0C8B8">
        <w:tblPrEx>
          <w:shd w:val="clear" w:color="auto" w:fill="FFFFFF"/>
          <w:tblCellMar>
            <w:top w:w="0" w:type="dxa"/>
            <w:left w:w="0" w:type="dxa"/>
            <w:bottom w:w="0" w:type="dxa"/>
            <w:right w:w="0" w:type="dxa"/>
          </w:tblCellMar>
        </w:tblPrEx>
        <w:trPr>
          <w:trHeight w:val="875"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138AE10">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67A75F3">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资产总额(Z)</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30BD8D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889DF8E">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Z≥10000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C5240A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5000≤Z＜10000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A88017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2000≤Z＜5000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EAC28AA">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Z＜2000</w:t>
            </w:r>
          </w:p>
        </w:tc>
      </w:tr>
      <w:tr w14:paraId="6BADBF06">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C40EED8">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物业管理</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217B08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1DD1A7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A4E24A0">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2DFC13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300≤X＜1000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D04BA4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96AA7A1">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X＜100</w:t>
            </w:r>
          </w:p>
        </w:tc>
      </w:tr>
      <w:tr w14:paraId="6F7F430F">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3864CD5">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23E4066">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营业收入(Y)</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9396BA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AE40DB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Y≥5000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9EFA8E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1000≤Y＜5000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A2EB9C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500≤Y＜1000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D9A9CD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Y＜500</w:t>
            </w:r>
          </w:p>
        </w:tc>
      </w:tr>
      <w:tr w14:paraId="1248CC08">
        <w:tblPrEx>
          <w:shd w:val="clear" w:color="auto" w:fill="FFFFFF"/>
          <w:tblCellMar>
            <w:top w:w="0" w:type="dxa"/>
            <w:left w:w="0" w:type="dxa"/>
            <w:bottom w:w="0" w:type="dxa"/>
            <w:right w:w="0" w:type="dxa"/>
          </w:tblCellMar>
        </w:tblPrEx>
        <w:trPr>
          <w:trHeight w:val="444" w:hRule="atLeast"/>
          <w:jc w:val="center"/>
        </w:trPr>
        <w:tc>
          <w:tcPr>
            <w:tcW w:w="1185"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03C92AF">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租赁和商务服务业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ED3FD3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5A534C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DE7187F">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5A3CEA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83BA29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2D8CD4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r w14:paraId="0E8060CE">
        <w:tblPrEx>
          <w:shd w:val="clear" w:color="auto" w:fill="FFFFFF"/>
          <w:tblCellMar>
            <w:top w:w="0" w:type="dxa"/>
            <w:left w:w="0" w:type="dxa"/>
            <w:bottom w:w="0" w:type="dxa"/>
            <w:right w:w="0" w:type="dxa"/>
          </w:tblCellMar>
        </w:tblPrEx>
        <w:trPr>
          <w:trHeight w:val="444" w:hRule="atLeast"/>
          <w:jc w:val="center"/>
        </w:trPr>
        <w:tc>
          <w:tcPr>
            <w:tcW w:w="1185"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DC80635">
            <w:pPr>
              <w:spacing w:line="360" w:lineRule="auto"/>
              <w:jc w:val="center"/>
              <w:rPr>
                <w:rFonts w:hint="eastAsia" w:ascii="宋体" w:hAnsi="宋体" w:cs="宋体"/>
                <w:color w:val="auto"/>
                <w:kern w:val="0"/>
              </w:rPr>
            </w:pPr>
          </w:p>
        </w:tc>
        <w:tc>
          <w:tcPr>
            <w:tcW w:w="15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DA2D4AD">
            <w:pPr>
              <w:widowControl/>
              <w:wordWrap w:val="0"/>
              <w:spacing w:line="240" w:lineRule="atLeast"/>
              <w:jc w:val="center"/>
              <w:rPr>
                <w:rFonts w:hint="eastAsia" w:ascii="宋体" w:hAnsi="宋体" w:cs="宋体"/>
                <w:color w:val="auto"/>
                <w:kern w:val="0"/>
              </w:rPr>
            </w:pPr>
            <w:r>
              <w:rPr>
                <w:rFonts w:hint="eastAsia" w:ascii="宋体" w:hAnsi="宋体" w:cs="宋体"/>
                <w:color w:val="auto"/>
                <w:spacing w:val="8"/>
                <w:kern w:val="0"/>
              </w:rPr>
              <w:t>资产总额(Z)</w:t>
            </w:r>
          </w:p>
        </w:tc>
        <w:tc>
          <w:tcPr>
            <w:tcW w:w="737"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AC5DE3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万元</w:t>
            </w:r>
          </w:p>
        </w:tc>
        <w:tc>
          <w:tcPr>
            <w:tcW w:w="123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3EBD1DC">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Z≥120000</w:t>
            </w:r>
          </w:p>
        </w:tc>
        <w:tc>
          <w:tcPr>
            <w:tcW w:w="19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8DE9699">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8000≤Z＜120000</w:t>
            </w:r>
          </w:p>
        </w:tc>
        <w:tc>
          <w:tcPr>
            <w:tcW w:w="160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E4455D4">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100≤Z＜8000</w:t>
            </w:r>
          </w:p>
        </w:tc>
        <w:tc>
          <w:tcPr>
            <w:tcW w:w="1050"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E9D9595">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Z＜100</w:t>
            </w:r>
          </w:p>
        </w:tc>
      </w:tr>
      <w:tr w14:paraId="3A599542">
        <w:tblPrEx>
          <w:shd w:val="clear" w:color="auto" w:fill="FFFFFF"/>
          <w:tblCellMar>
            <w:top w:w="0" w:type="dxa"/>
            <w:left w:w="0" w:type="dxa"/>
            <w:bottom w:w="0" w:type="dxa"/>
            <w:right w:w="0" w:type="dxa"/>
          </w:tblCellMar>
        </w:tblPrEx>
        <w:trPr>
          <w:trHeight w:val="601" w:hRule="atLeast"/>
          <w:jc w:val="center"/>
        </w:trPr>
        <w:tc>
          <w:tcPr>
            <w:tcW w:w="1185" w:type="dxa"/>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E0E72FC">
            <w:pPr>
              <w:widowControl/>
              <w:wordWrap w:val="0"/>
              <w:spacing w:line="240" w:lineRule="atLeast"/>
              <w:jc w:val="center"/>
              <w:rPr>
                <w:rFonts w:hint="eastAsia" w:ascii="宋体" w:hAnsi="宋体" w:cs="宋体"/>
                <w:color w:val="auto"/>
                <w:kern w:val="0"/>
              </w:rPr>
            </w:pPr>
            <w:r>
              <w:rPr>
                <w:rFonts w:hint="eastAsia" w:ascii="宋体" w:hAnsi="宋体" w:cs="宋体"/>
                <w:color w:val="auto"/>
                <w:kern w:val="0"/>
              </w:rPr>
              <w:t>其他未列明行业*</w:t>
            </w:r>
          </w:p>
        </w:tc>
        <w:tc>
          <w:tcPr>
            <w:tcW w:w="15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B5E179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从业人员(X)</w:t>
            </w:r>
          </w:p>
        </w:tc>
        <w:tc>
          <w:tcPr>
            <w:tcW w:w="737"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3BB16C7">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人</w:t>
            </w:r>
          </w:p>
        </w:tc>
        <w:tc>
          <w:tcPr>
            <w:tcW w:w="123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B65A8DB">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X≥300</w:t>
            </w:r>
          </w:p>
        </w:tc>
        <w:tc>
          <w:tcPr>
            <w:tcW w:w="19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0BCE38">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100≤X＜300</w:t>
            </w:r>
          </w:p>
        </w:tc>
        <w:tc>
          <w:tcPr>
            <w:tcW w:w="160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DF3336D">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10≤X＜100</w:t>
            </w:r>
          </w:p>
        </w:tc>
        <w:tc>
          <w:tcPr>
            <w:tcW w:w="1050"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608CAD2">
            <w:pPr>
              <w:widowControl/>
              <w:wordWrap w:val="0"/>
              <w:spacing w:line="360" w:lineRule="auto"/>
              <w:jc w:val="center"/>
              <w:rPr>
                <w:rFonts w:hint="eastAsia" w:ascii="宋体" w:hAnsi="宋体" w:cs="宋体"/>
                <w:color w:val="auto"/>
                <w:kern w:val="0"/>
              </w:rPr>
            </w:pPr>
            <w:r>
              <w:rPr>
                <w:rFonts w:hint="eastAsia" w:ascii="宋体" w:hAnsi="宋体" w:cs="宋体"/>
                <w:color w:val="auto"/>
                <w:spacing w:val="8"/>
                <w:kern w:val="0"/>
              </w:rPr>
              <w:t>X＜10</w:t>
            </w:r>
          </w:p>
        </w:tc>
      </w:tr>
    </w:tbl>
    <w:p w14:paraId="19BFDCF2">
      <w:pPr>
        <w:spacing w:line="420" w:lineRule="exact"/>
        <w:ind w:firstLine="420" w:firstLineChars="200"/>
        <w:jc w:val="left"/>
        <w:rPr>
          <w:rFonts w:hint="eastAsia" w:ascii="宋体" w:hAnsi="宋体" w:cs="宋体"/>
          <w:color w:val="auto"/>
          <w:kern w:val="0"/>
        </w:rPr>
      </w:pPr>
      <w:r>
        <w:rPr>
          <w:rFonts w:hint="eastAsia" w:ascii="宋体" w:hAnsi="宋体" w:cs="宋体"/>
          <w:color w:val="auto"/>
          <w:kern w:val="0"/>
        </w:rPr>
        <w:t>说明：1.大型、中型和小型企业须</w:t>
      </w:r>
      <w:r>
        <w:rPr>
          <w:rFonts w:hint="eastAsia" w:ascii="宋体" w:hAnsi="宋体" w:cs="宋体"/>
          <w:b/>
          <w:bCs/>
          <w:color w:val="auto"/>
          <w:kern w:val="0"/>
        </w:rPr>
        <w:t>同时满足所列指标的下限</w:t>
      </w:r>
      <w:r>
        <w:rPr>
          <w:rFonts w:hint="eastAsia" w:ascii="宋体" w:hAnsi="宋体" w:cs="宋体"/>
          <w:color w:val="auto"/>
          <w:kern w:val="0"/>
        </w:rPr>
        <w:t>，否则下划一档；微型企业只须满足所列指标中的一项即可。</w:t>
      </w:r>
    </w:p>
    <w:p w14:paraId="708BECD4">
      <w:pPr>
        <w:numPr>
          <w:ilvl w:val="0"/>
          <w:numId w:val="2"/>
        </w:numPr>
        <w:spacing w:line="420" w:lineRule="exact"/>
        <w:ind w:firstLine="420" w:firstLineChars="200"/>
        <w:jc w:val="left"/>
        <w:rPr>
          <w:rFonts w:hint="eastAsia" w:ascii="宋体" w:hAnsi="宋体" w:cs="宋体"/>
          <w:color w:val="auto"/>
          <w:kern w:val="0"/>
        </w:rPr>
      </w:pPr>
      <w:r>
        <w:rPr>
          <w:rFonts w:hint="eastAsia" w:ascii="宋体" w:hAnsi="宋体" w:cs="宋体"/>
          <w:color w:val="auto"/>
          <w:kern w:val="0"/>
        </w:rPr>
        <w:t>附表中各行业的范围以《国民经济行业分类》（GB/T4754-2017）为准。</w:t>
      </w:r>
      <w:r>
        <w:rPr>
          <w:rFonts w:hint="eastAsia" w:ascii="宋体" w:hAnsi="宋体" w:cs="宋体"/>
          <w:b/>
          <w:bCs/>
          <w:color w:val="auto"/>
          <w:kern w:val="0"/>
        </w:rPr>
        <w:t>带*的项为行业组合类别</w:t>
      </w:r>
      <w:r>
        <w:rPr>
          <w:rFonts w:hint="eastAsia" w:ascii="宋体" w:hAnsi="宋体" w:cs="宋体"/>
          <w:color w:val="auto"/>
          <w:kern w:val="0"/>
        </w:rPr>
        <w:t>，其中，</w:t>
      </w:r>
      <w:r>
        <w:rPr>
          <w:rFonts w:hint="eastAsia" w:ascii="宋体" w:hAnsi="宋体" w:cs="宋体"/>
          <w:b/>
          <w:bCs/>
          <w:color w:val="auto"/>
          <w:kern w:val="0"/>
        </w:rPr>
        <w:t>工业</w:t>
      </w:r>
      <w:r>
        <w:rPr>
          <w:rFonts w:hint="eastAsia" w:ascii="宋体" w:hAnsi="宋体" w:cs="宋体"/>
          <w:color w:val="auto"/>
          <w:kern w:val="0"/>
        </w:rPr>
        <w:t>包括采矿业，制造业，电力、热力、燃气及水生产和供应业；</w:t>
      </w:r>
      <w:r>
        <w:rPr>
          <w:rFonts w:hint="eastAsia" w:ascii="宋体" w:hAnsi="宋体" w:cs="宋体"/>
          <w:b/>
          <w:bCs/>
          <w:color w:val="auto"/>
          <w:kern w:val="0"/>
        </w:rPr>
        <w:t>交通运输业</w:t>
      </w:r>
      <w:r>
        <w:rPr>
          <w:rFonts w:hint="eastAsia" w:ascii="宋体" w:hAnsi="宋体" w:cs="宋体"/>
          <w:color w:val="auto"/>
          <w:kern w:val="0"/>
        </w:rPr>
        <w:t>包括道路运输业，水上运输业，航空运输业，管道运输业，多式联运和运输代理业、装卸搬运，不包括铁路运输业；</w:t>
      </w:r>
      <w:r>
        <w:rPr>
          <w:rFonts w:hint="eastAsia" w:ascii="宋体" w:hAnsi="宋体" w:cs="宋体"/>
          <w:b/>
          <w:bCs/>
          <w:color w:val="auto"/>
          <w:kern w:val="0"/>
        </w:rPr>
        <w:t>仓储业</w:t>
      </w:r>
      <w:r>
        <w:rPr>
          <w:rFonts w:hint="eastAsia" w:ascii="宋体" w:hAnsi="宋体" w:cs="宋体"/>
          <w:color w:val="auto"/>
          <w:kern w:val="0"/>
        </w:rPr>
        <w:t>包括通用仓储，低温仓储，危险品仓储，谷物、棉花等农产品仓储，中药材仓储和其他仓储业；</w:t>
      </w:r>
      <w:r>
        <w:rPr>
          <w:rFonts w:hint="eastAsia" w:ascii="宋体" w:hAnsi="宋体" w:cs="宋体"/>
          <w:b/>
          <w:bCs/>
          <w:color w:val="auto"/>
          <w:kern w:val="0"/>
        </w:rPr>
        <w:t>信息传输业</w:t>
      </w:r>
      <w:r>
        <w:rPr>
          <w:rFonts w:hint="eastAsia" w:ascii="宋体" w:hAnsi="宋体" w:cs="宋体"/>
          <w:color w:val="auto"/>
          <w:kern w:val="0"/>
        </w:rPr>
        <w:t>包括电信、广播电视和卫星传输服务，互联网和相关服务；</w:t>
      </w:r>
      <w:r>
        <w:rPr>
          <w:rFonts w:hint="eastAsia" w:ascii="宋体" w:hAnsi="宋体" w:cs="宋体"/>
          <w:b/>
          <w:bCs/>
          <w:color w:val="auto"/>
          <w:kern w:val="0"/>
        </w:rPr>
        <w:t>其他未列明行业</w:t>
      </w:r>
      <w:r>
        <w:rPr>
          <w:rFonts w:hint="eastAsia" w:ascii="宋体" w:hAnsi="宋体" w:cs="宋体"/>
          <w:color w:val="auto"/>
          <w:kern w:val="0"/>
        </w:rPr>
        <w:t>包括科学研究和技术服务业，水利、环境和公共设施管理业，居民服务、修理和其他服务业，社会工作，文化、体育和娱乐业，以及房地产中介服务，其他房地产业等，不包括自有房地产经营活动。</w:t>
      </w:r>
    </w:p>
    <w:p w14:paraId="430974B4">
      <w:pPr>
        <w:numPr>
          <w:ilvl w:val="0"/>
          <w:numId w:val="2"/>
        </w:numPr>
        <w:spacing w:line="420" w:lineRule="exact"/>
        <w:ind w:firstLine="420" w:firstLineChars="200"/>
        <w:jc w:val="left"/>
        <w:rPr>
          <w:rFonts w:hint="eastAsia" w:ascii="宋体" w:hAnsi="宋体" w:cs="宋体"/>
          <w:color w:val="auto"/>
          <w:kern w:val="0"/>
        </w:rPr>
      </w:pPr>
      <w:r>
        <w:rPr>
          <w:rFonts w:hint="eastAsia" w:ascii="宋体" w:hAnsi="宋体" w:cs="宋体"/>
          <w:color w:val="auto"/>
          <w:kern w:val="0"/>
        </w:rPr>
        <w:t>企业划分指标以现行统计制度为准。</w:t>
      </w:r>
    </w:p>
    <w:p w14:paraId="5CCF089D">
      <w:pPr>
        <w:spacing w:line="420" w:lineRule="exact"/>
        <w:ind w:firstLine="420" w:firstLineChars="200"/>
        <w:jc w:val="left"/>
        <w:rPr>
          <w:rFonts w:hint="eastAsia" w:ascii="宋体" w:hAnsi="宋体" w:cs="宋体"/>
          <w:color w:val="auto"/>
          <w:kern w:val="0"/>
        </w:rPr>
      </w:pPr>
      <w:r>
        <w:rPr>
          <w:rFonts w:hint="eastAsia" w:ascii="宋体" w:hAnsi="宋体" w:cs="宋体"/>
          <w:color w:val="auto"/>
          <w:kern w:val="0"/>
        </w:rPr>
        <w:t>（1）从业人员，是指期末从业人员数，没有期末从业人员数的，采用全年平均人员数代替。</w:t>
      </w:r>
    </w:p>
    <w:p w14:paraId="0D8A461B">
      <w:pPr>
        <w:spacing w:line="420" w:lineRule="exact"/>
        <w:ind w:firstLine="420" w:firstLineChars="200"/>
        <w:jc w:val="left"/>
        <w:rPr>
          <w:rFonts w:hint="eastAsia" w:ascii="宋体" w:hAnsi="宋体" w:cs="宋体"/>
          <w:color w:val="auto"/>
          <w:kern w:val="0"/>
        </w:rPr>
      </w:pPr>
      <w:r>
        <w:rPr>
          <w:rFonts w:hint="eastAsia" w:ascii="宋体" w:hAnsi="宋体" w:cs="宋体"/>
          <w:color w:val="auto"/>
          <w:kern w:val="0"/>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CB02FD6">
      <w:pPr>
        <w:spacing w:line="420" w:lineRule="exact"/>
        <w:ind w:firstLine="420" w:firstLineChars="200"/>
        <w:rPr>
          <w:rFonts w:hint="eastAsia" w:ascii="宋体" w:hAnsi="宋体" w:cs="宋体"/>
          <w:color w:val="auto"/>
          <w:kern w:val="0"/>
        </w:rPr>
      </w:pPr>
      <w:r>
        <w:rPr>
          <w:rFonts w:hint="eastAsia" w:ascii="宋体" w:hAnsi="宋体" w:cs="宋体"/>
          <w:color w:val="auto"/>
          <w:kern w:val="0"/>
        </w:rPr>
        <w:t>（3）资产总额，采用资产总计代替。</w:t>
      </w:r>
    </w:p>
    <w:p w14:paraId="5E27D6CB">
      <w:pPr>
        <w:spacing w:line="420" w:lineRule="exact"/>
        <w:rPr>
          <w:rFonts w:hint="eastAsia" w:ascii="宋体" w:hAnsi="宋体" w:cs="宋体"/>
          <w:color w:val="auto"/>
          <w:kern w:val="0"/>
        </w:rPr>
      </w:pPr>
      <w:r>
        <w:rPr>
          <w:rFonts w:hint="eastAsia" w:ascii="宋体" w:hAnsi="宋体" w:cs="宋体"/>
          <w:color w:val="auto"/>
          <w:kern w:val="0"/>
        </w:rPr>
        <w:br w:type="page"/>
      </w:r>
      <w:r>
        <w:rPr>
          <w:rFonts w:hint="eastAsia" w:ascii="宋体" w:hAnsi="宋体" w:cs="宋体"/>
          <w:color w:val="auto"/>
          <w:kern w:val="0"/>
        </w:rPr>
        <w:t>附件3中国境内生产的组件成本核算基本规则</w:t>
      </w:r>
    </w:p>
    <w:p w14:paraId="39681079">
      <w:pPr>
        <w:spacing w:line="420" w:lineRule="exact"/>
        <w:ind w:firstLine="420" w:firstLineChars="200"/>
        <w:rPr>
          <w:rFonts w:hint="eastAsia" w:ascii="宋体" w:hAnsi="宋体" w:cs="宋体"/>
          <w:color w:val="auto"/>
          <w:kern w:val="0"/>
        </w:rPr>
      </w:pPr>
    </w:p>
    <w:p w14:paraId="684CCCEB">
      <w:pPr>
        <w:spacing w:line="420" w:lineRule="exact"/>
        <w:ind w:firstLine="420" w:firstLineChars="200"/>
        <w:rPr>
          <w:rFonts w:hint="eastAsia" w:ascii="宋体" w:hAnsi="宋体" w:cs="宋体"/>
          <w:color w:val="auto"/>
          <w:kern w:val="0"/>
        </w:rPr>
      </w:pPr>
      <w:r>
        <w:rPr>
          <w:rFonts w:hint="eastAsia" w:ascii="宋体" w:hAnsi="宋体" w:cs="宋体"/>
          <w:color w:val="auto"/>
          <w:kern w:val="0"/>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55E40D7">
      <w:pPr>
        <w:spacing w:line="420" w:lineRule="exact"/>
        <w:ind w:firstLine="420" w:firstLineChars="200"/>
        <w:rPr>
          <w:rFonts w:hint="eastAsia" w:ascii="宋体" w:hAnsi="宋体" w:cs="宋体"/>
          <w:color w:val="auto"/>
          <w:kern w:val="0"/>
        </w:rPr>
      </w:pPr>
      <w:r>
        <w:rPr>
          <w:rFonts w:hint="eastAsia" w:ascii="宋体" w:hAnsi="宋体" w:cs="宋体"/>
          <w:color w:val="auto"/>
          <w:kern w:val="0"/>
        </w:rPr>
        <w:t>一、产品的一级组件是指直接组成产品的组件。产品的二级组件是指直接组成产品一级组件的组件。一级组件不可分解的，视同二级组件。</w:t>
      </w:r>
    </w:p>
    <w:p w14:paraId="6BEA6067">
      <w:pPr>
        <w:spacing w:line="420" w:lineRule="exact"/>
        <w:ind w:firstLine="420" w:firstLineChars="200"/>
        <w:rPr>
          <w:rFonts w:hint="eastAsia" w:ascii="宋体" w:hAnsi="宋体" w:cs="宋体"/>
          <w:color w:val="auto"/>
          <w:kern w:val="0"/>
        </w:rPr>
      </w:pPr>
      <w:r>
        <w:rPr>
          <w:rFonts w:hint="eastAsia" w:ascii="宋体" w:hAnsi="宋体" w:cs="宋体"/>
          <w:color w:val="auto"/>
          <w:kern w:val="0"/>
        </w:rPr>
        <w:t>二、二级组件在中国境内生产的，其全部成本计入中国境内生产的组件成本;二级组件不在中国境内生产的，其成本不计入中国境内生产的组件成本。</w:t>
      </w:r>
    </w:p>
    <w:p w14:paraId="198149A1">
      <w:pPr>
        <w:spacing w:line="420" w:lineRule="exact"/>
        <w:ind w:firstLine="420" w:firstLineChars="200"/>
        <w:rPr>
          <w:rFonts w:hint="eastAsia" w:ascii="宋体" w:hAnsi="宋体" w:cs="宋体"/>
          <w:color w:val="auto"/>
          <w:kern w:val="0"/>
        </w:rPr>
      </w:pPr>
      <w:r>
        <w:rPr>
          <w:rFonts w:hint="eastAsia" w:ascii="宋体" w:hAnsi="宋体" w:cs="宋体"/>
          <w:color w:val="auto"/>
          <w:kern w:val="0"/>
        </w:rPr>
        <w:t>三、产品总成本和组件成本以相关会计核算数据、采购合同、进货记录等为基础进行计算。</w:t>
      </w:r>
    </w:p>
    <w:p w14:paraId="0FF262DC">
      <w:pPr>
        <w:spacing w:line="420" w:lineRule="exact"/>
        <w:ind w:firstLine="420" w:firstLineChars="200"/>
        <w:rPr>
          <w:rFonts w:hint="eastAsia" w:ascii="宋体" w:hAnsi="宋体" w:cs="宋体"/>
          <w:color w:val="auto"/>
          <w:kern w:val="0"/>
        </w:rPr>
      </w:pPr>
      <w:r>
        <w:rPr>
          <w:rFonts w:hint="eastAsia" w:ascii="宋体" w:hAnsi="宋体" w:cs="宋体"/>
          <w:color w:val="auto"/>
          <w:kern w:val="0"/>
        </w:rPr>
        <w:t>四、需要对成本核算规则予以进一步明确的其他有关事项，由财政部会同有关部门另行规定。</w:t>
      </w:r>
    </w:p>
    <w:p w14:paraId="60C73C54">
      <w:pPr>
        <w:spacing w:line="420" w:lineRule="exact"/>
        <w:ind w:firstLine="420" w:firstLineChars="200"/>
        <w:rPr>
          <w:rFonts w:hint="eastAsia" w:ascii="宋体" w:hAnsi="宋体" w:cs="宋体"/>
          <w:color w:val="auto"/>
          <w:kern w:val="0"/>
        </w:rPr>
      </w:pPr>
    </w:p>
    <w:p w14:paraId="56625B60">
      <w:pPr>
        <w:spacing w:line="420" w:lineRule="exact"/>
        <w:ind w:firstLine="420" w:firstLineChars="200"/>
        <w:rPr>
          <w:rFonts w:hint="eastAsia" w:ascii="宋体" w:hAnsi="宋体" w:cs="宋体"/>
          <w:color w:val="auto"/>
          <w:kern w:val="0"/>
        </w:rPr>
      </w:pPr>
      <w:r>
        <w:rPr>
          <w:rFonts w:hint="eastAsia" w:ascii="宋体" w:hAnsi="宋体" w:cs="宋体"/>
          <w:color w:val="auto"/>
          <w:kern w:val="0"/>
        </w:rPr>
        <w:t>说明：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本国产品应符合以下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16584B31">
      <w:pPr>
        <w:spacing w:line="420" w:lineRule="exact"/>
        <w:ind w:firstLine="420" w:firstLineChars="200"/>
        <w:rPr>
          <w:rFonts w:hint="eastAsia" w:ascii="宋体" w:hAnsi="宋体" w:cs="宋体"/>
          <w:color w:val="auto"/>
          <w:kern w:val="0"/>
        </w:rPr>
      </w:pPr>
      <w:r>
        <w:rPr>
          <w:rFonts w:hint="eastAsia" w:ascii="宋体" w:hAnsi="宋体" w:cs="宋体"/>
          <w:color w:val="auto"/>
          <w:kern w:val="0"/>
        </w:rPr>
        <w:t>在分产品的中国境内生产组件成本占比要求，以及对特定产品关键组件、关键工序的相关要求实施前，只要是符合在中国境内生产要求的产品，在政府采购活动中即视同本国产品。</w:t>
      </w:r>
    </w:p>
    <w:p w14:paraId="54495E0F">
      <w:pPr>
        <w:spacing w:line="420" w:lineRule="exact"/>
        <w:ind w:firstLine="422" w:firstLineChars="200"/>
        <w:rPr>
          <w:rFonts w:hint="eastAsia" w:ascii="宋体" w:hAnsi="宋体" w:cs="宋体"/>
          <w:b/>
          <w:bCs/>
          <w:color w:val="auto"/>
          <w:kern w:val="0"/>
        </w:rPr>
      </w:pPr>
      <w:r>
        <w:rPr>
          <w:rFonts w:hint="eastAsia" w:ascii="宋体" w:hAnsi="宋体" w:cs="宋体"/>
          <w:b/>
          <w:bCs/>
          <w:color w:val="auto"/>
          <w:kern w:val="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提供的产品出具《关于符合本国产品标准的声明函》或财政部会同有关部门规定的有关证明文件，符合要求的，该产品视为本国产品。</w:t>
      </w:r>
    </w:p>
    <w:p w14:paraId="1DAA3553">
      <w:pPr>
        <w:spacing w:line="420" w:lineRule="exact"/>
        <w:jc w:val="center"/>
        <w:outlineLvl w:val="0"/>
        <w:rPr>
          <w:rFonts w:hint="eastAsia" w:ascii="宋体" w:hAnsi="宋体"/>
          <w:bCs/>
          <w:color w:val="auto"/>
          <w:szCs w:val="32"/>
        </w:rPr>
      </w:pPr>
      <w:r>
        <w:rPr>
          <w:rFonts w:hint="eastAsia" w:ascii="宋体" w:hAnsi="宋体" w:cs="宋体"/>
          <w:color w:val="auto"/>
          <w:kern w:val="0"/>
        </w:rPr>
        <w:br w:type="page"/>
      </w:r>
      <w:bookmarkStart w:id="681" w:name="_Toc509667306"/>
      <w:bookmarkEnd w:id="681"/>
      <w:bookmarkStart w:id="682" w:name="_Toc283"/>
      <w:bookmarkStart w:id="683" w:name="_Toc2733"/>
      <w:bookmarkStart w:id="684" w:name="_Toc4689"/>
      <w:bookmarkStart w:id="685" w:name="_Toc28591"/>
      <w:bookmarkStart w:id="686" w:name="_Toc19902"/>
      <w:bookmarkStart w:id="687" w:name="_Toc20999"/>
      <w:r>
        <w:rPr>
          <w:rFonts w:hint="eastAsia" w:ascii="宋体" w:hAnsi="宋体"/>
          <w:b/>
          <w:color w:val="auto"/>
          <w:kern w:val="44"/>
          <w:sz w:val="36"/>
          <w:szCs w:val="36"/>
        </w:rPr>
        <w:t>第三章  评标办法（综合评分法）</w:t>
      </w:r>
      <w:bookmarkEnd w:id="682"/>
      <w:bookmarkEnd w:id="683"/>
      <w:bookmarkEnd w:id="684"/>
      <w:bookmarkEnd w:id="685"/>
      <w:bookmarkEnd w:id="686"/>
      <w:bookmarkEnd w:id="687"/>
    </w:p>
    <w:p w14:paraId="25CC7CC2">
      <w:pPr>
        <w:jc w:val="center"/>
        <w:rPr>
          <w:b/>
          <w:bCs/>
          <w:color w:val="auto"/>
          <w:sz w:val="28"/>
          <w:szCs w:val="28"/>
        </w:rPr>
      </w:pPr>
      <w:bookmarkStart w:id="688" w:name="_Toc4489"/>
      <w:bookmarkEnd w:id="688"/>
      <w:bookmarkStart w:id="689" w:name="_Toc144974566"/>
      <w:bookmarkEnd w:id="689"/>
      <w:bookmarkStart w:id="690" w:name="_Toc318450721"/>
      <w:bookmarkEnd w:id="690"/>
      <w:bookmarkStart w:id="691" w:name="_Toc152045599"/>
      <w:bookmarkEnd w:id="691"/>
      <w:bookmarkStart w:id="692" w:name="_Toc152042376"/>
      <w:bookmarkEnd w:id="692"/>
      <w:bookmarkStart w:id="693" w:name="_Toc466298139"/>
      <w:bookmarkEnd w:id="693"/>
      <w:bookmarkStart w:id="694" w:name="_Toc281405527"/>
      <w:bookmarkEnd w:id="694"/>
      <w:bookmarkStart w:id="695" w:name="_Toc455867816"/>
      <w:bookmarkEnd w:id="695"/>
      <w:bookmarkStart w:id="696" w:name="_Toc455080156"/>
      <w:bookmarkEnd w:id="696"/>
      <w:bookmarkStart w:id="697" w:name="_Toc25923"/>
      <w:bookmarkStart w:id="698" w:name="_Toc27806"/>
      <w:bookmarkStart w:id="699" w:name="_Toc24518"/>
      <w:bookmarkStart w:id="700" w:name="_Toc1638"/>
      <w:bookmarkStart w:id="701" w:name="_Toc28307"/>
      <w:r>
        <w:rPr>
          <w:rFonts w:hint="eastAsia"/>
          <w:b/>
          <w:bCs/>
          <w:color w:val="auto"/>
          <w:sz w:val="28"/>
          <w:szCs w:val="28"/>
        </w:rPr>
        <w:t>评审办法前附表</w:t>
      </w:r>
      <w:bookmarkEnd w:id="697"/>
      <w:bookmarkEnd w:id="698"/>
      <w:bookmarkEnd w:id="699"/>
      <w:bookmarkEnd w:id="700"/>
      <w:bookmarkEnd w:id="701"/>
    </w:p>
    <w:tbl>
      <w:tblPr>
        <w:tblStyle w:val="41"/>
        <w:tblW w:w="88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583"/>
        <w:gridCol w:w="1772"/>
        <w:gridCol w:w="5640"/>
      </w:tblGrid>
      <w:tr w14:paraId="0B9E2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1478" w:type="dxa"/>
            <w:gridSpan w:val="2"/>
            <w:tcBorders>
              <w:top w:val="single" w:color="auto" w:sz="4" w:space="0"/>
              <w:left w:val="single" w:color="auto" w:sz="4" w:space="0"/>
              <w:bottom w:val="single" w:color="auto" w:sz="4" w:space="0"/>
              <w:right w:val="single" w:color="auto" w:sz="4" w:space="0"/>
            </w:tcBorders>
            <w:vAlign w:val="center"/>
          </w:tcPr>
          <w:p w14:paraId="30DADC85">
            <w:pPr>
              <w:jc w:val="center"/>
              <w:textAlignment w:val="baseline"/>
              <w:rPr>
                <w:rFonts w:hint="eastAsia" w:ascii="宋体" w:hAnsi="宋体"/>
                <w:b/>
                <w:bCs/>
                <w:color w:val="auto"/>
              </w:rPr>
            </w:pPr>
            <w:r>
              <w:rPr>
                <w:rFonts w:hint="eastAsia" w:ascii="宋体" w:hAnsi="宋体"/>
                <w:b/>
                <w:bCs/>
                <w:color w:val="auto"/>
              </w:rPr>
              <w:t>条款号</w:t>
            </w:r>
          </w:p>
        </w:tc>
        <w:tc>
          <w:tcPr>
            <w:tcW w:w="1772" w:type="dxa"/>
            <w:tcBorders>
              <w:top w:val="single" w:color="auto" w:sz="4" w:space="0"/>
              <w:left w:val="nil"/>
              <w:bottom w:val="single" w:color="auto" w:sz="4" w:space="0"/>
              <w:right w:val="single" w:color="auto" w:sz="4" w:space="0"/>
            </w:tcBorders>
            <w:vAlign w:val="center"/>
          </w:tcPr>
          <w:p w14:paraId="574A9D14">
            <w:pPr>
              <w:jc w:val="center"/>
              <w:textAlignment w:val="baseline"/>
              <w:rPr>
                <w:rFonts w:hint="eastAsia" w:ascii="宋体" w:hAnsi="宋体"/>
                <w:b/>
                <w:bCs/>
                <w:color w:val="auto"/>
              </w:rPr>
            </w:pPr>
            <w:r>
              <w:rPr>
                <w:rFonts w:hint="eastAsia" w:ascii="宋体" w:hAnsi="宋体"/>
                <w:b/>
                <w:bCs/>
                <w:color w:val="auto"/>
              </w:rPr>
              <w:t>评审因素</w:t>
            </w:r>
          </w:p>
        </w:tc>
        <w:tc>
          <w:tcPr>
            <w:tcW w:w="5640" w:type="dxa"/>
            <w:tcBorders>
              <w:top w:val="single" w:color="auto" w:sz="4" w:space="0"/>
              <w:left w:val="nil"/>
              <w:bottom w:val="single" w:color="auto" w:sz="4" w:space="0"/>
              <w:right w:val="single" w:color="auto" w:sz="4" w:space="0"/>
            </w:tcBorders>
            <w:vAlign w:val="center"/>
          </w:tcPr>
          <w:p w14:paraId="6478DC09">
            <w:pPr>
              <w:jc w:val="center"/>
              <w:textAlignment w:val="baseline"/>
              <w:rPr>
                <w:rFonts w:hint="eastAsia" w:ascii="宋体" w:hAnsi="宋体"/>
                <w:b/>
                <w:bCs/>
                <w:color w:val="auto"/>
              </w:rPr>
            </w:pPr>
            <w:r>
              <w:rPr>
                <w:rFonts w:hint="eastAsia" w:ascii="宋体" w:hAnsi="宋体"/>
                <w:b/>
                <w:bCs/>
                <w:color w:val="auto"/>
              </w:rPr>
              <w:t>评审标准</w:t>
            </w:r>
          </w:p>
        </w:tc>
      </w:tr>
      <w:tr w14:paraId="0644D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95" w:type="dxa"/>
            <w:vMerge w:val="restart"/>
            <w:tcBorders>
              <w:top w:val="nil"/>
              <w:left w:val="single" w:color="auto" w:sz="4" w:space="0"/>
              <w:bottom w:val="nil"/>
              <w:right w:val="single" w:color="auto" w:sz="4" w:space="0"/>
            </w:tcBorders>
            <w:vAlign w:val="center"/>
          </w:tcPr>
          <w:p w14:paraId="4C8981EE">
            <w:pPr>
              <w:pStyle w:val="90"/>
              <w:adjustRightInd/>
              <w:jc w:val="center"/>
              <w:rPr>
                <w:rFonts w:hint="eastAsia" w:cs="Times New Roman"/>
                <w:color w:val="auto"/>
                <w:sz w:val="21"/>
                <w:szCs w:val="21"/>
              </w:rPr>
            </w:pPr>
            <w:r>
              <w:rPr>
                <w:rFonts w:hint="eastAsia" w:cs="Times New Roman"/>
                <w:color w:val="auto"/>
                <w:sz w:val="21"/>
                <w:szCs w:val="21"/>
              </w:rPr>
              <w:t>2.1.1</w:t>
            </w:r>
          </w:p>
        </w:tc>
        <w:tc>
          <w:tcPr>
            <w:tcW w:w="583" w:type="dxa"/>
            <w:vMerge w:val="restart"/>
            <w:tcBorders>
              <w:top w:val="nil"/>
              <w:left w:val="nil"/>
              <w:bottom w:val="nil"/>
              <w:right w:val="single" w:color="auto" w:sz="4" w:space="0"/>
            </w:tcBorders>
            <w:vAlign w:val="center"/>
          </w:tcPr>
          <w:p w14:paraId="524A5DB4">
            <w:pPr>
              <w:pStyle w:val="90"/>
              <w:adjustRightInd/>
              <w:jc w:val="center"/>
              <w:rPr>
                <w:rFonts w:hint="eastAsia" w:cs="Times New Roman"/>
                <w:color w:val="auto"/>
                <w:sz w:val="21"/>
                <w:szCs w:val="21"/>
              </w:rPr>
            </w:pPr>
            <w:r>
              <w:rPr>
                <w:rFonts w:hint="eastAsia" w:cs="Times New Roman"/>
                <w:color w:val="auto"/>
                <w:sz w:val="21"/>
                <w:szCs w:val="21"/>
              </w:rPr>
              <w:t>资</w:t>
            </w:r>
          </w:p>
          <w:p w14:paraId="09F99EDB">
            <w:pPr>
              <w:pStyle w:val="90"/>
              <w:adjustRightInd/>
              <w:jc w:val="center"/>
              <w:rPr>
                <w:rFonts w:hint="eastAsia" w:cs="Times New Roman"/>
                <w:color w:val="auto"/>
                <w:sz w:val="21"/>
                <w:szCs w:val="21"/>
              </w:rPr>
            </w:pPr>
            <w:r>
              <w:rPr>
                <w:rFonts w:hint="eastAsia" w:cs="Times New Roman"/>
                <w:color w:val="auto"/>
                <w:sz w:val="21"/>
                <w:szCs w:val="21"/>
              </w:rPr>
              <w:t>格</w:t>
            </w:r>
          </w:p>
          <w:p w14:paraId="484FF094">
            <w:pPr>
              <w:pStyle w:val="90"/>
              <w:adjustRightInd/>
              <w:jc w:val="center"/>
              <w:rPr>
                <w:rFonts w:hint="eastAsia" w:cs="Times New Roman"/>
                <w:color w:val="auto"/>
                <w:sz w:val="21"/>
                <w:szCs w:val="21"/>
              </w:rPr>
            </w:pPr>
            <w:r>
              <w:rPr>
                <w:rFonts w:hint="eastAsia" w:cs="Times New Roman"/>
                <w:color w:val="auto"/>
                <w:sz w:val="21"/>
                <w:szCs w:val="21"/>
              </w:rPr>
              <w:t>评</w:t>
            </w:r>
          </w:p>
          <w:p w14:paraId="3DCD405F">
            <w:pPr>
              <w:pStyle w:val="90"/>
              <w:adjustRightInd/>
              <w:jc w:val="center"/>
              <w:rPr>
                <w:rFonts w:hint="eastAsia" w:cs="Times New Roman"/>
                <w:color w:val="auto"/>
                <w:sz w:val="21"/>
                <w:szCs w:val="21"/>
              </w:rPr>
            </w:pPr>
            <w:r>
              <w:rPr>
                <w:rFonts w:hint="eastAsia" w:cs="Times New Roman"/>
                <w:color w:val="auto"/>
                <w:sz w:val="21"/>
                <w:szCs w:val="21"/>
              </w:rPr>
              <w:t>审</w:t>
            </w:r>
          </w:p>
          <w:p w14:paraId="062B57DA">
            <w:pPr>
              <w:pStyle w:val="90"/>
              <w:adjustRightInd/>
              <w:jc w:val="center"/>
              <w:rPr>
                <w:rFonts w:hint="eastAsia" w:cs="Times New Roman"/>
                <w:color w:val="auto"/>
                <w:sz w:val="21"/>
                <w:szCs w:val="21"/>
              </w:rPr>
            </w:pPr>
            <w:r>
              <w:rPr>
                <w:rFonts w:hint="eastAsia" w:cs="Times New Roman"/>
                <w:color w:val="auto"/>
                <w:sz w:val="21"/>
                <w:szCs w:val="21"/>
              </w:rPr>
              <w:t>标</w:t>
            </w:r>
          </w:p>
          <w:p w14:paraId="47D609C8">
            <w:pPr>
              <w:pStyle w:val="90"/>
              <w:adjustRightInd/>
              <w:jc w:val="center"/>
              <w:rPr>
                <w:rFonts w:hint="eastAsia" w:cs="Times New Roman"/>
                <w:color w:val="auto"/>
                <w:sz w:val="21"/>
                <w:szCs w:val="21"/>
              </w:rPr>
            </w:pPr>
            <w:r>
              <w:rPr>
                <w:rFonts w:hint="eastAsia" w:cs="Times New Roman"/>
                <w:color w:val="auto"/>
                <w:sz w:val="21"/>
                <w:szCs w:val="21"/>
              </w:rPr>
              <w:t>准</w:t>
            </w:r>
          </w:p>
        </w:tc>
        <w:tc>
          <w:tcPr>
            <w:tcW w:w="1772" w:type="dxa"/>
            <w:tcBorders>
              <w:top w:val="single" w:color="auto" w:sz="4" w:space="0"/>
              <w:left w:val="nil"/>
              <w:bottom w:val="nil"/>
              <w:right w:val="single" w:color="auto" w:sz="4" w:space="0"/>
            </w:tcBorders>
            <w:vAlign w:val="center"/>
          </w:tcPr>
          <w:p w14:paraId="79421159">
            <w:pPr>
              <w:pStyle w:val="121"/>
              <w:widowControl/>
              <w:jc w:val="center"/>
              <w:rPr>
                <w:rFonts w:hint="eastAsia" w:ascii="宋体" w:hAnsi="宋体"/>
                <w:color w:val="auto"/>
              </w:rPr>
            </w:pPr>
            <w:r>
              <w:rPr>
                <w:rFonts w:hint="eastAsia" w:ascii="宋体" w:hAnsi="宋体"/>
                <w:color w:val="auto"/>
              </w:rPr>
              <w:t>具有独立承担民事责任的能力</w:t>
            </w:r>
          </w:p>
        </w:tc>
        <w:tc>
          <w:tcPr>
            <w:tcW w:w="5640" w:type="dxa"/>
            <w:tcBorders>
              <w:top w:val="single" w:color="auto" w:sz="4" w:space="0"/>
              <w:left w:val="nil"/>
              <w:bottom w:val="single" w:color="auto" w:sz="4" w:space="0"/>
              <w:right w:val="single" w:color="auto" w:sz="4" w:space="0"/>
            </w:tcBorders>
            <w:vAlign w:val="center"/>
          </w:tcPr>
          <w:p w14:paraId="76A07F69">
            <w:pPr>
              <w:pStyle w:val="90"/>
              <w:adjustRightInd/>
              <w:spacing w:line="360" w:lineRule="auto"/>
              <w:rPr>
                <w:rFonts w:hint="eastAsia" w:cs="Times New Roman"/>
                <w:color w:val="auto"/>
                <w:sz w:val="21"/>
                <w:szCs w:val="21"/>
              </w:rPr>
            </w:pPr>
            <w:r>
              <w:rPr>
                <w:rFonts w:hint="eastAsia" w:cs="Times New Roman"/>
                <w:color w:val="auto"/>
                <w:sz w:val="21"/>
                <w:szCs w:val="21"/>
              </w:rPr>
              <w:t>提供法人或者其它组织的营业执照等证明文件</w:t>
            </w:r>
          </w:p>
        </w:tc>
      </w:tr>
      <w:tr w14:paraId="43B7B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95" w:type="dxa"/>
            <w:vMerge w:val="continue"/>
            <w:tcBorders>
              <w:top w:val="nil"/>
              <w:left w:val="single" w:color="auto" w:sz="4" w:space="0"/>
              <w:bottom w:val="nil"/>
              <w:right w:val="single" w:color="auto" w:sz="4" w:space="0"/>
            </w:tcBorders>
            <w:vAlign w:val="center"/>
          </w:tcPr>
          <w:p w14:paraId="1A0E3888">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2E9B79FF">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1DA3F525">
            <w:pPr>
              <w:pStyle w:val="121"/>
              <w:widowControl/>
              <w:jc w:val="center"/>
              <w:rPr>
                <w:rFonts w:hint="eastAsia" w:ascii="宋体" w:hAnsi="宋体"/>
                <w:color w:val="auto"/>
                <w:kern w:val="0"/>
              </w:rPr>
            </w:pPr>
            <w:r>
              <w:rPr>
                <w:rFonts w:hint="eastAsia" w:ascii="宋体" w:hAnsi="宋体"/>
                <w:color w:val="auto"/>
                <w:kern w:val="0"/>
              </w:rPr>
              <w:t>具有良好的商业信誉和健全的财务会计制度</w:t>
            </w:r>
          </w:p>
        </w:tc>
        <w:tc>
          <w:tcPr>
            <w:tcW w:w="5640" w:type="dxa"/>
            <w:tcBorders>
              <w:top w:val="single" w:color="auto" w:sz="4" w:space="0"/>
              <w:left w:val="nil"/>
              <w:bottom w:val="single" w:color="auto" w:sz="4" w:space="0"/>
              <w:right w:val="single" w:color="auto" w:sz="4" w:space="0"/>
            </w:tcBorders>
            <w:vAlign w:val="center"/>
          </w:tcPr>
          <w:p w14:paraId="36004730">
            <w:pPr>
              <w:spacing w:line="360" w:lineRule="auto"/>
              <w:rPr>
                <w:rFonts w:hint="eastAsia" w:ascii="宋体" w:hAnsi="宋体"/>
                <w:color w:val="auto"/>
                <w:kern w:val="0"/>
              </w:rPr>
            </w:pPr>
            <w:r>
              <w:rPr>
                <w:rFonts w:hint="eastAsia" w:ascii="宋体" w:hAnsi="宋体"/>
                <w:color w:val="auto"/>
                <w:kern w:val="0"/>
              </w:rPr>
              <w:t>提供2025年度经第三方审计机构出具的财务报告，成立时间不足1年的，提供近三个月内其基本开户银行出具的资信证明</w:t>
            </w:r>
          </w:p>
        </w:tc>
      </w:tr>
      <w:tr w14:paraId="30026F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95" w:type="dxa"/>
            <w:vMerge w:val="continue"/>
            <w:tcBorders>
              <w:top w:val="nil"/>
              <w:left w:val="single" w:color="auto" w:sz="4" w:space="0"/>
              <w:bottom w:val="nil"/>
              <w:right w:val="single" w:color="auto" w:sz="4" w:space="0"/>
            </w:tcBorders>
            <w:vAlign w:val="center"/>
          </w:tcPr>
          <w:p w14:paraId="7B3A5AC7">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08B976DD">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4E11A56C">
            <w:pPr>
              <w:pStyle w:val="121"/>
              <w:widowControl/>
              <w:jc w:val="center"/>
              <w:rPr>
                <w:rFonts w:hint="eastAsia" w:ascii="宋体" w:hAnsi="宋体"/>
                <w:color w:val="auto"/>
                <w:kern w:val="0"/>
              </w:rPr>
            </w:pPr>
            <w:r>
              <w:rPr>
                <w:rFonts w:hint="eastAsia" w:ascii="宋体" w:hAnsi="宋体"/>
                <w:color w:val="auto"/>
                <w:kern w:val="0"/>
              </w:rPr>
              <w:t>具有履行合同所必需的设备和专业技术能力</w:t>
            </w:r>
          </w:p>
        </w:tc>
        <w:tc>
          <w:tcPr>
            <w:tcW w:w="5640" w:type="dxa"/>
            <w:tcBorders>
              <w:top w:val="single" w:color="auto" w:sz="4" w:space="0"/>
              <w:left w:val="nil"/>
              <w:bottom w:val="single" w:color="auto" w:sz="4" w:space="0"/>
              <w:right w:val="single" w:color="auto" w:sz="4" w:space="0"/>
            </w:tcBorders>
            <w:vAlign w:val="center"/>
          </w:tcPr>
          <w:p w14:paraId="1603EF5D">
            <w:pPr>
              <w:spacing w:line="360" w:lineRule="auto"/>
              <w:rPr>
                <w:rFonts w:hint="eastAsia" w:ascii="宋体" w:hAnsi="宋体"/>
                <w:color w:val="auto"/>
                <w:kern w:val="0"/>
              </w:rPr>
            </w:pPr>
            <w:r>
              <w:rPr>
                <w:rFonts w:hint="eastAsia" w:ascii="宋体" w:hAnsi="宋体"/>
                <w:color w:val="auto"/>
                <w:kern w:val="0"/>
              </w:rPr>
              <w:t>具有履行合同所必需的设备和专业技术能力（自行承诺，格式自拟）</w:t>
            </w:r>
          </w:p>
        </w:tc>
      </w:tr>
      <w:tr w14:paraId="5CAD8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6" w:hRule="atLeast"/>
          <w:jc w:val="center"/>
        </w:trPr>
        <w:tc>
          <w:tcPr>
            <w:tcW w:w="895" w:type="dxa"/>
            <w:vMerge w:val="continue"/>
            <w:tcBorders>
              <w:top w:val="nil"/>
              <w:left w:val="single" w:color="auto" w:sz="4" w:space="0"/>
              <w:bottom w:val="nil"/>
              <w:right w:val="single" w:color="auto" w:sz="4" w:space="0"/>
            </w:tcBorders>
            <w:vAlign w:val="center"/>
          </w:tcPr>
          <w:p w14:paraId="686BC66D">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09A828FB">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1338CF72">
            <w:pPr>
              <w:pStyle w:val="121"/>
              <w:widowControl/>
              <w:jc w:val="center"/>
              <w:rPr>
                <w:rFonts w:hint="eastAsia" w:ascii="宋体" w:hAnsi="宋体"/>
                <w:color w:val="auto"/>
                <w:kern w:val="0"/>
              </w:rPr>
            </w:pPr>
            <w:r>
              <w:rPr>
                <w:rFonts w:hint="eastAsia" w:ascii="宋体" w:hAnsi="宋体"/>
                <w:color w:val="auto"/>
              </w:rPr>
              <w:t>具有依法缴纳税收和社会保障资金的良好记录</w:t>
            </w:r>
          </w:p>
        </w:tc>
        <w:tc>
          <w:tcPr>
            <w:tcW w:w="5640" w:type="dxa"/>
            <w:tcBorders>
              <w:top w:val="single" w:color="auto" w:sz="4" w:space="0"/>
              <w:left w:val="nil"/>
              <w:bottom w:val="single" w:color="auto" w:sz="4" w:space="0"/>
              <w:right w:val="single" w:color="auto" w:sz="4" w:space="0"/>
            </w:tcBorders>
            <w:vAlign w:val="center"/>
          </w:tcPr>
          <w:p w14:paraId="057B0CFA">
            <w:pPr>
              <w:spacing w:line="360" w:lineRule="auto"/>
              <w:rPr>
                <w:rFonts w:hint="eastAsia" w:ascii="宋体" w:hAnsi="宋体"/>
                <w:color w:val="auto"/>
                <w:kern w:val="0"/>
              </w:rPr>
            </w:pPr>
            <w:r>
              <w:rPr>
                <w:rFonts w:hint="eastAsia" w:ascii="宋体" w:hAnsi="宋体"/>
                <w:color w:val="auto"/>
                <w:kern w:val="0"/>
              </w:rPr>
              <w:t>提供2026年1月1日以来任意1个月依法缴纳税收和社会保障资金的证明资料，依法免税或免缴社会保障资金的供应商，应提供相应文件证明其依法免税或免缴社会保障资金</w:t>
            </w:r>
          </w:p>
        </w:tc>
      </w:tr>
      <w:tr w14:paraId="4D6E0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95" w:type="dxa"/>
            <w:vMerge w:val="continue"/>
            <w:tcBorders>
              <w:top w:val="nil"/>
              <w:left w:val="single" w:color="auto" w:sz="4" w:space="0"/>
              <w:bottom w:val="nil"/>
              <w:right w:val="single" w:color="auto" w:sz="4" w:space="0"/>
            </w:tcBorders>
            <w:vAlign w:val="center"/>
          </w:tcPr>
          <w:p w14:paraId="092DF5F7">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4341B549">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4AD47FF8">
            <w:pPr>
              <w:pStyle w:val="121"/>
              <w:widowControl/>
              <w:jc w:val="center"/>
              <w:rPr>
                <w:rFonts w:hint="eastAsia" w:ascii="宋体" w:hAnsi="宋体"/>
                <w:color w:val="auto"/>
              </w:rPr>
            </w:pPr>
            <w:r>
              <w:rPr>
                <w:rFonts w:hint="eastAsia" w:ascii="宋体" w:hAnsi="宋体"/>
                <w:color w:val="auto"/>
              </w:rPr>
              <w:t>参加政府采购活动前三年内，在经营活动中没有违法记录</w:t>
            </w:r>
          </w:p>
        </w:tc>
        <w:tc>
          <w:tcPr>
            <w:tcW w:w="5640" w:type="dxa"/>
            <w:tcBorders>
              <w:top w:val="single" w:color="auto" w:sz="4" w:space="0"/>
              <w:left w:val="nil"/>
              <w:bottom w:val="single" w:color="auto" w:sz="4" w:space="0"/>
              <w:right w:val="single" w:color="auto" w:sz="4" w:space="0"/>
            </w:tcBorders>
            <w:vAlign w:val="center"/>
          </w:tcPr>
          <w:p w14:paraId="553E2DC0">
            <w:pPr>
              <w:spacing w:line="360" w:lineRule="auto"/>
              <w:rPr>
                <w:rFonts w:hint="eastAsia" w:ascii="宋体" w:hAnsi="宋体"/>
                <w:color w:val="auto"/>
                <w:kern w:val="0"/>
              </w:rPr>
            </w:pPr>
            <w:r>
              <w:rPr>
                <w:rFonts w:hint="eastAsia" w:ascii="宋体" w:hAnsi="宋体"/>
                <w:color w:val="auto"/>
              </w:rPr>
              <w:t>参加政府采购活动前三年内，在经营活动中没有违法记录（自行承诺，</w:t>
            </w:r>
            <w:r>
              <w:rPr>
                <w:rFonts w:hint="eastAsia" w:ascii="宋体" w:hAnsi="宋体"/>
                <w:color w:val="auto"/>
                <w:kern w:val="0"/>
              </w:rPr>
              <w:t>格式自拟</w:t>
            </w:r>
            <w:r>
              <w:rPr>
                <w:rFonts w:hint="eastAsia" w:ascii="宋体" w:hAnsi="宋体"/>
                <w:color w:val="auto"/>
              </w:rPr>
              <w:t>）</w:t>
            </w:r>
          </w:p>
        </w:tc>
      </w:tr>
      <w:tr w14:paraId="6D1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895" w:type="dxa"/>
            <w:vMerge w:val="continue"/>
            <w:tcBorders>
              <w:top w:val="nil"/>
              <w:left w:val="single" w:color="auto" w:sz="4" w:space="0"/>
              <w:bottom w:val="nil"/>
              <w:right w:val="single" w:color="auto" w:sz="4" w:space="0"/>
            </w:tcBorders>
            <w:vAlign w:val="center"/>
          </w:tcPr>
          <w:p w14:paraId="10B83594">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05EC38B9">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5248CF66">
            <w:pPr>
              <w:pStyle w:val="121"/>
              <w:widowControl/>
              <w:jc w:val="center"/>
              <w:rPr>
                <w:rFonts w:hint="eastAsia" w:ascii="宋体" w:hAnsi="宋体" w:eastAsia="宋体"/>
                <w:color w:val="auto"/>
                <w:lang w:eastAsia="zh-CN"/>
              </w:rPr>
            </w:pPr>
            <w:r>
              <w:rPr>
                <w:rFonts w:hint="eastAsia" w:ascii="宋体" w:hAnsi="宋体"/>
                <w:color w:val="auto"/>
              </w:rPr>
              <w:t>信</w:t>
            </w:r>
            <w:r>
              <w:rPr>
                <w:rFonts w:hint="eastAsia" w:ascii="宋体" w:hAnsi="宋体"/>
                <w:color w:val="auto"/>
                <w:lang w:eastAsia="zh-CN"/>
              </w:rPr>
              <w:t>用查询</w:t>
            </w:r>
          </w:p>
        </w:tc>
        <w:tc>
          <w:tcPr>
            <w:tcW w:w="5640" w:type="dxa"/>
            <w:tcBorders>
              <w:top w:val="single" w:color="auto" w:sz="4" w:space="0"/>
              <w:left w:val="nil"/>
              <w:bottom w:val="single" w:color="auto" w:sz="4" w:space="0"/>
              <w:right w:val="single" w:color="auto" w:sz="4" w:space="0"/>
            </w:tcBorders>
            <w:vAlign w:val="center"/>
          </w:tcPr>
          <w:p w14:paraId="4E494CC0">
            <w:pPr>
              <w:widowControl/>
              <w:wordWrap w:val="0"/>
              <w:rPr>
                <w:rFonts w:hint="eastAsia" w:ascii="宋体" w:hAnsi="宋体"/>
                <w:color w:val="auto"/>
                <w:kern w:val="0"/>
              </w:rPr>
            </w:pPr>
            <w:r>
              <w:rPr>
                <w:rFonts w:hint="eastAsia" w:ascii="宋体" w:hAnsi="宋体" w:cs="宋体"/>
                <w:color w:val="auto"/>
              </w:rPr>
              <w:t>符合第二章“供应商须知前附表”第1.5.1项规定</w:t>
            </w:r>
          </w:p>
        </w:tc>
      </w:tr>
      <w:tr w14:paraId="21515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895" w:type="dxa"/>
            <w:vMerge w:val="continue"/>
            <w:tcBorders>
              <w:top w:val="nil"/>
              <w:left w:val="single" w:color="auto" w:sz="4" w:space="0"/>
              <w:bottom w:val="nil"/>
              <w:right w:val="single" w:color="auto" w:sz="4" w:space="0"/>
            </w:tcBorders>
            <w:vAlign w:val="center"/>
          </w:tcPr>
          <w:p w14:paraId="1BE52113">
            <w:pPr>
              <w:widowControl/>
              <w:jc w:val="left"/>
              <w:rPr>
                <w:rFonts w:hint="eastAsia" w:ascii="宋体" w:hAnsi="宋体"/>
                <w:color w:val="auto"/>
                <w:kern w:val="0"/>
              </w:rPr>
            </w:pPr>
          </w:p>
        </w:tc>
        <w:tc>
          <w:tcPr>
            <w:tcW w:w="583" w:type="dxa"/>
            <w:vMerge w:val="continue"/>
            <w:tcBorders>
              <w:top w:val="nil"/>
              <w:left w:val="nil"/>
              <w:bottom w:val="nil"/>
              <w:right w:val="single" w:color="auto" w:sz="4" w:space="0"/>
            </w:tcBorders>
            <w:vAlign w:val="center"/>
          </w:tcPr>
          <w:p w14:paraId="7081F31D">
            <w:pPr>
              <w:widowControl/>
              <w:jc w:val="left"/>
              <w:rPr>
                <w:rFonts w:hint="eastAsia" w:ascii="宋体" w:hAnsi="宋体"/>
                <w:color w:val="auto"/>
                <w:kern w:val="0"/>
              </w:rPr>
            </w:pPr>
          </w:p>
        </w:tc>
        <w:tc>
          <w:tcPr>
            <w:tcW w:w="1772" w:type="dxa"/>
            <w:tcBorders>
              <w:top w:val="single" w:color="auto" w:sz="4" w:space="0"/>
              <w:left w:val="nil"/>
              <w:bottom w:val="nil"/>
              <w:right w:val="single" w:color="auto" w:sz="4" w:space="0"/>
            </w:tcBorders>
            <w:vAlign w:val="center"/>
          </w:tcPr>
          <w:p w14:paraId="25DD3882">
            <w:pPr>
              <w:pStyle w:val="121"/>
              <w:widowControl/>
              <w:jc w:val="center"/>
              <w:rPr>
                <w:rFonts w:hint="eastAsia" w:ascii="宋体" w:hAnsi="宋体"/>
                <w:color w:val="auto"/>
              </w:rPr>
            </w:pPr>
            <w:r>
              <w:rPr>
                <w:rFonts w:hint="eastAsia" w:ascii="宋体" w:hAnsi="宋体" w:cs="宋体"/>
                <w:color w:val="auto"/>
                <w:kern w:val="0"/>
              </w:rPr>
              <w:t>单位负责人为同一人或者存在直接控股、管理关系的不同供应商，不得参加同一合同项下的政府采购活动。</w:t>
            </w:r>
          </w:p>
        </w:tc>
        <w:tc>
          <w:tcPr>
            <w:tcW w:w="5640" w:type="dxa"/>
            <w:tcBorders>
              <w:top w:val="single" w:color="auto" w:sz="4" w:space="0"/>
              <w:left w:val="nil"/>
              <w:bottom w:val="single" w:color="auto" w:sz="4" w:space="0"/>
              <w:right w:val="single" w:color="auto" w:sz="4" w:space="0"/>
            </w:tcBorders>
            <w:vAlign w:val="center"/>
          </w:tcPr>
          <w:p w14:paraId="1F0AC528">
            <w:pPr>
              <w:widowControl/>
              <w:wordWrap w:val="0"/>
              <w:rPr>
                <w:rFonts w:hint="eastAsia" w:ascii="宋体" w:hAnsi="宋体" w:cs="宋体"/>
                <w:color w:val="auto"/>
              </w:rPr>
            </w:pPr>
            <w:r>
              <w:rPr>
                <w:rFonts w:hint="eastAsia" w:ascii="宋体" w:hAnsi="宋体" w:cs="宋体"/>
                <w:color w:val="auto"/>
              </w:rPr>
              <w:t>提供加盖供应商公章承诺函</w:t>
            </w:r>
          </w:p>
        </w:tc>
      </w:tr>
      <w:tr w14:paraId="5FE3E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95" w:type="dxa"/>
            <w:vMerge w:val="continue"/>
            <w:tcBorders>
              <w:top w:val="nil"/>
              <w:left w:val="single" w:color="auto" w:sz="4" w:space="0"/>
              <w:bottom w:val="single" w:color="auto" w:sz="4" w:space="0"/>
              <w:right w:val="single" w:color="auto" w:sz="4" w:space="0"/>
            </w:tcBorders>
            <w:vAlign w:val="center"/>
          </w:tcPr>
          <w:p w14:paraId="4B6AA325">
            <w:pPr>
              <w:widowControl/>
              <w:jc w:val="left"/>
              <w:rPr>
                <w:rFonts w:hint="eastAsia" w:ascii="宋体" w:hAnsi="宋体"/>
                <w:color w:val="auto"/>
                <w:kern w:val="0"/>
              </w:rPr>
            </w:pPr>
          </w:p>
        </w:tc>
        <w:tc>
          <w:tcPr>
            <w:tcW w:w="583" w:type="dxa"/>
            <w:vMerge w:val="continue"/>
            <w:tcBorders>
              <w:top w:val="nil"/>
              <w:left w:val="nil"/>
              <w:bottom w:val="single" w:color="auto" w:sz="4" w:space="0"/>
              <w:right w:val="single" w:color="auto" w:sz="4" w:space="0"/>
            </w:tcBorders>
            <w:vAlign w:val="center"/>
          </w:tcPr>
          <w:p w14:paraId="55019862">
            <w:pPr>
              <w:widowControl/>
              <w:jc w:val="left"/>
              <w:rPr>
                <w:rFonts w:hint="eastAsia" w:ascii="宋体" w:hAnsi="宋体"/>
                <w:color w:val="auto"/>
                <w:kern w:val="0"/>
              </w:rPr>
            </w:pPr>
          </w:p>
        </w:tc>
        <w:tc>
          <w:tcPr>
            <w:tcW w:w="7412" w:type="dxa"/>
            <w:gridSpan w:val="2"/>
            <w:tcBorders>
              <w:top w:val="single" w:color="auto" w:sz="4" w:space="0"/>
              <w:left w:val="nil"/>
              <w:bottom w:val="single" w:color="auto" w:sz="4" w:space="0"/>
              <w:right w:val="single" w:color="auto" w:sz="4" w:space="0"/>
            </w:tcBorders>
            <w:vAlign w:val="center"/>
          </w:tcPr>
          <w:p w14:paraId="393FCE8E">
            <w:pPr>
              <w:widowControl/>
              <w:jc w:val="left"/>
              <w:rPr>
                <w:rFonts w:hint="eastAsia" w:ascii="宋体" w:hAnsi="宋体"/>
                <w:color w:val="auto"/>
                <w:kern w:val="0"/>
              </w:rPr>
            </w:pPr>
            <w:r>
              <w:rPr>
                <w:rFonts w:hint="eastAsia" w:ascii="宋体" w:hAnsi="宋体"/>
                <w:b/>
                <w:bCs/>
                <w:color w:val="auto"/>
                <w:kern w:val="0"/>
              </w:rPr>
              <w:t>注：磋商小组按以上资格评审标准对供应商的资格进行审查（以响应文件中所附相关证明材料的扫描件为准）。有一项不符合资格审查标准的，磋商小组应当否决其投标。</w:t>
            </w:r>
          </w:p>
        </w:tc>
      </w:tr>
      <w:tr w14:paraId="0DF6A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restart"/>
            <w:tcBorders>
              <w:top w:val="single" w:color="auto" w:sz="4" w:space="0"/>
              <w:left w:val="single" w:color="auto" w:sz="4" w:space="0"/>
              <w:right w:val="single" w:color="auto" w:sz="4" w:space="0"/>
            </w:tcBorders>
            <w:vAlign w:val="center"/>
          </w:tcPr>
          <w:p w14:paraId="45253E76">
            <w:pPr>
              <w:pStyle w:val="90"/>
              <w:adjustRightInd/>
              <w:jc w:val="center"/>
              <w:rPr>
                <w:rFonts w:hint="eastAsia" w:cs="Times New Roman"/>
                <w:color w:val="auto"/>
                <w:sz w:val="21"/>
                <w:szCs w:val="21"/>
              </w:rPr>
            </w:pPr>
            <w:r>
              <w:rPr>
                <w:rFonts w:hint="eastAsia" w:cs="Times New Roman"/>
                <w:color w:val="auto"/>
                <w:sz w:val="21"/>
                <w:szCs w:val="21"/>
              </w:rPr>
              <w:t>2.1.2</w:t>
            </w:r>
          </w:p>
        </w:tc>
        <w:tc>
          <w:tcPr>
            <w:tcW w:w="583" w:type="dxa"/>
            <w:vMerge w:val="restart"/>
            <w:tcBorders>
              <w:top w:val="single" w:color="auto" w:sz="4" w:space="0"/>
              <w:left w:val="single" w:color="auto" w:sz="4" w:space="0"/>
              <w:right w:val="single" w:color="auto" w:sz="4" w:space="0"/>
            </w:tcBorders>
            <w:vAlign w:val="center"/>
          </w:tcPr>
          <w:p w14:paraId="40DA1E4B">
            <w:pPr>
              <w:pStyle w:val="90"/>
              <w:adjustRightInd/>
              <w:jc w:val="center"/>
              <w:rPr>
                <w:rFonts w:hint="eastAsia" w:cs="Times New Roman"/>
                <w:color w:val="auto"/>
                <w:sz w:val="21"/>
                <w:szCs w:val="21"/>
              </w:rPr>
            </w:pPr>
            <w:r>
              <w:rPr>
                <w:rFonts w:hint="eastAsia" w:cs="Times New Roman"/>
                <w:color w:val="auto"/>
                <w:sz w:val="21"/>
                <w:szCs w:val="21"/>
              </w:rPr>
              <w:t>符合性评</w:t>
            </w:r>
          </w:p>
          <w:p w14:paraId="0AC8EC88">
            <w:pPr>
              <w:pStyle w:val="90"/>
              <w:adjustRightInd/>
              <w:jc w:val="center"/>
              <w:rPr>
                <w:rFonts w:hint="eastAsia" w:cs="Times New Roman"/>
                <w:color w:val="auto"/>
                <w:sz w:val="21"/>
                <w:szCs w:val="21"/>
              </w:rPr>
            </w:pPr>
            <w:r>
              <w:rPr>
                <w:rFonts w:hint="eastAsia" w:cs="Times New Roman"/>
                <w:color w:val="auto"/>
                <w:sz w:val="21"/>
                <w:szCs w:val="21"/>
              </w:rPr>
              <w:t>审</w:t>
            </w:r>
          </w:p>
          <w:p w14:paraId="5926C33E">
            <w:pPr>
              <w:pStyle w:val="90"/>
              <w:adjustRightInd/>
              <w:jc w:val="center"/>
              <w:rPr>
                <w:rFonts w:hint="eastAsia" w:cs="Times New Roman"/>
                <w:color w:val="auto"/>
                <w:sz w:val="21"/>
                <w:szCs w:val="21"/>
              </w:rPr>
            </w:pPr>
            <w:r>
              <w:rPr>
                <w:rFonts w:hint="eastAsia" w:cs="Times New Roman"/>
                <w:color w:val="auto"/>
                <w:sz w:val="21"/>
                <w:szCs w:val="21"/>
              </w:rPr>
              <w:t>标</w:t>
            </w:r>
          </w:p>
          <w:p w14:paraId="3F1D1750">
            <w:pPr>
              <w:pStyle w:val="90"/>
              <w:adjustRightInd/>
              <w:jc w:val="center"/>
              <w:rPr>
                <w:rFonts w:hint="eastAsia" w:cs="Times New Roman"/>
                <w:color w:val="auto"/>
                <w:sz w:val="21"/>
                <w:szCs w:val="21"/>
              </w:rPr>
            </w:pPr>
            <w:r>
              <w:rPr>
                <w:rFonts w:hint="eastAsia" w:cs="Times New Roman"/>
                <w:color w:val="auto"/>
                <w:sz w:val="21"/>
                <w:szCs w:val="21"/>
              </w:rPr>
              <w:t>准</w:t>
            </w:r>
          </w:p>
        </w:tc>
        <w:tc>
          <w:tcPr>
            <w:tcW w:w="1772" w:type="dxa"/>
            <w:tcBorders>
              <w:top w:val="single" w:color="auto" w:sz="4" w:space="0"/>
              <w:left w:val="single" w:color="auto" w:sz="4" w:space="0"/>
              <w:bottom w:val="single" w:color="auto" w:sz="4" w:space="0"/>
              <w:right w:val="single" w:color="auto" w:sz="4" w:space="0"/>
            </w:tcBorders>
            <w:vAlign w:val="center"/>
          </w:tcPr>
          <w:p w14:paraId="5A142038">
            <w:pPr>
              <w:jc w:val="center"/>
              <w:rPr>
                <w:rFonts w:hint="eastAsia" w:ascii="宋体" w:hAnsi="宋体"/>
                <w:color w:val="auto"/>
              </w:rPr>
            </w:pPr>
            <w:r>
              <w:rPr>
                <w:rFonts w:hint="eastAsia" w:ascii="宋体" w:hAnsi="宋体"/>
                <w:color w:val="auto"/>
              </w:rPr>
              <w:t>标书雷同性分析</w:t>
            </w:r>
          </w:p>
        </w:tc>
        <w:tc>
          <w:tcPr>
            <w:tcW w:w="5640" w:type="dxa"/>
            <w:tcBorders>
              <w:top w:val="single" w:color="auto" w:sz="4" w:space="0"/>
              <w:left w:val="single" w:color="auto" w:sz="4" w:space="0"/>
              <w:bottom w:val="single" w:color="auto" w:sz="4" w:space="0"/>
              <w:right w:val="single" w:color="auto" w:sz="4" w:space="0"/>
            </w:tcBorders>
            <w:vAlign w:val="center"/>
          </w:tcPr>
          <w:p w14:paraId="5124DB1C">
            <w:pPr>
              <w:jc w:val="left"/>
              <w:textAlignment w:val="baseline"/>
              <w:rPr>
                <w:rFonts w:hint="eastAsia" w:ascii="宋体" w:hAnsi="宋体"/>
                <w:color w:val="auto"/>
              </w:rPr>
            </w:pPr>
            <w:r>
              <w:rPr>
                <w:rFonts w:hint="eastAsia" w:ascii="宋体" w:hAnsi="宋体"/>
                <w:color w:val="auto"/>
              </w:rPr>
              <w:t>响应文件制作机器码不能一致，电子响应文件上传计算机的网卡MAC地址、CPU序列号和硬盘序列号等硬件信息不能相同</w:t>
            </w:r>
          </w:p>
        </w:tc>
      </w:tr>
      <w:tr w14:paraId="390B2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4A99BD42">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06FE7235">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6A701DF0">
            <w:pPr>
              <w:jc w:val="center"/>
              <w:rPr>
                <w:rFonts w:hint="eastAsia" w:ascii="宋体" w:hAnsi="宋体"/>
                <w:color w:val="auto"/>
              </w:rPr>
            </w:pPr>
            <w:r>
              <w:rPr>
                <w:rFonts w:hint="eastAsia" w:ascii="宋体" w:hAnsi="宋体"/>
                <w:color w:val="auto"/>
              </w:rPr>
              <w:t>采购内容</w:t>
            </w:r>
          </w:p>
        </w:tc>
        <w:tc>
          <w:tcPr>
            <w:tcW w:w="5640" w:type="dxa"/>
            <w:tcBorders>
              <w:top w:val="single" w:color="auto" w:sz="4" w:space="0"/>
              <w:left w:val="single" w:color="auto" w:sz="4" w:space="0"/>
              <w:bottom w:val="single" w:color="auto" w:sz="4" w:space="0"/>
              <w:right w:val="single" w:color="auto" w:sz="4" w:space="0"/>
            </w:tcBorders>
            <w:vAlign w:val="center"/>
          </w:tcPr>
          <w:p w14:paraId="6A39735A">
            <w:pPr>
              <w:jc w:val="left"/>
              <w:textAlignment w:val="baseline"/>
              <w:rPr>
                <w:rFonts w:hint="eastAsia" w:ascii="宋体" w:hAnsi="宋体"/>
                <w:color w:val="auto"/>
              </w:rPr>
            </w:pPr>
            <w:r>
              <w:rPr>
                <w:rFonts w:hint="eastAsia" w:ascii="宋体" w:hAnsi="宋体"/>
                <w:color w:val="auto"/>
              </w:rPr>
              <w:t>符合第二章“供应商须知前附表”第1.4.1项规定</w:t>
            </w:r>
          </w:p>
        </w:tc>
      </w:tr>
      <w:tr w14:paraId="7F9B3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7B843669">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1A285A46">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191BFA23">
            <w:pPr>
              <w:jc w:val="center"/>
              <w:rPr>
                <w:rFonts w:hint="eastAsia" w:ascii="宋体" w:hAnsi="宋体"/>
                <w:color w:val="auto"/>
              </w:rPr>
            </w:pPr>
            <w:r>
              <w:rPr>
                <w:rFonts w:hint="eastAsia" w:ascii="宋体" w:hAnsi="宋体"/>
                <w:color w:val="auto"/>
              </w:rPr>
              <w:t>交货地点</w:t>
            </w:r>
          </w:p>
        </w:tc>
        <w:tc>
          <w:tcPr>
            <w:tcW w:w="5640" w:type="dxa"/>
            <w:tcBorders>
              <w:top w:val="single" w:color="auto" w:sz="4" w:space="0"/>
              <w:left w:val="single" w:color="auto" w:sz="4" w:space="0"/>
              <w:bottom w:val="single" w:color="auto" w:sz="4" w:space="0"/>
              <w:right w:val="single" w:color="auto" w:sz="4" w:space="0"/>
            </w:tcBorders>
            <w:vAlign w:val="center"/>
          </w:tcPr>
          <w:p w14:paraId="6157C7DC">
            <w:pPr>
              <w:jc w:val="left"/>
              <w:textAlignment w:val="baseline"/>
              <w:rPr>
                <w:rFonts w:hint="eastAsia" w:ascii="宋体" w:hAnsi="宋体"/>
                <w:color w:val="auto"/>
              </w:rPr>
            </w:pPr>
            <w:r>
              <w:rPr>
                <w:rFonts w:hint="eastAsia" w:ascii="宋体" w:hAnsi="宋体"/>
                <w:color w:val="auto"/>
              </w:rPr>
              <w:t>符合第二章“供应商须知前附表”第1.4.2项规定</w:t>
            </w:r>
          </w:p>
        </w:tc>
      </w:tr>
      <w:tr w14:paraId="06F57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009F08FE">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7028B27D">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64546AC8">
            <w:pPr>
              <w:jc w:val="center"/>
              <w:rPr>
                <w:rFonts w:hint="eastAsia" w:ascii="宋体" w:hAnsi="宋体"/>
                <w:color w:val="auto"/>
              </w:rPr>
            </w:pPr>
            <w:r>
              <w:rPr>
                <w:rFonts w:hint="eastAsia" w:ascii="宋体" w:hAnsi="宋体"/>
                <w:color w:val="auto"/>
              </w:rPr>
              <w:t>交货期</w:t>
            </w:r>
          </w:p>
        </w:tc>
        <w:tc>
          <w:tcPr>
            <w:tcW w:w="5640" w:type="dxa"/>
            <w:tcBorders>
              <w:top w:val="single" w:color="auto" w:sz="4" w:space="0"/>
              <w:left w:val="single" w:color="auto" w:sz="4" w:space="0"/>
              <w:bottom w:val="single" w:color="auto" w:sz="4" w:space="0"/>
              <w:right w:val="single" w:color="auto" w:sz="4" w:space="0"/>
            </w:tcBorders>
            <w:vAlign w:val="center"/>
          </w:tcPr>
          <w:p w14:paraId="15916C53">
            <w:pPr>
              <w:jc w:val="left"/>
              <w:textAlignment w:val="baseline"/>
              <w:rPr>
                <w:rFonts w:hint="eastAsia" w:ascii="宋体" w:hAnsi="宋体"/>
                <w:color w:val="auto"/>
              </w:rPr>
            </w:pPr>
            <w:r>
              <w:rPr>
                <w:rFonts w:hint="eastAsia" w:ascii="宋体" w:hAnsi="宋体"/>
                <w:color w:val="auto"/>
              </w:rPr>
              <w:t>符合第二章“供应商须知前附表”第1.4.3项规定</w:t>
            </w:r>
          </w:p>
        </w:tc>
      </w:tr>
      <w:tr w14:paraId="59700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118A30D3">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7D7FBA8F">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2824EAB9">
            <w:pPr>
              <w:jc w:val="center"/>
              <w:rPr>
                <w:rFonts w:hint="eastAsia" w:ascii="宋体" w:hAnsi="宋体"/>
                <w:color w:val="auto"/>
              </w:rPr>
            </w:pPr>
            <w:r>
              <w:rPr>
                <w:rFonts w:hint="eastAsia" w:ascii="宋体" w:hAnsi="宋体"/>
                <w:color w:val="auto"/>
              </w:rPr>
              <w:t>质量要求</w:t>
            </w:r>
          </w:p>
        </w:tc>
        <w:tc>
          <w:tcPr>
            <w:tcW w:w="5640" w:type="dxa"/>
            <w:tcBorders>
              <w:top w:val="single" w:color="auto" w:sz="4" w:space="0"/>
              <w:left w:val="single" w:color="auto" w:sz="4" w:space="0"/>
              <w:bottom w:val="single" w:color="auto" w:sz="4" w:space="0"/>
              <w:right w:val="single" w:color="auto" w:sz="4" w:space="0"/>
            </w:tcBorders>
            <w:vAlign w:val="center"/>
          </w:tcPr>
          <w:p w14:paraId="2B4D8EE7">
            <w:pPr>
              <w:jc w:val="left"/>
              <w:textAlignment w:val="baseline"/>
              <w:rPr>
                <w:rFonts w:hint="eastAsia" w:ascii="宋体" w:hAnsi="宋体"/>
                <w:color w:val="auto"/>
              </w:rPr>
            </w:pPr>
            <w:r>
              <w:rPr>
                <w:rFonts w:hint="eastAsia" w:ascii="宋体" w:hAnsi="宋体"/>
                <w:color w:val="auto"/>
              </w:rPr>
              <w:t>符合第二章“供应商须知前附表”第1.4.4项规定</w:t>
            </w:r>
          </w:p>
        </w:tc>
      </w:tr>
      <w:tr w14:paraId="0216C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3A2E8443">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2594D436">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599DD53C">
            <w:pPr>
              <w:jc w:val="center"/>
              <w:rPr>
                <w:rFonts w:hint="eastAsia" w:ascii="宋体" w:hAnsi="宋体"/>
                <w:color w:val="auto"/>
              </w:rPr>
            </w:pPr>
            <w:r>
              <w:rPr>
                <w:rFonts w:hint="eastAsia" w:ascii="宋体" w:hAnsi="宋体"/>
                <w:color w:val="auto"/>
              </w:rPr>
              <w:t>质保期</w:t>
            </w:r>
          </w:p>
        </w:tc>
        <w:tc>
          <w:tcPr>
            <w:tcW w:w="5640" w:type="dxa"/>
            <w:tcBorders>
              <w:top w:val="single" w:color="auto" w:sz="4" w:space="0"/>
              <w:left w:val="single" w:color="auto" w:sz="4" w:space="0"/>
              <w:bottom w:val="single" w:color="auto" w:sz="4" w:space="0"/>
              <w:right w:val="single" w:color="auto" w:sz="4" w:space="0"/>
            </w:tcBorders>
            <w:vAlign w:val="center"/>
          </w:tcPr>
          <w:p w14:paraId="170A52CA">
            <w:pPr>
              <w:jc w:val="left"/>
              <w:textAlignment w:val="baseline"/>
              <w:rPr>
                <w:rFonts w:hint="eastAsia" w:ascii="宋体" w:hAnsi="宋体"/>
                <w:color w:val="auto"/>
              </w:rPr>
            </w:pPr>
            <w:r>
              <w:rPr>
                <w:rFonts w:hint="eastAsia" w:ascii="宋体" w:hAnsi="宋体"/>
                <w:color w:val="auto"/>
              </w:rPr>
              <w:t>符合第二章“供应商须知前附表”第1.4.5项规定</w:t>
            </w:r>
          </w:p>
        </w:tc>
      </w:tr>
      <w:tr w14:paraId="1440F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3F46B7B2">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1702058E">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439BD38E">
            <w:pPr>
              <w:jc w:val="center"/>
              <w:rPr>
                <w:rFonts w:hint="eastAsia" w:ascii="宋体" w:hAnsi="宋体"/>
                <w:color w:val="auto"/>
              </w:rPr>
            </w:pPr>
            <w:r>
              <w:rPr>
                <w:rFonts w:hint="eastAsia" w:ascii="宋体" w:hAnsi="宋体"/>
                <w:color w:val="auto"/>
              </w:rPr>
              <w:t>磋商有效期</w:t>
            </w:r>
          </w:p>
        </w:tc>
        <w:tc>
          <w:tcPr>
            <w:tcW w:w="5640" w:type="dxa"/>
            <w:tcBorders>
              <w:top w:val="single" w:color="auto" w:sz="4" w:space="0"/>
              <w:left w:val="single" w:color="auto" w:sz="4" w:space="0"/>
              <w:bottom w:val="single" w:color="auto" w:sz="4" w:space="0"/>
              <w:right w:val="single" w:color="auto" w:sz="4" w:space="0"/>
            </w:tcBorders>
            <w:vAlign w:val="center"/>
          </w:tcPr>
          <w:p w14:paraId="4C0FC68D">
            <w:pPr>
              <w:jc w:val="left"/>
              <w:textAlignment w:val="baseline"/>
              <w:rPr>
                <w:rFonts w:hint="eastAsia" w:ascii="宋体" w:hAnsi="宋体"/>
                <w:color w:val="auto"/>
              </w:rPr>
            </w:pPr>
            <w:r>
              <w:rPr>
                <w:rFonts w:hint="eastAsia" w:ascii="宋体" w:hAnsi="宋体"/>
                <w:color w:val="auto"/>
              </w:rPr>
              <w:t>符合第二章“供应商须知前附表”第3.3.1项规定</w:t>
            </w:r>
          </w:p>
        </w:tc>
      </w:tr>
      <w:tr w14:paraId="63D06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1AA40C31">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227478A9">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6945C276">
            <w:pPr>
              <w:pStyle w:val="90"/>
              <w:adjustRightInd/>
              <w:jc w:val="center"/>
              <w:rPr>
                <w:rFonts w:hint="eastAsia" w:cs="Times New Roman"/>
                <w:color w:val="auto"/>
                <w:sz w:val="21"/>
                <w:szCs w:val="21"/>
              </w:rPr>
            </w:pPr>
            <w:r>
              <w:rPr>
                <w:rFonts w:hint="eastAsia" w:cs="Times New Roman"/>
                <w:color w:val="auto"/>
                <w:sz w:val="21"/>
                <w:szCs w:val="21"/>
              </w:rPr>
              <w:t>签字盖章</w:t>
            </w:r>
          </w:p>
        </w:tc>
        <w:tc>
          <w:tcPr>
            <w:tcW w:w="5640" w:type="dxa"/>
            <w:tcBorders>
              <w:top w:val="single" w:color="auto" w:sz="4" w:space="0"/>
              <w:left w:val="single" w:color="auto" w:sz="4" w:space="0"/>
              <w:bottom w:val="single" w:color="auto" w:sz="4" w:space="0"/>
              <w:right w:val="single" w:color="auto" w:sz="4" w:space="0"/>
            </w:tcBorders>
            <w:vAlign w:val="center"/>
          </w:tcPr>
          <w:p w14:paraId="34420541">
            <w:pPr>
              <w:pStyle w:val="90"/>
              <w:adjustRightInd/>
              <w:rPr>
                <w:rFonts w:hint="eastAsia" w:cs="Times New Roman"/>
                <w:color w:val="auto"/>
                <w:sz w:val="21"/>
                <w:szCs w:val="21"/>
              </w:rPr>
            </w:pPr>
            <w:r>
              <w:rPr>
                <w:rFonts w:hint="eastAsia" w:cs="Times New Roman"/>
                <w:color w:val="auto"/>
                <w:sz w:val="21"/>
                <w:szCs w:val="21"/>
              </w:rPr>
              <w:t>符合第二章“供应商须知</w:t>
            </w:r>
            <w:r>
              <w:rPr>
                <w:rFonts w:hint="eastAsia"/>
                <w:color w:val="auto"/>
                <w:sz w:val="21"/>
                <w:szCs w:val="21"/>
              </w:rPr>
              <w:t>前附表</w:t>
            </w:r>
            <w:r>
              <w:rPr>
                <w:rFonts w:hint="eastAsia" w:cs="Times New Roman"/>
                <w:color w:val="auto"/>
                <w:sz w:val="21"/>
                <w:szCs w:val="21"/>
              </w:rPr>
              <w:t>”第3.7.3项规定</w:t>
            </w:r>
          </w:p>
        </w:tc>
      </w:tr>
      <w:tr w14:paraId="6542E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4D0D5E45">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14E65808">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63CBF203">
            <w:pPr>
              <w:pStyle w:val="90"/>
              <w:adjustRightInd/>
              <w:jc w:val="center"/>
              <w:rPr>
                <w:rFonts w:hint="eastAsia" w:cs="Times New Roman"/>
                <w:color w:val="auto"/>
                <w:sz w:val="21"/>
                <w:szCs w:val="21"/>
              </w:rPr>
            </w:pPr>
            <w:r>
              <w:rPr>
                <w:rFonts w:hint="eastAsia" w:cs="Times New Roman"/>
                <w:color w:val="auto"/>
                <w:sz w:val="21"/>
                <w:szCs w:val="21"/>
              </w:rPr>
              <w:t>付款方式</w:t>
            </w:r>
          </w:p>
        </w:tc>
        <w:tc>
          <w:tcPr>
            <w:tcW w:w="5640" w:type="dxa"/>
            <w:tcBorders>
              <w:top w:val="single" w:color="auto" w:sz="4" w:space="0"/>
              <w:left w:val="single" w:color="auto" w:sz="4" w:space="0"/>
              <w:bottom w:val="single" w:color="auto" w:sz="4" w:space="0"/>
              <w:right w:val="single" w:color="auto" w:sz="4" w:space="0"/>
            </w:tcBorders>
            <w:vAlign w:val="center"/>
          </w:tcPr>
          <w:p w14:paraId="22104564">
            <w:pPr>
              <w:pStyle w:val="90"/>
              <w:adjustRightInd/>
              <w:rPr>
                <w:rFonts w:hint="eastAsia" w:cs="Times New Roman"/>
                <w:color w:val="auto"/>
                <w:sz w:val="21"/>
                <w:szCs w:val="21"/>
              </w:rPr>
            </w:pPr>
            <w:r>
              <w:rPr>
                <w:rFonts w:hint="eastAsia" w:cs="Times New Roman"/>
                <w:color w:val="auto"/>
                <w:sz w:val="21"/>
                <w:szCs w:val="21"/>
              </w:rPr>
              <w:t>符合第二章“供应商须知</w:t>
            </w:r>
            <w:r>
              <w:rPr>
                <w:rFonts w:hint="eastAsia"/>
                <w:color w:val="auto"/>
                <w:sz w:val="21"/>
                <w:szCs w:val="21"/>
              </w:rPr>
              <w:t>前附表</w:t>
            </w:r>
            <w:r>
              <w:rPr>
                <w:rFonts w:hint="eastAsia" w:cs="Times New Roman"/>
                <w:color w:val="auto"/>
                <w:sz w:val="21"/>
                <w:szCs w:val="21"/>
              </w:rPr>
              <w:t>”第10.3项规定</w:t>
            </w:r>
          </w:p>
        </w:tc>
      </w:tr>
      <w:tr w14:paraId="2854A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51C538A3">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161AB563">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19AD4739">
            <w:pPr>
              <w:jc w:val="center"/>
              <w:rPr>
                <w:rFonts w:hint="eastAsia" w:ascii="宋体" w:hAnsi="宋体"/>
                <w:color w:val="auto"/>
              </w:rPr>
            </w:pPr>
            <w:r>
              <w:rPr>
                <w:rFonts w:hint="eastAsia" w:ascii="宋体" w:hAnsi="宋体"/>
                <w:color w:val="auto"/>
              </w:rPr>
              <w:t>磋商报价</w:t>
            </w:r>
          </w:p>
        </w:tc>
        <w:tc>
          <w:tcPr>
            <w:tcW w:w="5640" w:type="dxa"/>
            <w:tcBorders>
              <w:top w:val="single" w:color="auto" w:sz="4" w:space="0"/>
              <w:left w:val="nil"/>
              <w:bottom w:val="single" w:color="auto" w:sz="4" w:space="0"/>
              <w:right w:val="single" w:color="auto" w:sz="4" w:space="0"/>
            </w:tcBorders>
            <w:vAlign w:val="center"/>
          </w:tcPr>
          <w:p w14:paraId="27920849">
            <w:pPr>
              <w:textAlignment w:val="baseline"/>
              <w:rPr>
                <w:rFonts w:hint="eastAsia" w:ascii="宋体" w:hAnsi="宋体"/>
                <w:color w:val="auto"/>
              </w:rPr>
            </w:pPr>
            <w:r>
              <w:rPr>
                <w:rFonts w:hint="eastAsia" w:ascii="宋体" w:hAnsi="宋体"/>
                <w:color w:val="auto"/>
              </w:rPr>
              <w:t>磋商报价在规定的报价范围之内，且未超出最高限价</w:t>
            </w:r>
          </w:p>
        </w:tc>
      </w:tr>
      <w:tr w14:paraId="24FE1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right w:val="single" w:color="auto" w:sz="4" w:space="0"/>
            </w:tcBorders>
            <w:vAlign w:val="center"/>
          </w:tcPr>
          <w:p w14:paraId="52097F16">
            <w:pPr>
              <w:widowControl/>
              <w:jc w:val="left"/>
              <w:rPr>
                <w:rFonts w:hint="eastAsia" w:ascii="宋体" w:hAnsi="宋体"/>
                <w:color w:val="auto"/>
                <w:kern w:val="0"/>
              </w:rPr>
            </w:pPr>
          </w:p>
        </w:tc>
        <w:tc>
          <w:tcPr>
            <w:tcW w:w="583" w:type="dxa"/>
            <w:vMerge w:val="continue"/>
            <w:tcBorders>
              <w:left w:val="single" w:color="auto" w:sz="4" w:space="0"/>
              <w:right w:val="single" w:color="auto" w:sz="4" w:space="0"/>
            </w:tcBorders>
            <w:vAlign w:val="center"/>
          </w:tcPr>
          <w:p w14:paraId="515D5F16">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06159EA5">
            <w:pPr>
              <w:jc w:val="center"/>
              <w:rPr>
                <w:rFonts w:hint="eastAsia" w:ascii="宋体" w:hAnsi="宋体"/>
                <w:color w:val="auto"/>
              </w:rPr>
            </w:pPr>
            <w:r>
              <w:rPr>
                <w:rFonts w:hint="eastAsia" w:ascii="宋体" w:hAnsi="宋体"/>
                <w:color w:val="auto"/>
              </w:rPr>
              <w:t>采购需求中实质性响应技术参数</w:t>
            </w:r>
          </w:p>
        </w:tc>
        <w:tc>
          <w:tcPr>
            <w:tcW w:w="5640" w:type="dxa"/>
            <w:tcBorders>
              <w:top w:val="single" w:color="auto" w:sz="4" w:space="0"/>
              <w:left w:val="nil"/>
              <w:bottom w:val="single" w:color="auto" w:sz="4" w:space="0"/>
              <w:right w:val="single" w:color="auto" w:sz="4" w:space="0"/>
            </w:tcBorders>
            <w:vAlign w:val="center"/>
          </w:tcPr>
          <w:p w14:paraId="0673D6A5">
            <w:pPr>
              <w:textAlignment w:val="baseline"/>
              <w:rPr>
                <w:rFonts w:hint="eastAsia" w:ascii="宋体" w:hAnsi="宋体"/>
                <w:color w:val="auto"/>
              </w:rPr>
            </w:pPr>
            <w:r>
              <w:rPr>
                <w:rFonts w:hint="eastAsia"/>
                <w:color w:val="auto"/>
              </w:rPr>
              <w:t>符合第五章“采购需求”中标“</w:t>
            </w:r>
            <w:r>
              <w:rPr>
                <w:rFonts w:hint="eastAsia" w:ascii="宋体" w:hAnsi="宋体" w:cs="宋体"/>
                <w:color w:val="auto"/>
              </w:rPr>
              <w:t>★”项技术参数要求</w:t>
            </w:r>
          </w:p>
        </w:tc>
      </w:tr>
      <w:tr w14:paraId="2FFCE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95" w:type="dxa"/>
            <w:vMerge w:val="continue"/>
            <w:tcBorders>
              <w:left w:val="single" w:color="auto" w:sz="4" w:space="0"/>
              <w:bottom w:val="single" w:color="auto" w:sz="4" w:space="0"/>
              <w:right w:val="single" w:color="auto" w:sz="4" w:space="0"/>
            </w:tcBorders>
            <w:vAlign w:val="center"/>
          </w:tcPr>
          <w:p w14:paraId="4384542F">
            <w:pPr>
              <w:widowControl/>
              <w:jc w:val="left"/>
              <w:rPr>
                <w:rFonts w:hint="eastAsia" w:ascii="宋体" w:hAnsi="宋体"/>
                <w:color w:val="auto"/>
                <w:kern w:val="0"/>
              </w:rPr>
            </w:pPr>
          </w:p>
        </w:tc>
        <w:tc>
          <w:tcPr>
            <w:tcW w:w="583" w:type="dxa"/>
            <w:vMerge w:val="continue"/>
            <w:tcBorders>
              <w:left w:val="single" w:color="auto" w:sz="4" w:space="0"/>
              <w:bottom w:val="single" w:color="auto" w:sz="4" w:space="0"/>
              <w:right w:val="single" w:color="auto" w:sz="4" w:space="0"/>
            </w:tcBorders>
            <w:vAlign w:val="center"/>
          </w:tcPr>
          <w:p w14:paraId="469E6D69">
            <w:pPr>
              <w:widowControl/>
              <w:jc w:val="left"/>
              <w:rPr>
                <w:rFonts w:hint="eastAsia" w:ascii="宋体" w:hAnsi="宋体"/>
                <w:color w:val="auto"/>
                <w:kern w:val="0"/>
              </w:rPr>
            </w:pPr>
          </w:p>
        </w:tc>
        <w:tc>
          <w:tcPr>
            <w:tcW w:w="1772" w:type="dxa"/>
            <w:tcBorders>
              <w:top w:val="single" w:color="auto" w:sz="4" w:space="0"/>
              <w:left w:val="single" w:color="auto" w:sz="4" w:space="0"/>
              <w:bottom w:val="single" w:color="auto" w:sz="4" w:space="0"/>
              <w:right w:val="single" w:color="auto" w:sz="4" w:space="0"/>
            </w:tcBorders>
            <w:vAlign w:val="center"/>
          </w:tcPr>
          <w:p w14:paraId="46D822EC">
            <w:pPr>
              <w:pStyle w:val="121"/>
              <w:widowControl/>
              <w:jc w:val="center"/>
              <w:rPr>
                <w:rFonts w:hint="eastAsia" w:ascii="宋体" w:hAnsi="宋体"/>
                <w:color w:val="auto"/>
              </w:rPr>
            </w:pPr>
            <w:r>
              <w:rPr>
                <w:rFonts w:hint="eastAsia" w:ascii="宋体" w:hAnsi="宋体"/>
                <w:color w:val="auto"/>
              </w:rPr>
              <w:t>其他</w:t>
            </w:r>
          </w:p>
        </w:tc>
        <w:tc>
          <w:tcPr>
            <w:tcW w:w="5640" w:type="dxa"/>
            <w:tcBorders>
              <w:top w:val="single" w:color="auto" w:sz="4" w:space="0"/>
              <w:left w:val="nil"/>
              <w:bottom w:val="single" w:color="auto" w:sz="4" w:space="0"/>
              <w:right w:val="single" w:color="auto" w:sz="4" w:space="0"/>
            </w:tcBorders>
            <w:vAlign w:val="center"/>
          </w:tcPr>
          <w:p w14:paraId="6CC0800A">
            <w:pPr>
              <w:autoSpaceDE w:val="0"/>
              <w:autoSpaceDN w:val="0"/>
              <w:jc w:val="left"/>
              <w:rPr>
                <w:rFonts w:hint="eastAsia" w:ascii="宋体" w:hAnsi="宋体"/>
                <w:color w:val="auto"/>
              </w:rPr>
            </w:pPr>
            <w:r>
              <w:rPr>
                <w:rFonts w:hint="eastAsia"/>
                <w:color w:val="auto"/>
              </w:rPr>
              <w:t>符合磋商文件中规定的其他实质性要求</w:t>
            </w:r>
          </w:p>
        </w:tc>
      </w:tr>
    </w:tbl>
    <w:p w14:paraId="13D095E1">
      <w:pPr>
        <w:spacing w:line="360" w:lineRule="auto"/>
        <w:ind w:firstLine="442" w:firstLineChars="200"/>
        <w:rPr>
          <w:rFonts w:hint="eastAsia" w:ascii="宋体" w:hAnsi="宋体"/>
          <w:b/>
          <w:bCs/>
          <w:color w:val="auto"/>
          <w:sz w:val="22"/>
          <w:szCs w:val="22"/>
        </w:rPr>
      </w:pPr>
      <w:bookmarkStart w:id="702" w:name="_Toc144974567"/>
      <w:bookmarkEnd w:id="702"/>
      <w:bookmarkStart w:id="703" w:name="_Toc152045600"/>
      <w:bookmarkEnd w:id="703"/>
      <w:bookmarkStart w:id="704" w:name="_Toc318450722"/>
      <w:bookmarkEnd w:id="704"/>
      <w:bookmarkStart w:id="705" w:name="_Toc152042377"/>
      <w:bookmarkEnd w:id="705"/>
      <w:bookmarkStart w:id="706" w:name="_Toc281405528"/>
      <w:r>
        <w:rPr>
          <w:rFonts w:hint="eastAsia" w:ascii="宋体" w:hAnsi="宋体"/>
          <w:b/>
          <w:bCs/>
          <w:color w:val="auto"/>
          <w:sz w:val="22"/>
          <w:szCs w:val="22"/>
        </w:rPr>
        <w:t>注：以上评审标准未通过的供应商，不得进入下一步评审。</w:t>
      </w:r>
      <w:bookmarkEnd w:id="706"/>
    </w:p>
    <w:p w14:paraId="44129C06">
      <w:pPr>
        <w:spacing w:line="360" w:lineRule="auto"/>
        <w:ind w:firstLine="420" w:firstLineChars="200"/>
        <w:rPr>
          <w:rFonts w:hint="eastAsia" w:ascii="宋体" w:hAnsi="宋体"/>
          <w:color w:val="auto"/>
          <w:sz w:val="24"/>
          <w:szCs w:val="24"/>
        </w:rPr>
      </w:pPr>
      <w:r>
        <w:rPr>
          <w:rFonts w:hint="eastAsia" w:ascii="宋体" w:hAnsi="宋体"/>
          <w:color w:val="auto"/>
        </w:rPr>
        <w:t>2.2在评审过程中，凡遇到磋商文件中无界定或界定不清、前后不一致使磋商小组意见有分歧且又难于协商一致的问题，均由磋商小组予以表决，获半数以上同意的即为通过，未获半数同意的即为否决。</w:t>
      </w:r>
    </w:p>
    <w:tbl>
      <w:tblPr>
        <w:tblStyle w:val="4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483"/>
        <w:gridCol w:w="1208"/>
        <w:gridCol w:w="6276"/>
      </w:tblGrid>
      <w:tr w14:paraId="6AD4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0" w:type="dxa"/>
            <w:tcBorders>
              <w:top w:val="single" w:color="auto" w:sz="4" w:space="0"/>
              <w:left w:val="single" w:color="auto" w:sz="4" w:space="0"/>
              <w:bottom w:val="single" w:color="auto" w:sz="4" w:space="0"/>
              <w:right w:val="single" w:color="auto" w:sz="4" w:space="0"/>
            </w:tcBorders>
            <w:vAlign w:val="center"/>
          </w:tcPr>
          <w:p w14:paraId="18F8705E">
            <w:pPr>
              <w:spacing w:line="440" w:lineRule="exact"/>
              <w:jc w:val="center"/>
              <w:rPr>
                <w:rFonts w:hint="eastAsia" w:ascii="宋体" w:hAnsi="宋体" w:cs="宋体"/>
                <w:b/>
                <w:color w:val="auto"/>
              </w:rPr>
            </w:pPr>
            <w:bookmarkStart w:id="707" w:name="_Hlk129683989"/>
            <w:r>
              <w:rPr>
                <w:rFonts w:hint="eastAsia" w:ascii="宋体" w:hAnsi="宋体" w:cs="宋体"/>
                <w:b/>
                <w:color w:val="auto"/>
              </w:rPr>
              <w:t>条款号</w:t>
            </w:r>
          </w:p>
        </w:tc>
        <w:tc>
          <w:tcPr>
            <w:tcW w:w="1691" w:type="dxa"/>
            <w:gridSpan w:val="2"/>
            <w:tcBorders>
              <w:top w:val="single" w:color="auto" w:sz="4" w:space="0"/>
              <w:left w:val="single" w:color="auto" w:sz="4" w:space="0"/>
              <w:bottom w:val="single" w:color="auto" w:sz="4" w:space="0"/>
              <w:right w:val="single" w:color="auto" w:sz="4" w:space="0"/>
            </w:tcBorders>
            <w:vAlign w:val="center"/>
          </w:tcPr>
          <w:p w14:paraId="0DFB85FE">
            <w:pPr>
              <w:spacing w:line="440" w:lineRule="exact"/>
              <w:jc w:val="center"/>
              <w:rPr>
                <w:rFonts w:hint="eastAsia" w:ascii="宋体" w:hAnsi="宋体" w:cs="宋体"/>
                <w:b/>
                <w:color w:val="auto"/>
              </w:rPr>
            </w:pPr>
            <w:r>
              <w:rPr>
                <w:rFonts w:hint="eastAsia" w:ascii="宋体" w:hAnsi="宋体" w:cs="宋体"/>
                <w:b/>
                <w:color w:val="auto"/>
              </w:rPr>
              <w:t>条款内容</w:t>
            </w:r>
          </w:p>
        </w:tc>
        <w:tc>
          <w:tcPr>
            <w:tcW w:w="6276" w:type="dxa"/>
            <w:tcBorders>
              <w:top w:val="single" w:color="auto" w:sz="4" w:space="0"/>
              <w:left w:val="single" w:color="auto" w:sz="4" w:space="0"/>
              <w:bottom w:val="single" w:color="auto" w:sz="4" w:space="0"/>
              <w:right w:val="single" w:color="auto" w:sz="4" w:space="0"/>
            </w:tcBorders>
            <w:vAlign w:val="center"/>
          </w:tcPr>
          <w:p w14:paraId="05500B76">
            <w:pPr>
              <w:spacing w:line="440" w:lineRule="exact"/>
              <w:jc w:val="center"/>
              <w:rPr>
                <w:rFonts w:hint="eastAsia" w:ascii="宋体" w:hAnsi="宋体" w:cs="宋体"/>
                <w:b/>
                <w:color w:val="auto"/>
              </w:rPr>
            </w:pPr>
            <w:r>
              <w:rPr>
                <w:rFonts w:hint="eastAsia" w:ascii="宋体" w:hAnsi="宋体" w:cs="宋体"/>
                <w:b/>
                <w:color w:val="auto"/>
              </w:rPr>
              <w:t xml:space="preserve"> 编列内容</w:t>
            </w:r>
          </w:p>
        </w:tc>
      </w:tr>
      <w:tr w14:paraId="1FDC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0" w:type="dxa"/>
            <w:tcBorders>
              <w:top w:val="single" w:color="auto" w:sz="4" w:space="0"/>
              <w:left w:val="single" w:color="auto" w:sz="4" w:space="0"/>
              <w:bottom w:val="single" w:color="auto" w:sz="4" w:space="0"/>
              <w:right w:val="single" w:color="auto" w:sz="4" w:space="0"/>
            </w:tcBorders>
            <w:vAlign w:val="center"/>
          </w:tcPr>
          <w:p w14:paraId="722B4D2E">
            <w:pPr>
              <w:spacing w:line="440" w:lineRule="exact"/>
              <w:jc w:val="center"/>
              <w:rPr>
                <w:rFonts w:hint="eastAsia" w:ascii="宋体" w:hAnsi="宋体" w:cs="宋体"/>
                <w:b/>
                <w:color w:val="auto"/>
              </w:rPr>
            </w:pPr>
            <w:r>
              <w:rPr>
                <w:rFonts w:hint="eastAsia" w:ascii="宋体" w:hAnsi="宋体" w:cs="宋体"/>
                <w:b/>
                <w:color w:val="auto"/>
              </w:rPr>
              <w:t>2.2.1</w:t>
            </w:r>
          </w:p>
        </w:tc>
        <w:tc>
          <w:tcPr>
            <w:tcW w:w="1691" w:type="dxa"/>
            <w:gridSpan w:val="2"/>
            <w:tcBorders>
              <w:top w:val="single" w:color="auto" w:sz="4" w:space="0"/>
              <w:left w:val="single" w:color="auto" w:sz="4" w:space="0"/>
              <w:bottom w:val="single" w:color="auto" w:sz="4" w:space="0"/>
              <w:right w:val="single" w:color="auto" w:sz="4" w:space="0"/>
            </w:tcBorders>
            <w:vAlign w:val="center"/>
          </w:tcPr>
          <w:p w14:paraId="023CCA49">
            <w:pPr>
              <w:spacing w:line="440" w:lineRule="exact"/>
              <w:jc w:val="center"/>
              <w:rPr>
                <w:rFonts w:hint="eastAsia" w:ascii="宋体" w:hAnsi="宋体" w:cs="宋体"/>
                <w:color w:val="auto"/>
              </w:rPr>
            </w:pPr>
            <w:r>
              <w:rPr>
                <w:rFonts w:hint="eastAsia" w:ascii="宋体" w:hAnsi="宋体" w:cs="宋体"/>
                <w:color w:val="auto"/>
                <w:kern w:val="0"/>
              </w:rPr>
              <w:t>分值构成</w:t>
            </w:r>
          </w:p>
          <w:p w14:paraId="71290DA3">
            <w:pPr>
              <w:spacing w:line="440" w:lineRule="exact"/>
              <w:jc w:val="center"/>
              <w:rPr>
                <w:rFonts w:hint="eastAsia" w:ascii="宋体" w:hAnsi="宋体" w:cs="宋体"/>
                <w:b/>
                <w:color w:val="auto"/>
              </w:rPr>
            </w:pPr>
            <w:r>
              <w:rPr>
                <w:rFonts w:hint="eastAsia" w:ascii="宋体" w:hAnsi="宋体" w:cs="宋体"/>
                <w:color w:val="auto"/>
                <w:kern w:val="0"/>
              </w:rPr>
              <w:t>(总分100分)</w:t>
            </w:r>
          </w:p>
        </w:tc>
        <w:tc>
          <w:tcPr>
            <w:tcW w:w="6276" w:type="dxa"/>
            <w:tcBorders>
              <w:top w:val="single" w:color="auto" w:sz="4" w:space="0"/>
              <w:left w:val="single" w:color="auto" w:sz="4" w:space="0"/>
              <w:bottom w:val="single" w:color="auto" w:sz="4" w:space="0"/>
              <w:right w:val="single" w:color="auto" w:sz="4" w:space="0"/>
            </w:tcBorders>
            <w:vAlign w:val="center"/>
          </w:tcPr>
          <w:p w14:paraId="4EFD0C1E">
            <w:pPr>
              <w:spacing w:line="440" w:lineRule="exact"/>
              <w:jc w:val="left"/>
              <w:rPr>
                <w:rFonts w:hint="eastAsia" w:ascii="宋体" w:hAnsi="宋体" w:cs="宋体"/>
                <w:bCs/>
                <w:color w:val="auto"/>
                <w:kern w:val="0"/>
              </w:rPr>
            </w:pPr>
            <w:r>
              <w:rPr>
                <w:rFonts w:hint="eastAsia" w:ascii="宋体" w:hAnsi="宋体" w:cs="宋体"/>
                <w:bCs/>
                <w:color w:val="auto"/>
                <w:kern w:val="0"/>
              </w:rPr>
              <w:t>磋商报价：30分</w:t>
            </w:r>
          </w:p>
          <w:p w14:paraId="5CC6CCDD">
            <w:pPr>
              <w:spacing w:line="440" w:lineRule="exact"/>
              <w:jc w:val="left"/>
              <w:rPr>
                <w:rFonts w:hint="eastAsia" w:ascii="宋体" w:hAnsi="宋体" w:cs="宋体"/>
                <w:bCs/>
                <w:color w:val="auto"/>
                <w:kern w:val="0"/>
              </w:rPr>
            </w:pPr>
            <w:r>
              <w:rPr>
                <w:rFonts w:hint="eastAsia" w:ascii="宋体" w:hAnsi="宋体" w:cs="宋体"/>
                <w:bCs/>
                <w:color w:val="auto"/>
                <w:kern w:val="0"/>
              </w:rPr>
              <w:t>技术部分：39分</w:t>
            </w:r>
          </w:p>
          <w:p w14:paraId="51AE1EB0">
            <w:pPr>
              <w:spacing w:line="440" w:lineRule="exact"/>
              <w:jc w:val="left"/>
              <w:rPr>
                <w:rFonts w:hint="eastAsia" w:ascii="宋体" w:hAnsi="宋体" w:cs="宋体"/>
                <w:b/>
                <w:color w:val="auto"/>
              </w:rPr>
            </w:pPr>
            <w:r>
              <w:rPr>
                <w:rFonts w:hint="eastAsia" w:ascii="宋体" w:hAnsi="宋体" w:cs="宋体"/>
                <w:bCs/>
                <w:color w:val="auto"/>
                <w:kern w:val="0"/>
              </w:rPr>
              <w:t>综合部分：31分</w:t>
            </w:r>
          </w:p>
        </w:tc>
      </w:tr>
      <w:tr w14:paraId="393B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0" w:type="dxa"/>
            <w:tcBorders>
              <w:top w:val="single" w:color="auto" w:sz="4" w:space="0"/>
              <w:left w:val="single" w:color="auto" w:sz="4" w:space="0"/>
              <w:bottom w:val="single" w:color="auto" w:sz="4" w:space="0"/>
              <w:right w:val="single" w:color="auto" w:sz="4" w:space="0"/>
            </w:tcBorders>
            <w:vAlign w:val="center"/>
          </w:tcPr>
          <w:p w14:paraId="5D064C95">
            <w:pPr>
              <w:spacing w:line="440" w:lineRule="exact"/>
              <w:jc w:val="center"/>
              <w:rPr>
                <w:rFonts w:hint="eastAsia" w:ascii="宋体" w:hAnsi="宋体" w:cs="宋体"/>
                <w:bCs/>
                <w:color w:val="auto"/>
              </w:rPr>
            </w:pPr>
            <w:r>
              <w:rPr>
                <w:rFonts w:hint="eastAsia" w:ascii="宋体" w:hAnsi="宋体" w:cs="宋体"/>
                <w:bCs/>
                <w:color w:val="auto"/>
              </w:rPr>
              <w:t>2.2.2（1）</w:t>
            </w:r>
          </w:p>
        </w:tc>
        <w:tc>
          <w:tcPr>
            <w:tcW w:w="1691" w:type="dxa"/>
            <w:gridSpan w:val="2"/>
            <w:tcBorders>
              <w:top w:val="single" w:color="auto" w:sz="4" w:space="0"/>
              <w:left w:val="single" w:color="auto" w:sz="4" w:space="0"/>
              <w:bottom w:val="single" w:color="auto" w:sz="4" w:space="0"/>
              <w:right w:val="single" w:color="auto" w:sz="4" w:space="0"/>
            </w:tcBorders>
            <w:vAlign w:val="center"/>
          </w:tcPr>
          <w:p w14:paraId="55B4CCD0">
            <w:pPr>
              <w:spacing w:line="440" w:lineRule="exact"/>
              <w:jc w:val="center"/>
              <w:rPr>
                <w:rFonts w:hint="eastAsia" w:ascii="宋体" w:hAnsi="宋体" w:cs="宋体"/>
                <w:bCs/>
                <w:color w:val="auto"/>
              </w:rPr>
            </w:pPr>
            <w:r>
              <w:rPr>
                <w:rFonts w:hint="eastAsia" w:ascii="宋体" w:hAnsi="宋体" w:cs="宋体"/>
                <w:bCs/>
                <w:color w:val="auto"/>
              </w:rPr>
              <w:t>磋商报价</w:t>
            </w:r>
          </w:p>
          <w:p w14:paraId="14223BDB">
            <w:pPr>
              <w:spacing w:line="440" w:lineRule="exact"/>
              <w:jc w:val="center"/>
              <w:rPr>
                <w:rFonts w:hint="eastAsia" w:ascii="宋体" w:hAnsi="宋体" w:cs="宋体"/>
                <w:bCs/>
                <w:color w:val="auto"/>
              </w:rPr>
            </w:pPr>
            <w:r>
              <w:rPr>
                <w:rFonts w:hint="eastAsia" w:ascii="宋体" w:hAnsi="宋体" w:cs="宋体"/>
                <w:bCs/>
                <w:color w:val="auto"/>
              </w:rPr>
              <w:t>30分</w:t>
            </w:r>
          </w:p>
        </w:tc>
        <w:tc>
          <w:tcPr>
            <w:tcW w:w="6276" w:type="dxa"/>
            <w:tcBorders>
              <w:top w:val="single" w:color="auto" w:sz="4" w:space="0"/>
              <w:left w:val="single" w:color="auto" w:sz="4" w:space="0"/>
              <w:bottom w:val="single" w:color="auto" w:sz="4" w:space="0"/>
              <w:right w:val="single" w:color="auto" w:sz="4" w:space="0"/>
            </w:tcBorders>
            <w:vAlign w:val="center"/>
          </w:tcPr>
          <w:p w14:paraId="005EF071">
            <w:pPr>
              <w:spacing w:line="440" w:lineRule="exact"/>
              <w:jc w:val="left"/>
              <w:rPr>
                <w:rFonts w:hint="eastAsia" w:ascii="宋体" w:hAnsi="宋体" w:cs="宋体"/>
                <w:bCs/>
                <w:color w:val="auto"/>
              </w:rPr>
            </w:pPr>
            <w:r>
              <w:rPr>
                <w:rFonts w:hint="eastAsia" w:ascii="宋体" w:hAnsi="宋体" w:cs="宋体"/>
                <w:bCs/>
                <w:color w:val="auto"/>
              </w:rPr>
              <w:t>价格分统一采用低价优先法，即满足竞争性磋商文件要求且磋商报价最低的磋商报价为评标基准价，其价格分为满分30分。其他供应商的价格分统一按照下列公式计算：</w:t>
            </w:r>
          </w:p>
          <w:p w14:paraId="553AD526">
            <w:pPr>
              <w:spacing w:line="440" w:lineRule="exact"/>
              <w:jc w:val="left"/>
              <w:rPr>
                <w:rFonts w:hint="eastAsia" w:ascii="宋体" w:hAnsi="宋体" w:cs="宋体"/>
                <w:bCs/>
                <w:color w:val="auto"/>
              </w:rPr>
            </w:pPr>
            <w:r>
              <w:rPr>
                <w:rFonts w:hint="eastAsia" w:ascii="宋体" w:hAnsi="宋体" w:cs="宋体"/>
                <w:bCs/>
                <w:color w:val="auto"/>
              </w:rPr>
              <w:t>磋商报价得分＝（评标基准价/磋商报价）×30×100%</w:t>
            </w:r>
          </w:p>
          <w:p w14:paraId="4D0FF230">
            <w:pPr>
              <w:spacing w:line="360" w:lineRule="auto"/>
              <w:ind w:firstLine="0" w:firstLineChars="0"/>
              <w:jc w:val="left"/>
              <w:rPr>
                <w:rFonts w:ascii="宋体" w:hAnsi="宋体" w:cs="宋体"/>
                <w:color w:val="auto"/>
              </w:rPr>
            </w:pPr>
            <w:r>
              <w:rPr>
                <w:rFonts w:hint="eastAsia" w:ascii="宋体" w:hAnsi="宋体" w:cs="宋体"/>
                <w:color w:val="auto"/>
              </w:rPr>
              <w:t>注意：1.本项目非专门面向中小企业采购，若供应商为符合政府采购政策价格扣除的小型及微型企业，应提交信息完整有效的《中小企业声明函》。若不能提供，则视为非小微型企业，价格不予扣除，残疾人福利企业、监狱企业视同小型、微型企业。小微企业、监狱企业、</w:t>
            </w:r>
            <w:r>
              <w:rPr>
                <w:rFonts w:hint="eastAsia" w:ascii="宋体" w:hAnsi="宋体" w:cs="宋体"/>
                <w:color w:val="auto"/>
                <w:kern w:val="0"/>
              </w:rPr>
              <w:t>残疾人福利性单位</w:t>
            </w:r>
            <w:r>
              <w:rPr>
                <w:rFonts w:hint="eastAsia" w:ascii="宋体" w:hAnsi="宋体" w:cs="宋体"/>
                <w:color w:val="auto"/>
              </w:rPr>
              <w:t>产品只给予一次价格扣除，不重复给予价格扣除。本项目对属于小微型企业的投标报价给予</w:t>
            </w:r>
            <w:r>
              <w:rPr>
                <w:rFonts w:hint="eastAsia" w:ascii="宋体" w:hAnsi="宋体" w:cs="宋体"/>
                <w:b/>
                <w:bCs/>
                <w:color w:val="auto"/>
              </w:rPr>
              <w:t>10% 的</w:t>
            </w:r>
            <w:r>
              <w:rPr>
                <w:rFonts w:hint="eastAsia" w:ascii="宋体" w:hAnsi="宋体" w:cs="宋体"/>
                <w:color w:val="auto"/>
              </w:rPr>
              <w:t>价格扣除。</w:t>
            </w:r>
          </w:p>
          <w:p w14:paraId="77CB0C6D">
            <w:pPr>
              <w:spacing w:line="360" w:lineRule="auto"/>
              <w:ind w:firstLine="0" w:firstLineChars="0"/>
              <w:jc w:val="left"/>
              <w:rPr>
                <w:rFonts w:ascii="宋体" w:hAnsi="宋体" w:cs="宋体"/>
                <w:color w:val="auto"/>
              </w:rPr>
            </w:pPr>
            <w:r>
              <w:rPr>
                <w:rFonts w:hint="eastAsia" w:ascii="宋体" w:hAnsi="宋体" w:cs="宋体"/>
                <w:color w:val="auto"/>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w:t>
            </w:r>
            <w:r>
              <w:rPr>
                <w:rFonts w:hint="eastAsia" w:ascii="宋体" w:hAnsi="宋体" w:cs="宋体"/>
                <w:b/>
                <w:bCs/>
                <w:color w:val="auto"/>
              </w:rPr>
              <w:t>20%</w:t>
            </w:r>
            <w:r>
              <w:rPr>
                <w:rFonts w:hint="eastAsia" w:ascii="宋体" w:hAnsi="宋体" w:cs="宋体"/>
                <w:color w:val="auto"/>
              </w:rPr>
              <w:t>的价格扣除，用扣除后的价格参与评审。产品在中国境内生产的组件成本，按照《中国境内生产的组件成本核算基本规则》（见附件）计算。供应商对其提供的产品出具《关于符合本国产品标准的声明函》（样式见附件，出具符合要求的《声明函》或有关证明文件的，该产品视为本国产品。</w:t>
            </w:r>
          </w:p>
          <w:p w14:paraId="7276FF0E">
            <w:pPr>
              <w:spacing w:line="440" w:lineRule="exact"/>
              <w:jc w:val="left"/>
              <w:rPr>
                <w:rFonts w:hint="default" w:ascii="宋体" w:hAnsi="宋体" w:eastAsia="宋体" w:cs="宋体"/>
                <w:color w:val="auto"/>
                <w:lang w:val="en-US" w:eastAsia="zh-CN"/>
              </w:rPr>
            </w:pPr>
            <w:r>
              <w:rPr>
                <w:rFonts w:hint="eastAsia" w:ascii="宋体" w:hAnsi="宋体" w:cs="宋体"/>
                <w:color w:val="auto"/>
              </w:rPr>
              <w:t>3.</w:t>
            </w:r>
            <w:r>
              <w:rPr>
                <w:rFonts w:hint="eastAsia" w:ascii="宋体" w:hAnsi="宋体" w:cs="宋体"/>
                <w:color w:val="auto"/>
                <w:lang w:val="en-US" w:eastAsia="zh-CN"/>
              </w:rPr>
              <w:t>供应商既是小微企业又符合本国产品政策要求的，评审报价=磋商最终报价*（1-10%-20%）。</w:t>
            </w:r>
          </w:p>
          <w:p w14:paraId="38617509">
            <w:pPr>
              <w:spacing w:line="440" w:lineRule="exact"/>
              <w:jc w:val="left"/>
              <w:rPr>
                <w:rFonts w:hint="default" w:ascii="宋体" w:hAnsi="宋体" w:eastAsia="宋体" w:cs="宋体"/>
                <w:color w:val="auto"/>
                <w:lang w:val="en-US" w:eastAsia="zh-CN"/>
              </w:rPr>
            </w:pPr>
            <w:r>
              <w:rPr>
                <w:rFonts w:hint="eastAsia" w:ascii="宋体" w:hAnsi="宋体" w:cs="宋体"/>
                <w:color w:val="auto"/>
                <w:lang w:val="en-US" w:eastAsia="zh-CN"/>
              </w:rPr>
              <w:t>4.当所有</w:t>
            </w:r>
            <w:r>
              <w:rPr>
                <w:rFonts w:hint="eastAsia" w:ascii="宋体" w:hAnsi="宋体" w:cs="宋体"/>
                <w:bCs/>
                <w:color w:val="auto"/>
              </w:rPr>
              <w:t>满足竞争性磋商文件要求</w:t>
            </w:r>
            <w:r>
              <w:rPr>
                <w:rFonts w:hint="eastAsia" w:ascii="宋体" w:hAnsi="宋体" w:cs="宋体"/>
                <w:bCs/>
                <w:color w:val="auto"/>
                <w:lang w:val="en-US" w:eastAsia="zh-CN"/>
              </w:rPr>
              <w:t>的供应商都是小微企业时，对小微企业磋商报价给予10%价格扣除；当</w:t>
            </w:r>
            <w:r>
              <w:rPr>
                <w:rFonts w:hint="eastAsia" w:ascii="宋体" w:hAnsi="宋体" w:cs="宋体"/>
                <w:color w:val="auto"/>
                <w:lang w:val="en-US" w:eastAsia="zh-CN"/>
              </w:rPr>
              <w:t>所有</w:t>
            </w:r>
            <w:r>
              <w:rPr>
                <w:rFonts w:hint="eastAsia" w:ascii="宋体" w:hAnsi="宋体" w:cs="宋体"/>
                <w:bCs/>
                <w:color w:val="auto"/>
              </w:rPr>
              <w:t>满足</w:t>
            </w:r>
            <w:r>
              <w:rPr>
                <w:rFonts w:hint="eastAsia" w:ascii="宋体" w:hAnsi="宋体" w:cs="宋体"/>
                <w:bCs/>
                <w:color w:val="auto"/>
                <w:lang w:eastAsia="zh-CN"/>
              </w:rPr>
              <w:t>实质性</w:t>
            </w:r>
            <w:r>
              <w:rPr>
                <w:rFonts w:hint="eastAsia" w:ascii="宋体" w:hAnsi="宋体" w:cs="宋体"/>
                <w:bCs/>
                <w:color w:val="auto"/>
              </w:rPr>
              <w:t>要求</w:t>
            </w:r>
            <w:r>
              <w:rPr>
                <w:rFonts w:hint="eastAsia" w:ascii="宋体" w:hAnsi="宋体" w:cs="宋体"/>
                <w:bCs/>
                <w:color w:val="auto"/>
                <w:lang w:val="en-US" w:eastAsia="zh-CN"/>
              </w:rPr>
              <w:t>的供应商都符合</w:t>
            </w:r>
            <w:r>
              <w:rPr>
                <w:rFonts w:hint="eastAsia" w:ascii="宋体" w:hAnsi="宋体" w:cs="宋体"/>
                <w:color w:val="auto"/>
                <w:lang w:val="en-US" w:eastAsia="zh-CN"/>
              </w:rPr>
              <w:t>本国产品政策标准时，所有供应商磋商报价不再进行扣除。</w:t>
            </w:r>
          </w:p>
          <w:p w14:paraId="43A8AE81">
            <w:pPr>
              <w:spacing w:line="440" w:lineRule="exact"/>
              <w:jc w:val="left"/>
              <w:rPr>
                <w:rFonts w:hint="eastAsia" w:ascii="宋体" w:hAnsi="宋体" w:cs="宋体"/>
                <w:bCs/>
                <w:color w:val="auto"/>
              </w:rPr>
            </w:pPr>
            <w:r>
              <w:rPr>
                <w:rFonts w:hint="eastAsia" w:ascii="宋体" w:hAnsi="宋体" w:cs="宋体"/>
                <w:color w:val="auto"/>
                <w:lang w:val="en-US" w:eastAsia="zh-CN"/>
              </w:rPr>
              <w:t>5.</w:t>
            </w:r>
            <w:r>
              <w:rPr>
                <w:rFonts w:hint="eastAsia" w:ascii="宋体" w:hAnsi="宋体" w:cs="宋体"/>
                <w:color w:val="auto"/>
              </w:rPr>
              <w:t>评标委员会认为供应商的报价明显低于其他通过初步审查供应商的报价，有可能影响产品质量或者不能诚信履约的，应当要求其在评标现场合理的时间内提供书面说明，必要时提交相关证明材料；供应商不能证明其报价合理性的或未在规定时间内提供的，评标委员会应当将其作无效投标处理。</w:t>
            </w:r>
            <w:r>
              <w:rPr>
                <w:rFonts w:hint="eastAsia" w:ascii="宋体" w:hAnsi="宋体" w:cs="宋体"/>
                <w:b/>
                <w:bCs/>
                <w:color w:val="auto"/>
              </w:rPr>
              <w:t>关于异常低价审查程序详见“供应商须知前附表10.7”。</w:t>
            </w:r>
          </w:p>
        </w:tc>
      </w:tr>
      <w:tr w14:paraId="47FB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990" w:type="dxa"/>
            <w:tcBorders>
              <w:top w:val="nil"/>
              <w:left w:val="single" w:color="auto" w:sz="4" w:space="0"/>
              <w:bottom w:val="single" w:color="auto" w:sz="4" w:space="0"/>
              <w:right w:val="single" w:color="auto" w:sz="4" w:space="0"/>
            </w:tcBorders>
            <w:vAlign w:val="center"/>
          </w:tcPr>
          <w:p w14:paraId="35682C83">
            <w:pPr>
              <w:spacing w:line="440" w:lineRule="exact"/>
              <w:jc w:val="center"/>
              <w:rPr>
                <w:rFonts w:hint="eastAsia" w:ascii="宋体" w:hAnsi="宋体" w:cs="宋体"/>
                <w:bCs/>
                <w:color w:val="auto"/>
              </w:rPr>
            </w:pPr>
            <w:r>
              <w:rPr>
                <w:rFonts w:hint="eastAsia" w:ascii="宋体" w:hAnsi="宋体" w:cs="宋体"/>
                <w:bCs/>
                <w:color w:val="auto"/>
              </w:rPr>
              <w:t>2.2.2（2）</w:t>
            </w:r>
          </w:p>
        </w:tc>
        <w:tc>
          <w:tcPr>
            <w:tcW w:w="483" w:type="dxa"/>
            <w:tcBorders>
              <w:top w:val="nil"/>
              <w:left w:val="single" w:color="auto" w:sz="4" w:space="0"/>
              <w:bottom w:val="single" w:color="auto" w:sz="4" w:space="0"/>
              <w:right w:val="single" w:color="auto" w:sz="4" w:space="0"/>
            </w:tcBorders>
            <w:vAlign w:val="center"/>
          </w:tcPr>
          <w:p w14:paraId="78807D92">
            <w:pPr>
              <w:spacing w:line="440" w:lineRule="exact"/>
              <w:jc w:val="center"/>
              <w:rPr>
                <w:rFonts w:hint="eastAsia" w:ascii="宋体" w:hAnsi="宋体" w:cs="宋体"/>
                <w:bCs/>
                <w:color w:val="auto"/>
              </w:rPr>
            </w:pPr>
            <w:r>
              <w:rPr>
                <w:rFonts w:hint="eastAsia" w:ascii="宋体" w:hAnsi="宋体" w:cs="宋体"/>
                <w:bCs/>
                <w:color w:val="auto"/>
              </w:rPr>
              <w:t>技术评分标准39分</w:t>
            </w:r>
          </w:p>
        </w:tc>
        <w:tc>
          <w:tcPr>
            <w:tcW w:w="1208" w:type="dxa"/>
            <w:tcBorders>
              <w:top w:val="single" w:color="auto" w:sz="4" w:space="0"/>
              <w:left w:val="single" w:color="auto" w:sz="4" w:space="0"/>
              <w:bottom w:val="single" w:color="auto" w:sz="4" w:space="0"/>
              <w:right w:val="single" w:color="auto" w:sz="4" w:space="0"/>
            </w:tcBorders>
            <w:vAlign w:val="center"/>
          </w:tcPr>
          <w:p w14:paraId="745E3E06">
            <w:pPr>
              <w:spacing w:line="440" w:lineRule="exact"/>
              <w:jc w:val="center"/>
              <w:rPr>
                <w:rFonts w:hint="eastAsia" w:ascii="宋体" w:hAnsi="宋体" w:cs="宋体"/>
                <w:color w:val="auto"/>
              </w:rPr>
            </w:pPr>
            <w:r>
              <w:rPr>
                <w:rFonts w:hint="eastAsia" w:ascii="宋体" w:hAnsi="宋体" w:cs="宋体"/>
                <w:color w:val="auto"/>
              </w:rPr>
              <w:t>技术参数和产品选型（39分）</w:t>
            </w:r>
          </w:p>
        </w:tc>
        <w:tc>
          <w:tcPr>
            <w:tcW w:w="6276" w:type="dxa"/>
            <w:tcBorders>
              <w:top w:val="single" w:color="auto" w:sz="4" w:space="0"/>
              <w:left w:val="single" w:color="auto" w:sz="4" w:space="0"/>
              <w:bottom w:val="single" w:color="auto" w:sz="4" w:space="0"/>
              <w:right w:val="single" w:color="auto" w:sz="4" w:space="0"/>
            </w:tcBorders>
            <w:vAlign w:val="center"/>
          </w:tcPr>
          <w:p w14:paraId="5E7E7346">
            <w:pPr>
              <w:pStyle w:val="16"/>
              <w:spacing w:line="440" w:lineRule="exact"/>
              <w:rPr>
                <w:rFonts w:hint="eastAsia" w:ascii="宋体" w:hAnsi="宋体" w:cs="宋体"/>
                <w:b/>
                <w:bCs/>
                <w:color w:val="auto"/>
                <w:sz w:val="21"/>
                <w:szCs w:val="21"/>
              </w:rPr>
            </w:pPr>
            <w:r>
              <w:rPr>
                <w:rFonts w:hint="eastAsia" w:ascii="宋体" w:hAnsi="宋体" w:cs="宋体"/>
                <w:b/>
                <w:bCs/>
                <w:color w:val="auto"/>
                <w:sz w:val="21"/>
                <w:szCs w:val="21"/>
              </w:rPr>
              <w:t>磋商小组根据磋商文件第五章采购需求“技术参数要求”及响应文件响应情况进行打分：</w:t>
            </w:r>
          </w:p>
          <w:p w14:paraId="34193174">
            <w:pPr>
              <w:pStyle w:val="16"/>
              <w:spacing w:line="440" w:lineRule="exact"/>
              <w:rPr>
                <w:rFonts w:hint="eastAsia" w:ascii="宋体" w:hAnsi="宋体" w:cs="宋体"/>
                <w:b/>
                <w:bCs/>
                <w:color w:val="auto"/>
                <w:sz w:val="21"/>
                <w:szCs w:val="21"/>
              </w:rPr>
            </w:pPr>
            <w:r>
              <w:rPr>
                <w:rFonts w:hint="eastAsia" w:ascii="宋体" w:hAnsi="宋体" w:cs="宋体"/>
                <w:b/>
                <w:bCs/>
                <w:color w:val="auto"/>
                <w:sz w:val="21"/>
                <w:szCs w:val="21"/>
              </w:rPr>
              <w:t>1.技术参数完全满足要求的得39分；</w:t>
            </w:r>
          </w:p>
          <w:p w14:paraId="458AEDA1">
            <w:pPr>
              <w:pStyle w:val="16"/>
              <w:spacing w:line="440" w:lineRule="exact"/>
              <w:rPr>
                <w:rFonts w:hint="eastAsia" w:ascii="宋体" w:hAnsi="宋体" w:cs="宋体"/>
                <w:b/>
                <w:bCs/>
                <w:color w:val="auto"/>
                <w:sz w:val="21"/>
                <w:szCs w:val="21"/>
              </w:rPr>
            </w:pPr>
            <w:r>
              <w:rPr>
                <w:rFonts w:hint="eastAsia" w:ascii="宋体" w:hAnsi="宋体" w:cs="宋体"/>
                <w:b/>
                <w:bCs/>
                <w:color w:val="auto"/>
                <w:sz w:val="21"/>
                <w:szCs w:val="21"/>
              </w:rPr>
              <w:t>2.技术参数中标“</w:t>
            </w:r>
            <w:r>
              <w:rPr>
                <w:rFonts w:hint="eastAsia" w:ascii="宋体" w:hAnsi="宋体" w:cs="宋体"/>
                <w:color w:val="auto"/>
                <w:sz w:val="21"/>
                <w:szCs w:val="21"/>
              </w:rPr>
              <w:t>▲</w:t>
            </w:r>
            <w:r>
              <w:rPr>
                <w:rFonts w:hint="eastAsia" w:ascii="宋体" w:hAnsi="宋体" w:cs="宋体"/>
                <w:b/>
                <w:bCs/>
                <w:color w:val="auto"/>
                <w:sz w:val="21"/>
                <w:szCs w:val="21"/>
              </w:rPr>
              <w:t>”为重要技术指标，共计</w:t>
            </w:r>
            <w:r>
              <w:rPr>
                <w:rFonts w:hint="eastAsia" w:ascii="宋体" w:hAnsi="宋体" w:cs="宋体"/>
                <w:b/>
                <w:bCs/>
                <w:color w:val="auto"/>
                <w:sz w:val="21"/>
                <w:szCs w:val="21"/>
                <w:lang w:val="en-US" w:eastAsia="zh-CN"/>
              </w:rPr>
              <w:t>10</w:t>
            </w:r>
            <w:r>
              <w:rPr>
                <w:rFonts w:hint="eastAsia" w:ascii="宋体" w:hAnsi="宋体" w:cs="宋体"/>
                <w:b/>
                <w:bCs/>
                <w:color w:val="auto"/>
                <w:sz w:val="21"/>
                <w:szCs w:val="21"/>
              </w:rPr>
              <w:t>项，共计</w:t>
            </w:r>
            <w:r>
              <w:rPr>
                <w:rFonts w:hint="eastAsia" w:ascii="宋体" w:hAnsi="宋体" w:cs="宋体"/>
                <w:b/>
                <w:bCs/>
                <w:color w:val="auto"/>
                <w:sz w:val="21"/>
                <w:szCs w:val="21"/>
                <w:lang w:val="en-US" w:eastAsia="zh-CN"/>
              </w:rPr>
              <w:t>20</w:t>
            </w:r>
            <w:r>
              <w:rPr>
                <w:rFonts w:hint="eastAsia" w:ascii="宋体" w:hAnsi="宋体" w:cs="宋体"/>
                <w:b/>
                <w:bCs/>
                <w:color w:val="auto"/>
                <w:sz w:val="21"/>
                <w:szCs w:val="21"/>
              </w:rPr>
              <w:t>分，每有一项负偏离扣</w:t>
            </w:r>
            <w:r>
              <w:rPr>
                <w:rFonts w:hint="eastAsia" w:ascii="宋体" w:hAnsi="宋体" w:cs="宋体"/>
                <w:b/>
                <w:bCs/>
                <w:color w:val="auto"/>
                <w:sz w:val="21"/>
                <w:szCs w:val="21"/>
                <w:lang w:val="en-US" w:eastAsia="zh-CN"/>
              </w:rPr>
              <w:t>2</w:t>
            </w:r>
            <w:r>
              <w:rPr>
                <w:rFonts w:hint="eastAsia" w:ascii="宋体" w:hAnsi="宋体" w:cs="宋体"/>
                <w:b/>
                <w:bCs/>
                <w:color w:val="auto"/>
                <w:sz w:val="21"/>
                <w:szCs w:val="21"/>
              </w:rPr>
              <w:t>分，扣完为止；</w:t>
            </w:r>
          </w:p>
          <w:p w14:paraId="7DCB260E">
            <w:pPr>
              <w:pStyle w:val="16"/>
              <w:spacing w:line="440" w:lineRule="exact"/>
              <w:rPr>
                <w:rFonts w:hint="eastAsia" w:ascii="宋体" w:hAnsi="宋体" w:cs="宋体"/>
                <w:b/>
                <w:bCs/>
                <w:color w:val="auto"/>
                <w:sz w:val="21"/>
                <w:szCs w:val="21"/>
              </w:rPr>
            </w:pPr>
            <w:r>
              <w:rPr>
                <w:rFonts w:hint="eastAsia" w:ascii="宋体" w:hAnsi="宋体" w:cs="宋体"/>
                <w:b/>
                <w:bCs/>
                <w:color w:val="auto"/>
                <w:sz w:val="21"/>
                <w:szCs w:val="21"/>
              </w:rPr>
              <w:t>3.未标注的为一般技术指标，共计161项，共计</w:t>
            </w:r>
            <w:r>
              <w:rPr>
                <w:rFonts w:hint="eastAsia" w:ascii="宋体" w:hAnsi="宋体" w:cs="宋体"/>
                <w:b/>
                <w:bCs/>
                <w:color w:val="auto"/>
                <w:sz w:val="21"/>
                <w:szCs w:val="21"/>
                <w:lang w:val="en-US" w:eastAsia="zh-CN"/>
              </w:rPr>
              <w:t>19</w:t>
            </w:r>
            <w:r>
              <w:rPr>
                <w:rFonts w:hint="eastAsia" w:ascii="宋体" w:hAnsi="宋体" w:cs="宋体"/>
                <w:b/>
                <w:bCs/>
                <w:color w:val="auto"/>
                <w:sz w:val="21"/>
                <w:szCs w:val="21"/>
              </w:rPr>
              <w:t>分，每有一项负偏离扣0.1</w:t>
            </w:r>
            <w:r>
              <w:rPr>
                <w:rFonts w:hint="eastAsia" w:ascii="宋体" w:hAnsi="宋体" w:cs="宋体"/>
                <w:b/>
                <w:bCs/>
                <w:color w:val="auto"/>
                <w:sz w:val="21"/>
                <w:szCs w:val="21"/>
                <w:lang w:val="en-US" w:eastAsia="zh-CN"/>
              </w:rPr>
              <w:t>2</w:t>
            </w:r>
            <w:r>
              <w:rPr>
                <w:rFonts w:hint="eastAsia" w:ascii="宋体" w:hAnsi="宋体" w:cs="宋体"/>
                <w:b/>
                <w:bCs/>
                <w:color w:val="auto"/>
                <w:sz w:val="21"/>
                <w:szCs w:val="21"/>
              </w:rPr>
              <w:t>分，扣完为止。</w:t>
            </w:r>
          </w:p>
          <w:p w14:paraId="757FEEDA">
            <w:pPr>
              <w:pStyle w:val="16"/>
              <w:spacing w:line="440" w:lineRule="exact"/>
              <w:rPr>
                <w:rFonts w:hint="eastAsia" w:ascii="宋体" w:hAnsi="宋体" w:cs="宋体"/>
                <w:b/>
                <w:bCs/>
                <w:color w:val="auto"/>
                <w:sz w:val="21"/>
                <w:szCs w:val="21"/>
              </w:rPr>
            </w:pPr>
            <w:r>
              <w:rPr>
                <w:rFonts w:hint="eastAsia" w:ascii="宋体" w:hAnsi="宋体" w:cs="宋体"/>
                <w:b/>
                <w:bCs/>
                <w:color w:val="auto"/>
                <w:sz w:val="21"/>
                <w:szCs w:val="21"/>
              </w:rPr>
              <w:t>注：供应商应在“技术规格偏离表”中如实填写技术参数的响应情况并对其真实性负责，若发现响应结果与产品</w:t>
            </w:r>
            <w:r>
              <w:rPr>
                <w:rFonts w:hint="eastAsia" w:ascii="宋体" w:hAnsi="宋体" w:cs="宋体"/>
                <w:b/>
                <w:bCs/>
                <w:color w:val="auto"/>
                <w:sz w:val="21"/>
                <w:szCs w:val="21"/>
                <w:lang w:eastAsia="zh-CN"/>
              </w:rPr>
              <w:t>技术</w:t>
            </w:r>
            <w:r>
              <w:rPr>
                <w:rFonts w:hint="eastAsia" w:ascii="宋体" w:hAnsi="宋体" w:cs="宋体"/>
                <w:b/>
                <w:bCs/>
                <w:color w:val="auto"/>
                <w:sz w:val="21"/>
                <w:szCs w:val="21"/>
              </w:rPr>
              <w:t>参数不符的，</w:t>
            </w:r>
            <w:r>
              <w:rPr>
                <w:rFonts w:hint="eastAsia" w:ascii="宋体" w:hAnsi="宋体" w:cs="宋体"/>
                <w:b/>
                <w:bCs/>
                <w:color w:val="auto"/>
                <w:sz w:val="21"/>
                <w:szCs w:val="21"/>
                <w:lang w:eastAsia="zh-CN"/>
              </w:rPr>
              <w:t>被认定为</w:t>
            </w:r>
            <w:r>
              <w:rPr>
                <w:rFonts w:hint="eastAsia" w:ascii="宋体" w:hAnsi="宋体" w:cs="宋体"/>
                <w:b/>
                <w:bCs/>
                <w:color w:val="auto"/>
                <w:sz w:val="21"/>
                <w:szCs w:val="21"/>
              </w:rPr>
              <w:t>提供虚假材料谋取中标、成交</w:t>
            </w:r>
            <w:r>
              <w:rPr>
                <w:rFonts w:hint="eastAsia" w:ascii="宋体" w:hAnsi="宋体" w:cs="宋体"/>
                <w:b/>
                <w:bCs/>
                <w:color w:val="auto"/>
                <w:sz w:val="21"/>
                <w:szCs w:val="21"/>
                <w:lang w:eastAsia="zh-CN"/>
              </w:rPr>
              <w:t>。将按照《中华人民共和国政府采购法》</w:t>
            </w:r>
            <w:r>
              <w:rPr>
                <w:rFonts w:hint="eastAsia" w:ascii="宋体" w:hAnsi="宋体" w:cs="宋体"/>
                <w:b/>
                <w:bCs/>
                <w:color w:val="auto"/>
                <w:sz w:val="21"/>
                <w:szCs w:val="21"/>
              </w:rPr>
              <w:t>第七十七条</w:t>
            </w:r>
            <w:r>
              <w:rPr>
                <w:rFonts w:hint="eastAsia" w:ascii="宋体" w:hAnsi="宋体" w:cs="宋体"/>
                <w:b/>
                <w:bCs/>
                <w:color w:val="auto"/>
                <w:sz w:val="21"/>
                <w:szCs w:val="21"/>
                <w:lang w:eastAsia="zh-CN"/>
              </w:rPr>
              <w:t>规定追究其法律责任。</w:t>
            </w:r>
          </w:p>
        </w:tc>
      </w:tr>
      <w:tr w14:paraId="57FC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Merge w:val="restart"/>
            <w:tcBorders>
              <w:top w:val="nil"/>
              <w:left w:val="single" w:color="auto" w:sz="4" w:space="0"/>
              <w:right w:val="single" w:color="auto" w:sz="4" w:space="0"/>
            </w:tcBorders>
            <w:vAlign w:val="center"/>
          </w:tcPr>
          <w:p w14:paraId="09008F03">
            <w:pPr>
              <w:spacing w:line="440" w:lineRule="exact"/>
              <w:jc w:val="center"/>
              <w:rPr>
                <w:rFonts w:hint="eastAsia" w:ascii="宋体" w:hAnsi="宋体" w:cs="宋体"/>
                <w:bCs/>
                <w:color w:val="auto"/>
              </w:rPr>
            </w:pPr>
            <w:r>
              <w:rPr>
                <w:rFonts w:hint="eastAsia" w:ascii="宋体" w:hAnsi="宋体" w:cs="宋体"/>
                <w:bCs/>
                <w:color w:val="auto"/>
              </w:rPr>
              <w:t>2.2.2（3）</w:t>
            </w:r>
          </w:p>
        </w:tc>
        <w:tc>
          <w:tcPr>
            <w:tcW w:w="483" w:type="dxa"/>
            <w:vMerge w:val="restart"/>
            <w:tcBorders>
              <w:top w:val="nil"/>
              <w:left w:val="single" w:color="auto" w:sz="4" w:space="0"/>
              <w:right w:val="single" w:color="auto" w:sz="4" w:space="0"/>
            </w:tcBorders>
            <w:vAlign w:val="center"/>
          </w:tcPr>
          <w:p w14:paraId="757B1465">
            <w:pPr>
              <w:spacing w:line="440" w:lineRule="exact"/>
              <w:jc w:val="center"/>
              <w:rPr>
                <w:rFonts w:hint="eastAsia" w:ascii="宋体" w:hAnsi="宋体" w:cs="宋体"/>
                <w:bCs/>
                <w:color w:val="auto"/>
              </w:rPr>
            </w:pPr>
            <w:r>
              <w:rPr>
                <w:rFonts w:hint="eastAsia" w:ascii="宋体" w:hAnsi="宋体" w:cs="宋体"/>
                <w:bCs/>
                <w:color w:val="auto"/>
                <w:kern w:val="0"/>
              </w:rPr>
              <w:t>综合部分</w:t>
            </w:r>
          </w:p>
          <w:p w14:paraId="0DCA4A46">
            <w:pPr>
              <w:spacing w:line="440" w:lineRule="exact"/>
              <w:jc w:val="center"/>
              <w:rPr>
                <w:rFonts w:hint="eastAsia" w:ascii="宋体" w:hAnsi="宋体" w:cs="宋体"/>
                <w:bCs/>
                <w:color w:val="auto"/>
              </w:rPr>
            </w:pPr>
            <w:r>
              <w:rPr>
                <w:rFonts w:hint="eastAsia" w:ascii="宋体" w:hAnsi="宋体" w:cs="宋体"/>
                <w:bCs/>
                <w:color w:val="auto"/>
              </w:rPr>
              <w:t>31分</w:t>
            </w:r>
          </w:p>
        </w:tc>
        <w:tc>
          <w:tcPr>
            <w:tcW w:w="1208" w:type="dxa"/>
            <w:tcBorders>
              <w:top w:val="single" w:color="auto" w:sz="4" w:space="0"/>
              <w:left w:val="single" w:color="auto" w:sz="4" w:space="0"/>
              <w:bottom w:val="single" w:color="auto" w:sz="4" w:space="0"/>
              <w:right w:val="single" w:color="auto" w:sz="4" w:space="0"/>
            </w:tcBorders>
            <w:vAlign w:val="center"/>
          </w:tcPr>
          <w:p w14:paraId="24902258">
            <w:pPr>
              <w:spacing w:line="440" w:lineRule="exact"/>
              <w:jc w:val="center"/>
              <w:textAlignment w:val="center"/>
              <w:rPr>
                <w:rFonts w:hint="eastAsia" w:ascii="宋体" w:hAnsi="宋体" w:cs="宋体"/>
                <w:color w:val="auto"/>
                <w:lang w:val="zh-CN"/>
              </w:rPr>
            </w:pPr>
            <w:r>
              <w:rPr>
                <w:rFonts w:hint="eastAsia" w:ascii="宋体" w:hAnsi="宋体" w:cs="宋体"/>
                <w:color w:val="auto"/>
              </w:rPr>
              <w:t>供应商</w:t>
            </w:r>
            <w:r>
              <w:rPr>
                <w:rFonts w:hint="eastAsia" w:ascii="宋体" w:hAnsi="宋体" w:cs="宋体"/>
                <w:color w:val="auto"/>
                <w:lang w:val="zh-CN"/>
              </w:rPr>
              <w:t>业绩（</w:t>
            </w:r>
            <w:r>
              <w:rPr>
                <w:rFonts w:hint="eastAsia" w:ascii="宋体" w:hAnsi="宋体" w:cs="宋体"/>
                <w:color w:val="auto"/>
              </w:rPr>
              <w:t>4分</w:t>
            </w:r>
            <w:r>
              <w:rPr>
                <w:rFonts w:hint="eastAsia" w:ascii="宋体" w:hAnsi="宋体" w:cs="宋体"/>
                <w:color w:val="auto"/>
                <w:lang w:val="zh-CN"/>
              </w:rPr>
              <w:t>）</w:t>
            </w:r>
          </w:p>
        </w:tc>
        <w:tc>
          <w:tcPr>
            <w:tcW w:w="6276" w:type="dxa"/>
            <w:tcBorders>
              <w:top w:val="single" w:color="auto" w:sz="4" w:space="0"/>
              <w:left w:val="single" w:color="auto" w:sz="4" w:space="0"/>
              <w:bottom w:val="single" w:color="auto" w:sz="4" w:space="0"/>
              <w:right w:val="single" w:color="auto" w:sz="4" w:space="0"/>
            </w:tcBorders>
            <w:vAlign w:val="center"/>
          </w:tcPr>
          <w:p w14:paraId="48824550">
            <w:pPr>
              <w:spacing w:line="440" w:lineRule="exact"/>
              <w:jc w:val="left"/>
              <w:textAlignment w:val="center"/>
              <w:rPr>
                <w:rFonts w:hint="eastAsia" w:ascii="宋体" w:hAnsi="宋体" w:cs="宋体"/>
                <w:color w:val="auto"/>
              </w:rPr>
            </w:pPr>
            <w:r>
              <w:rPr>
                <w:rFonts w:hint="eastAsia" w:ascii="宋体" w:hAnsi="宋体" w:cs="宋体"/>
                <w:color w:val="auto"/>
              </w:rPr>
              <w:t>供应商提供2023年1月1日以来同类项目供货业绩合同，每提供一份得2分，本项最高得4分。</w:t>
            </w:r>
          </w:p>
          <w:p w14:paraId="48A9E282">
            <w:pPr>
              <w:spacing w:line="440" w:lineRule="exact"/>
              <w:jc w:val="left"/>
              <w:textAlignment w:val="center"/>
              <w:rPr>
                <w:rFonts w:hint="eastAsia" w:ascii="宋体" w:hAnsi="宋体" w:cs="宋体"/>
                <w:b/>
                <w:bCs/>
                <w:color w:val="auto"/>
              </w:rPr>
            </w:pPr>
            <w:r>
              <w:rPr>
                <w:rFonts w:hint="eastAsia" w:ascii="宋体" w:hAnsi="宋体" w:cs="宋体"/>
                <w:b/>
                <w:bCs/>
                <w:color w:val="auto"/>
              </w:rPr>
              <w:t>注：1.同类项目的供货业绩指</w:t>
            </w:r>
            <w:r>
              <w:rPr>
                <w:rFonts w:hint="eastAsia" w:ascii="宋体" w:hAnsi="宋体" w:cs="宋体"/>
                <w:b/>
                <w:bCs/>
                <w:color w:val="auto"/>
                <w:lang w:val="en-US" w:eastAsia="zh-CN"/>
              </w:rPr>
              <w:t>至少</w:t>
            </w:r>
            <w:r>
              <w:rPr>
                <w:rFonts w:hint="eastAsia" w:ascii="宋体" w:hAnsi="宋体" w:cs="宋体"/>
                <w:b/>
                <w:bCs/>
                <w:color w:val="auto"/>
              </w:rPr>
              <w:t>包含</w:t>
            </w:r>
            <w:r>
              <w:rPr>
                <w:rFonts w:hint="eastAsia" w:ascii="宋体" w:hAnsi="宋体"/>
                <w:b/>
                <w:bCs/>
                <w:color w:val="auto"/>
              </w:rPr>
              <w:t>超高温石墨化炉</w:t>
            </w:r>
            <w:r>
              <w:rPr>
                <w:rFonts w:hint="eastAsia" w:ascii="宋体" w:hAnsi="宋体"/>
                <w:b/>
                <w:bCs/>
                <w:color w:val="auto"/>
                <w:lang w:eastAsia="zh-CN"/>
              </w:rPr>
              <w:t>的同类</w:t>
            </w:r>
            <w:r>
              <w:rPr>
                <w:rFonts w:hint="eastAsia" w:ascii="宋体" w:hAnsi="宋体"/>
                <w:b/>
                <w:bCs/>
                <w:color w:val="auto"/>
                <w:lang w:val="en-US" w:eastAsia="zh-CN"/>
              </w:rPr>
              <w:t>业绩</w:t>
            </w:r>
            <w:r>
              <w:rPr>
                <w:rFonts w:hint="eastAsia" w:ascii="宋体" w:hAnsi="宋体" w:cs="宋体"/>
                <w:b/>
                <w:bCs/>
                <w:color w:val="auto"/>
              </w:rPr>
              <w:t>；</w:t>
            </w:r>
          </w:p>
          <w:p w14:paraId="386363E7">
            <w:pPr>
              <w:spacing w:line="440" w:lineRule="exact"/>
              <w:jc w:val="left"/>
              <w:textAlignment w:val="center"/>
              <w:rPr>
                <w:rFonts w:hint="eastAsia" w:ascii="宋体" w:hAnsi="宋体" w:cs="宋体"/>
                <w:color w:val="auto"/>
              </w:rPr>
            </w:pPr>
            <w:r>
              <w:rPr>
                <w:rFonts w:hint="eastAsia" w:ascii="宋体" w:hAnsi="宋体" w:cs="宋体"/>
                <w:b/>
                <w:bCs/>
                <w:color w:val="auto"/>
              </w:rPr>
              <w:t>2.响应文件中需提供验收报告及合同，合同包括合同内容页、盖章页扫描件加盖企业电子章，否则不得分，时间以合同签订时间为准。</w:t>
            </w:r>
          </w:p>
        </w:tc>
      </w:tr>
      <w:tr w14:paraId="7840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0" w:type="dxa"/>
            <w:vMerge w:val="continue"/>
            <w:tcBorders>
              <w:left w:val="single" w:color="auto" w:sz="4" w:space="0"/>
              <w:right w:val="single" w:color="auto" w:sz="4" w:space="0"/>
            </w:tcBorders>
            <w:vAlign w:val="center"/>
          </w:tcPr>
          <w:p w14:paraId="0899AC84">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0A7C00B9">
            <w:pPr>
              <w:spacing w:line="440" w:lineRule="exact"/>
              <w:jc w:val="left"/>
              <w:rPr>
                <w:rFonts w:hint="eastAsia" w:ascii="宋体" w:hAnsi="宋体" w:cs="宋体"/>
                <w:bCs/>
                <w:color w:val="auto"/>
              </w:rPr>
            </w:pPr>
          </w:p>
        </w:tc>
        <w:tc>
          <w:tcPr>
            <w:tcW w:w="1208" w:type="dxa"/>
            <w:vMerge w:val="restart"/>
            <w:tcBorders>
              <w:top w:val="single" w:color="auto" w:sz="4" w:space="0"/>
              <w:left w:val="single" w:color="auto" w:sz="4" w:space="0"/>
              <w:right w:val="single" w:color="auto" w:sz="4" w:space="0"/>
            </w:tcBorders>
            <w:vAlign w:val="center"/>
          </w:tcPr>
          <w:p w14:paraId="52347898">
            <w:pPr>
              <w:spacing w:line="360" w:lineRule="auto"/>
              <w:jc w:val="center"/>
              <w:rPr>
                <w:rFonts w:hint="eastAsia" w:ascii="宋体" w:hAnsi="宋体" w:cs="宋体"/>
                <w:color w:val="auto"/>
              </w:rPr>
            </w:pPr>
            <w:r>
              <w:rPr>
                <w:rFonts w:hint="eastAsia" w:ascii="宋体" w:hAnsi="宋体" w:cs="宋体"/>
                <w:color w:val="auto"/>
              </w:rPr>
              <w:t>售后服务方案</w:t>
            </w:r>
          </w:p>
          <w:p w14:paraId="420352AF">
            <w:pPr>
              <w:spacing w:line="360" w:lineRule="auto"/>
              <w:jc w:val="center"/>
              <w:rPr>
                <w:rFonts w:hint="eastAsia" w:ascii="宋体" w:hAnsi="宋体" w:cs="宋体"/>
                <w:color w:val="auto"/>
                <w:kern w:val="0"/>
              </w:rPr>
            </w:pPr>
            <w:r>
              <w:rPr>
                <w:rFonts w:hint="eastAsia" w:ascii="宋体" w:hAnsi="宋体" w:cs="宋体"/>
                <w:color w:val="auto"/>
              </w:rPr>
              <w:t>（12分）</w:t>
            </w:r>
          </w:p>
        </w:tc>
        <w:tc>
          <w:tcPr>
            <w:tcW w:w="6276" w:type="dxa"/>
            <w:tcBorders>
              <w:top w:val="single" w:color="auto" w:sz="4" w:space="0"/>
              <w:left w:val="single" w:color="auto" w:sz="4" w:space="0"/>
              <w:bottom w:val="single" w:color="auto" w:sz="4" w:space="0"/>
              <w:right w:val="single" w:color="auto" w:sz="4" w:space="0"/>
            </w:tcBorders>
            <w:vAlign w:val="center"/>
          </w:tcPr>
          <w:p w14:paraId="1487D9E5">
            <w:pPr>
              <w:spacing w:line="440" w:lineRule="exact"/>
              <w:rPr>
                <w:rFonts w:hint="eastAsia" w:ascii="宋体" w:hAnsi="宋体" w:cs="宋体"/>
                <w:color w:val="auto"/>
                <w:kern w:val="0"/>
              </w:rPr>
            </w:pPr>
            <w:r>
              <w:rPr>
                <w:rFonts w:hint="eastAsia" w:ascii="宋体" w:hAnsi="宋体" w:cs="宋体"/>
                <w:color w:val="auto"/>
                <w:kern w:val="0"/>
              </w:rPr>
              <w:t>a）质保期内售后服务（5分）</w:t>
            </w:r>
          </w:p>
          <w:p w14:paraId="3ABEE342">
            <w:pPr>
              <w:spacing w:line="440" w:lineRule="exact"/>
              <w:rPr>
                <w:rFonts w:hint="eastAsia" w:ascii="宋体" w:hAnsi="宋体" w:cs="宋体"/>
                <w:color w:val="auto"/>
                <w:kern w:val="0"/>
              </w:rPr>
            </w:pPr>
            <w:r>
              <w:rPr>
                <w:rFonts w:hint="eastAsia" w:ascii="宋体" w:hAnsi="宋体" w:cs="宋体"/>
                <w:color w:val="auto"/>
                <w:kern w:val="0"/>
              </w:rPr>
              <w:t>根据各供应商提供的质保期内售后服务方案，包括但不限于质保期内的售后安排、内容、形式、故障响应时间、到达现场响应时间、应急维修措施等方案。按以下标准进行评审：</w:t>
            </w:r>
          </w:p>
          <w:p w14:paraId="4821363D">
            <w:pPr>
              <w:spacing w:line="440" w:lineRule="exact"/>
              <w:rPr>
                <w:rFonts w:hint="eastAsia" w:ascii="宋体" w:hAnsi="宋体" w:cs="宋体"/>
                <w:color w:val="auto"/>
                <w:kern w:val="0"/>
              </w:rPr>
            </w:pPr>
            <w:r>
              <w:rPr>
                <w:rFonts w:hint="eastAsia" w:ascii="宋体" w:hAnsi="宋体" w:cs="宋体"/>
                <w:color w:val="auto"/>
                <w:kern w:val="0"/>
              </w:rPr>
              <w:t>1.供应商提供的质保期内售后服务方案内容完整、考虑全面周到，形式灵活、多样，响应及时，完全满足或优于采购人需求，得5分；</w:t>
            </w:r>
          </w:p>
          <w:p w14:paraId="3D2AA524">
            <w:pPr>
              <w:spacing w:line="440" w:lineRule="exact"/>
              <w:rPr>
                <w:rFonts w:hint="eastAsia" w:ascii="宋体" w:hAnsi="宋体" w:cs="宋体"/>
                <w:color w:val="auto"/>
                <w:kern w:val="0"/>
              </w:rPr>
            </w:pPr>
            <w:r>
              <w:rPr>
                <w:rFonts w:hint="eastAsia" w:ascii="宋体" w:hAnsi="宋体" w:cs="宋体"/>
                <w:color w:val="auto"/>
                <w:kern w:val="0"/>
              </w:rPr>
              <w:t>2.供应商提供的质保期内售后服务方案基本满足采购人需求，</w:t>
            </w:r>
            <w:r>
              <w:rPr>
                <w:rFonts w:hint="eastAsia" w:ascii="宋体" w:hAnsi="宋体" w:cs="宋体"/>
                <w:bCs/>
                <w:color w:val="auto"/>
              </w:rPr>
              <w:t>个别细节需要完善的</w:t>
            </w:r>
            <w:r>
              <w:rPr>
                <w:rFonts w:hint="eastAsia" w:ascii="宋体" w:hAnsi="宋体" w:cs="宋体"/>
                <w:color w:val="auto"/>
                <w:kern w:val="0"/>
              </w:rPr>
              <w:t>得3分；</w:t>
            </w:r>
          </w:p>
          <w:p w14:paraId="280E2DE5">
            <w:pPr>
              <w:spacing w:line="440" w:lineRule="exact"/>
              <w:rPr>
                <w:rFonts w:hint="eastAsia" w:ascii="宋体" w:hAnsi="宋体" w:cs="宋体"/>
                <w:color w:val="auto"/>
                <w:kern w:val="0"/>
              </w:rPr>
            </w:pPr>
            <w:r>
              <w:rPr>
                <w:rFonts w:hint="eastAsia" w:ascii="宋体" w:hAnsi="宋体" w:cs="宋体"/>
                <w:color w:val="auto"/>
                <w:kern w:val="0"/>
              </w:rPr>
              <w:t>3.供应商提供的质保期内售后服务方案内容完整性、灵活性、适用性一般，</w:t>
            </w:r>
            <w:r>
              <w:rPr>
                <w:rFonts w:hint="eastAsia" w:ascii="宋体" w:hAnsi="宋体" w:cs="宋体"/>
                <w:bCs/>
                <w:color w:val="auto"/>
              </w:rPr>
              <w:t>多处内容需要完善</w:t>
            </w:r>
            <w:r>
              <w:rPr>
                <w:rFonts w:hint="eastAsia" w:ascii="宋体" w:hAnsi="宋体" w:cs="宋体"/>
                <w:color w:val="auto"/>
                <w:kern w:val="0"/>
              </w:rPr>
              <w:t>的得1分；</w:t>
            </w:r>
          </w:p>
          <w:p w14:paraId="43037F89">
            <w:pPr>
              <w:spacing w:line="440" w:lineRule="exact"/>
              <w:rPr>
                <w:rFonts w:hint="eastAsia" w:ascii="宋体" w:hAnsi="宋体" w:cs="宋体"/>
                <w:color w:val="auto"/>
                <w:kern w:val="0"/>
              </w:rPr>
            </w:pPr>
            <w:r>
              <w:rPr>
                <w:rFonts w:hint="eastAsia" w:ascii="宋体" w:hAnsi="宋体" w:cs="宋体"/>
                <w:color w:val="auto"/>
                <w:kern w:val="0"/>
              </w:rPr>
              <w:t>4.不提供的不得分。</w:t>
            </w:r>
          </w:p>
        </w:tc>
      </w:tr>
      <w:tr w14:paraId="53EE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0" w:type="dxa"/>
            <w:vMerge w:val="continue"/>
            <w:tcBorders>
              <w:left w:val="single" w:color="auto" w:sz="4" w:space="0"/>
              <w:right w:val="single" w:color="auto" w:sz="4" w:space="0"/>
            </w:tcBorders>
            <w:vAlign w:val="center"/>
          </w:tcPr>
          <w:p w14:paraId="5D884DB7">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511A43AA">
            <w:pPr>
              <w:spacing w:line="440" w:lineRule="exact"/>
              <w:jc w:val="left"/>
              <w:rPr>
                <w:rFonts w:hint="eastAsia" w:ascii="宋体" w:hAnsi="宋体" w:cs="宋体"/>
                <w:bCs/>
                <w:color w:val="auto"/>
              </w:rPr>
            </w:pPr>
          </w:p>
        </w:tc>
        <w:tc>
          <w:tcPr>
            <w:tcW w:w="1208" w:type="dxa"/>
            <w:vMerge w:val="continue"/>
            <w:tcBorders>
              <w:left w:val="single" w:color="auto" w:sz="4" w:space="0"/>
              <w:right w:val="single" w:color="auto" w:sz="4" w:space="0"/>
            </w:tcBorders>
            <w:vAlign w:val="center"/>
          </w:tcPr>
          <w:p w14:paraId="77A2B6F5">
            <w:pPr>
              <w:spacing w:line="440" w:lineRule="exact"/>
              <w:rPr>
                <w:rFonts w:hint="eastAsia" w:ascii="宋体" w:hAnsi="宋体" w:cs="宋体"/>
                <w:color w:val="auto"/>
                <w:kern w:val="0"/>
              </w:rPr>
            </w:pPr>
          </w:p>
        </w:tc>
        <w:tc>
          <w:tcPr>
            <w:tcW w:w="6276" w:type="dxa"/>
            <w:tcBorders>
              <w:top w:val="single" w:color="auto" w:sz="4" w:space="0"/>
              <w:left w:val="single" w:color="auto" w:sz="4" w:space="0"/>
              <w:bottom w:val="single" w:color="auto" w:sz="4" w:space="0"/>
              <w:right w:val="single" w:color="auto" w:sz="4" w:space="0"/>
            </w:tcBorders>
            <w:vAlign w:val="center"/>
          </w:tcPr>
          <w:p w14:paraId="3851CBEA">
            <w:pPr>
              <w:spacing w:line="440" w:lineRule="exact"/>
              <w:rPr>
                <w:rFonts w:hint="eastAsia" w:ascii="宋体" w:hAnsi="宋体" w:cs="宋体"/>
                <w:color w:val="auto"/>
                <w:kern w:val="0"/>
              </w:rPr>
            </w:pPr>
            <w:r>
              <w:rPr>
                <w:rFonts w:hint="eastAsia" w:ascii="宋体" w:hAnsi="宋体" w:cs="宋体"/>
                <w:color w:val="auto"/>
                <w:kern w:val="0"/>
              </w:rPr>
              <w:t>b)质保期外售后服务（5分）</w:t>
            </w:r>
          </w:p>
          <w:p w14:paraId="3508B40A">
            <w:pPr>
              <w:spacing w:line="440" w:lineRule="exact"/>
              <w:rPr>
                <w:rFonts w:hint="eastAsia" w:ascii="宋体" w:hAnsi="宋体" w:cs="宋体"/>
                <w:color w:val="auto"/>
                <w:kern w:val="0"/>
              </w:rPr>
            </w:pPr>
            <w:r>
              <w:rPr>
                <w:rFonts w:hint="eastAsia" w:ascii="宋体" w:hAnsi="宋体" w:cs="宋体"/>
                <w:color w:val="auto"/>
                <w:kern w:val="0"/>
              </w:rPr>
              <w:t>根据各供应商提供的质保期外售后服务方案，包括但不限于质保期外服务的保障措施、服务内容、定期巡检、升级服务、备品备件配备情况等情况。按以下标准进行评审：</w:t>
            </w:r>
          </w:p>
          <w:p w14:paraId="29EFA9EB">
            <w:pPr>
              <w:spacing w:line="440" w:lineRule="exact"/>
              <w:rPr>
                <w:rFonts w:hint="eastAsia" w:ascii="宋体" w:hAnsi="宋体" w:cs="宋体"/>
                <w:color w:val="auto"/>
                <w:kern w:val="0"/>
              </w:rPr>
            </w:pPr>
            <w:r>
              <w:rPr>
                <w:rFonts w:hint="eastAsia" w:ascii="宋体" w:hAnsi="宋体" w:cs="宋体"/>
                <w:color w:val="auto"/>
                <w:kern w:val="0"/>
              </w:rPr>
              <w:t>1.供应商提供的质保期外售后服务方案内容完整、考虑全面周到，措施灵活、多样，响应及时，备品备件配备完善、价格合理，完全满足或优于采购人需求，得5分；</w:t>
            </w:r>
          </w:p>
          <w:p w14:paraId="6A565E61">
            <w:pPr>
              <w:spacing w:line="440" w:lineRule="exact"/>
              <w:rPr>
                <w:rFonts w:hint="eastAsia" w:ascii="宋体" w:hAnsi="宋体" w:cs="宋体"/>
                <w:color w:val="auto"/>
                <w:kern w:val="0"/>
              </w:rPr>
            </w:pPr>
            <w:r>
              <w:rPr>
                <w:rFonts w:hint="eastAsia" w:ascii="宋体" w:hAnsi="宋体" w:cs="宋体"/>
                <w:color w:val="auto"/>
                <w:kern w:val="0"/>
              </w:rPr>
              <w:t>2.供应商提供的质保期外售后服务方案内容完整性、全面性、详细性，措施灵活性、多样性，备品备件配备等，基本满足采购人需求，</w:t>
            </w:r>
            <w:r>
              <w:rPr>
                <w:rFonts w:hint="eastAsia" w:ascii="宋体" w:hAnsi="宋体" w:cs="宋体"/>
                <w:bCs/>
                <w:color w:val="auto"/>
              </w:rPr>
              <w:t>个别细节需要完善的</w:t>
            </w:r>
            <w:r>
              <w:rPr>
                <w:rFonts w:hint="eastAsia" w:ascii="宋体" w:hAnsi="宋体" w:cs="宋体"/>
                <w:color w:val="auto"/>
                <w:kern w:val="0"/>
              </w:rPr>
              <w:t>得3分；</w:t>
            </w:r>
          </w:p>
          <w:p w14:paraId="0E6FB06B">
            <w:pPr>
              <w:spacing w:line="440" w:lineRule="exact"/>
              <w:rPr>
                <w:rFonts w:hint="eastAsia" w:ascii="宋体" w:hAnsi="宋体" w:cs="宋体"/>
                <w:color w:val="auto"/>
                <w:kern w:val="0"/>
              </w:rPr>
            </w:pPr>
            <w:r>
              <w:rPr>
                <w:rFonts w:hint="eastAsia" w:ascii="宋体" w:hAnsi="宋体" w:cs="宋体"/>
                <w:color w:val="auto"/>
                <w:kern w:val="0"/>
              </w:rPr>
              <w:t>3.供应商提供的质保期外售后服务方案内容完整性、全面性、详细性，措施灵活性、多样性及备品备件配备方案一般，</w:t>
            </w:r>
            <w:r>
              <w:rPr>
                <w:rFonts w:hint="eastAsia" w:ascii="宋体" w:hAnsi="宋体" w:cs="宋体"/>
                <w:bCs/>
                <w:color w:val="auto"/>
              </w:rPr>
              <w:t>多处内容需要完善</w:t>
            </w:r>
            <w:r>
              <w:rPr>
                <w:rFonts w:hint="eastAsia" w:ascii="宋体" w:hAnsi="宋体" w:cs="宋体"/>
                <w:color w:val="auto"/>
                <w:kern w:val="0"/>
              </w:rPr>
              <w:t>的得1分；</w:t>
            </w:r>
          </w:p>
          <w:p w14:paraId="6DCFB20A">
            <w:pPr>
              <w:spacing w:line="440" w:lineRule="exact"/>
              <w:rPr>
                <w:rFonts w:hint="eastAsia" w:ascii="宋体" w:hAnsi="宋体" w:cs="宋体"/>
                <w:color w:val="auto"/>
                <w:kern w:val="0"/>
              </w:rPr>
            </w:pPr>
            <w:r>
              <w:rPr>
                <w:rFonts w:hint="eastAsia" w:ascii="宋体" w:hAnsi="宋体" w:cs="宋体"/>
                <w:color w:val="auto"/>
                <w:kern w:val="0"/>
              </w:rPr>
              <w:t>4.不提供的不得分。</w:t>
            </w:r>
          </w:p>
        </w:tc>
      </w:tr>
      <w:tr w14:paraId="218C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90" w:type="dxa"/>
            <w:vMerge w:val="continue"/>
            <w:tcBorders>
              <w:left w:val="single" w:color="auto" w:sz="4" w:space="0"/>
              <w:right w:val="single" w:color="auto" w:sz="4" w:space="0"/>
            </w:tcBorders>
            <w:vAlign w:val="center"/>
          </w:tcPr>
          <w:p w14:paraId="706F0371">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6DE3F0BF">
            <w:pPr>
              <w:spacing w:line="440" w:lineRule="exact"/>
              <w:jc w:val="left"/>
              <w:rPr>
                <w:rFonts w:hint="eastAsia" w:ascii="宋体" w:hAnsi="宋体" w:cs="宋体"/>
                <w:bCs/>
                <w:color w:val="auto"/>
              </w:rPr>
            </w:pPr>
          </w:p>
        </w:tc>
        <w:tc>
          <w:tcPr>
            <w:tcW w:w="1208" w:type="dxa"/>
            <w:vMerge w:val="continue"/>
            <w:tcBorders>
              <w:left w:val="single" w:color="auto" w:sz="4" w:space="0"/>
              <w:right w:val="single" w:color="auto" w:sz="4" w:space="0"/>
            </w:tcBorders>
            <w:vAlign w:val="center"/>
          </w:tcPr>
          <w:p w14:paraId="5C97C266">
            <w:pPr>
              <w:spacing w:line="440" w:lineRule="exact"/>
              <w:rPr>
                <w:rFonts w:hint="eastAsia" w:ascii="宋体" w:hAnsi="宋体" w:cs="宋体"/>
                <w:color w:val="auto"/>
                <w:kern w:val="0"/>
              </w:rPr>
            </w:pPr>
          </w:p>
        </w:tc>
        <w:tc>
          <w:tcPr>
            <w:tcW w:w="6276" w:type="dxa"/>
            <w:tcBorders>
              <w:top w:val="single" w:color="auto" w:sz="4" w:space="0"/>
              <w:left w:val="single" w:color="auto" w:sz="4" w:space="0"/>
              <w:bottom w:val="single" w:color="auto" w:sz="4" w:space="0"/>
              <w:right w:val="single" w:color="auto" w:sz="4" w:space="0"/>
            </w:tcBorders>
          </w:tcPr>
          <w:p w14:paraId="123D8580">
            <w:pPr>
              <w:spacing w:line="440" w:lineRule="exact"/>
              <w:rPr>
                <w:rFonts w:hint="default" w:ascii="宋体" w:hAnsi="宋体" w:eastAsia="宋体" w:cs="宋体"/>
                <w:color w:val="auto"/>
                <w:kern w:val="0"/>
                <w:lang w:val="en-US" w:eastAsia="zh-CN"/>
              </w:rPr>
            </w:pPr>
            <w:r>
              <w:rPr>
                <w:rFonts w:hint="eastAsia" w:ascii="宋体" w:hAnsi="宋体" w:cs="宋体"/>
                <w:color w:val="auto"/>
                <w:kern w:val="0"/>
              </w:rPr>
              <w:t>c）</w:t>
            </w:r>
            <w:r>
              <w:rPr>
                <w:rFonts w:hint="eastAsia" w:ascii="宋体" w:hAnsi="宋体" w:cs="宋体"/>
                <w:color w:val="auto"/>
                <w:kern w:val="0"/>
                <w:lang w:eastAsia="zh-CN"/>
              </w:rPr>
              <w:t>质保期（</w:t>
            </w:r>
            <w:r>
              <w:rPr>
                <w:rFonts w:hint="eastAsia" w:ascii="宋体" w:hAnsi="宋体" w:cs="宋体"/>
                <w:color w:val="auto"/>
                <w:kern w:val="0"/>
                <w:lang w:val="en-US" w:eastAsia="zh-CN"/>
              </w:rPr>
              <w:t>2分）</w:t>
            </w:r>
          </w:p>
          <w:p w14:paraId="4509BC5D">
            <w:pPr>
              <w:spacing w:line="440" w:lineRule="exact"/>
              <w:rPr>
                <w:rFonts w:hint="eastAsia" w:ascii="宋体" w:hAnsi="宋体" w:cs="宋体"/>
                <w:color w:val="auto"/>
                <w:kern w:val="0"/>
              </w:rPr>
            </w:pPr>
            <w:r>
              <w:rPr>
                <w:rFonts w:hint="eastAsia" w:ascii="宋体" w:hAnsi="宋体" w:cs="宋体"/>
                <w:color w:val="auto"/>
                <w:kern w:val="0"/>
              </w:rPr>
              <w:t>承诺</w:t>
            </w:r>
            <w:r>
              <w:rPr>
                <w:rFonts w:hint="eastAsia" w:ascii="宋体" w:hAnsi="宋体" w:cs="宋体"/>
                <w:b/>
                <w:bCs/>
                <w:color w:val="auto"/>
                <w:kern w:val="0"/>
              </w:rPr>
              <w:t>所有投标产品</w:t>
            </w:r>
            <w:r>
              <w:rPr>
                <w:rFonts w:hint="eastAsia" w:ascii="宋体" w:hAnsi="宋体" w:cs="宋体"/>
                <w:color w:val="auto"/>
                <w:kern w:val="0"/>
              </w:rPr>
              <w:t>在满足竞争性磋商文件整体质保期要求（验收合格</w:t>
            </w:r>
            <w:r>
              <w:rPr>
                <w:rFonts w:hint="eastAsia" w:ascii="宋体" w:hAnsi="宋体" w:cs="宋体"/>
                <w:color w:val="auto"/>
                <w:kern w:val="0"/>
                <w:lang w:eastAsia="zh-CN"/>
              </w:rPr>
              <w:t>之日起</w:t>
            </w:r>
            <w:r>
              <w:rPr>
                <w:rFonts w:hint="eastAsia" w:ascii="宋体" w:hAnsi="宋体" w:cs="宋体"/>
                <w:color w:val="auto"/>
                <w:kern w:val="0"/>
              </w:rPr>
              <w:t>质保</w:t>
            </w:r>
            <w:r>
              <w:rPr>
                <w:rFonts w:hint="eastAsia" w:ascii="宋体" w:hAnsi="宋体" w:cs="宋体"/>
                <w:color w:val="auto"/>
                <w:kern w:val="0"/>
                <w:u w:val="single"/>
              </w:rPr>
              <w:t xml:space="preserve"> </w:t>
            </w:r>
            <w:r>
              <w:rPr>
                <w:rFonts w:hint="eastAsia" w:ascii="宋体" w:hAnsi="宋体" w:cs="宋体"/>
                <w:color w:val="auto"/>
                <w:kern w:val="0"/>
                <w:u w:val="single"/>
                <w:lang w:val="en-US" w:eastAsia="zh-CN"/>
              </w:rPr>
              <w:t>3</w:t>
            </w:r>
            <w:r>
              <w:rPr>
                <w:rFonts w:hint="eastAsia" w:ascii="宋体" w:hAnsi="宋体" w:cs="宋体"/>
                <w:color w:val="auto"/>
                <w:kern w:val="0"/>
                <w:u w:val="single"/>
              </w:rPr>
              <w:t xml:space="preserve"> </w:t>
            </w:r>
            <w:r>
              <w:rPr>
                <w:rFonts w:hint="eastAsia" w:ascii="宋体" w:hAnsi="宋体" w:cs="宋体"/>
                <w:color w:val="auto"/>
                <w:kern w:val="0"/>
              </w:rPr>
              <w:t>年）的基础上每增加1年</w:t>
            </w:r>
            <w:r>
              <w:rPr>
                <w:rFonts w:hint="eastAsia" w:cs="宋体"/>
                <w:color w:val="auto"/>
                <w:kern w:val="0"/>
              </w:rPr>
              <w:t>质保期</w:t>
            </w:r>
            <w:r>
              <w:rPr>
                <w:rFonts w:hint="eastAsia" w:ascii="宋体" w:hAnsi="宋体" w:cs="宋体"/>
                <w:color w:val="auto"/>
                <w:kern w:val="0"/>
              </w:rPr>
              <w:t>的得1分，最多得2分</w:t>
            </w:r>
            <w:r>
              <w:rPr>
                <w:rFonts w:hint="eastAsia" w:ascii="宋体" w:hAnsi="宋体" w:cs="宋体"/>
                <w:color w:val="auto"/>
                <w:kern w:val="0"/>
                <w:lang w:eastAsia="zh-CN"/>
              </w:rPr>
              <w:t>，</w:t>
            </w:r>
            <w:r>
              <w:rPr>
                <w:rFonts w:hint="eastAsia" w:ascii="宋体" w:hAnsi="宋体" w:cs="宋体"/>
                <w:color w:val="auto"/>
                <w:kern w:val="0"/>
              </w:rPr>
              <w:t>仅部分产品满足质保要求的，不得分。</w:t>
            </w:r>
          </w:p>
        </w:tc>
      </w:tr>
      <w:tr w14:paraId="4771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990" w:type="dxa"/>
            <w:vMerge w:val="continue"/>
            <w:tcBorders>
              <w:left w:val="single" w:color="auto" w:sz="4" w:space="0"/>
              <w:right w:val="single" w:color="auto" w:sz="4" w:space="0"/>
            </w:tcBorders>
            <w:vAlign w:val="center"/>
          </w:tcPr>
          <w:p w14:paraId="169687C2">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27E2C93D">
            <w:pPr>
              <w:spacing w:line="440" w:lineRule="exact"/>
              <w:jc w:val="left"/>
              <w:rPr>
                <w:rFonts w:hint="eastAsia" w:ascii="宋体" w:hAnsi="宋体" w:cs="宋体"/>
                <w:bCs/>
                <w:color w:val="auto"/>
              </w:rPr>
            </w:pPr>
          </w:p>
        </w:tc>
        <w:tc>
          <w:tcPr>
            <w:tcW w:w="1208" w:type="dxa"/>
            <w:tcBorders>
              <w:left w:val="single" w:color="auto" w:sz="4" w:space="0"/>
              <w:right w:val="single" w:color="auto" w:sz="4" w:space="0"/>
            </w:tcBorders>
            <w:vAlign w:val="center"/>
          </w:tcPr>
          <w:p w14:paraId="424EDFA2">
            <w:pPr>
              <w:adjustRightInd w:val="0"/>
              <w:snapToGrid w:val="0"/>
              <w:spacing w:line="360" w:lineRule="auto"/>
              <w:jc w:val="center"/>
              <w:rPr>
                <w:rFonts w:ascii="宋体" w:hAnsi="宋体" w:cs="宋体"/>
                <w:color w:val="auto"/>
              </w:rPr>
            </w:pPr>
            <w:r>
              <w:rPr>
                <w:rFonts w:hint="eastAsia" w:ascii="宋体" w:hAnsi="宋体" w:cs="宋体"/>
                <w:color w:val="auto"/>
              </w:rPr>
              <w:t>包装、保险及发运、保管方案</w:t>
            </w:r>
          </w:p>
          <w:p w14:paraId="66E625B6">
            <w:pPr>
              <w:adjustRightInd w:val="0"/>
              <w:snapToGrid w:val="0"/>
              <w:spacing w:line="360" w:lineRule="auto"/>
              <w:jc w:val="center"/>
              <w:rPr>
                <w:rFonts w:hint="eastAsia" w:ascii="宋体" w:hAnsi="宋体" w:cs="宋体"/>
                <w:color w:val="auto"/>
              </w:rPr>
            </w:pPr>
            <w:r>
              <w:rPr>
                <w:rFonts w:hint="eastAsia" w:ascii="宋体" w:hAnsi="宋体" w:cs="宋体"/>
                <w:color w:val="auto"/>
              </w:rPr>
              <w:t>（5分）</w:t>
            </w:r>
          </w:p>
        </w:tc>
        <w:tc>
          <w:tcPr>
            <w:tcW w:w="6276" w:type="dxa"/>
            <w:tcBorders>
              <w:top w:val="single" w:color="auto" w:sz="4" w:space="0"/>
              <w:left w:val="single" w:color="auto" w:sz="4" w:space="0"/>
              <w:bottom w:val="single" w:color="auto" w:sz="4" w:space="0"/>
              <w:right w:val="single" w:color="auto" w:sz="4" w:space="0"/>
            </w:tcBorders>
            <w:vAlign w:val="center"/>
          </w:tcPr>
          <w:p w14:paraId="2641AB7C">
            <w:pPr>
              <w:adjustRightInd w:val="0"/>
              <w:snapToGrid w:val="0"/>
              <w:spacing w:line="360" w:lineRule="auto"/>
              <w:ind w:firstLine="218" w:firstLineChars="104"/>
              <w:jc w:val="left"/>
              <w:rPr>
                <w:rFonts w:ascii="宋体" w:hAnsi="宋体" w:cs="宋体"/>
                <w:color w:val="auto"/>
              </w:rPr>
            </w:pPr>
            <w:r>
              <w:rPr>
                <w:rFonts w:hint="eastAsia" w:ascii="宋体" w:hAnsi="宋体" w:cs="宋体"/>
                <w:color w:val="auto"/>
              </w:rPr>
              <w:t xml:space="preserve">针对本项目采购需求，根据供应商制定的方案进行评审： </w:t>
            </w:r>
          </w:p>
          <w:p w14:paraId="405C6AE5">
            <w:pPr>
              <w:adjustRightInd w:val="0"/>
              <w:snapToGrid w:val="0"/>
              <w:spacing w:line="360" w:lineRule="auto"/>
              <w:ind w:firstLine="218" w:firstLineChars="104"/>
              <w:jc w:val="left"/>
              <w:rPr>
                <w:rFonts w:ascii="宋体" w:hAnsi="宋体" w:cs="宋体"/>
                <w:color w:val="auto"/>
              </w:rPr>
            </w:pPr>
            <w:r>
              <w:rPr>
                <w:rFonts w:hint="eastAsia" w:ascii="宋体" w:hAnsi="宋体" w:cs="宋体"/>
                <w:color w:val="auto"/>
              </w:rPr>
              <w:t xml:space="preserve">1.有完善的装卸及运输保障措施，产品装卸及运输确保完好无损，承诺对运输全过程进行投保并明确投保险种，保管措施健全，完全适用且优于本项目采购需求，得5分； </w:t>
            </w:r>
          </w:p>
          <w:p w14:paraId="347DAB88">
            <w:pPr>
              <w:adjustRightInd w:val="0"/>
              <w:snapToGrid w:val="0"/>
              <w:spacing w:line="360" w:lineRule="auto"/>
              <w:ind w:firstLine="218" w:firstLineChars="104"/>
              <w:jc w:val="left"/>
              <w:rPr>
                <w:rFonts w:ascii="宋体" w:hAnsi="宋体" w:cs="宋体"/>
                <w:color w:val="auto"/>
              </w:rPr>
            </w:pPr>
            <w:r>
              <w:rPr>
                <w:rFonts w:ascii="宋体" w:hAnsi="宋体" w:cs="宋体"/>
                <w:color w:val="auto"/>
              </w:rPr>
              <w:t>2.</w:t>
            </w:r>
            <w:r>
              <w:rPr>
                <w:rFonts w:hint="eastAsia" w:ascii="宋体" w:hAnsi="宋体" w:cs="宋体"/>
                <w:color w:val="auto"/>
              </w:rPr>
              <w:t xml:space="preserve">有基本的装卸及运输保障措施，产品装卸及运输可保证基本完好无损，有基本的保管措施，完全适用本项目采购需求，得3分； </w:t>
            </w:r>
          </w:p>
          <w:p w14:paraId="542A602A">
            <w:pPr>
              <w:adjustRightInd w:val="0"/>
              <w:snapToGrid w:val="0"/>
              <w:spacing w:line="360" w:lineRule="auto"/>
              <w:ind w:firstLine="218" w:firstLineChars="104"/>
              <w:jc w:val="left"/>
              <w:rPr>
                <w:rFonts w:ascii="宋体" w:hAnsi="宋体" w:cs="宋体"/>
                <w:color w:val="auto"/>
              </w:rPr>
            </w:pPr>
            <w:r>
              <w:rPr>
                <w:rFonts w:ascii="宋体" w:hAnsi="宋体" w:cs="宋体"/>
                <w:color w:val="auto"/>
              </w:rPr>
              <w:t>3.</w:t>
            </w:r>
            <w:r>
              <w:rPr>
                <w:rFonts w:hint="eastAsia" w:ascii="宋体" w:hAnsi="宋体" w:cs="宋体"/>
                <w:color w:val="auto"/>
              </w:rPr>
              <w:t xml:space="preserve">装卸及运输保障措施简单，产品装卸及运输无法保证完好无损，保管措施不足，不能完全适用本项目采购需求，得1分； </w:t>
            </w:r>
          </w:p>
          <w:p w14:paraId="78B80A57">
            <w:pPr>
              <w:adjustRightInd w:val="0"/>
              <w:snapToGrid w:val="0"/>
              <w:spacing w:line="360" w:lineRule="auto"/>
              <w:ind w:firstLine="218" w:firstLineChars="104"/>
              <w:jc w:val="left"/>
              <w:rPr>
                <w:rFonts w:hint="eastAsia" w:ascii="宋体" w:hAnsi="宋体" w:cs="宋体"/>
                <w:color w:val="auto"/>
              </w:rPr>
            </w:pPr>
            <w:r>
              <w:rPr>
                <w:rFonts w:ascii="宋体" w:hAnsi="宋体" w:cs="宋体"/>
                <w:color w:val="auto"/>
              </w:rPr>
              <w:t>4.</w:t>
            </w:r>
            <w:r>
              <w:rPr>
                <w:rFonts w:hint="eastAsia" w:ascii="宋体" w:hAnsi="宋体" w:cs="宋体"/>
                <w:color w:val="auto"/>
              </w:rPr>
              <w:t>未提供方案，得0分。</w:t>
            </w:r>
          </w:p>
        </w:tc>
      </w:tr>
      <w:tr w14:paraId="001A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90" w:type="dxa"/>
            <w:vMerge w:val="continue"/>
            <w:tcBorders>
              <w:left w:val="single" w:color="auto" w:sz="4" w:space="0"/>
              <w:right w:val="single" w:color="auto" w:sz="4" w:space="0"/>
            </w:tcBorders>
            <w:vAlign w:val="center"/>
          </w:tcPr>
          <w:p w14:paraId="6BFBF6D9">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3C39CB48">
            <w:pPr>
              <w:spacing w:line="440" w:lineRule="exact"/>
              <w:jc w:val="left"/>
              <w:rPr>
                <w:rFonts w:hint="eastAsia" w:ascii="宋体" w:hAnsi="宋体" w:cs="宋体"/>
                <w:bCs/>
                <w:color w:val="auto"/>
              </w:rPr>
            </w:pPr>
          </w:p>
        </w:tc>
        <w:tc>
          <w:tcPr>
            <w:tcW w:w="1208" w:type="dxa"/>
            <w:tcBorders>
              <w:left w:val="single" w:color="auto" w:sz="4" w:space="0"/>
              <w:right w:val="single" w:color="auto" w:sz="4" w:space="0"/>
            </w:tcBorders>
            <w:vAlign w:val="center"/>
          </w:tcPr>
          <w:p w14:paraId="10386AF1">
            <w:pPr>
              <w:spacing w:line="360" w:lineRule="auto"/>
              <w:jc w:val="center"/>
              <w:rPr>
                <w:rFonts w:ascii="宋体" w:hAnsi="宋体" w:cs="宋体"/>
                <w:color w:val="auto"/>
                <w:kern w:val="0"/>
                <w:szCs w:val="20"/>
              </w:rPr>
            </w:pPr>
            <w:r>
              <w:rPr>
                <w:rFonts w:hint="eastAsia" w:ascii="宋体" w:hAnsi="宋体" w:cs="宋体"/>
                <w:color w:val="auto"/>
                <w:kern w:val="0"/>
                <w:szCs w:val="20"/>
              </w:rPr>
              <w:t>安装调试方案</w:t>
            </w:r>
          </w:p>
          <w:p w14:paraId="5F6B5499">
            <w:pPr>
              <w:spacing w:line="360" w:lineRule="auto"/>
              <w:jc w:val="center"/>
              <w:rPr>
                <w:rFonts w:hint="eastAsia" w:ascii="宋体" w:hAnsi="宋体" w:cs="宋体"/>
                <w:color w:val="auto"/>
                <w:kern w:val="0"/>
                <w:szCs w:val="20"/>
              </w:rPr>
            </w:pPr>
            <w:r>
              <w:rPr>
                <w:rFonts w:hint="eastAsia" w:ascii="宋体" w:hAnsi="宋体" w:cs="宋体"/>
                <w:color w:val="auto"/>
                <w:kern w:val="0"/>
                <w:szCs w:val="20"/>
              </w:rPr>
              <w:t>（5分）</w:t>
            </w:r>
          </w:p>
        </w:tc>
        <w:tc>
          <w:tcPr>
            <w:tcW w:w="6276" w:type="dxa"/>
            <w:tcBorders>
              <w:top w:val="single" w:color="auto" w:sz="4" w:space="0"/>
              <w:left w:val="single" w:color="auto" w:sz="4" w:space="0"/>
              <w:bottom w:val="single" w:color="auto" w:sz="4" w:space="0"/>
              <w:right w:val="single" w:color="auto" w:sz="4" w:space="0"/>
            </w:tcBorders>
            <w:vAlign w:val="center"/>
          </w:tcPr>
          <w:p w14:paraId="33996280">
            <w:pPr>
              <w:adjustRightInd w:val="0"/>
              <w:snapToGrid w:val="0"/>
              <w:spacing w:line="360" w:lineRule="auto"/>
              <w:ind w:firstLine="210" w:firstLineChars="100"/>
              <w:jc w:val="left"/>
              <w:rPr>
                <w:rFonts w:ascii="宋体" w:hAnsi="宋体" w:cs="宋体"/>
                <w:color w:val="auto"/>
                <w:kern w:val="0"/>
                <w:szCs w:val="20"/>
              </w:rPr>
            </w:pPr>
            <w:r>
              <w:rPr>
                <w:rFonts w:hint="eastAsia" w:ascii="宋体" w:hAnsi="宋体" w:cs="宋体"/>
                <w:color w:val="auto"/>
                <w:kern w:val="0"/>
                <w:szCs w:val="20"/>
              </w:rPr>
              <w:t xml:space="preserve">针对采购需求中安装调试要求，根据供应商提供的安装调试方案，从方案是否全面、可靠、切实可行；实施步骤、进度安排，安装调试人员安排等方面进行评审： </w:t>
            </w:r>
          </w:p>
          <w:p w14:paraId="1E649814">
            <w:pPr>
              <w:adjustRightInd w:val="0"/>
              <w:snapToGrid w:val="0"/>
              <w:spacing w:line="360" w:lineRule="auto"/>
              <w:ind w:left="5" w:firstLine="215"/>
              <w:jc w:val="left"/>
              <w:rPr>
                <w:rFonts w:ascii="宋体" w:hAnsi="宋体" w:cs="宋体"/>
                <w:color w:val="auto"/>
                <w:kern w:val="0"/>
                <w:szCs w:val="20"/>
              </w:rPr>
            </w:pPr>
            <w:r>
              <w:rPr>
                <w:rFonts w:hint="eastAsia" w:ascii="宋体" w:hAnsi="宋体" w:cs="宋体"/>
                <w:color w:val="auto"/>
                <w:kern w:val="0"/>
                <w:szCs w:val="20"/>
              </w:rPr>
              <w:t xml:space="preserve">1.提供的安装调试方案详细，流程清晰合理，完全符合采购人安装调试要求，得5分； </w:t>
            </w:r>
          </w:p>
          <w:p w14:paraId="142AE6FF">
            <w:pPr>
              <w:adjustRightInd w:val="0"/>
              <w:snapToGrid w:val="0"/>
              <w:spacing w:line="360" w:lineRule="auto"/>
              <w:ind w:left="5" w:firstLine="215"/>
              <w:jc w:val="left"/>
              <w:rPr>
                <w:rFonts w:ascii="宋体" w:hAnsi="宋体" w:cs="宋体"/>
                <w:color w:val="auto"/>
                <w:kern w:val="0"/>
                <w:szCs w:val="20"/>
              </w:rPr>
            </w:pPr>
            <w:r>
              <w:rPr>
                <w:rFonts w:hint="eastAsia" w:ascii="宋体" w:hAnsi="宋体" w:cs="宋体"/>
                <w:color w:val="auto"/>
                <w:kern w:val="0"/>
                <w:szCs w:val="20"/>
              </w:rPr>
              <w:t xml:space="preserve">2.提供的安装调试方案简单，流程基本合理，基本符合采购人安装调试要求，得3分； </w:t>
            </w:r>
          </w:p>
          <w:p w14:paraId="4CEC9329">
            <w:pPr>
              <w:adjustRightInd w:val="0"/>
              <w:snapToGrid w:val="0"/>
              <w:spacing w:line="360" w:lineRule="auto"/>
              <w:ind w:left="5" w:firstLine="215"/>
              <w:jc w:val="left"/>
              <w:rPr>
                <w:rFonts w:ascii="宋体" w:hAnsi="宋体" w:cs="宋体"/>
                <w:color w:val="auto"/>
                <w:kern w:val="0"/>
                <w:szCs w:val="20"/>
              </w:rPr>
            </w:pPr>
            <w:r>
              <w:rPr>
                <w:rFonts w:hint="eastAsia" w:ascii="宋体" w:hAnsi="宋体" w:cs="宋体"/>
                <w:color w:val="auto"/>
                <w:kern w:val="0"/>
                <w:szCs w:val="20"/>
              </w:rPr>
              <w:t>3.提供的安装调试方案粗略，流程不清晰不合理，未</w:t>
            </w:r>
            <w:r>
              <w:rPr>
                <w:rFonts w:hint="eastAsia" w:ascii="宋体" w:hAnsi="宋体" w:cs="宋体"/>
                <w:color w:val="auto"/>
                <w:kern w:val="0"/>
                <w:szCs w:val="20"/>
                <w:lang w:eastAsia="zh-CN"/>
              </w:rPr>
              <w:t>完全符合</w:t>
            </w:r>
            <w:r>
              <w:rPr>
                <w:rFonts w:hint="eastAsia" w:ascii="宋体" w:hAnsi="宋体" w:cs="宋体"/>
                <w:color w:val="auto"/>
                <w:kern w:val="0"/>
                <w:szCs w:val="20"/>
              </w:rPr>
              <w:t>采购人安装调试要求</w:t>
            </w:r>
            <w:r>
              <w:rPr>
                <w:rFonts w:hint="eastAsia" w:ascii="宋体" w:hAnsi="宋体" w:cs="宋体"/>
                <w:color w:val="auto"/>
                <w:kern w:val="0"/>
                <w:szCs w:val="20"/>
                <w:lang w:eastAsia="zh-CN"/>
              </w:rPr>
              <w:t>的</w:t>
            </w:r>
            <w:r>
              <w:rPr>
                <w:rFonts w:hint="eastAsia" w:ascii="宋体" w:hAnsi="宋体" w:cs="宋体"/>
                <w:color w:val="auto"/>
                <w:kern w:val="0"/>
                <w:szCs w:val="20"/>
              </w:rPr>
              <w:t>，得1分；</w:t>
            </w:r>
          </w:p>
          <w:p w14:paraId="2AD67386">
            <w:pPr>
              <w:adjustRightInd w:val="0"/>
              <w:snapToGrid w:val="0"/>
              <w:spacing w:line="360" w:lineRule="auto"/>
              <w:ind w:left="5" w:firstLine="215"/>
              <w:jc w:val="left"/>
              <w:rPr>
                <w:rFonts w:hint="eastAsia" w:ascii="宋体" w:hAnsi="宋体" w:cs="宋体"/>
                <w:color w:val="auto"/>
                <w:kern w:val="0"/>
                <w:szCs w:val="20"/>
              </w:rPr>
            </w:pPr>
            <w:r>
              <w:rPr>
                <w:rFonts w:hint="eastAsia" w:ascii="宋体" w:hAnsi="宋体" w:cs="宋体"/>
                <w:color w:val="auto"/>
                <w:kern w:val="0"/>
                <w:szCs w:val="20"/>
              </w:rPr>
              <w:t>4.</w:t>
            </w:r>
            <w:r>
              <w:rPr>
                <w:rFonts w:hint="eastAsia" w:ascii="宋体" w:hAnsi="宋体" w:cs="宋体"/>
                <w:color w:val="auto"/>
                <w:kern w:val="0"/>
                <w:szCs w:val="20"/>
                <w:lang w:eastAsia="zh-CN"/>
              </w:rPr>
              <w:t>未</w:t>
            </w:r>
            <w:r>
              <w:rPr>
                <w:rFonts w:hint="eastAsia" w:ascii="宋体" w:hAnsi="宋体" w:cs="宋体"/>
                <w:color w:val="auto"/>
                <w:kern w:val="0"/>
                <w:szCs w:val="20"/>
              </w:rPr>
              <w:t>提供方案</w:t>
            </w:r>
            <w:r>
              <w:rPr>
                <w:rFonts w:hint="eastAsia" w:ascii="宋体" w:hAnsi="宋体" w:cs="宋体"/>
                <w:color w:val="auto"/>
                <w:kern w:val="0"/>
                <w:szCs w:val="20"/>
                <w:lang w:eastAsia="zh-CN"/>
              </w:rPr>
              <w:t>，得</w:t>
            </w:r>
            <w:r>
              <w:rPr>
                <w:rFonts w:hint="eastAsia" w:ascii="宋体" w:hAnsi="宋体" w:cs="宋体"/>
                <w:color w:val="auto"/>
                <w:kern w:val="0"/>
                <w:szCs w:val="20"/>
                <w:lang w:val="en-US" w:eastAsia="zh-CN"/>
              </w:rPr>
              <w:t>0分</w:t>
            </w:r>
            <w:r>
              <w:rPr>
                <w:rFonts w:hint="eastAsia" w:ascii="宋体" w:hAnsi="宋体" w:cs="宋体"/>
                <w:color w:val="auto"/>
                <w:kern w:val="0"/>
                <w:szCs w:val="20"/>
              </w:rPr>
              <w:t>。</w:t>
            </w:r>
          </w:p>
        </w:tc>
      </w:tr>
      <w:tr w14:paraId="0F64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5" w:hRule="atLeast"/>
          <w:jc w:val="center"/>
        </w:trPr>
        <w:tc>
          <w:tcPr>
            <w:tcW w:w="990" w:type="dxa"/>
            <w:vMerge w:val="continue"/>
            <w:tcBorders>
              <w:left w:val="single" w:color="auto" w:sz="4" w:space="0"/>
              <w:right w:val="single" w:color="auto" w:sz="4" w:space="0"/>
            </w:tcBorders>
            <w:vAlign w:val="center"/>
          </w:tcPr>
          <w:p w14:paraId="1726555E">
            <w:pPr>
              <w:spacing w:line="440" w:lineRule="exact"/>
              <w:jc w:val="left"/>
              <w:rPr>
                <w:rFonts w:hint="eastAsia" w:ascii="宋体" w:hAnsi="宋体" w:cs="宋体"/>
                <w:bCs/>
                <w:color w:val="auto"/>
              </w:rPr>
            </w:pPr>
          </w:p>
        </w:tc>
        <w:tc>
          <w:tcPr>
            <w:tcW w:w="483" w:type="dxa"/>
            <w:vMerge w:val="continue"/>
            <w:tcBorders>
              <w:left w:val="single" w:color="auto" w:sz="4" w:space="0"/>
              <w:right w:val="single" w:color="auto" w:sz="4" w:space="0"/>
            </w:tcBorders>
            <w:vAlign w:val="center"/>
          </w:tcPr>
          <w:p w14:paraId="34A5BD95">
            <w:pPr>
              <w:spacing w:line="440" w:lineRule="exact"/>
              <w:jc w:val="left"/>
              <w:rPr>
                <w:rFonts w:hint="eastAsia" w:ascii="宋体" w:hAnsi="宋体" w:cs="宋体"/>
                <w:bCs/>
                <w:color w:val="auto"/>
              </w:rPr>
            </w:pPr>
          </w:p>
        </w:tc>
        <w:tc>
          <w:tcPr>
            <w:tcW w:w="1208" w:type="dxa"/>
            <w:tcBorders>
              <w:left w:val="single" w:color="auto" w:sz="4" w:space="0"/>
              <w:right w:val="single" w:color="auto" w:sz="4" w:space="0"/>
            </w:tcBorders>
            <w:vAlign w:val="center"/>
          </w:tcPr>
          <w:p w14:paraId="5566DB72">
            <w:pPr>
              <w:adjustRightInd w:val="0"/>
              <w:snapToGrid w:val="0"/>
              <w:spacing w:line="360" w:lineRule="auto"/>
              <w:jc w:val="center"/>
              <w:rPr>
                <w:rFonts w:ascii="宋体" w:hAnsi="宋体" w:cs="宋体"/>
                <w:color w:val="auto"/>
              </w:rPr>
            </w:pPr>
            <w:r>
              <w:rPr>
                <w:rFonts w:hint="eastAsia" w:ascii="宋体" w:hAnsi="宋体" w:cs="宋体"/>
                <w:color w:val="auto"/>
              </w:rPr>
              <w:t>技术培训方案</w:t>
            </w:r>
          </w:p>
          <w:p w14:paraId="65FD7A0E">
            <w:pPr>
              <w:adjustRightInd w:val="0"/>
              <w:snapToGrid w:val="0"/>
              <w:spacing w:line="360" w:lineRule="auto"/>
              <w:jc w:val="center"/>
              <w:rPr>
                <w:rFonts w:hint="eastAsia" w:ascii="宋体" w:hAnsi="宋体" w:cs="宋体"/>
                <w:color w:val="auto"/>
              </w:rPr>
            </w:pPr>
            <w:r>
              <w:rPr>
                <w:rFonts w:hint="eastAsia" w:ascii="宋体" w:hAnsi="宋体" w:cs="宋体"/>
                <w:color w:val="auto"/>
              </w:rPr>
              <w:t>（5分）</w:t>
            </w:r>
          </w:p>
        </w:tc>
        <w:tc>
          <w:tcPr>
            <w:tcW w:w="6276" w:type="dxa"/>
            <w:tcBorders>
              <w:top w:val="single" w:color="auto" w:sz="4" w:space="0"/>
              <w:left w:val="single" w:color="auto" w:sz="4" w:space="0"/>
              <w:bottom w:val="single" w:color="auto" w:sz="4" w:space="0"/>
              <w:right w:val="single" w:color="auto" w:sz="4" w:space="0"/>
            </w:tcBorders>
            <w:vAlign w:val="center"/>
          </w:tcPr>
          <w:p w14:paraId="48405C87">
            <w:pPr>
              <w:adjustRightInd w:val="0"/>
              <w:snapToGrid w:val="0"/>
              <w:spacing w:line="360" w:lineRule="auto"/>
              <w:ind w:firstLine="218" w:firstLineChars="104"/>
              <w:jc w:val="left"/>
              <w:rPr>
                <w:rFonts w:ascii="宋体" w:hAnsi="宋体" w:cs="宋体"/>
                <w:color w:val="auto"/>
              </w:rPr>
            </w:pPr>
            <w:r>
              <w:rPr>
                <w:rFonts w:hint="eastAsia" w:ascii="宋体" w:hAnsi="宋体" w:cs="宋体"/>
                <w:color w:val="auto"/>
              </w:rPr>
              <w:t>根据供应商提供的技术培训方案（包括但不限于培训内容、培训安排、培训时长、培训次数、培训人员数量、人员达到的水平等内容）进行综合评价：</w:t>
            </w:r>
          </w:p>
          <w:p w14:paraId="682A8108">
            <w:pPr>
              <w:adjustRightInd w:val="0"/>
              <w:snapToGrid w:val="0"/>
              <w:spacing w:line="360" w:lineRule="auto"/>
              <w:ind w:firstLine="218" w:firstLineChars="104"/>
              <w:jc w:val="left"/>
              <w:rPr>
                <w:rFonts w:ascii="宋体" w:hAnsi="宋体" w:cs="宋体"/>
                <w:color w:val="auto"/>
              </w:rPr>
            </w:pPr>
            <w:r>
              <w:rPr>
                <w:rFonts w:ascii="宋体" w:hAnsi="宋体" w:cs="宋体"/>
                <w:color w:val="auto"/>
              </w:rPr>
              <w:t>1.</w:t>
            </w:r>
            <w:r>
              <w:rPr>
                <w:rFonts w:hint="eastAsia" w:ascii="宋体" w:hAnsi="宋体" w:cs="宋体"/>
                <w:color w:val="auto"/>
              </w:rPr>
              <w:t xml:space="preserve">方案全面、科学合理，内容详细、具体，各项工作安排科学、合理；有完善的计划安排，完全满足项目需求的，得5分； </w:t>
            </w:r>
          </w:p>
          <w:p w14:paraId="41A4EF84">
            <w:pPr>
              <w:adjustRightInd w:val="0"/>
              <w:snapToGrid w:val="0"/>
              <w:spacing w:line="360" w:lineRule="auto"/>
              <w:ind w:firstLine="218" w:firstLineChars="104"/>
              <w:jc w:val="left"/>
              <w:rPr>
                <w:rFonts w:ascii="宋体" w:hAnsi="宋体" w:cs="宋体"/>
                <w:color w:val="auto"/>
              </w:rPr>
            </w:pPr>
            <w:r>
              <w:rPr>
                <w:rFonts w:ascii="宋体" w:hAnsi="宋体" w:cs="宋体"/>
                <w:color w:val="auto"/>
              </w:rPr>
              <w:t>2.</w:t>
            </w:r>
            <w:r>
              <w:rPr>
                <w:rFonts w:hint="eastAsia" w:ascii="宋体" w:hAnsi="宋体" w:cs="宋体"/>
                <w:color w:val="auto"/>
              </w:rPr>
              <w:t>方案基本全面、合理，内容比较详细，各项工作安排合理，有相应的计划安排，基本满足项目需求的，得3分；</w:t>
            </w:r>
          </w:p>
          <w:p w14:paraId="6F856C19">
            <w:pPr>
              <w:adjustRightInd w:val="0"/>
              <w:snapToGrid w:val="0"/>
              <w:spacing w:line="360" w:lineRule="auto"/>
              <w:ind w:firstLine="218" w:firstLineChars="104"/>
              <w:jc w:val="left"/>
              <w:rPr>
                <w:rFonts w:ascii="宋体" w:hAnsi="宋体" w:cs="宋体"/>
                <w:color w:val="auto"/>
              </w:rPr>
            </w:pPr>
            <w:r>
              <w:rPr>
                <w:rFonts w:ascii="宋体" w:hAnsi="宋体" w:cs="宋体"/>
                <w:color w:val="auto"/>
              </w:rPr>
              <w:t>3.</w:t>
            </w:r>
            <w:r>
              <w:rPr>
                <w:rFonts w:hint="eastAsia" w:ascii="宋体" w:hAnsi="宋体" w:cs="宋体"/>
                <w:color w:val="auto"/>
              </w:rPr>
              <w:t xml:space="preserve">方案不全面，内容不详细；各项工作安排不合理，无具体计划安排，可行性较差，得1分； </w:t>
            </w:r>
          </w:p>
          <w:p w14:paraId="6C90F06B">
            <w:pPr>
              <w:adjustRightInd w:val="0"/>
              <w:snapToGrid w:val="0"/>
              <w:spacing w:line="360" w:lineRule="auto"/>
              <w:ind w:firstLine="218" w:firstLineChars="104"/>
              <w:jc w:val="left"/>
              <w:rPr>
                <w:rFonts w:hint="eastAsia" w:ascii="宋体" w:hAnsi="宋体" w:cs="宋体"/>
                <w:color w:val="auto"/>
              </w:rPr>
            </w:pPr>
            <w:r>
              <w:rPr>
                <w:rFonts w:ascii="宋体" w:hAnsi="宋体" w:cs="宋体"/>
                <w:color w:val="auto"/>
              </w:rPr>
              <w:t>4.</w:t>
            </w:r>
            <w:r>
              <w:rPr>
                <w:rFonts w:hint="eastAsia" w:ascii="宋体" w:hAnsi="宋体" w:cs="宋体"/>
                <w:color w:val="auto"/>
              </w:rPr>
              <w:t>未提供方案，得0分。</w:t>
            </w:r>
          </w:p>
        </w:tc>
      </w:tr>
      <w:bookmarkEnd w:id="707"/>
    </w:tbl>
    <w:p w14:paraId="64479E7E">
      <w:pPr>
        <w:ind w:firstLine="482"/>
        <w:rPr>
          <w:rFonts w:hint="eastAsia" w:ascii="宋体" w:hAnsi="宋体"/>
          <w:b/>
          <w:color w:val="auto"/>
          <w:sz w:val="24"/>
          <w:szCs w:val="24"/>
        </w:rPr>
      </w:pPr>
    </w:p>
    <w:p w14:paraId="2A9841AF">
      <w:pPr>
        <w:pStyle w:val="114"/>
        <w:spacing w:before="0" w:line="360" w:lineRule="auto"/>
        <w:rPr>
          <w:rFonts w:hint="eastAsia" w:ascii="宋体" w:hAnsi="宋体" w:eastAsia="宋体"/>
          <w:b/>
          <w:bCs w:val="0"/>
          <w:color w:val="auto"/>
          <w:sz w:val="21"/>
          <w:szCs w:val="21"/>
        </w:rPr>
      </w:pPr>
      <w:bookmarkStart w:id="708" w:name="_Toc27993"/>
      <w:r>
        <w:rPr>
          <w:rFonts w:hint="eastAsia" w:ascii="宋体" w:hAnsi="宋体" w:eastAsia="宋体"/>
          <w:b/>
          <w:bCs w:val="0"/>
          <w:color w:val="auto"/>
          <w:sz w:val="21"/>
          <w:szCs w:val="21"/>
        </w:rPr>
        <w:br w:type="page"/>
      </w:r>
      <w:bookmarkStart w:id="709" w:name="_Toc25069"/>
      <w:r>
        <w:rPr>
          <w:rFonts w:hint="eastAsia" w:ascii="宋体" w:hAnsi="宋体" w:eastAsia="宋体"/>
          <w:b/>
          <w:bCs w:val="0"/>
          <w:color w:val="auto"/>
          <w:sz w:val="21"/>
          <w:szCs w:val="21"/>
        </w:rPr>
        <w:t>1.评审方法</w:t>
      </w:r>
      <w:bookmarkEnd w:id="708"/>
      <w:bookmarkEnd w:id="709"/>
    </w:p>
    <w:p w14:paraId="2E1C9E5B">
      <w:pPr>
        <w:spacing w:line="360" w:lineRule="auto"/>
        <w:ind w:firstLine="420" w:firstLineChars="200"/>
        <w:rPr>
          <w:rFonts w:hint="eastAsia" w:ascii="宋体" w:hAnsi="宋体"/>
          <w:color w:val="auto"/>
        </w:rPr>
      </w:pPr>
      <w:r>
        <w:rPr>
          <w:rFonts w:hint="eastAsia" w:ascii="宋体" w:hAnsi="宋体"/>
          <w:color w:val="auto"/>
        </w:rPr>
        <w:t>本次评审采用综合评分法。磋商小组对满足磋商文件实质性要求的响应文件，按照本章规定的评分标准进行打分，并按得分由高到低顺序推荐成交候选人，</w:t>
      </w:r>
      <w:r>
        <w:rPr>
          <w:rFonts w:hint="eastAsia" w:ascii="宋体" w:hAnsi="宋体"/>
          <w:color w:val="auto"/>
          <w:kern w:val="0"/>
        </w:rPr>
        <w:t>综合评分相等时，以报价得分高的优先；报价得分也相等的，由采购人自行确定。</w:t>
      </w:r>
    </w:p>
    <w:p w14:paraId="1AF3E35A">
      <w:pPr>
        <w:pStyle w:val="114"/>
        <w:spacing w:before="0" w:line="360" w:lineRule="auto"/>
        <w:rPr>
          <w:rFonts w:hint="eastAsia" w:ascii="宋体" w:hAnsi="宋体" w:eastAsia="宋体"/>
          <w:b/>
          <w:bCs w:val="0"/>
          <w:color w:val="auto"/>
          <w:sz w:val="21"/>
          <w:szCs w:val="21"/>
        </w:rPr>
      </w:pPr>
      <w:bookmarkStart w:id="710" w:name="_Toc455867817"/>
      <w:bookmarkEnd w:id="710"/>
      <w:bookmarkStart w:id="711" w:name="_Toc509667307"/>
      <w:bookmarkEnd w:id="711"/>
      <w:bookmarkStart w:id="712" w:name="_Toc152045601"/>
      <w:bookmarkEnd w:id="712"/>
      <w:bookmarkStart w:id="713" w:name="_Toc15132"/>
      <w:bookmarkEnd w:id="713"/>
      <w:bookmarkStart w:id="714" w:name="_Toc24936"/>
      <w:bookmarkEnd w:id="714"/>
      <w:bookmarkStart w:id="715" w:name="_Toc144974568"/>
      <w:bookmarkEnd w:id="715"/>
      <w:bookmarkStart w:id="716" w:name="_Toc490667876"/>
      <w:bookmarkEnd w:id="716"/>
      <w:bookmarkStart w:id="717" w:name="_Toc152042378"/>
      <w:bookmarkEnd w:id="717"/>
      <w:bookmarkStart w:id="718" w:name="_Toc455080157"/>
      <w:bookmarkEnd w:id="718"/>
      <w:bookmarkStart w:id="719" w:name="_Toc466298140"/>
      <w:bookmarkEnd w:id="719"/>
      <w:bookmarkStart w:id="720" w:name="_Toc281405529"/>
      <w:bookmarkEnd w:id="720"/>
      <w:bookmarkStart w:id="721" w:name="_Toc5189"/>
      <w:bookmarkStart w:id="722" w:name="_Toc32037"/>
      <w:bookmarkStart w:id="723" w:name="_Toc9608"/>
      <w:bookmarkStart w:id="724" w:name="_Toc25314"/>
      <w:bookmarkStart w:id="725" w:name="_Toc318450723"/>
      <w:bookmarkStart w:id="726" w:name="_Toc5180"/>
      <w:bookmarkStart w:id="727" w:name="_Toc6215"/>
      <w:r>
        <w:rPr>
          <w:rFonts w:hint="eastAsia" w:ascii="宋体" w:hAnsi="宋体" w:eastAsia="宋体"/>
          <w:b/>
          <w:bCs w:val="0"/>
          <w:color w:val="auto"/>
          <w:sz w:val="21"/>
          <w:szCs w:val="21"/>
        </w:rPr>
        <w:t>2. 评审标准</w:t>
      </w:r>
      <w:bookmarkEnd w:id="721"/>
      <w:bookmarkEnd w:id="722"/>
      <w:bookmarkEnd w:id="723"/>
      <w:bookmarkEnd w:id="724"/>
      <w:bookmarkEnd w:id="725"/>
      <w:bookmarkEnd w:id="726"/>
      <w:bookmarkEnd w:id="727"/>
    </w:p>
    <w:p w14:paraId="1965A274">
      <w:pPr>
        <w:pStyle w:val="102"/>
        <w:spacing w:line="360" w:lineRule="auto"/>
        <w:rPr>
          <w:rFonts w:hint="eastAsia" w:ascii="宋体" w:hAnsi="宋体" w:eastAsia="宋体"/>
          <w:color w:val="auto"/>
          <w:sz w:val="21"/>
          <w:szCs w:val="21"/>
        </w:rPr>
      </w:pPr>
      <w:bookmarkStart w:id="728" w:name="_Toc19934"/>
      <w:bookmarkEnd w:id="728"/>
      <w:bookmarkStart w:id="729" w:name="_Toc455080158"/>
      <w:bookmarkEnd w:id="729"/>
      <w:bookmarkStart w:id="730" w:name="_Toc15813"/>
      <w:bookmarkEnd w:id="730"/>
      <w:bookmarkStart w:id="731" w:name="_Toc490667877"/>
      <w:bookmarkEnd w:id="731"/>
      <w:bookmarkStart w:id="732" w:name="_Toc509667308"/>
      <w:bookmarkEnd w:id="732"/>
      <w:bookmarkStart w:id="733" w:name="_Toc152045602"/>
      <w:bookmarkEnd w:id="733"/>
      <w:bookmarkStart w:id="734" w:name="_Toc31037"/>
      <w:bookmarkEnd w:id="734"/>
      <w:bookmarkStart w:id="735" w:name="_Toc144974569"/>
      <w:bookmarkEnd w:id="735"/>
      <w:bookmarkStart w:id="736" w:name="_Toc318450724"/>
      <w:bookmarkEnd w:id="736"/>
      <w:bookmarkStart w:id="737" w:name="_Toc281405530"/>
      <w:bookmarkEnd w:id="737"/>
      <w:bookmarkStart w:id="738" w:name="_Toc455867818"/>
      <w:bookmarkEnd w:id="738"/>
      <w:bookmarkStart w:id="739" w:name="_Toc25637"/>
      <w:bookmarkEnd w:id="739"/>
      <w:bookmarkStart w:id="740" w:name="_Toc21120"/>
      <w:bookmarkEnd w:id="740"/>
      <w:bookmarkStart w:id="741" w:name="_Toc466298141"/>
      <w:bookmarkEnd w:id="741"/>
      <w:bookmarkStart w:id="742" w:name="_Toc129073510"/>
      <w:bookmarkStart w:id="743" w:name="_Toc152042379"/>
      <w:bookmarkStart w:id="744" w:name="_Toc29460"/>
      <w:r>
        <w:rPr>
          <w:rFonts w:hint="eastAsia" w:ascii="宋体" w:hAnsi="宋体" w:eastAsia="宋体"/>
          <w:color w:val="auto"/>
          <w:sz w:val="21"/>
          <w:szCs w:val="21"/>
        </w:rPr>
        <w:t>2.1 初步评审标准</w:t>
      </w:r>
      <w:bookmarkEnd w:id="742"/>
      <w:bookmarkEnd w:id="743"/>
      <w:bookmarkEnd w:id="744"/>
    </w:p>
    <w:p w14:paraId="6B15FCCD">
      <w:pPr>
        <w:spacing w:line="360" w:lineRule="auto"/>
        <w:ind w:firstLine="420" w:firstLineChars="200"/>
        <w:rPr>
          <w:rFonts w:hint="eastAsia" w:ascii="宋体" w:hAnsi="宋体"/>
          <w:color w:val="auto"/>
        </w:rPr>
      </w:pPr>
      <w:r>
        <w:rPr>
          <w:rFonts w:hint="eastAsia" w:ascii="宋体" w:hAnsi="宋体"/>
          <w:color w:val="auto"/>
        </w:rPr>
        <w:t>2.1.1 资格性检查评审标准：见评审办法前附表。</w:t>
      </w:r>
    </w:p>
    <w:p w14:paraId="45903B4F">
      <w:pPr>
        <w:spacing w:line="360" w:lineRule="auto"/>
        <w:ind w:firstLine="420" w:firstLineChars="200"/>
        <w:rPr>
          <w:rFonts w:hint="eastAsia" w:ascii="宋体" w:hAnsi="宋体"/>
          <w:color w:val="auto"/>
        </w:rPr>
      </w:pPr>
      <w:r>
        <w:rPr>
          <w:rFonts w:hint="eastAsia" w:ascii="宋体" w:hAnsi="宋体"/>
          <w:color w:val="auto"/>
        </w:rPr>
        <w:t>2.1.2 符合性检查评审标准：见评审办法前附表。</w:t>
      </w:r>
    </w:p>
    <w:p w14:paraId="494022AF">
      <w:pPr>
        <w:pStyle w:val="102"/>
        <w:spacing w:line="360" w:lineRule="auto"/>
        <w:rPr>
          <w:rFonts w:hint="eastAsia" w:ascii="宋体" w:hAnsi="宋体" w:eastAsia="宋体"/>
          <w:color w:val="auto"/>
          <w:sz w:val="21"/>
          <w:szCs w:val="21"/>
        </w:rPr>
      </w:pPr>
      <w:bookmarkStart w:id="745" w:name="_Toc466298142"/>
      <w:bookmarkEnd w:id="745"/>
      <w:bookmarkStart w:id="746" w:name="_Toc455080159"/>
      <w:bookmarkEnd w:id="746"/>
      <w:bookmarkStart w:id="747" w:name="_Toc318450725"/>
      <w:bookmarkEnd w:id="747"/>
      <w:bookmarkStart w:id="748" w:name="_Toc11061"/>
      <w:bookmarkEnd w:id="748"/>
      <w:bookmarkStart w:id="749" w:name="_Toc25492"/>
      <w:bookmarkEnd w:id="749"/>
      <w:bookmarkStart w:id="750" w:name="_Toc152042380"/>
      <w:bookmarkEnd w:id="750"/>
      <w:bookmarkStart w:id="751" w:name="_Toc30189"/>
      <w:bookmarkEnd w:id="751"/>
      <w:bookmarkStart w:id="752" w:name="_Toc144974570"/>
      <w:bookmarkEnd w:id="752"/>
      <w:bookmarkStart w:id="753" w:name="_Toc455867819"/>
      <w:bookmarkEnd w:id="753"/>
      <w:bookmarkStart w:id="754" w:name="_Toc152045603"/>
      <w:bookmarkEnd w:id="754"/>
      <w:bookmarkStart w:id="755" w:name="_Toc12013"/>
      <w:bookmarkEnd w:id="755"/>
      <w:bookmarkStart w:id="756" w:name="_Toc281405531"/>
      <w:bookmarkEnd w:id="756"/>
      <w:bookmarkStart w:id="757" w:name="_Toc22439"/>
      <w:bookmarkEnd w:id="757"/>
      <w:bookmarkStart w:id="758" w:name="_Toc509667309"/>
      <w:bookmarkEnd w:id="758"/>
      <w:bookmarkStart w:id="759" w:name="_Toc3544"/>
      <w:bookmarkStart w:id="760" w:name="_Toc129073511"/>
      <w:bookmarkStart w:id="761" w:name="_Toc490667878"/>
      <w:r>
        <w:rPr>
          <w:rFonts w:hint="eastAsia" w:ascii="宋体" w:hAnsi="宋体" w:eastAsia="宋体"/>
          <w:color w:val="auto"/>
          <w:sz w:val="21"/>
          <w:szCs w:val="21"/>
        </w:rPr>
        <w:t>2.2 分值构成与评分标准</w:t>
      </w:r>
      <w:bookmarkEnd w:id="759"/>
      <w:bookmarkEnd w:id="760"/>
      <w:bookmarkEnd w:id="761"/>
    </w:p>
    <w:p w14:paraId="3C7F7D60">
      <w:pPr>
        <w:spacing w:line="360" w:lineRule="auto"/>
        <w:ind w:firstLine="420" w:firstLineChars="200"/>
        <w:rPr>
          <w:rFonts w:hint="eastAsia" w:ascii="宋体" w:hAnsi="宋体"/>
          <w:color w:val="auto"/>
        </w:rPr>
      </w:pPr>
      <w:r>
        <w:rPr>
          <w:rFonts w:hint="eastAsia" w:ascii="宋体" w:hAnsi="宋体"/>
          <w:color w:val="auto"/>
        </w:rPr>
        <w:t>（1）磋商报价：见评审办法前附表</w:t>
      </w:r>
    </w:p>
    <w:p w14:paraId="01F991A3">
      <w:pPr>
        <w:spacing w:line="360" w:lineRule="auto"/>
        <w:ind w:firstLine="420" w:firstLineChars="200"/>
        <w:rPr>
          <w:rFonts w:hint="eastAsia" w:ascii="宋体" w:hAnsi="宋体"/>
          <w:color w:val="auto"/>
        </w:rPr>
      </w:pPr>
      <w:r>
        <w:rPr>
          <w:rFonts w:hint="eastAsia" w:ascii="宋体" w:hAnsi="宋体"/>
          <w:color w:val="auto"/>
        </w:rPr>
        <w:t>（2）技术部分：见评审办法前附表；</w:t>
      </w:r>
    </w:p>
    <w:p w14:paraId="5E54D1CF">
      <w:pPr>
        <w:spacing w:line="360" w:lineRule="auto"/>
        <w:ind w:firstLine="420" w:firstLineChars="200"/>
        <w:rPr>
          <w:rFonts w:hint="eastAsia" w:ascii="宋体" w:hAnsi="宋体"/>
          <w:color w:val="auto"/>
        </w:rPr>
      </w:pPr>
      <w:r>
        <w:rPr>
          <w:rFonts w:hint="eastAsia" w:ascii="宋体" w:hAnsi="宋体"/>
          <w:color w:val="auto"/>
        </w:rPr>
        <w:t>（3）综合部分：见评审办法前附表；</w:t>
      </w:r>
    </w:p>
    <w:p w14:paraId="7701E9DC">
      <w:pPr>
        <w:pStyle w:val="114"/>
        <w:spacing w:before="0" w:line="360" w:lineRule="auto"/>
        <w:rPr>
          <w:rFonts w:hint="eastAsia" w:ascii="宋体" w:hAnsi="宋体" w:eastAsia="宋体"/>
          <w:b/>
          <w:bCs w:val="0"/>
          <w:color w:val="auto"/>
          <w:sz w:val="21"/>
          <w:szCs w:val="21"/>
        </w:rPr>
      </w:pPr>
      <w:bookmarkStart w:id="762" w:name="_Toc455080160"/>
      <w:bookmarkEnd w:id="762"/>
      <w:bookmarkStart w:id="763" w:name="_Toc281405532"/>
      <w:bookmarkEnd w:id="763"/>
      <w:bookmarkStart w:id="764" w:name="_Toc509667310"/>
      <w:bookmarkEnd w:id="764"/>
      <w:bookmarkStart w:id="765" w:name="_Toc490667879"/>
      <w:bookmarkEnd w:id="765"/>
      <w:bookmarkStart w:id="766" w:name="_Toc318450726"/>
      <w:bookmarkEnd w:id="766"/>
      <w:bookmarkStart w:id="767" w:name="_Toc455867820"/>
      <w:bookmarkEnd w:id="767"/>
      <w:bookmarkStart w:id="768" w:name="_Toc466298143"/>
      <w:bookmarkEnd w:id="768"/>
      <w:bookmarkStart w:id="769" w:name="_Toc17308"/>
      <w:bookmarkEnd w:id="769"/>
      <w:bookmarkStart w:id="770" w:name="_Toc21443"/>
      <w:bookmarkStart w:id="771" w:name="_Toc5017"/>
      <w:bookmarkStart w:id="772" w:name="_Toc26163"/>
      <w:bookmarkStart w:id="773" w:name="_Toc4330"/>
      <w:bookmarkStart w:id="774" w:name="_Toc16505"/>
      <w:bookmarkStart w:id="775" w:name="_Toc9595"/>
      <w:bookmarkStart w:id="776" w:name="_Toc2305"/>
      <w:r>
        <w:rPr>
          <w:rFonts w:hint="eastAsia" w:ascii="宋体" w:hAnsi="宋体" w:eastAsia="宋体"/>
          <w:b/>
          <w:bCs w:val="0"/>
          <w:color w:val="auto"/>
          <w:sz w:val="21"/>
          <w:szCs w:val="21"/>
        </w:rPr>
        <w:t>3. 评审程序</w:t>
      </w:r>
      <w:bookmarkEnd w:id="770"/>
      <w:bookmarkEnd w:id="771"/>
      <w:bookmarkEnd w:id="772"/>
      <w:bookmarkEnd w:id="773"/>
      <w:bookmarkEnd w:id="774"/>
      <w:bookmarkEnd w:id="775"/>
      <w:bookmarkEnd w:id="776"/>
    </w:p>
    <w:p w14:paraId="1F7590D7">
      <w:pPr>
        <w:pStyle w:val="102"/>
        <w:spacing w:line="360" w:lineRule="auto"/>
        <w:rPr>
          <w:rFonts w:hint="eastAsia" w:ascii="宋体" w:hAnsi="宋体" w:eastAsia="宋体"/>
          <w:b/>
          <w:bCs/>
          <w:color w:val="auto"/>
          <w:sz w:val="21"/>
          <w:szCs w:val="21"/>
        </w:rPr>
      </w:pPr>
      <w:bookmarkStart w:id="777" w:name="_Toc14633"/>
      <w:bookmarkEnd w:id="777"/>
      <w:bookmarkStart w:id="778" w:name="_Toc509667311"/>
      <w:bookmarkEnd w:id="778"/>
      <w:bookmarkStart w:id="779" w:name="_Toc490667880"/>
      <w:bookmarkEnd w:id="779"/>
      <w:bookmarkStart w:id="780" w:name="_Toc30986"/>
      <w:bookmarkEnd w:id="780"/>
      <w:bookmarkStart w:id="781" w:name="_Toc455080161"/>
      <w:bookmarkEnd w:id="781"/>
      <w:bookmarkStart w:id="782" w:name="_Toc7272"/>
      <w:bookmarkEnd w:id="782"/>
      <w:bookmarkStart w:id="783" w:name="_Toc455867821"/>
      <w:bookmarkEnd w:id="783"/>
      <w:bookmarkStart w:id="784" w:name="_Toc281405533"/>
      <w:bookmarkEnd w:id="784"/>
      <w:bookmarkStart w:id="785" w:name="_Toc18886"/>
      <w:bookmarkEnd w:id="785"/>
      <w:bookmarkStart w:id="786" w:name="_Toc466298144"/>
      <w:bookmarkEnd w:id="786"/>
      <w:bookmarkStart w:id="787" w:name="_Toc318450727"/>
      <w:bookmarkEnd w:id="787"/>
      <w:bookmarkStart w:id="788" w:name="_Toc29614"/>
      <w:bookmarkEnd w:id="788"/>
      <w:bookmarkStart w:id="789" w:name="_Toc23431"/>
      <w:bookmarkStart w:id="790" w:name="_Toc129073513"/>
      <w:bookmarkStart w:id="791" w:name="_Toc5427"/>
      <w:r>
        <w:rPr>
          <w:rFonts w:hint="eastAsia" w:ascii="宋体" w:hAnsi="宋体" w:eastAsia="宋体"/>
          <w:b/>
          <w:bCs/>
          <w:color w:val="auto"/>
          <w:sz w:val="21"/>
          <w:szCs w:val="21"/>
        </w:rPr>
        <w:t>3.1 初步评审</w:t>
      </w:r>
      <w:bookmarkEnd w:id="789"/>
      <w:bookmarkEnd w:id="790"/>
      <w:bookmarkEnd w:id="791"/>
    </w:p>
    <w:p w14:paraId="7C423B94">
      <w:pPr>
        <w:spacing w:line="360" w:lineRule="auto"/>
        <w:ind w:firstLine="420" w:firstLineChars="200"/>
        <w:rPr>
          <w:rFonts w:hint="eastAsia" w:ascii="宋体" w:hAnsi="宋体"/>
          <w:color w:val="auto"/>
        </w:rPr>
      </w:pPr>
      <w:r>
        <w:rPr>
          <w:rFonts w:hint="eastAsia" w:ascii="宋体" w:hAnsi="宋体"/>
          <w:color w:val="auto"/>
        </w:rPr>
        <w:t>3.1.1 磋商小组依据本章第2.1款规定的标准对响应文件进行初步评审。有一项不符合评审标准的，作无效处理。</w:t>
      </w:r>
    </w:p>
    <w:p w14:paraId="13F494CE">
      <w:pPr>
        <w:spacing w:line="360" w:lineRule="auto"/>
        <w:ind w:firstLine="420" w:firstLineChars="200"/>
        <w:rPr>
          <w:rFonts w:hint="eastAsia" w:ascii="宋体" w:hAnsi="宋体"/>
          <w:color w:val="auto"/>
        </w:rPr>
      </w:pPr>
      <w:r>
        <w:rPr>
          <w:rFonts w:hint="eastAsia" w:ascii="宋体" w:hAnsi="宋体"/>
          <w:color w:val="auto"/>
        </w:rPr>
        <w:t>3.1.2 供应商有以下情形之一的，其响应文件作无效处理：</w:t>
      </w:r>
    </w:p>
    <w:p w14:paraId="28FD55DD">
      <w:pPr>
        <w:spacing w:line="360" w:lineRule="auto"/>
        <w:ind w:firstLine="420" w:firstLineChars="200"/>
        <w:rPr>
          <w:rFonts w:hint="eastAsia" w:ascii="宋体" w:hAnsi="宋体"/>
          <w:color w:val="auto"/>
        </w:rPr>
      </w:pPr>
      <w:r>
        <w:rPr>
          <w:rFonts w:hint="eastAsia" w:ascii="宋体" w:hAnsi="宋体"/>
          <w:color w:val="auto"/>
        </w:rPr>
        <w:t>（1）串通或弄虚作假或有其他违法行为的；</w:t>
      </w:r>
    </w:p>
    <w:p w14:paraId="19D3CD83">
      <w:pPr>
        <w:spacing w:line="360" w:lineRule="auto"/>
        <w:ind w:firstLine="420" w:firstLineChars="200"/>
        <w:rPr>
          <w:rFonts w:hint="eastAsia" w:ascii="宋体" w:hAnsi="宋体"/>
          <w:color w:val="auto"/>
        </w:rPr>
      </w:pPr>
      <w:r>
        <w:rPr>
          <w:rFonts w:hint="eastAsia" w:ascii="宋体" w:hAnsi="宋体"/>
          <w:color w:val="auto"/>
        </w:rPr>
        <w:t>（2）不按磋商小组要求澄清、说明或补正的；</w:t>
      </w:r>
    </w:p>
    <w:p w14:paraId="6D7FE657">
      <w:pPr>
        <w:spacing w:line="360" w:lineRule="auto"/>
        <w:ind w:firstLine="420" w:firstLineChars="200"/>
        <w:rPr>
          <w:rFonts w:hint="eastAsia" w:ascii="宋体" w:hAnsi="宋体"/>
          <w:color w:val="auto"/>
        </w:rPr>
      </w:pPr>
      <w:r>
        <w:rPr>
          <w:rFonts w:hint="eastAsia" w:ascii="宋体" w:hAnsi="宋体"/>
          <w:color w:val="auto"/>
        </w:rPr>
        <w:t>（3）未按规定格式填写、内容不全或关键字迹模糊、无法辨认的；</w:t>
      </w:r>
    </w:p>
    <w:p w14:paraId="5EB489F2">
      <w:pPr>
        <w:spacing w:line="360" w:lineRule="auto"/>
        <w:ind w:firstLine="420" w:firstLineChars="200"/>
        <w:rPr>
          <w:rFonts w:hint="eastAsia" w:ascii="宋体" w:hAnsi="宋体"/>
          <w:color w:val="auto"/>
        </w:rPr>
      </w:pPr>
      <w:r>
        <w:rPr>
          <w:rFonts w:hint="eastAsia" w:ascii="宋体" w:hAnsi="宋体"/>
          <w:color w:val="auto"/>
        </w:rPr>
        <w:t>（4）响应文件附有采购人不能接受的条件；</w:t>
      </w:r>
    </w:p>
    <w:p w14:paraId="4F1CE9CC">
      <w:pPr>
        <w:spacing w:line="360" w:lineRule="auto"/>
        <w:ind w:firstLine="420" w:firstLineChars="200"/>
        <w:rPr>
          <w:rFonts w:hint="eastAsia" w:ascii="宋体" w:hAnsi="宋体"/>
          <w:color w:val="auto"/>
        </w:rPr>
      </w:pPr>
      <w:r>
        <w:rPr>
          <w:rFonts w:hint="eastAsia" w:ascii="宋体" w:hAnsi="宋体"/>
          <w:color w:val="auto"/>
        </w:rPr>
        <w:t>（5）不符合磋商文件规定的其他实质性要求。</w:t>
      </w:r>
    </w:p>
    <w:p w14:paraId="23420BA1">
      <w:pPr>
        <w:pStyle w:val="102"/>
        <w:spacing w:line="360" w:lineRule="auto"/>
        <w:rPr>
          <w:rFonts w:hint="eastAsia" w:ascii="宋体" w:hAnsi="宋体" w:eastAsia="宋体"/>
          <w:b/>
          <w:bCs/>
          <w:color w:val="auto"/>
          <w:sz w:val="21"/>
          <w:szCs w:val="21"/>
        </w:rPr>
      </w:pPr>
      <w:bookmarkStart w:id="792" w:name="_Toc318450728"/>
      <w:bookmarkEnd w:id="792"/>
      <w:bookmarkStart w:id="793" w:name="_Toc455867822"/>
      <w:bookmarkEnd w:id="793"/>
      <w:bookmarkStart w:id="794" w:name="_Toc466298145"/>
      <w:bookmarkEnd w:id="794"/>
      <w:bookmarkStart w:id="795" w:name="_Toc455080162"/>
      <w:bookmarkEnd w:id="795"/>
      <w:bookmarkStart w:id="796" w:name="_Toc281405534"/>
      <w:bookmarkEnd w:id="796"/>
      <w:bookmarkStart w:id="797" w:name="_Toc21570"/>
      <w:bookmarkEnd w:id="797"/>
      <w:bookmarkStart w:id="798" w:name="_Toc10692"/>
      <w:bookmarkEnd w:id="798"/>
      <w:bookmarkStart w:id="799" w:name="_Toc490667881"/>
      <w:bookmarkEnd w:id="799"/>
      <w:bookmarkStart w:id="800" w:name="_Toc509667312"/>
      <w:bookmarkEnd w:id="800"/>
      <w:bookmarkStart w:id="801" w:name="_Toc7121"/>
      <w:bookmarkEnd w:id="801"/>
      <w:bookmarkStart w:id="802" w:name="_Toc21032"/>
      <w:bookmarkEnd w:id="802"/>
      <w:bookmarkStart w:id="803" w:name="_Toc12406"/>
      <w:bookmarkEnd w:id="803"/>
      <w:bookmarkStart w:id="804" w:name="_Toc129073514"/>
      <w:bookmarkStart w:id="805" w:name="_Toc26049"/>
      <w:bookmarkStart w:id="806" w:name="_Toc8993"/>
      <w:r>
        <w:rPr>
          <w:rFonts w:hint="eastAsia" w:ascii="宋体" w:hAnsi="宋体" w:eastAsia="宋体"/>
          <w:b/>
          <w:bCs/>
          <w:color w:val="auto"/>
          <w:sz w:val="21"/>
          <w:szCs w:val="21"/>
        </w:rPr>
        <w:t>3.2 详细评审</w:t>
      </w:r>
      <w:bookmarkEnd w:id="804"/>
      <w:bookmarkEnd w:id="805"/>
      <w:bookmarkEnd w:id="806"/>
    </w:p>
    <w:p w14:paraId="37C4F522">
      <w:pPr>
        <w:spacing w:line="360" w:lineRule="auto"/>
        <w:ind w:firstLine="420" w:firstLineChars="200"/>
        <w:rPr>
          <w:rFonts w:hint="eastAsia" w:ascii="宋体" w:hAnsi="宋体"/>
          <w:color w:val="auto"/>
        </w:rPr>
      </w:pPr>
      <w:r>
        <w:rPr>
          <w:rFonts w:hint="eastAsia" w:ascii="宋体" w:hAnsi="宋体"/>
          <w:color w:val="auto"/>
        </w:rPr>
        <w:t>3.2.1 磋商小组按本章第2.2款规定的量化因素和分值进行打分，并计算出综合评分得分。</w:t>
      </w:r>
    </w:p>
    <w:p w14:paraId="19FCE46F">
      <w:pPr>
        <w:spacing w:line="360" w:lineRule="auto"/>
        <w:ind w:firstLine="480"/>
        <w:rPr>
          <w:rFonts w:hint="eastAsia" w:ascii="宋体" w:hAnsi="宋体"/>
          <w:color w:val="auto"/>
        </w:rPr>
      </w:pPr>
      <w:r>
        <w:rPr>
          <w:rFonts w:hint="eastAsia" w:ascii="宋体" w:hAnsi="宋体"/>
          <w:color w:val="auto"/>
        </w:rPr>
        <w:t>（1）按本章第 2.2.2（1）目规定的评审因素和分值对磋商报价计算出得分 A；</w:t>
      </w:r>
    </w:p>
    <w:p w14:paraId="15D429F4">
      <w:pPr>
        <w:spacing w:line="360" w:lineRule="auto"/>
        <w:ind w:firstLine="480"/>
        <w:rPr>
          <w:rFonts w:hint="eastAsia" w:ascii="宋体" w:hAnsi="宋体"/>
          <w:color w:val="auto"/>
        </w:rPr>
      </w:pPr>
      <w:r>
        <w:rPr>
          <w:rFonts w:hint="eastAsia" w:ascii="宋体" w:hAnsi="宋体"/>
          <w:color w:val="auto"/>
        </w:rPr>
        <w:t>（2）按本章第 2.2.2（2）目规定的评审因素和分值对技术部分计算出得分 B；</w:t>
      </w:r>
    </w:p>
    <w:p w14:paraId="075A2EE4">
      <w:pPr>
        <w:spacing w:line="360" w:lineRule="auto"/>
        <w:ind w:firstLine="480"/>
        <w:rPr>
          <w:rFonts w:hint="eastAsia" w:ascii="宋体" w:hAnsi="宋体"/>
          <w:color w:val="auto"/>
        </w:rPr>
      </w:pPr>
      <w:r>
        <w:rPr>
          <w:rFonts w:hint="eastAsia" w:ascii="宋体" w:hAnsi="宋体"/>
          <w:color w:val="auto"/>
        </w:rPr>
        <w:t>（3）按本章第 2.2.2（3）目规定的评审因素和分值对综合部分计算出得分 C；</w:t>
      </w:r>
    </w:p>
    <w:p w14:paraId="29C58B9D">
      <w:pPr>
        <w:spacing w:line="360" w:lineRule="auto"/>
        <w:ind w:firstLine="420" w:firstLineChars="200"/>
        <w:rPr>
          <w:rFonts w:hint="eastAsia" w:ascii="宋体" w:hAnsi="宋体"/>
          <w:color w:val="auto"/>
        </w:rPr>
      </w:pPr>
      <w:r>
        <w:rPr>
          <w:rFonts w:hint="eastAsia" w:ascii="宋体" w:hAnsi="宋体"/>
          <w:color w:val="auto"/>
        </w:rPr>
        <w:t>3.2.2 评分分值计算保留小数点后两位，小数点后第三位“四舍五入”。</w:t>
      </w:r>
    </w:p>
    <w:p w14:paraId="1A89D503">
      <w:pPr>
        <w:spacing w:line="360" w:lineRule="auto"/>
        <w:ind w:firstLine="480"/>
        <w:rPr>
          <w:rFonts w:hint="eastAsia" w:ascii="宋体" w:hAnsi="宋体"/>
          <w:color w:val="auto"/>
        </w:rPr>
      </w:pPr>
      <w:r>
        <w:rPr>
          <w:rFonts w:hint="eastAsia" w:ascii="宋体" w:hAnsi="宋体"/>
          <w:color w:val="auto"/>
        </w:rPr>
        <w:t>3.2.3 供应商得分=A+B+C。</w:t>
      </w:r>
    </w:p>
    <w:p w14:paraId="34BD98CD">
      <w:pPr>
        <w:spacing w:line="360" w:lineRule="auto"/>
        <w:ind w:firstLine="420" w:firstLineChars="200"/>
        <w:rPr>
          <w:rFonts w:hint="eastAsia" w:ascii="宋体" w:hAnsi="宋体"/>
          <w:color w:val="auto"/>
        </w:rPr>
      </w:pPr>
      <w:r>
        <w:rPr>
          <w:rFonts w:hint="eastAsia" w:ascii="宋体" w:hAnsi="宋体"/>
          <w:color w:val="auto"/>
        </w:rPr>
        <w:t>3.2.4在磋商过程中，凡遇到磋商文件中无界定或界定不清、前后不一致使磋商小组意见有分歧且又难以协商一致的问题，均由磋商小组予以表决，获半数以上同意的即为通过，未获半数同意的即为否决。</w:t>
      </w:r>
    </w:p>
    <w:p w14:paraId="689BB99A">
      <w:pPr>
        <w:pStyle w:val="102"/>
        <w:spacing w:line="360" w:lineRule="auto"/>
        <w:rPr>
          <w:rFonts w:hint="eastAsia" w:ascii="宋体" w:hAnsi="宋体" w:eastAsia="宋体"/>
          <w:b/>
          <w:bCs/>
          <w:color w:val="auto"/>
          <w:sz w:val="21"/>
          <w:szCs w:val="21"/>
        </w:rPr>
      </w:pPr>
      <w:bookmarkStart w:id="807" w:name="_Toc28633"/>
      <w:bookmarkEnd w:id="807"/>
      <w:bookmarkStart w:id="808" w:name="_Toc281405535"/>
      <w:bookmarkEnd w:id="808"/>
      <w:bookmarkStart w:id="809" w:name="_Toc11958"/>
      <w:bookmarkEnd w:id="809"/>
      <w:bookmarkStart w:id="810" w:name="_Toc8342"/>
      <w:bookmarkEnd w:id="810"/>
      <w:bookmarkStart w:id="811" w:name="_Toc8813"/>
      <w:bookmarkEnd w:id="811"/>
      <w:bookmarkStart w:id="812" w:name="_Toc455867823"/>
      <w:bookmarkEnd w:id="812"/>
      <w:bookmarkStart w:id="813" w:name="_Toc24862"/>
      <w:bookmarkEnd w:id="813"/>
      <w:bookmarkStart w:id="814" w:name="_Toc466298146"/>
      <w:bookmarkEnd w:id="814"/>
      <w:bookmarkStart w:id="815" w:name="_Toc318450729"/>
      <w:bookmarkEnd w:id="815"/>
      <w:bookmarkStart w:id="816" w:name="_Toc455080163"/>
      <w:bookmarkEnd w:id="816"/>
      <w:bookmarkStart w:id="817" w:name="_Toc10153"/>
      <w:bookmarkEnd w:id="817"/>
      <w:bookmarkStart w:id="818" w:name="_Toc509667313"/>
      <w:bookmarkEnd w:id="818"/>
      <w:bookmarkStart w:id="819" w:name="_Toc490667882"/>
      <w:bookmarkStart w:id="820" w:name="_Toc129073515"/>
      <w:bookmarkStart w:id="821" w:name="_Toc11607"/>
      <w:r>
        <w:rPr>
          <w:rFonts w:hint="eastAsia" w:ascii="宋体" w:hAnsi="宋体" w:eastAsia="宋体"/>
          <w:b/>
          <w:bCs/>
          <w:color w:val="auto"/>
          <w:sz w:val="21"/>
          <w:szCs w:val="21"/>
        </w:rPr>
        <w:t>3.3 响应文件的澄清和补正</w:t>
      </w:r>
    </w:p>
    <w:p w14:paraId="392C2D93">
      <w:pPr>
        <w:spacing w:line="360" w:lineRule="auto"/>
        <w:ind w:firstLine="420" w:firstLineChars="200"/>
        <w:rPr>
          <w:rFonts w:hint="eastAsia" w:ascii="宋体" w:hAnsi="宋体"/>
          <w:color w:val="auto"/>
        </w:rPr>
      </w:pPr>
      <w:r>
        <w:rPr>
          <w:rFonts w:hint="eastAsia" w:ascii="宋体" w:hAnsi="宋体"/>
          <w:color w:val="auto"/>
        </w:rPr>
        <w:t>3.3.1在磋商过程中，磋商小组可以书面形式要求供应商对所提交的响应文件中不明确的内容进行书面澄清或说明，或者对细微偏离进行补正。磋商小组不接受供应商主动提出的澄清、说明或补正。</w:t>
      </w:r>
    </w:p>
    <w:p w14:paraId="6EDD3811">
      <w:pPr>
        <w:spacing w:line="360" w:lineRule="auto"/>
        <w:ind w:firstLine="420" w:firstLineChars="200"/>
        <w:rPr>
          <w:rFonts w:hint="eastAsia" w:ascii="宋体" w:hAnsi="宋体"/>
          <w:color w:val="auto"/>
        </w:rPr>
      </w:pPr>
      <w:r>
        <w:rPr>
          <w:rFonts w:hint="eastAsia" w:ascii="宋体" w:hAnsi="宋体"/>
          <w:color w:val="auto"/>
        </w:rPr>
        <w:t>3.3.2 澄清、说明和补正不得超出响应文件的范围或者改变响应文件的实质性内容（算术性错误修正的除外）。供应商的书面澄清、说明和补正属于响应文件的组成部分。</w:t>
      </w:r>
    </w:p>
    <w:p w14:paraId="37BCD1F2">
      <w:pPr>
        <w:spacing w:line="360" w:lineRule="auto"/>
        <w:ind w:firstLine="420" w:firstLineChars="200"/>
        <w:rPr>
          <w:rFonts w:hint="eastAsia" w:ascii="宋体" w:hAnsi="宋体"/>
          <w:color w:val="auto"/>
        </w:rPr>
      </w:pPr>
      <w:r>
        <w:rPr>
          <w:rFonts w:hint="eastAsia" w:ascii="宋体" w:hAnsi="宋体"/>
          <w:color w:val="auto"/>
        </w:rPr>
        <w:t>3.3.3 磋商小组对供应商提交的澄清、说明或补正有疑问的，可以要求供应商进一步澄清、说明或补正，直至满足磋商小组的要求。</w:t>
      </w:r>
    </w:p>
    <w:p w14:paraId="61CF0ECC">
      <w:pPr>
        <w:spacing w:line="360" w:lineRule="auto"/>
        <w:ind w:firstLine="420" w:firstLineChars="200"/>
        <w:rPr>
          <w:rFonts w:hint="eastAsia" w:ascii="宋体" w:hAnsi="宋体"/>
          <w:color w:val="auto"/>
        </w:rPr>
      </w:pPr>
      <w:r>
        <w:rPr>
          <w:rFonts w:hint="eastAsia" w:ascii="宋体" w:hAnsi="宋体"/>
          <w:color w:val="auto"/>
        </w:rPr>
        <w:t>3.3.4 评标（审）委员会应当认真审查有关证明文件。评标（审）委员会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或证明材料仍然不符合要求的，供应商提供的相关产品视为不符合本国产品标准。</w:t>
      </w:r>
    </w:p>
    <w:p w14:paraId="5F7798CD">
      <w:pPr>
        <w:pStyle w:val="102"/>
        <w:spacing w:line="360" w:lineRule="auto"/>
        <w:rPr>
          <w:rFonts w:hint="eastAsia" w:ascii="宋体" w:hAnsi="宋体" w:eastAsia="宋体"/>
          <w:b/>
          <w:bCs/>
          <w:color w:val="auto"/>
          <w:sz w:val="21"/>
          <w:szCs w:val="21"/>
        </w:rPr>
      </w:pPr>
      <w:bookmarkStart w:id="822" w:name="_Toc129073516"/>
      <w:bookmarkStart w:id="823" w:name="_Toc1857"/>
      <w:bookmarkStart w:id="824" w:name="_Toc12949"/>
      <w:r>
        <w:rPr>
          <w:rFonts w:hint="eastAsia" w:ascii="宋体" w:hAnsi="宋体" w:eastAsia="宋体"/>
          <w:b/>
          <w:bCs/>
          <w:color w:val="auto"/>
          <w:sz w:val="21"/>
          <w:szCs w:val="21"/>
        </w:rPr>
        <w:t>3.4 评审结果</w:t>
      </w:r>
      <w:bookmarkEnd w:id="822"/>
      <w:bookmarkEnd w:id="823"/>
      <w:bookmarkEnd w:id="824"/>
    </w:p>
    <w:p w14:paraId="0A2DD182">
      <w:pPr>
        <w:spacing w:line="360" w:lineRule="auto"/>
        <w:ind w:firstLine="420" w:firstLineChars="200"/>
        <w:rPr>
          <w:rFonts w:hint="eastAsia" w:ascii="宋体" w:hAnsi="宋体"/>
          <w:color w:val="auto"/>
        </w:rPr>
      </w:pPr>
      <w:r>
        <w:rPr>
          <w:rFonts w:hint="eastAsia" w:ascii="宋体" w:hAnsi="宋体"/>
          <w:color w:val="auto"/>
        </w:rPr>
        <w:t>3.4.1除第二章“供应商须知”前附表授权直接确定成交人外，磋商小组按照得分由高到低的顺序推荐成交候选人。</w:t>
      </w:r>
    </w:p>
    <w:p w14:paraId="1ACB2452">
      <w:pPr>
        <w:spacing w:line="360" w:lineRule="auto"/>
        <w:ind w:firstLine="420" w:firstLineChars="200"/>
        <w:rPr>
          <w:rFonts w:hint="eastAsia" w:ascii="宋体" w:hAnsi="宋体"/>
          <w:color w:val="auto"/>
        </w:rPr>
      </w:pPr>
      <w:r>
        <w:rPr>
          <w:rFonts w:hint="eastAsia" w:ascii="宋体" w:hAnsi="宋体"/>
          <w:color w:val="auto"/>
        </w:rPr>
        <w:t>3.4.2 磋商小组完成评审后，应当向采购人提交书面评审报告。</w:t>
      </w:r>
      <w:bookmarkStart w:id="825" w:name="_Toc152045609"/>
      <w:bookmarkEnd w:id="825"/>
      <w:bookmarkStart w:id="826" w:name="_Toc2239"/>
      <w:bookmarkEnd w:id="826"/>
      <w:bookmarkStart w:id="827" w:name="_Toc144974577"/>
      <w:bookmarkEnd w:id="827"/>
      <w:bookmarkStart w:id="828" w:name="_Toc152042387"/>
      <w:bookmarkEnd w:id="828"/>
      <w:bookmarkStart w:id="829" w:name="_Toc509667315"/>
      <w:bookmarkStart w:id="830" w:name="_Toc8809"/>
      <w:bookmarkStart w:id="831" w:name="_Toc16844"/>
      <w:bookmarkStart w:id="832" w:name="_Toc9624"/>
      <w:bookmarkStart w:id="833" w:name="_Toc5966"/>
    </w:p>
    <w:p w14:paraId="7E3D2B30">
      <w:pPr>
        <w:spacing w:line="420" w:lineRule="exact"/>
        <w:jc w:val="center"/>
        <w:outlineLvl w:val="0"/>
        <w:rPr>
          <w:rFonts w:hint="eastAsia" w:ascii="宋体" w:hAnsi="宋体"/>
          <w:bCs/>
          <w:color w:val="auto"/>
          <w:szCs w:val="28"/>
        </w:rPr>
      </w:pPr>
      <w:r>
        <w:rPr>
          <w:rFonts w:hint="eastAsia" w:ascii="宋体" w:hAnsi="宋体"/>
          <w:color w:val="auto"/>
        </w:rPr>
        <w:br w:type="page"/>
      </w:r>
      <w:bookmarkStart w:id="834" w:name="_Toc3147"/>
      <w:r>
        <w:rPr>
          <w:rFonts w:hint="eastAsia" w:ascii="宋体" w:hAnsi="宋体"/>
          <w:b/>
          <w:color w:val="auto"/>
          <w:kern w:val="44"/>
          <w:sz w:val="36"/>
          <w:szCs w:val="36"/>
        </w:rPr>
        <w:t>第四章  合同条款及格式</w:t>
      </w:r>
      <w:bookmarkEnd w:id="829"/>
      <w:bookmarkEnd w:id="830"/>
      <w:bookmarkEnd w:id="831"/>
      <w:bookmarkEnd w:id="832"/>
      <w:bookmarkEnd w:id="833"/>
      <w:bookmarkEnd w:id="834"/>
    </w:p>
    <w:p w14:paraId="0BAEC2A2">
      <w:pPr>
        <w:rPr>
          <w:rFonts w:hint="eastAsia"/>
          <w:color w:val="auto"/>
        </w:rPr>
      </w:pPr>
    </w:p>
    <w:p w14:paraId="4A6D6D6F">
      <w:pPr>
        <w:pStyle w:val="15"/>
        <w:spacing w:before="0" w:beforeAutospacing="0"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政府采购货物买卖合同</w:t>
      </w:r>
    </w:p>
    <w:p w14:paraId="630C1815">
      <w:pPr>
        <w:rPr>
          <w:rFonts w:ascii="宋体" w:hAnsi="宋体" w:cs="宋体"/>
          <w:b/>
          <w:bCs/>
          <w:color w:val="auto"/>
          <w:spacing w:val="-20"/>
          <w:kern w:val="44"/>
          <w:sz w:val="40"/>
          <w:szCs w:val="40"/>
        </w:rPr>
      </w:pPr>
    </w:p>
    <w:p w14:paraId="6204D8E2">
      <w:pPr>
        <w:pStyle w:val="91"/>
        <w:adjustRightInd/>
        <w:ind w:firstLine="736"/>
        <w:rPr>
          <w:rFonts w:ascii="宋体" w:hAnsi="宋体" w:cs="宋体"/>
          <w:b/>
          <w:bCs/>
          <w:color w:val="auto"/>
          <w:spacing w:val="-20"/>
          <w:kern w:val="44"/>
          <w:sz w:val="40"/>
          <w:szCs w:val="40"/>
        </w:rPr>
      </w:pPr>
    </w:p>
    <w:p w14:paraId="6F014E95">
      <w:pPr>
        <w:pStyle w:val="91"/>
        <w:adjustRightInd/>
        <w:ind w:firstLine="736"/>
        <w:rPr>
          <w:rFonts w:ascii="宋体" w:hAnsi="宋体" w:cs="宋体"/>
          <w:b/>
          <w:bCs/>
          <w:color w:val="auto"/>
          <w:spacing w:val="-20"/>
          <w:kern w:val="44"/>
          <w:sz w:val="40"/>
          <w:szCs w:val="40"/>
        </w:rPr>
      </w:pPr>
    </w:p>
    <w:p w14:paraId="2030AD55">
      <w:pPr>
        <w:pStyle w:val="91"/>
        <w:adjustRightInd/>
        <w:ind w:firstLine="736"/>
        <w:rPr>
          <w:rFonts w:ascii="宋体" w:hAnsi="宋体" w:cs="宋体"/>
          <w:b/>
          <w:bCs/>
          <w:color w:val="auto"/>
          <w:spacing w:val="-20"/>
          <w:kern w:val="44"/>
          <w:sz w:val="40"/>
          <w:szCs w:val="40"/>
        </w:rPr>
      </w:pPr>
    </w:p>
    <w:p w14:paraId="06764B75">
      <w:pPr>
        <w:pStyle w:val="91"/>
        <w:adjustRightInd/>
        <w:ind w:firstLine="736"/>
        <w:rPr>
          <w:rFonts w:ascii="宋体" w:hAnsi="宋体" w:cs="宋体"/>
          <w:b/>
          <w:bCs/>
          <w:color w:val="auto"/>
          <w:spacing w:val="-20"/>
          <w:kern w:val="44"/>
          <w:sz w:val="40"/>
          <w:szCs w:val="40"/>
        </w:rPr>
      </w:pPr>
    </w:p>
    <w:p w14:paraId="0339761D">
      <w:pPr>
        <w:pStyle w:val="91"/>
        <w:adjustRightInd/>
        <w:ind w:firstLine="736"/>
        <w:rPr>
          <w:rFonts w:ascii="宋体" w:hAnsi="宋体" w:cs="宋体"/>
          <w:b/>
          <w:bCs/>
          <w:color w:val="auto"/>
          <w:spacing w:val="-20"/>
          <w:kern w:val="44"/>
          <w:sz w:val="40"/>
          <w:szCs w:val="40"/>
        </w:rPr>
      </w:pPr>
    </w:p>
    <w:p w14:paraId="4E74E943">
      <w:pPr>
        <w:pStyle w:val="91"/>
        <w:adjustRightInd/>
        <w:ind w:firstLine="736"/>
        <w:rPr>
          <w:rFonts w:ascii="宋体" w:hAnsi="宋体" w:cs="宋体"/>
          <w:b/>
          <w:bCs/>
          <w:color w:val="auto"/>
          <w:spacing w:val="-20"/>
          <w:kern w:val="44"/>
          <w:sz w:val="40"/>
          <w:szCs w:val="40"/>
        </w:rPr>
      </w:pPr>
    </w:p>
    <w:p w14:paraId="7625880E">
      <w:pPr>
        <w:pStyle w:val="91"/>
        <w:adjustRightInd/>
        <w:ind w:firstLine="736"/>
        <w:rPr>
          <w:rFonts w:ascii="宋体" w:hAnsi="宋体" w:cs="宋体"/>
          <w:b/>
          <w:bCs/>
          <w:color w:val="auto"/>
          <w:spacing w:val="-20"/>
          <w:kern w:val="44"/>
          <w:sz w:val="40"/>
          <w:szCs w:val="40"/>
        </w:rPr>
      </w:pPr>
    </w:p>
    <w:p w14:paraId="18E17454">
      <w:pPr>
        <w:pStyle w:val="91"/>
        <w:adjustRightInd/>
        <w:ind w:firstLine="736"/>
        <w:rPr>
          <w:rFonts w:ascii="宋体" w:hAnsi="宋体" w:cs="宋体"/>
          <w:b/>
          <w:bCs/>
          <w:color w:val="auto"/>
          <w:spacing w:val="-20"/>
          <w:kern w:val="44"/>
          <w:sz w:val="40"/>
          <w:szCs w:val="40"/>
        </w:rPr>
      </w:pPr>
    </w:p>
    <w:p w14:paraId="1C387BEE">
      <w:pPr>
        <w:pStyle w:val="91"/>
        <w:adjustRightInd/>
        <w:ind w:firstLine="736"/>
        <w:rPr>
          <w:rFonts w:ascii="宋体" w:hAnsi="宋体" w:cs="宋体"/>
          <w:b/>
          <w:bCs/>
          <w:color w:val="auto"/>
          <w:spacing w:val="-20"/>
          <w:kern w:val="44"/>
          <w:sz w:val="40"/>
          <w:szCs w:val="40"/>
        </w:rPr>
      </w:pPr>
    </w:p>
    <w:p w14:paraId="3DF722E4">
      <w:pPr>
        <w:rPr>
          <w:rFonts w:ascii="宋体" w:hAnsi="宋体" w:cs="宋体"/>
          <w:b/>
          <w:bCs/>
          <w:color w:val="auto"/>
          <w:spacing w:val="-20"/>
          <w:kern w:val="44"/>
          <w:sz w:val="40"/>
          <w:szCs w:val="40"/>
        </w:rPr>
      </w:pPr>
    </w:p>
    <w:p w14:paraId="4D025EF7">
      <w:pPr>
        <w:rPr>
          <w:rFonts w:ascii="宋体" w:hAnsi="宋体" w:cs="宋体"/>
          <w:b/>
          <w:bCs/>
          <w:color w:val="auto"/>
          <w:spacing w:val="-20"/>
          <w:kern w:val="44"/>
          <w:sz w:val="40"/>
          <w:szCs w:val="40"/>
        </w:rPr>
      </w:pPr>
    </w:p>
    <w:p w14:paraId="6F021746">
      <w:pPr>
        <w:spacing w:line="360" w:lineRule="auto"/>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3E43C7B3">
      <w:pPr>
        <w:spacing w:line="360" w:lineRule="auto"/>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4950EDD3">
      <w:pPr>
        <w:spacing w:line="360" w:lineRule="auto"/>
        <w:rPr>
          <w:rFonts w:hint="eastAsia"/>
          <w:color w:val="auto"/>
          <w:sz w:val="32"/>
          <w:szCs w:val="32"/>
          <w:u w:val="single"/>
        </w:rPr>
      </w:pPr>
      <w:r>
        <w:rPr>
          <w:rFonts w:hint="eastAsia"/>
          <w:color w:val="auto"/>
          <w:sz w:val="32"/>
          <w:szCs w:val="32"/>
        </w:rPr>
        <w:t>甲    方：</w:t>
      </w:r>
      <w:r>
        <w:rPr>
          <w:rFonts w:hint="eastAsia"/>
          <w:color w:val="auto"/>
          <w:sz w:val="32"/>
          <w:szCs w:val="32"/>
          <w:u w:val="single"/>
        </w:rPr>
        <w:t xml:space="preserve">                             </w:t>
      </w:r>
    </w:p>
    <w:p w14:paraId="40C0A2A6">
      <w:pPr>
        <w:spacing w:line="360" w:lineRule="auto"/>
        <w:rPr>
          <w:rFonts w:hint="eastAsia"/>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392CA2D5">
      <w:pPr>
        <w:spacing w:line="360" w:lineRule="auto"/>
        <w:rPr>
          <w:rFonts w:hint="eastAsia" w:ascii="宋体" w:hAnsi="宋体" w:cs="宋体"/>
          <w:color w:val="auto"/>
          <w:kern w:val="0"/>
          <w:sz w:val="32"/>
          <w:szCs w:val="32"/>
          <w:u w:val="single"/>
        </w:rPr>
      </w:pPr>
      <w:r>
        <w:rPr>
          <w:rFonts w:hint="eastAsia" w:ascii="宋体" w:hAnsi="宋体" w:cs="宋体"/>
          <w:color w:val="auto"/>
          <w:kern w:val="0"/>
          <w:sz w:val="32"/>
          <w:szCs w:val="32"/>
        </w:rPr>
        <w:t>签 订 地：</w:t>
      </w:r>
      <w:r>
        <w:rPr>
          <w:rFonts w:hint="eastAsia" w:ascii="宋体" w:hAnsi="宋体" w:cs="宋体"/>
          <w:color w:val="auto"/>
          <w:kern w:val="0"/>
          <w:sz w:val="32"/>
          <w:szCs w:val="32"/>
          <w:u w:val="single"/>
        </w:rPr>
        <w:t xml:space="preserve">                             </w:t>
      </w:r>
    </w:p>
    <w:p w14:paraId="006F87C5">
      <w:pPr>
        <w:spacing w:line="360" w:lineRule="auto"/>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51B8417E">
      <w:pPr>
        <w:rPr>
          <w:color w:val="auto"/>
        </w:rPr>
      </w:pPr>
    </w:p>
    <w:p w14:paraId="24B57011">
      <w:pPr>
        <w:jc w:val="center"/>
        <w:rPr>
          <w:rFonts w:hint="eastAsia" w:ascii="黑体" w:hAnsi="华文中宋" w:eastAsia="黑体"/>
          <w:color w:val="auto"/>
          <w:szCs w:val="28"/>
        </w:rPr>
      </w:pPr>
      <w:r>
        <w:rPr>
          <w:color w:val="auto"/>
        </w:rPr>
        <w:br w:type="page"/>
      </w:r>
      <w:bookmarkStart w:id="835" w:name="_Toc22209"/>
      <w:r>
        <w:rPr>
          <w:rFonts w:hint="eastAsia"/>
          <w:b/>
          <w:bCs/>
          <w:color w:val="auto"/>
          <w:sz w:val="28"/>
          <w:szCs w:val="28"/>
        </w:rPr>
        <w:t>第一节 政府采购合同协议书</w:t>
      </w:r>
      <w:bookmarkEnd w:id="835"/>
    </w:p>
    <w:p w14:paraId="5F9913B1">
      <w:pPr>
        <w:rPr>
          <w:rFonts w:hint="eastAsia"/>
          <w:color w:val="auto"/>
        </w:rPr>
      </w:pPr>
    </w:p>
    <w:p w14:paraId="0E954D23">
      <w:pPr>
        <w:rPr>
          <w:color w:val="auto"/>
          <w:u w:val="single"/>
        </w:rPr>
      </w:pPr>
      <w:r>
        <w:rPr>
          <w:color w:val="auto"/>
        </w:rPr>
        <w:t>甲方：</w:t>
      </w:r>
      <w:r>
        <w:rPr>
          <w:color w:val="auto"/>
          <w:u w:val="single"/>
        </w:rPr>
        <w:t xml:space="preserve">                        </w:t>
      </w:r>
    </w:p>
    <w:p w14:paraId="10BCF768">
      <w:pPr>
        <w:pStyle w:val="91"/>
        <w:adjustRightInd/>
        <w:ind w:firstLine="0" w:firstLineChars="0"/>
        <w:rPr>
          <w:rFonts w:ascii="Times New Roman" w:hAnsi="Times New Roman" w:eastAsia="宋体" w:cs="Times New Roman"/>
          <w:color w:val="auto"/>
          <w:u w:val="single"/>
        </w:rPr>
      </w:pPr>
      <w:r>
        <w:rPr>
          <w:rFonts w:ascii="Times New Roman" w:hAnsi="Times New Roman" w:eastAsia="宋体" w:cs="Times New Roman"/>
          <w:color w:val="auto"/>
          <w:kern w:val="2"/>
          <w:sz w:val="21"/>
        </w:rPr>
        <w:t>乙方：</w:t>
      </w:r>
      <w:r>
        <w:rPr>
          <w:rFonts w:ascii="Times New Roman" w:hAnsi="Times New Roman" w:eastAsia="宋体" w:cs="Times New Roman"/>
          <w:color w:val="auto"/>
          <w:u w:val="single"/>
        </w:rPr>
        <w:t xml:space="preserve">                       </w:t>
      </w:r>
    </w:p>
    <w:p w14:paraId="3C6C1365">
      <w:pPr>
        <w:pStyle w:val="91"/>
        <w:adjustRightInd/>
        <w:ind w:firstLine="0" w:firstLineChars="0"/>
        <w:rPr>
          <w:rFonts w:ascii="Times New Roman" w:hAnsi="Times New Roman" w:eastAsia="宋体" w:cs="Times New Roman"/>
          <w:color w:val="auto"/>
          <w:u w:val="single"/>
        </w:rPr>
      </w:pPr>
    </w:p>
    <w:p w14:paraId="1930CF87">
      <w:pPr>
        <w:pStyle w:val="18"/>
        <w:spacing w:line="400" w:lineRule="exact"/>
        <w:ind w:firstLine="420" w:firstLineChars="200"/>
        <w:rPr>
          <w:rFonts w:ascii="Times New Roman" w:hAnsi="Times New Roman"/>
          <w:color w:val="auto"/>
        </w:rPr>
      </w:pPr>
      <w:r>
        <w:rPr>
          <w:rFonts w:ascii="Times New Roman" w:hAnsi="Times New Roman"/>
          <w:color w:val="auto"/>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0962C9D">
      <w:pPr>
        <w:numPr>
          <w:ilvl w:val="0"/>
          <w:numId w:val="3"/>
        </w:numPr>
        <w:spacing w:line="400" w:lineRule="exact"/>
        <w:ind w:firstLine="422" w:firstLineChars="200"/>
        <w:rPr>
          <w:b/>
          <w:color w:val="auto"/>
        </w:rPr>
      </w:pPr>
      <w:r>
        <w:rPr>
          <w:b/>
          <w:color w:val="auto"/>
        </w:rPr>
        <w:t>项目信息</w:t>
      </w:r>
    </w:p>
    <w:p w14:paraId="1C3A29DA">
      <w:pPr>
        <w:pStyle w:val="18"/>
        <w:numPr>
          <w:ilvl w:val="0"/>
          <w:numId w:val="4"/>
        </w:numPr>
        <w:spacing w:line="400" w:lineRule="exact"/>
        <w:ind w:firstLine="420" w:firstLineChars="200"/>
        <w:rPr>
          <w:rFonts w:ascii="Times New Roman" w:hAnsi="Times New Roman"/>
          <w:color w:val="auto"/>
          <w:u w:val="single"/>
        </w:rPr>
      </w:pPr>
      <w:r>
        <w:rPr>
          <w:rFonts w:ascii="Times New Roman" w:hAnsi="Times New Roman"/>
          <w:color w:val="auto"/>
        </w:rPr>
        <w:t>采购项目名称：</w:t>
      </w:r>
      <w:r>
        <w:rPr>
          <w:rFonts w:ascii="Times New Roman" w:hAnsi="Times New Roman"/>
          <w:color w:val="auto"/>
          <w:u w:val="single"/>
        </w:rPr>
        <w:t xml:space="preserve"> </w:t>
      </w:r>
      <w:r>
        <w:rPr>
          <w:rFonts w:hint="eastAsia" w:ascii="Times New Roman" w:hAnsi="Times New Roman"/>
          <w:color w:val="auto"/>
          <w:u w:val="single"/>
        </w:rPr>
        <w:t xml:space="preserve">                                       </w:t>
      </w:r>
      <w:r>
        <w:rPr>
          <w:rFonts w:ascii="Times New Roman" w:hAnsi="Times New Roman"/>
          <w:color w:val="auto"/>
          <w:u w:val="single"/>
        </w:rPr>
        <w:t xml:space="preserve">  </w:t>
      </w:r>
    </w:p>
    <w:p w14:paraId="7E64471E">
      <w:pPr>
        <w:pStyle w:val="18"/>
        <w:tabs>
          <w:tab w:val="left" w:pos="999"/>
        </w:tabs>
        <w:spacing w:line="400" w:lineRule="exact"/>
        <w:ind w:firstLine="0" w:firstLineChars="0"/>
        <w:rPr>
          <w:rFonts w:ascii="Times New Roman" w:hAnsi="Times New Roman"/>
          <w:color w:val="auto"/>
        </w:rPr>
      </w:pPr>
      <w:r>
        <w:rPr>
          <w:rFonts w:ascii="Times New Roman" w:hAnsi="Times New Roman"/>
          <w:color w:val="auto"/>
        </w:rPr>
        <w:t xml:space="preserve">         采购项目编号：</w:t>
      </w:r>
      <w:r>
        <w:rPr>
          <w:rFonts w:ascii="Times New Roman" w:hAnsi="Times New Roman"/>
          <w:color w:val="auto"/>
          <w:u w:val="single"/>
        </w:rPr>
        <w:t xml:space="preserve">                                          </w:t>
      </w:r>
    </w:p>
    <w:p w14:paraId="680934B5">
      <w:pPr>
        <w:pStyle w:val="18"/>
        <w:spacing w:line="400" w:lineRule="exact"/>
        <w:ind w:firstLine="420" w:firstLineChars="200"/>
        <w:rPr>
          <w:rFonts w:ascii="Times New Roman" w:hAnsi="Times New Roman"/>
          <w:color w:val="auto"/>
        </w:rPr>
      </w:pPr>
      <w:r>
        <w:rPr>
          <w:rFonts w:ascii="Times New Roman" w:hAnsi="Times New Roman"/>
          <w:color w:val="auto"/>
        </w:rPr>
        <w:t>（2）采购计划编号：</w:t>
      </w:r>
      <w:r>
        <w:rPr>
          <w:rFonts w:ascii="Times New Roman" w:hAnsi="Times New Roman"/>
          <w:color w:val="auto"/>
          <w:u w:val="single"/>
        </w:rPr>
        <w:t xml:space="preserve">                                          </w:t>
      </w:r>
      <w:r>
        <w:rPr>
          <w:rFonts w:ascii="Times New Roman" w:hAnsi="Times New Roman"/>
          <w:color w:val="auto"/>
        </w:rPr>
        <w:t xml:space="preserve"> </w:t>
      </w:r>
    </w:p>
    <w:p w14:paraId="4437EE14">
      <w:pPr>
        <w:spacing w:line="400" w:lineRule="exact"/>
        <w:ind w:firstLine="420" w:firstLineChars="200"/>
        <w:rPr>
          <w:color w:val="auto"/>
        </w:rPr>
      </w:pPr>
      <w:r>
        <w:rPr>
          <w:color w:val="auto"/>
        </w:rPr>
        <w:t>（3）项目内容：</w:t>
      </w:r>
    </w:p>
    <w:p w14:paraId="30B54571">
      <w:pPr>
        <w:spacing w:line="400" w:lineRule="exact"/>
        <w:ind w:firstLine="840" w:firstLineChars="400"/>
        <w:rPr>
          <w:color w:val="auto"/>
        </w:rPr>
      </w:pPr>
      <w:r>
        <w:rPr>
          <w:color w:val="auto"/>
        </w:rPr>
        <w:t>采购标的及数量（台/套</w:t>
      </w:r>
      <w:r>
        <w:rPr>
          <w:color w:val="auto"/>
          <w:lang w:val="en"/>
        </w:rPr>
        <w:t>/个/架/组等</w:t>
      </w:r>
      <w:r>
        <w:rPr>
          <w:color w:val="auto"/>
        </w:rPr>
        <w:t>）、品牌、规格型号、原产地、技术参数等见附件（附件1：货物分项报价一览表  附件2：配置清单  附件3：技术参数  附件4：售后服务  附件5：授权委托书等）。</w:t>
      </w:r>
    </w:p>
    <w:p w14:paraId="3535C12A">
      <w:pPr>
        <w:pStyle w:val="91"/>
        <w:adjustRightInd/>
        <w:ind w:firstLine="0" w:firstLineChars="0"/>
        <w:rPr>
          <w:rFonts w:ascii="Times New Roman" w:hAnsi="Times New Roman" w:eastAsia="宋体" w:cs="Times New Roman"/>
          <w:color w:val="auto"/>
          <w:sz w:val="21"/>
        </w:rPr>
      </w:pPr>
      <w:r>
        <w:rPr>
          <w:rFonts w:ascii="Times New Roman" w:hAnsi="Times New Roman" w:eastAsia="宋体" w:cs="Times New Roman"/>
          <w:color w:val="auto"/>
          <w:sz w:val="21"/>
        </w:rPr>
        <w:t xml:space="preserve">    （</w:t>
      </w:r>
      <w:r>
        <w:rPr>
          <w:rFonts w:ascii="Times New Roman" w:hAnsi="Times New Roman" w:eastAsia="宋体" w:cs="Times New Roman"/>
          <w:color w:val="auto"/>
          <w:sz w:val="21"/>
          <w:lang w:val="en"/>
        </w:rPr>
        <w:t>4</w:t>
      </w:r>
      <w:r>
        <w:rPr>
          <w:rFonts w:ascii="Times New Roman" w:hAnsi="Times New Roman" w:eastAsia="宋体" w:cs="Times New Roman"/>
          <w:color w:val="auto"/>
          <w:sz w:val="21"/>
        </w:rPr>
        <w:t>）政府采购组织形式：</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政府集中采购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部门集中采购  </w:t>
      </w:r>
      <w:r>
        <w:rPr>
          <w:rFonts w:ascii="Times New Roman" w:hAnsi="Times New Roman" w:eastAsia="宋体" w:cs="Times New Roman"/>
          <w:color w:val="auto"/>
          <w:sz w:val="21"/>
        </w:rPr>
        <w:sym w:font="Wingdings" w:char="00FE"/>
      </w:r>
      <w:r>
        <w:rPr>
          <w:rFonts w:ascii="Times New Roman" w:hAnsi="Times New Roman" w:eastAsia="宋体" w:cs="Times New Roman"/>
          <w:color w:val="auto"/>
          <w:sz w:val="21"/>
        </w:rPr>
        <w:t>分散采购</w:t>
      </w:r>
    </w:p>
    <w:p w14:paraId="6A403C2D">
      <w:pPr>
        <w:pStyle w:val="91"/>
        <w:adjustRightInd/>
        <w:ind w:firstLine="420" w:firstLineChars="0"/>
        <w:rPr>
          <w:rFonts w:ascii="Times New Roman" w:hAnsi="Times New Roman" w:eastAsia="宋体" w:cs="Times New Roman"/>
          <w:color w:val="auto"/>
          <w:sz w:val="21"/>
        </w:rPr>
      </w:pPr>
      <w:r>
        <w:rPr>
          <w:rFonts w:ascii="Times New Roman" w:hAnsi="Times New Roman" w:eastAsia="宋体" w:cs="Times New Roman"/>
          <w:color w:val="auto"/>
          <w:sz w:val="21"/>
        </w:rPr>
        <w:t>（</w:t>
      </w:r>
      <w:r>
        <w:rPr>
          <w:rFonts w:ascii="Times New Roman" w:hAnsi="Times New Roman" w:eastAsia="宋体" w:cs="Times New Roman"/>
          <w:color w:val="auto"/>
          <w:sz w:val="21"/>
          <w:lang w:val="en"/>
        </w:rPr>
        <w:t>5</w:t>
      </w:r>
      <w:r>
        <w:rPr>
          <w:rFonts w:ascii="Times New Roman" w:hAnsi="Times New Roman" w:eastAsia="宋体" w:cs="Times New Roman"/>
          <w:color w:val="auto"/>
          <w:sz w:val="21"/>
        </w:rPr>
        <w:t>）政府采购方式：</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公开招标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邀请招标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竞争性谈判 </w:t>
      </w:r>
      <w:r>
        <w:rPr>
          <w:rFonts w:ascii="Times New Roman" w:hAnsi="Times New Roman" w:eastAsia="宋体" w:cs="Times New Roman"/>
          <w:color w:val="auto"/>
          <w:sz w:val="21"/>
        </w:rPr>
        <w:sym w:font="Wingdings" w:char="00FE"/>
      </w:r>
      <w:r>
        <w:rPr>
          <w:rFonts w:ascii="Times New Roman" w:hAnsi="Times New Roman" w:eastAsia="宋体" w:cs="Times New Roman"/>
          <w:color w:val="auto"/>
          <w:sz w:val="21"/>
        </w:rPr>
        <w:t>竞争性磋商</w:t>
      </w:r>
    </w:p>
    <w:p w14:paraId="3D5174F9">
      <w:pPr>
        <w:pStyle w:val="91"/>
        <w:adjustRightInd/>
        <w:ind w:firstLine="420" w:firstLineChars="0"/>
        <w:rPr>
          <w:rFonts w:ascii="Times New Roman" w:hAnsi="Times New Roman" w:eastAsia="宋体" w:cs="Times New Roman"/>
          <w:color w:val="auto"/>
          <w:sz w:val="21"/>
          <w:u w:val="single"/>
        </w:rPr>
      </w:pPr>
      <w:r>
        <w:rPr>
          <w:rFonts w:ascii="Times New Roman" w:hAnsi="Times New Roman" w:eastAsia="宋体" w:cs="Times New Roman"/>
          <w:color w:val="auto"/>
        </w:rPr>
        <w:t xml:space="preserve">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询价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单一来源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 xml:space="preserve">框架协议 </w:t>
      </w:r>
      <w:r>
        <w:rPr>
          <w:rFonts w:ascii="Times New Roman" w:hAnsi="Times New Roman" w:eastAsia="宋体" w:cs="Times New Roman"/>
          <w:color w:val="auto"/>
          <w:sz w:val="21"/>
        </w:rPr>
        <w:sym w:font="Wingdings" w:char="00A8"/>
      </w:r>
      <w:r>
        <w:rPr>
          <w:rFonts w:ascii="Times New Roman" w:hAnsi="Times New Roman" w:eastAsia="宋体" w:cs="Times New Roman"/>
          <w:color w:val="auto"/>
          <w:sz w:val="21"/>
        </w:rPr>
        <w:t>其他：</w:t>
      </w:r>
      <w:r>
        <w:rPr>
          <w:rFonts w:ascii="Times New Roman" w:hAnsi="Times New Roman" w:eastAsia="宋体" w:cs="Times New Roman"/>
          <w:color w:val="auto"/>
          <w:sz w:val="21"/>
          <w:u w:val="single"/>
        </w:rPr>
        <w:t xml:space="preserve">          </w:t>
      </w:r>
    </w:p>
    <w:p w14:paraId="79013A23">
      <w:pPr>
        <w:pStyle w:val="91"/>
        <w:adjustRightInd/>
        <w:rPr>
          <w:rFonts w:ascii="Times New Roman" w:hAnsi="Times New Roman" w:eastAsia="宋体" w:cs="Times New Roman"/>
          <w:color w:val="auto"/>
          <w:kern w:val="2"/>
          <w:sz w:val="21"/>
        </w:rPr>
      </w:pPr>
      <w:r>
        <w:rPr>
          <w:rFonts w:ascii="Times New Roman" w:hAnsi="Times New Roman" w:eastAsia="宋体" w:cs="Times New Roman"/>
          <w:color w:val="auto"/>
          <w:sz w:val="21"/>
        </w:rPr>
        <w:t>（</w:t>
      </w:r>
      <w:r>
        <w:rPr>
          <w:rFonts w:ascii="Times New Roman" w:hAnsi="Times New Roman" w:eastAsia="宋体" w:cs="Times New Roman"/>
          <w:color w:val="auto"/>
          <w:sz w:val="21"/>
          <w:lang w:val="en"/>
        </w:rPr>
        <w:t>6</w:t>
      </w:r>
      <w:r>
        <w:rPr>
          <w:rFonts w:ascii="Times New Roman" w:hAnsi="Times New Roman" w:eastAsia="宋体" w:cs="Times New Roman"/>
          <w:color w:val="auto"/>
          <w:sz w:val="21"/>
        </w:rPr>
        <w:t>）</w:t>
      </w:r>
      <w:r>
        <w:rPr>
          <w:rFonts w:ascii="Times New Roman" w:hAnsi="Times New Roman" w:eastAsia="宋体" w:cs="Times New Roman"/>
          <w:color w:val="auto"/>
          <w:kern w:val="2"/>
          <w:sz w:val="21"/>
        </w:rPr>
        <w:t>乙方企业规模：</w:t>
      </w:r>
      <w:r>
        <w:rPr>
          <w:rFonts w:ascii="Times New Roman" w:hAnsi="Times New Roman" w:eastAsia="宋体" w:cs="Times New Roman"/>
          <w:iCs/>
          <w:color w:val="auto"/>
          <w:sz w:val="21"/>
        </w:rPr>
        <w:t xml:space="preserve"> </w:t>
      </w:r>
      <w:r>
        <w:rPr>
          <w:rFonts w:ascii="Times New Roman" w:hAnsi="Times New Roman" w:eastAsia="宋体" w:cs="Times New Roman"/>
          <w:iCs/>
          <w:color w:val="auto"/>
          <w:sz w:val="21"/>
        </w:rPr>
        <w:sym w:font="Wingdings" w:char="00A8"/>
      </w:r>
      <w:r>
        <w:rPr>
          <w:rFonts w:ascii="Times New Roman" w:hAnsi="Times New Roman" w:eastAsia="宋体" w:cs="Times New Roman"/>
          <w:iCs/>
          <w:color w:val="auto"/>
          <w:sz w:val="21"/>
        </w:rPr>
        <w:t xml:space="preserve">大型企业  </w:t>
      </w:r>
      <w:r>
        <w:rPr>
          <w:rFonts w:ascii="Times New Roman" w:hAnsi="Times New Roman" w:eastAsia="宋体" w:cs="Times New Roman"/>
          <w:iCs/>
          <w:color w:val="auto"/>
          <w:sz w:val="21"/>
        </w:rPr>
        <w:sym w:font="Wingdings" w:char="00A8"/>
      </w:r>
      <w:r>
        <w:rPr>
          <w:rFonts w:ascii="Times New Roman" w:hAnsi="Times New Roman" w:eastAsia="宋体" w:cs="Times New Roman"/>
          <w:iCs/>
          <w:color w:val="auto"/>
          <w:sz w:val="21"/>
        </w:rPr>
        <w:t xml:space="preserve">中型企业  </w:t>
      </w:r>
      <w:r>
        <w:rPr>
          <w:rFonts w:ascii="Times New Roman" w:hAnsi="Times New Roman" w:eastAsia="宋体" w:cs="Times New Roman"/>
          <w:iCs/>
          <w:color w:val="auto"/>
          <w:sz w:val="21"/>
        </w:rPr>
        <w:sym w:font="Wingdings" w:char="00A8"/>
      </w:r>
      <w:r>
        <w:rPr>
          <w:rFonts w:ascii="Times New Roman" w:hAnsi="Times New Roman" w:eastAsia="宋体" w:cs="Times New Roman"/>
          <w:iCs/>
          <w:color w:val="auto"/>
          <w:sz w:val="21"/>
        </w:rPr>
        <w:t xml:space="preserve">小型企业  </w:t>
      </w:r>
      <w:r>
        <w:rPr>
          <w:rFonts w:ascii="Times New Roman" w:hAnsi="Times New Roman" w:eastAsia="宋体" w:cs="Times New Roman"/>
          <w:iCs/>
          <w:color w:val="auto"/>
          <w:sz w:val="21"/>
        </w:rPr>
        <w:sym w:font="Wingdings" w:char="00A8"/>
      </w:r>
      <w:r>
        <w:rPr>
          <w:rFonts w:ascii="Times New Roman" w:hAnsi="Times New Roman" w:eastAsia="宋体" w:cs="Times New Roman"/>
          <w:iCs/>
          <w:color w:val="auto"/>
          <w:sz w:val="21"/>
        </w:rPr>
        <w:t>微型企业</w:t>
      </w:r>
    </w:p>
    <w:p w14:paraId="3F204E12">
      <w:pPr>
        <w:spacing w:line="400" w:lineRule="exact"/>
        <w:rPr>
          <w:iCs/>
          <w:color w:val="auto"/>
        </w:rPr>
      </w:pPr>
      <w:r>
        <w:rPr>
          <w:color w:val="auto"/>
        </w:rPr>
        <w:t xml:space="preserve">    本合同是否为专门面向中小企业的采购合同（中小企业预留合同）：</w:t>
      </w:r>
      <w:r>
        <w:rPr>
          <w:iCs/>
          <w:color w:val="auto"/>
        </w:rPr>
        <w:sym w:font="Wingdings" w:char="00A8"/>
      </w:r>
      <w:r>
        <w:rPr>
          <w:iCs/>
          <w:color w:val="auto"/>
        </w:rPr>
        <w:t xml:space="preserve">是   </w:t>
      </w:r>
      <w:r>
        <w:rPr>
          <w:iCs/>
          <w:color w:val="auto"/>
        </w:rPr>
        <w:sym w:font="Wingdings" w:char="00A8"/>
      </w:r>
      <w:r>
        <w:rPr>
          <w:iCs/>
          <w:color w:val="auto"/>
        </w:rPr>
        <w:t>否</w:t>
      </w:r>
    </w:p>
    <w:p w14:paraId="555FDE08">
      <w:pPr>
        <w:spacing w:line="400" w:lineRule="exact"/>
        <w:rPr>
          <w:color w:val="auto"/>
        </w:rPr>
      </w:pPr>
      <w:r>
        <w:rPr>
          <w:color w:val="auto"/>
        </w:rPr>
        <w:t xml:space="preserve">    若本项目不专门面向中小企业采购，是否给予小微企业评审优惠：</w:t>
      </w:r>
      <w:r>
        <w:rPr>
          <w:iCs/>
          <w:color w:val="auto"/>
        </w:rPr>
        <w:sym w:font="Wingdings" w:char="00A8"/>
      </w:r>
      <w:r>
        <w:rPr>
          <w:iCs/>
          <w:color w:val="auto"/>
        </w:rPr>
        <w:t xml:space="preserve">是   </w:t>
      </w:r>
      <w:r>
        <w:rPr>
          <w:iCs/>
          <w:color w:val="auto"/>
        </w:rPr>
        <w:sym w:font="Wingdings" w:char="00A8"/>
      </w:r>
      <w:r>
        <w:rPr>
          <w:iCs/>
          <w:color w:val="auto"/>
        </w:rPr>
        <w:t>否</w:t>
      </w:r>
    </w:p>
    <w:p w14:paraId="59D5BC69">
      <w:pPr>
        <w:pStyle w:val="91"/>
        <w:numPr>
          <w:ilvl w:val="0"/>
          <w:numId w:val="5"/>
        </w:numPr>
        <w:adjustRightInd/>
        <w:ind w:firstLine="420" w:firstLineChars="0"/>
        <w:rPr>
          <w:rFonts w:ascii="Times New Roman" w:hAnsi="Times New Roman" w:eastAsia="宋体" w:cs="Times New Roman"/>
          <w:color w:val="auto"/>
          <w:kern w:val="2"/>
          <w:sz w:val="21"/>
        </w:rPr>
      </w:pPr>
      <w:r>
        <w:rPr>
          <w:rFonts w:ascii="Times New Roman" w:hAnsi="Times New Roman" w:eastAsia="宋体" w:cs="Times New Roman"/>
          <w:color w:val="auto"/>
          <w:sz w:val="21"/>
        </w:rPr>
        <w:t>合同授予类型：</w:t>
      </w:r>
      <w:r>
        <w:rPr>
          <w:rFonts w:ascii="Times New Roman" w:hAnsi="Times New Roman" w:eastAsia="宋体" w:cs="Times New Roman"/>
          <w:color w:val="auto"/>
          <w:kern w:val="2"/>
          <w:sz w:val="21"/>
        </w:rPr>
        <w:sym w:font="Wingdings" w:char="00A8"/>
      </w:r>
      <w:r>
        <w:rPr>
          <w:rFonts w:ascii="Times New Roman" w:hAnsi="Times New Roman" w:eastAsia="宋体" w:cs="Times New Roman"/>
          <w:color w:val="auto"/>
          <w:kern w:val="2"/>
          <w:sz w:val="21"/>
        </w:rPr>
        <w:t xml:space="preserve">省内      </w:t>
      </w:r>
      <w:r>
        <w:rPr>
          <w:rFonts w:ascii="Times New Roman" w:hAnsi="Times New Roman" w:eastAsia="宋体" w:cs="Times New Roman"/>
          <w:color w:val="auto"/>
          <w:kern w:val="2"/>
          <w:sz w:val="21"/>
        </w:rPr>
        <w:sym w:font="Wingdings" w:char="00A8"/>
      </w:r>
      <w:r>
        <w:rPr>
          <w:rFonts w:ascii="Times New Roman" w:hAnsi="Times New Roman" w:eastAsia="宋体" w:cs="Times New Roman"/>
          <w:color w:val="auto"/>
          <w:kern w:val="2"/>
          <w:sz w:val="21"/>
        </w:rPr>
        <w:t>省外</w:t>
      </w:r>
    </w:p>
    <w:p w14:paraId="77A9EA5F">
      <w:pPr>
        <w:numPr>
          <w:ilvl w:val="0"/>
          <w:numId w:val="3"/>
        </w:numPr>
        <w:spacing w:line="400" w:lineRule="exact"/>
        <w:ind w:firstLine="422" w:firstLineChars="200"/>
        <w:rPr>
          <w:b/>
          <w:color w:val="auto"/>
        </w:rPr>
      </w:pPr>
      <w:r>
        <w:rPr>
          <w:b/>
          <w:color w:val="auto"/>
        </w:rPr>
        <w:t>合同金额</w:t>
      </w:r>
    </w:p>
    <w:p w14:paraId="4C9143BC">
      <w:pPr>
        <w:spacing w:line="400" w:lineRule="exact"/>
        <w:ind w:firstLine="420" w:firstLineChars="200"/>
        <w:rPr>
          <w:color w:val="auto"/>
        </w:rPr>
      </w:pPr>
      <w:r>
        <w:rPr>
          <w:color w:val="auto"/>
        </w:rPr>
        <w:t>（1）合同金额大写：</w:t>
      </w:r>
      <w:r>
        <w:rPr>
          <w:color w:val="auto"/>
          <w:u w:val="single"/>
        </w:rPr>
        <w:t xml:space="preserve">                           </w:t>
      </w:r>
    </w:p>
    <w:p w14:paraId="7BE05B7C">
      <w:pPr>
        <w:spacing w:line="400" w:lineRule="exact"/>
        <w:rPr>
          <w:color w:val="auto"/>
          <w:u w:val="single"/>
        </w:rPr>
      </w:pPr>
      <w:r>
        <w:rPr>
          <w:color w:val="auto"/>
        </w:rPr>
        <w:t xml:space="preserve">                 小写：</w:t>
      </w:r>
      <w:r>
        <w:rPr>
          <w:color w:val="auto"/>
          <w:u w:val="single"/>
        </w:rPr>
        <w:t xml:space="preserve">                           </w:t>
      </w:r>
    </w:p>
    <w:p w14:paraId="69229C3B">
      <w:pPr>
        <w:pStyle w:val="124"/>
        <w:spacing w:line="400" w:lineRule="exact"/>
        <w:rPr>
          <w:color w:val="auto"/>
        </w:rPr>
      </w:pPr>
      <w:r>
        <w:rPr>
          <w:color w:val="auto"/>
        </w:rPr>
        <w:t>（2）付款方式（按项目实际勾选填写）：</w:t>
      </w:r>
    </w:p>
    <w:p w14:paraId="6FD06AC2">
      <w:pPr>
        <w:spacing w:line="400" w:lineRule="exact"/>
        <w:ind w:firstLine="630" w:firstLineChars="300"/>
        <w:rPr>
          <w:color w:val="auto"/>
        </w:rPr>
      </w:pPr>
      <w:r>
        <w:rPr>
          <w:rFonts w:hint="eastAsia" w:ascii="宋体" w:hAnsi="宋体"/>
          <w:color w:val="auto"/>
        </w:rPr>
        <w:sym w:font="Wingdings" w:char="00FE"/>
      </w:r>
      <w:r>
        <w:rPr>
          <w:rFonts w:hint="eastAsia" w:ascii="宋体" w:hAnsi="宋体"/>
          <w:color w:val="auto"/>
        </w:rPr>
        <w:t>全额付款：</w:t>
      </w:r>
      <w:r>
        <w:rPr>
          <w:rFonts w:hint="eastAsia" w:ascii="宋体" w:hAnsi="宋体"/>
          <w:color w:val="auto"/>
          <w:u w:val="single"/>
        </w:rPr>
        <w:t xml:space="preserve"> 货到安装、调试、验收合格后，乙方</w:t>
      </w:r>
      <w:r>
        <w:rPr>
          <w:rFonts w:hint="eastAsia" w:ascii="宋体" w:hAnsi="宋体" w:cs="宋体"/>
          <w:color w:val="auto"/>
          <w:u w:val="single"/>
        </w:rPr>
        <w:t>按照合同金额的100%向甲方开具发票，</w:t>
      </w:r>
      <w:r>
        <w:rPr>
          <w:rFonts w:hint="eastAsia" w:ascii="宋体" w:hAnsi="宋体"/>
          <w:color w:val="auto"/>
          <w:u w:val="single"/>
        </w:rPr>
        <w:t>甲方支付100%合同价款给乙方。在成交人响应文件中承诺的质保期满无质量问题退还履约保函。</w:t>
      </w:r>
    </w:p>
    <w:p w14:paraId="299C80D3">
      <w:pPr>
        <w:spacing w:line="400" w:lineRule="exact"/>
        <w:ind w:firstLine="630" w:firstLineChars="300"/>
        <w:rPr>
          <w:color w:val="auto"/>
          <w:u w:val="single"/>
        </w:rPr>
      </w:pPr>
      <w:r>
        <w:rPr>
          <w:color w:val="auto"/>
        </w:rPr>
        <w:t>（3）其他事项：</w:t>
      </w:r>
      <w:r>
        <w:rPr>
          <w:color w:val="auto"/>
          <w:u w:val="single"/>
        </w:rPr>
        <w:t>因采购人单位性质，需要按照国家、省级项目资金支付规定执行，供应商应对此清楚知晓，采购人尽量保证按照本协议约定履行义务，如因以上原因导致无法按时支付款项的，供应商承诺不追究采购人违约责任。</w:t>
      </w:r>
    </w:p>
    <w:p w14:paraId="7406EB27">
      <w:pPr>
        <w:numPr>
          <w:ilvl w:val="0"/>
          <w:numId w:val="3"/>
        </w:numPr>
        <w:spacing w:line="400" w:lineRule="exact"/>
        <w:ind w:firstLine="422" w:firstLineChars="200"/>
        <w:rPr>
          <w:b/>
          <w:color w:val="auto"/>
          <w:u w:val="single"/>
        </w:rPr>
      </w:pPr>
      <w:r>
        <w:rPr>
          <w:b/>
          <w:color w:val="auto"/>
        </w:rPr>
        <w:t>合同履行</w:t>
      </w:r>
    </w:p>
    <w:p w14:paraId="48782277">
      <w:pPr>
        <w:spacing w:line="400" w:lineRule="exact"/>
        <w:ind w:firstLine="420" w:firstLineChars="200"/>
        <w:rPr>
          <w:color w:val="auto"/>
        </w:rPr>
      </w:pPr>
      <w:r>
        <w:rPr>
          <w:color w:val="auto"/>
        </w:rPr>
        <w:t>（1）</w:t>
      </w:r>
      <w:r>
        <w:rPr>
          <w:rFonts w:hint="eastAsia" w:ascii="宋体" w:hAnsi="宋体" w:cs="宋体"/>
          <w:color w:val="auto"/>
          <w:kern w:val="0"/>
        </w:rPr>
        <w:t>交货期：</w:t>
      </w:r>
      <w:r>
        <w:rPr>
          <w:rFonts w:hint="eastAsia" w:ascii="宋体" w:hAnsi="宋体" w:cs="宋体"/>
          <w:color w:val="auto"/>
          <w:kern w:val="0"/>
          <w:u w:val="single"/>
        </w:rPr>
        <w:t>自合同生效之日起  个月内供货安装调试完成</w:t>
      </w:r>
      <w:r>
        <w:rPr>
          <w:rFonts w:hint="eastAsia" w:ascii="宋体" w:hAnsi="宋体" w:cs="宋体"/>
          <w:color w:val="auto"/>
          <w:kern w:val="0"/>
        </w:rPr>
        <w:t>。</w:t>
      </w:r>
    </w:p>
    <w:p w14:paraId="43CF0D44">
      <w:pPr>
        <w:spacing w:line="400" w:lineRule="exact"/>
        <w:ind w:firstLine="420" w:firstLineChars="200"/>
        <w:rPr>
          <w:color w:val="auto"/>
          <w:u w:val="single"/>
        </w:rPr>
      </w:pPr>
      <w:r>
        <w:rPr>
          <w:color w:val="auto"/>
        </w:rPr>
        <w:t>（2）履约地点</w:t>
      </w:r>
      <w:r>
        <w:rPr>
          <w:rFonts w:hint="eastAsia"/>
          <w:color w:val="auto"/>
        </w:rPr>
        <w:t>：</w:t>
      </w:r>
      <w:r>
        <w:rPr>
          <w:rFonts w:hint="eastAsia"/>
          <w:color w:val="auto"/>
          <w:u w:val="single"/>
        </w:rPr>
        <w:t>郑州大学北校区</w:t>
      </w:r>
    </w:p>
    <w:p w14:paraId="793CC1F7">
      <w:pPr>
        <w:spacing w:line="400" w:lineRule="exact"/>
        <w:ind w:firstLine="420" w:firstLineChars="200"/>
        <w:rPr>
          <w:color w:val="auto"/>
        </w:rPr>
      </w:pPr>
      <w:r>
        <w:rPr>
          <w:bCs/>
          <w:color w:val="auto"/>
        </w:rPr>
        <w:t>（3）履约担保：</w:t>
      </w:r>
      <w:r>
        <w:rPr>
          <w:color w:val="auto"/>
        </w:rPr>
        <w:t>是否收取履约保证金：</w:t>
      </w:r>
      <w:r>
        <w:rPr>
          <w:color w:val="auto"/>
        </w:rPr>
        <w:sym w:font="Wingdings" w:char="00FE"/>
      </w:r>
      <w:r>
        <w:rPr>
          <w:color w:val="auto"/>
        </w:rPr>
        <w:t xml:space="preserve">是    </w:t>
      </w:r>
      <w:r>
        <w:rPr>
          <w:color w:val="auto"/>
        </w:rPr>
        <w:sym w:font="Wingdings" w:char="00A8"/>
      </w:r>
      <w:r>
        <w:rPr>
          <w:color w:val="auto"/>
        </w:rPr>
        <w:t>否</w:t>
      </w:r>
    </w:p>
    <w:p w14:paraId="2AEA1FE3">
      <w:pPr>
        <w:pStyle w:val="91"/>
        <w:adjustRightInd/>
        <w:rPr>
          <w:rFonts w:ascii="Times New Roman" w:hAnsi="Times New Roman" w:eastAsia="宋体" w:cs="Times New Roman"/>
          <w:color w:val="auto"/>
          <w:sz w:val="21"/>
        </w:rPr>
      </w:pPr>
      <w:r>
        <w:rPr>
          <w:rFonts w:ascii="Times New Roman" w:hAnsi="Times New Roman" w:eastAsia="宋体" w:cs="Times New Roman"/>
          <w:bCs/>
          <w:color w:val="auto"/>
        </w:rPr>
        <w:t xml:space="preserve">  </w:t>
      </w:r>
      <w:r>
        <w:rPr>
          <w:rFonts w:ascii="Times New Roman" w:hAnsi="Times New Roman" w:eastAsia="宋体" w:cs="Times New Roman"/>
          <w:color w:val="auto"/>
          <w:sz w:val="21"/>
        </w:rPr>
        <w:t xml:space="preserve">  收取履约保证金形式：</w:t>
      </w:r>
      <w:r>
        <w:rPr>
          <w:rFonts w:ascii="Times New Roman" w:hAnsi="Times New Roman" w:eastAsia="宋体" w:cs="Times New Roman"/>
          <w:bCs/>
          <w:color w:val="auto"/>
          <w:sz w:val="21"/>
          <w:u w:val="single"/>
        </w:rPr>
        <w:t xml:space="preserve">  银行保函  </w:t>
      </w:r>
    </w:p>
    <w:p w14:paraId="72D60461">
      <w:pPr>
        <w:pStyle w:val="91"/>
        <w:adjustRightInd/>
        <w:ind w:firstLine="420"/>
        <w:rPr>
          <w:rFonts w:ascii="Times New Roman" w:hAnsi="Times New Roman" w:eastAsia="宋体" w:cs="Times New Roman"/>
          <w:color w:val="auto"/>
          <w:sz w:val="21"/>
        </w:rPr>
      </w:pPr>
      <w:r>
        <w:rPr>
          <w:rFonts w:ascii="Times New Roman" w:hAnsi="Times New Roman" w:eastAsia="宋体" w:cs="Times New Roman"/>
          <w:color w:val="auto"/>
          <w:sz w:val="21"/>
        </w:rPr>
        <w:t xml:space="preserve">    收取履约保证金金额或比例：</w:t>
      </w:r>
      <w:r>
        <w:rPr>
          <w:rFonts w:ascii="Times New Roman" w:hAnsi="Times New Roman" w:eastAsia="宋体" w:cs="Times New Roman"/>
          <w:bCs/>
          <w:color w:val="auto"/>
          <w:sz w:val="21"/>
          <w:u w:val="single"/>
        </w:rPr>
        <w:t xml:space="preserve">  合同金额的5% </w:t>
      </w:r>
    </w:p>
    <w:p w14:paraId="1772F0EE">
      <w:pPr>
        <w:spacing w:line="400" w:lineRule="exact"/>
        <w:ind w:firstLine="420" w:firstLineChars="200"/>
        <w:rPr>
          <w:color w:val="auto"/>
        </w:rPr>
      </w:pPr>
      <w:r>
        <w:rPr>
          <w:bCs/>
          <w:color w:val="auto"/>
        </w:rPr>
        <w:t xml:space="preserve">    履约担保期限：</w:t>
      </w:r>
      <w:r>
        <w:rPr>
          <w:bCs/>
          <w:color w:val="auto"/>
          <w:kern w:val="0"/>
          <w:u w:val="single"/>
        </w:rPr>
        <w:t xml:space="preserve"> 自中标通知书发放之日起至质保期结束之日止 </w:t>
      </w:r>
      <w:r>
        <w:rPr>
          <w:bCs/>
          <w:color w:val="auto"/>
          <w:u w:val="single"/>
        </w:rPr>
        <w:t xml:space="preserve"> </w:t>
      </w:r>
    </w:p>
    <w:p w14:paraId="2F919F52">
      <w:pPr>
        <w:spacing w:line="400" w:lineRule="exact"/>
        <w:ind w:firstLine="420" w:firstLineChars="200"/>
        <w:rPr>
          <w:bCs/>
          <w:color w:val="auto"/>
          <w:u w:val="single"/>
        </w:rPr>
      </w:pPr>
      <w:r>
        <w:rPr>
          <w:bCs/>
          <w:color w:val="auto"/>
        </w:rPr>
        <w:t>（4）分期履行要求：</w:t>
      </w:r>
      <w:r>
        <w:rPr>
          <w:bCs/>
          <w:color w:val="auto"/>
          <w:u w:val="single"/>
        </w:rPr>
        <w:t xml:space="preserve">                                                        </w:t>
      </w:r>
    </w:p>
    <w:p w14:paraId="0099E3DC">
      <w:pPr>
        <w:pStyle w:val="91"/>
        <w:adjustRightInd/>
        <w:ind w:firstLine="420"/>
        <w:rPr>
          <w:rFonts w:ascii="Times New Roman" w:hAnsi="Times New Roman" w:eastAsia="宋体" w:cs="Times New Roman"/>
          <w:color w:val="auto"/>
          <w:u w:val="single"/>
        </w:rPr>
      </w:pPr>
      <w:r>
        <w:rPr>
          <w:rFonts w:ascii="Times New Roman" w:hAnsi="Times New Roman" w:eastAsia="宋体" w:cs="Times New Roman"/>
          <w:bCs/>
          <w:color w:val="auto"/>
          <w:kern w:val="2"/>
          <w:sz w:val="21"/>
        </w:rPr>
        <w:t>（5）风险处置措施和替代方案</w:t>
      </w:r>
      <w:r>
        <w:rPr>
          <w:rFonts w:ascii="Times New Roman" w:hAnsi="Times New Roman" w:eastAsia="宋体" w:cs="Times New Roman"/>
          <w:b/>
          <w:color w:val="auto"/>
          <w:kern w:val="2"/>
          <w:sz w:val="21"/>
        </w:rPr>
        <w:t>：</w:t>
      </w:r>
      <w:r>
        <w:rPr>
          <w:rFonts w:ascii="Times New Roman" w:hAnsi="Times New Roman" w:eastAsia="宋体" w:cs="Times New Roman"/>
          <w:b/>
          <w:color w:val="auto"/>
          <w:u w:val="single"/>
        </w:rPr>
        <w:t xml:space="preserve"> a.本合同附件1所列的货物在在安装调试测试完成之前的货物灭失风险由乙方负责；b.乙方可对途中运输的货物向保险公司投保商业保险，保险费用由乙方承担。</w:t>
      </w:r>
      <w:r>
        <w:rPr>
          <w:rFonts w:ascii="Times New Roman" w:hAnsi="Times New Roman" w:eastAsia="宋体" w:cs="Times New Roman"/>
          <w:color w:val="auto"/>
          <w:u w:val="single"/>
        </w:rPr>
        <w:t xml:space="preserve"> </w:t>
      </w:r>
    </w:p>
    <w:p w14:paraId="2AC724F2">
      <w:pPr>
        <w:numPr>
          <w:ilvl w:val="0"/>
          <w:numId w:val="3"/>
        </w:numPr>
        <w:spacing w:line="400" w:lineRule="exact"/>
        <w:ind w:firstLine="422" w:firstLineChars="200"/>
        <w:rPr>
          <w:b/>
          <w:color w:val="auto"/>
        </w:rPr>
      </w:pPr>
      <w:r>
        <w:rPr>
          <w:b/>
          <w:color w:val="auto"/>
        </w:rPr>
        <w:t>合同验收</w:t>
      </w:r>
    </w:p>
    <w:p w14:paraId="34E13055">
      <w:pPr>
        <w:numPr>
          <w:ilvl w:val="0"/>
          <w:numId w:val="6"/>
        </w:numPr>
        <w:spacing w:line="400" w:lineRule="exact"/>
        <w:ind w:firstLine="420" w:firstLineChars="200"/>
        <w:rPr>
          <w:bCs/>
          <w:color w:val="auto"/>
          <w:u w:val="single"/>
        </w:rPr>
      </w:pPr>
      <w:r>
        <w:rPr>
          <w:bCs/>
          <w:color w:val="auto"/>
        </w:rPr>
        <w:t>验收组织方式：</w:t>
      </w:r>
      <w:r>
        <w:rPr>
          <w:bCs/>
          <w:color w:val="auto"/>
          <w:u w:val="single"/>
        </w:rPr>
        <w:t>自行组织</w:t>
      </w:r>
    </w:p>
    <w:p w14:paraId="3E07F8BF">
      <w:pPr>
        <w:spacing w:line="400" w:lineRule="exact"/>
        <w:rPr>
          <w:rFonts w:hint="default" w:eastAsia="宋体"/>
          <w:bCs/>
          <w:color w:val="auto"/>
          <w:u w:val="single"/>
          <w:lang w:val="en-US" w:eastAsia="zh-CN"/>
        </w:rPr>
      </w:pPr>
      <w:r>
        <w:rPr>
          <w:bCs/>
          <w:color w:val="auto"/>
        </w:rPr>
        <w:t xml:space="preserve">         验收主体：</w:t>
      </w:r>
      <w:r>
        <w:rPr>
          <w:rFonts w:hint="eastAsia"/>
          <w:bCs/>
          <w:color w:val="auto"/>
          <w:u w:val="single"/>
        </w:rPr>
        <w:t xml:space="preserve"> </w:t>
      </w:r>
      <w:r>
        <w:rPr>
          <w:rFonts w:hint="eastAsia"/>
          <w:bCs/>
          <w:color w:val="auto"/>
          <w:u w:val="single"/>
          <w:lang w:eastAsia="zh-CN"/>
        </w:rPr>
        <w:t>中原纯化制程实验室</w:t>
      </w:r>
      <w:r>
        <w:rPr>
          <w:rFonts w:hint="eastAsia"/>
          <w:bCs/>
          <w:color w:val="auto"/>
          <w:u w:val="single"/>
          <w:lang w:val="en-US" w:eastAsia="zh-CN"/>
        </w:rPr>
        <w:t xml:space="preserve"> </w:t>
      </w:r>
    </w:p>
    <w:p w14:paraId="52DE7AA2">
      <w:pPr>
        <w:spacing w:line="400" w:lineRule="exact"/>
        <w:ind w:firstLine="420" w:firstLineChars="200"/>
        <w:rPr>
          <w:rFonts w:hint="default" w:eastAsia="宋体"/>
          <w:bCs/>
          <w:color w:val="auto"/>
          <w:u w:val="single"/>
          <w:lang w:val="en-US" w:eastAsia="zh-CN"/>
        </w:rPr>
      </w:pPr>
      <w:r>
        <w:rPr>
          <w:bCs/>
          <w:color w:val="auto"/>
        </w:rPr>
        <w:t>（2）履约验收时间：</w:t>
      </w:r>
      <w:r>
        <w:rPr>
          <w:bCs/>
          <w:color w:val="auto"/>
          <w:u w:val="single"/>
        </w:rPr>
        <w:t xml:space="preserve"> </w:t>
      </w:r>
      <w:r>
        <w:rPr>
          <w:rFonts w:hint="eastAsia"/>
          <w:bCs/>
          <w:color w:val="auto"/>
          <w:u w:val="single"/>
        </w:rPr>
        <w:t>设备安装调试完成后1个月内，且供应商提出验收申请之日起5个工作日内组织验收。</w:t>
      </w:r>
      <w:r>
        <w:rPr>
          <w:rFonts w:hint="eastAsia"/>
          <w:bCs/>
          <w:color w:val="auto"/>
          <w:u w:val="single"/>
          <w:lang w:val="en-US" w:eastAsia="zh-CN"/>
        </w:rPr>
        <w:t xml:space="preserve"> </w:t>
      </w:r>
    </w:p>
    <w:p w14:paraId="3C1386C6">
      <w:pPr>
        <w:spacing w:line="400" w:lineRule="exact"/>
        <w:ind w:firstLine="420" w:firstLineChars="200"/>
        <w:rPr>
          <w:bCs/>
          <w:color w:val="auto"/>
          <w:u w:val="single"/>
        </w:rPr>
      </w:pPr>
      <w:r>
        <w:rPr>
          <w:bCs/>
          <w:color w:val="auto"/>
        </w:rPr>
        <w:t>（3）履约验收方式和程序：</w:t>
      </w:r>
    </w:p>
    <w:p w14:paraId="54261F50">
      <w:pPr>
        <w:spacing w:line="400" w:lineRule="exact"/>
        <w:ind w:firstLine="420" w:firstLineChars="200"/>
        <w:rPr>
          <w:bCs/>
          <w:color w:val="auto"/>
        </w:rPr>
      </w:pPr>
      <w:r>
        <w:rPr>
          <w:bCs/>
          <w:color w:val="auto"/>
          <w:u w:val="single"/>
        </w:rPr>
        <w:t>技术性验收：接乙方通知后，甲方根据合同、招标文件、</w:t>
      </w:r>
      <w:r>
        <w:rPr>
          <w:rFonts w:hint="eastAsia"/>
          <w:bCs/>
          <w:color w:val="auto"/>
          <w:u w:val="single"/>
        </w:rPr>
        <w:t>响应文件</w:t>
      </w:r>
      <w:r>
        <w:rPr>
          <w:bCs/>
          <w:color w:val="auto"/>
          <w:u w:val="single"/>
        </w:rPr>
        <w:t>对相关货物数量（规模）和仪器设备安装调试及使用人员情况进行验收、对设备运行是否能够满足采购需求进行现场测试。符合性验收：技术性验收合格后，在技术性验收报告的基础上进行的实地、实物符合性验收。</w:t>
      </w:r>
    </w:p>
    <w:p w14:paraId="558C218B">
      <w:pPr>
        <w:spacing w:line="400" w:lineRule="exact"/>
        <w:ind w:firstLine="420" w:firstLineChars="200"/>
        <w:rPr>
          <w:bCs/>
          <w:color w:val="auto"/>
          <w:u w:val="single"/>
        </w:rPr>
      </w:pPr>
      <w:r>
        <w:rPr>
          <w:bCs/>
          <w:color w:val="auto"/>
        </w:rPr>
        <w:t>（4）履约验收的内容：</w:t>
      </w:r>
      <w:r>
        <w:rPr>
          <w:bCs/>
          <w:color w:val="auto"/>
          <w:u w:val="single"/>
        </w:rPr>
        <w:t xml:space="preserve"> 合同、</w:t>
      </w:r>
      <w:r>
        <w:rPr>
          <w:rFonts w:hint="eastAsia"/>
          <w:bCs/>
          <w:color w:val="auto"/>
          <w:u w:val="single"/>
        </w:rPr>
        <w:t>响应文件</w:t>
      </w:r>
      <w:r>
        <w:rPr>
          <w:bCs/>
          <w:color w:val="auto"/>
          <w:u w:val="single"/>
        </w:rPr>
        <w:t>、招标文件货物数量、技术规格以及商务服务要求。</w:t>
      </w:r>
    </w:p>
    <w:p w14:paraId="7BEFB765">
      <w:pPr>
        <w:spacing w:line="400" w:lineRule="exact"/>
        <w:ind w:firstLine="420" w:firstLineChars="200"/>
        <w:rPr>
          <w:bCs/>
          <w:color w:val="auto"/>
          <w:u w:val="single"/>
        </w:rPr>
      </w:pPr>
      <w:r>
        <w:rPr>
          <w:bCs/>
          <w:color w:val="auto"/>
        </w:rPr>
        <w:t>（5）履约验收标准：</w:t>
      </w:r>
      <w:r>
        <w:rPr>
          <w:bCs/>
          <w:color w:val="auto"/>
          <w:u w:val="single"/>
        </w:rPr>
        <w:t xml:space="preserve"> 满足国家有关规定，符合合同、</w:t>
      </w:r>
      <w:r>
        <w:rPr>
          <w:rFonts w:hint="eastAsia"/>
          <w:bCs/>
          <w:color w:val="auto"/>
          <w:u w:val="single"/>
        </w:rPr>
        <w:t>响应文件</w:t>
      </w:r>
      <w:r>
        <w:rPr>
          <w:bCs/>
          <w:color w:val="auto"/>
          <w:u w:val="single"/>
        </w:rPr>
        <w:t xml:space="preserve">、招标文件货物数量、技术规格以及商务服务要求。 </w:t>
      </w:r>
    </w:p>
    <w:p w14:paraId="365B9F18">
      <w:pPr>
        <w:spacing w:line="400" w:lineRule="exact"/>
        <w:ind w:firstLine="420" w:firstLineChars="200"/>
        <w:rPr>
          <w:bCs/>
          <w:color w:val="auto"/>
          <w:u w:val="single"/>
        </w:rPr>
      </w:pPr>
      <w:r>
        <w:rPr>
          <w:bCs/>
          <w:color w:val="auto"/>
        </w:rPr>
        <w:t>（6）履约验收其他事项：</w:t>
      </w:r>
      <w:r>
        <w:rPr>
          <w:bCs/>
          <w:color w:val="auto"/>
          <w:u w:val="single"/>
        </w:rPr>
        <w:t>甲方根据国家有关规定、招标文件、中标人的</w:t>
      </w:r>
      <w:r>
        <w:rPr>
          <w:rFonts w:hint="eastAsia"/>
          <w:bCs/>
          <w:color w:val="auto"/>
          <w:u w:val="single"/>
        </w:rPr>
        <w:t>响应文件</w:t>
      </w:r>
      <w:r>
        <w:rPr>
          <w:bCs/>
          <w:color w:val="auto"/>
          <w:u w:val="single"/>
        </w:rPr>
        <w:t>以及合同约定的内容和验收标准进行验收，甲方可以视项目情况邀请第三方机构或者参加本项目投标的落标人参与验收。验收情况作为支付货款的依据。如有异议，以相关质量技术检验检测机构的检验结果为准，如产生检验检测费用，则该费用由过失方承担。</w:t>
      </w:r>
    </w:p>
    <w:p w14:paraId="73F329DE">
      <w:pPr>
        <w:numPr>
          <w:ilvl w:val="0"/>
          <w:numId w:val="3"/>
        </w:numPr>
        <w:spacing w:line="400" w:lineRule="exact"/>
        <w:ind w:firstLine="422" w:firstLineChars="200"/>
        <w:rPr>
          <w:b/>
          <w:color w:val="auto"/>
        </w:rPr>
      </w:pPr>
      <w:r>
        <w:rPr>
          <w:b/>
          <w:color w:val="auto"/>
        </w:rPr>
        <w:t>组成合同的文件</w:t>
      </w:r>
    </w:p>
    <w:p w14:paraId="529A14CC">
      <w:pPr>
        <w:spacing w:line="400" w:lineRule="exact"/>
        <w:ind w:firstLine="420" w:firstLineChars="200"/>
        <w:rPr>
          <w:color w:val="auto"/>
        </w:rPr>
      </w:pPr>
      <w:r>
        <w:rPr>
          <w:color w:val="auto"/>
        </w:rPr>
        <w:t>本协议书与下列文件一起构成合同文件，如下述文件之间有任何抵触、矛盾或歧义，应按以下顺序解释：</w:t>
      </w:r>
    </w:p>
    <w:p w14:paraId="7C1CA634">
      <w:pPr>
        <w:spacing w:line="400" w:lineRule="exact"/>
        <w:ind w:firstLine="420" w:firstLineChars="200"/>
        <w:rPr>
          <w:color w:val="auto"/>
        </w:rPr>
      </w:pPr>
      <w:r>
        <w:rPr>
          <w:color w:val="auto"/>
        </w:rPr>
        <w:t>（1）政府采购合同协议书及其变更、补充协议</w:t>
      </w:r>
    </w:p>
    <w:p w14:paraId="72211FC2">
      <w:pPr>
        <w:spacing w:line="400" w:lineRule="exact"/>
        <w:ind w:firstLine="420" w:firstLineChars="200"/>
        <w:rPr>
          <w:color w:val="auto"/>
        </w:rPr>
      </w:pPr>
      <w:r>
        <w:rPr>
          <w:color w:val="auto"/>
        </w:rPr>
        <w:t>（2）政府采购合同专用条款</w:t>
      </w:r>
    </w:p>
    <w:p w14:paraId="7BCC53E1">
      <w:pPr>
        <w:spacing w:line="400" w:lineRule="exact"/>
        <w:ind w:firstLine="420" w:firstLineChars="200"/>
        <w:rPr>
          <w:color w:val="auto"/>
        </w:rPr>
      </w:pPr>
      <w:r>
        <w:rPr>
          <w:color w:val="auto"/>
        </w:rPr>
        <w:t>（3）政府采购合同通用条款</w:t>
      </w:r>
    </w:p>
    <w:p w14:paraId="68BAC90F">
      <w:pPr>
        <w:spacing w:line="400" w:lineRule="exact"/>
        <w:ind w:firstLine="420" w:firstLineChars="200"/>
        <w:rPr>
          <w:color w:val="auto"/>
        </w:rPr>
      </w:pPr>
      <w:r>
        <w:rPr>
          <w:color w:val="auto"/>
        </w:rPr>
        <w:t>（4）中标（成交）通知书</w:t>
      </w:r>
    </w:p>
    <w:p w14:paraId="60C03B0F">
      <w:pPr>
        <w:spacing w:line="400" w:lineRule="exact"/>
        <w:ind w:firstLine="420" w:firstLineChars="200"/>
        <w:rPr>
          <w:color w:val="auto"/>
        </w:rPr>
      </w:pPr>
      <w:r>
        <w:rPr>
          <w:color w:val="auto"/>
        </w:rPr>
        <w:t>（5）投标（响应）文件</w:t>
      </w:r>
    </w:p>
    <w:p w14:paraId="49A69CE5">
      <w:pPr>
        <w:spacing w:line="400" w:lineRule="exact"/>
        <w:ind w:firstLine="420" w:firstLineChars="200"/>
        <w:rPr>
          <w:color w:val="auto"/>
        </w:rPr>
      </w:pPr>
      <w:r>
        <w:rPr>
          <w:color w:val="auto"/>
        </w:rPr>
        <w:t>（6）采购文件</w:t>
      </w:r>
    </w:p>
    <w:p w14:paraId="17DDCCFE">
      <w:pPr>
        <w:spacing w:line="400" w:lineRule="exact"/>
        <w:ind w:firstLine="420" w:firstLineChars="200"/>
        <w:rPr>
          <w:color w:val="auto"/>
        </w:rPr>
      </w:pPr>
      <w:r>
        <w:rPr>
          <w:color w:val="auto"/>
        </w:rPr>
        <w:t>（7）有关技术文件，图纸</w:t>
      </w:r>
    </w:p>
    <w:p w14:paraId="330DF0E9">
      <w:pPr>
        <w:pStyle w:val="91"/>
        <w:adjustRightInd/>
        <w:ind w:firstLine="420"/>
        <w:rPr>
          <w:rFonts w:ascii="Times New Roman" w:hAnsi="Times New Roman" w:eastAsia="宋体" w:cs="Times New Roman"/>
          <w:color w:val="auto"/>
          <w:kern w:val="2"/>
          <w:sz w:val="21"/>
        </w:rPr>
      </w:pPr>
      <w:r>
        <w:rPr>
          <w:rFonts w:ascii="Times New Roman" w:hAnsi="Times New Roman" w:eastAsia="宋体" w:cs="Times New Roman"/>
          <w:color w:val="auto"/>
          <w:sz w:val="21"/>
        </w:rPr>
        <w:t>（8）</w:t>
      </w:r>
      <w:r>
        <w:rPr>
          <w:rFonts w:ascii="Times New Roman" w:hAnsi="Times New Roman" w:eastAsia="宋体" w:cs="Times New Roman"/>
          <w:color w:val="auto"/>
          <w:kern w:val="2"/>
          <w:sz w:val="21"/>
        </w:rPr>
        <w:t>国家法律、行政法规和规章制度规定或合同约定的作为合同组成部分的其他文件</w:t>
      </w:r>
    </w:p>
    <w:p w14:paraId="38DFDCCF">
      <w:pPr>
        <w:numPr>
          <w:ilvl w:val="0"/>
          <w:numId w:val="3"/>
        </w:numPr>
        <w:spacing w:line="400" w:lineRule="exact"/>
        <w:ind w:firstLine="422" w:firstLineChars="200"/>
        <w:rPr>
          <w:b/>
          <w:color w:val="auto"/>
        </w:rPr>
      </w:pPr>
      <w:r>
        <w:rPr>
          <w:b/>
          <w:color w:val="auto"/>
        </w:rPr>
        <w:t>合同的履行、变更和解除</w:t>
      </w:r>
    </w:p>
    <w:p w14:paraId="7F26B395">
      <w:pPr>
        <w:pStyle w:val="104"/>
        <w:spacing w:line="360" w:lineRule="auto"/>
        <w:ind w:firstLine="420" w:firstLineChars="200"/>
        <w:jc w:val="both"/>
        <w:rPr>
          <w:color w:val="auto"/>
          <w:kern w:val="2"/>
          <w:sz w:val="21"/>
          <w:szCs w:val="21"/>
        </w:rPr>
      </w:pPr>
      <w:r>
        <w:rPr>
          <w:color w:val="auto"/>
          <w:kern w:val="2"/>
          <w:sz w:val="21"/>
          <w:szCs w:val="21"/>
        </w:rPr>
        <w:t>（1）合同签订后并经甲方备案通过即具法律效力，甲乙双方均须认真履行，不得随意解除合同，如甲方备案未能通过的，双方应就本协议另行约定处理方案。</w:t>
      </w:r>
    </w:p>
    <w:p w14:paraId="0AC458CA">
      <w:pPr>
        <w:pStyle w:val="104"/>
        <w:spacing w:line="360" w:lineRule="auto"/>
        <w:ind w:firstLine="420" w:firstLineChars="200"/>
        <w:jc w:val="both"/>
        <w:rPr>
          <w:color w:val="auto"/>
          <w:kern w:val="2"/>
          <w:sz w:val="21"/>
          <w:szCs w:val="21"/>
        </w:rPr>
      </w:pPr>
      <w:r>
        <w:rPr>
          <w:color w:val="auto"/>
          <w:kern w:val="2"/>
          <w:sz w:val="21"/>
          <w:szCs w:val="21"/>
        </w:rPr>
        <w:t>（2）甲乙双方不得擅自变更合同。如因项目实际情况确需变更，须经双方书面认可方可变更并备案通过后生效。</w:t>
      </w:r>
    </w:p>
    <w:p w14:paraId="298EE206">
      <w:pPr>
        <w:numPr>
          <w:ilvl w:val="0"/>
          <w:numId w:val="3"/>
        </w:numPr>
        <w:spacing w:line="400" w:lineRule="exact"/>
        <w:ind w:firstLine="422" w:firstLineChars="200"/>
        <w:rPr>
          <w:b/>
          <w:color w:val="auto"/>
        </w:rPr>
      </w:pPr>
      <w:r>
        <w:rPr>
          <w:b/>
          <w:color w:val="auto"/>
        </w:rPr>
        <w:t>违约责任</w:t>
      </w:r>
    </w:p>
    <w:p w14:paraId="6981D333">
      <w:pPr>
        <w:tabs>
          <w:tab w:val="left" w:pos="630"/>
        </w:tabs>
        <w:spacing w:line="360" w:lineRule="auto"/>
        <w:ind w:firstLine="420" w:firstLineChars="200"/>
        <w:rPr>
          <w:color w:val="auto"/>
        </w:rPr>
      </w:pPr>
      <w:r>
        <w:rPr>
          <w:color w:val="auto"/>
        </w:rPr>
        <w:t>（1）除如因战争、严重火灾、水灾、台风、地震和其他甲乙双方认可的不可抗力事件外，甲乙双方不得随意解除合同，否则按违约处理。</w:t>
      </w:r>
    </w:p>
    <w:p w14:paraId="34902F42">
      <w:pPr>
        <w:tabs>
          <w:tab w:val="left" w:pos="630"/>
        </w:tabs>
        <w:spacing w:line="360" w:lineRule="auto"/>
        <w:ind w:firstLine="420" w:firstLineChars="200"/>
        <w:rPr>
          <w:color w:val="auto"/>
        </w:rPr>
      </w:pPr>
      <w:r>
        <w:rPr>
          <w:color w:val="auto"/>
        </w:rPr>
        <w:t>（2）乙方提供的货物（设备）不符合合同约定的质量标准或存在产品质量缺陷，甲方有权要求乙方及时修理、重作、更换，乙方应承担因此而发生的一切费用，同时甲方有权拒收并追究乙方责任。因乙方更换而造成逾期交货，则按逾期交货处理。</w:t>
      </w:r>
    </w:p>
    <w:p w14:paraId="1A71C7C0">
      <w:pPr>
        <w:pStyle w:val="91"/>
        <w:adjustRightInd/>
        <w:spacing w:line="360" w:lineRule="auto"/>
        <w:ind w:firstLine="420"/>
        <w:rPr>
          <w:rFonts w:ascii="Times New Roman" w:hAnsi="Times New Roman" w:eastAsia="宋体" w:cs="Times New Roman"/>
          <w:color w:val="auto"/>
          <w:kern w:val="2"/>
          <w:sz w:val="21"/>
        </w:rPr>
      </w:pPr>
      <w:r>
        <w:rPr>
          <w:rFonts w:ascii="Times New Roman" w:hAnsi="Times New Roman" w:eastAsia="宋体" w:cs="Times New Roman"/>
          <w:color w:val="auto"/>
          <w:kern w:val="2"/>
          <w:sz w:val="21"/>
        </w:rPr>
        <w:t>（3）乙方应保证货物（设备）由原厂生产的全新产品，无侵权行为，表面无划痕、无任何缺陷隐患，在中国境内可依常规安全合法使用，</w:t>
      </w:r>
      <w:r>
        <w:rPr>
          <w:rFonts w:ascii="Times New Roman" w:hAnsi="Times New Roman" w:eastAsia="宋体" w:cs="Times New Roman"/>
          <w:b/>
          <w:bCs/>
          <w:color w:val="auto"/>
          <w:kern w:val="2"/>
          <w:sz w:val="21"/>
        </w:rPr>
        <w:t>乙方应保证进货渠道的合法性。</w:t>
      </w:r>
      <w:r>
        <w:rPr>
          <w:rFonts w:ascii="Times New Roman" w:hAnsi="Times New Roman" w:eastAsia="宋体" w:cs="Times New Roman"/>
          <w:color w:val="auto"/>
          <w:kern w:val="2"/>
          <w:sz w:val="21"/>
        </w:rPr>
        <w:t>一经发现存在上述问题，甲方有权要求按照货物（设备）原值退货退款，乙方需承担由此产生的一切费用和损失。</w:t>
      </w:r>
    </w:p>
    <w:p w14:paraId="1A08E340">
      <w:pPr>
        <w:tabs>
          <w:tab w:val="left" w:pos="630"/>
        </w:tabs>
        <w:spacing w:line="360" w:lineRule="auto"/>
        <w:ind w:firstLine="420" w:firstLineChars="200"/>
        <w:rPr>
          <w:color w:val="auto"/>
        </w:rPr>
      </w:pPr>
      <w:r>
        <w:rPr>
          <w:color w:val="auto"/>
        </w:rPr>
        <w:t>（4）乙方应按照本合同规定的时间、地点交货和提供相关服务。在履行合同过程中，如遇不可抗力，</w:t>
      </w:r>
      <w:r>
        <w:rPr>
          <w:b/>
          <w:bCs/>
          <w:color w:val="auto"/>
        </w:rPr>
        <w:t>应及时以书面形式将迟延的事实、可能迟延的期限和理由通知甲方</w:t>
      </w:r>
      <w:r>
        <w:rPr>
          <w:color w:val="auto"/>
        </w:rPr>
        <w:t>。</w:t>
      </w:r>
      <w:r>
        <w:rPr>
          <w:rFonts w:hint="eastAsia" w:ascii="宋体" w:hAnsi="宋体" w:cs="宋体"/>
          <w:color w:val="auto"/>
        </w:rPr>
        <w:t>甲方在收到乙方通知后，应尽快对情况进行评价，并确定是否同意延长交货时间或延期提供服务。</w:t>
      </w:r>
    </w:p>
    <w:p w14:paraId="6202C133">
      <w:pPr>
        <w:tabs>
          <w:tab w:val="left" w:pos="630"/>
        </w:tabs>
        <w:spacing w:line="360" w:lineRule="auto"/>
        <w:ind w:firstLine="420" w:firstLineChars="200"/>
        <w:rPr>
          <w:color w:val="auto"/>
        </w:rPr>
      </w:pPr>
      <w:r>
        <w:rPr>
          <w:color w:val="auto"/>
        </w:rPr>
        <w:t>（5）无正当理由逾期交付货物（供货、安装调试完毕），每逾期1周（7日）乙方向甲方偿付逾期交货部分货款总额的5‰的违约金，不足1周（7天）的按日折算，乙方需在3日内将违约金支付给甲方。</w:t>
      </w:r>
    </w:p>
    <w:p w14:paraId="1EBAAF26">
      <w:pPr>
        <w:tabs>
          <w:tab w:val="left" w:pos="630"/>
        </w:tabs>
        <w:spacing w:line="360" w:lineRule="auto"/>
        <w:ind w:firstLine="420" w:firstLineChars="200"/>
        <w:rPr>
          <w:color w:val="auto"/>
        </w:rPr>
      </w:pPr>
      <w:r>
        <w:rPr>
          <w:color w:val="auto"/>
        </w:rPr>
        <w:t>（6）如乙方逾期交付货物（供货、安装调试完毕）达70天。甲方有权单方解除合同，甲方解除合同通知自到达乙方时生效。乙方向甲方偿付合同总额5%的违约金，乙方需在3日内将违约金支付给甲方，并退还甲方已支付的</w:t>
      </w:r>
      <w:r>
        <w:rPr>
          <w:rFonts w:hint="eastAsia"/>
          <w:color w:val="auto"/>
        </w:rPr>
        <w:t>款项</w:t>
      </w:r>
      <w:r>
        <w:rPr>
          <w:color w:val="auto"/>
        </w:rPr>
        <w:t>。</w:t>
      </w:r>
    </w:p>
    <w:p w14:paraId="7ADE14AD">
      <w:pPr>
        <w:tabs>
          <w:tab w:val="left" w:pos="630"/>
        </w:tabs>
        <w:spacing w:line="360" w:lineRule="auto"/>
        <w:ind w:firstLine="420" w:firstLineChars="200"/>
        <w:rPr>
          <w:color w:val="auto"/>
        </w:rPr>
      </w:pPr>
      <w:r>
        <w:rPr>
          <w:color w:val="auto"/>
        </w:rPr>
        <w:t>（7）验收过程中，甲乙双方因质量问题发生争议，由甲方所在地或上一级质量技术鉴定单位进行质量鉴定。经鉴定质量合格，鉴定费由甲方承担；鉴定质量不合格，鉴定费用由乙方承担。鉴定质量不合格的，甲方有权拒收、有权单方解除合同并要求乙方赔偿因此造成的一切损失，乙方应在3日内向甲方偿付合同总额5%的违约金，并退还甲方已支付的</w:t>
      </w:r>
      <w:r>
        <w:rPr>
          <w:rFonts w:hint="eastAsia"/>
          <w:color w:val="auto"/>
        </w:rPr>
        <w:t>款项</w:t>
      </w:r>
      <w:r>
        <w:rPr>
          <w:color w:val="auto"/>
        </w:rPr>
        <w:t>。在此情况下，乙方给甲方造成的实际损失高于违约金的，对高出违约金的部分乙方应予以赔偿。</w:t>
      </w:r>
    </w:p>
    <w:p w14:paraId="34CC22D1">
      <w:pPr>
        <w:tabs>
          <w:tab w:val="left" w:pos="630"/>
        </w:tabs>
        <w:spacing w:line="360" w:lineRule="auto"/>
        <w:ind w:firstLine="420" w:firstLineChars="200"/>
        <w:rPr>
          <w:color w:val="auto"/>
        </w:rPr>
      </w:pPr>
      <w:r>
        <w:rPr>
          <w:color w:val="auto"/>
        </w:rPr>
        <w:t>（8）当违约金超过履约保证金时，超过部分甲方有权从合同总价款中扣除，用于补偿违约金不足的部分。</w:t>
      </w:r>
    </w:p>
    <w:p w14:paraId="16606A0B">
      <w:pPr>
        <w:numPr>
          <w:ilvl w:val="0"/>
          <w:numId w:val="3"/>
        </w:numPr>
        <w:spacing w:line="400" w:lineRule="exact"/>
        <w:ind w:firstLine="422" w:firstLineChars="200"/>
        <w:rPr>
          <w:b/>
          <w:color w:val="auto"/>
        </w:rPr>
      </w:pPr>
      <w:r>
        <w:rPr>
          <w:b/>
          <w:color w:val="auto"/>
        </w:rPr>
        <w:t>合同争议的解决</w:t>
      </w:r>
    </w:p>
    <w:p w14:paraId="0BD0F1BB">
      <w:pPr>
        <w:tabs>
          <w:tab w:val="left" w:pos="630"/>
        </w:tabs>
        <w:spacing w:line="360" w:lineRule="auto"/>
        <w:ind w:firstLine="420" w:firstLineChars="200"/>
        <w:rPr>
          <w:color w:val="auto"/>
        </w:rPr>
      </w:pPr>
      <w:r>
        <w:rPr>
          <w:color w:val="auto"/>
        </w:rPr>
        <w:t>本合同履行过程中发生的任何争议，双方当事人均可通过和解或者调解解决；不愿和解、调解或者和解、调解不成的，可以选择下列第</w:t>
      </w:r>
      <w:r>
        <w:rPr>
          <w:color w:val="auto"/>
          <w:u w:val="single"/>
        </w:rPr>
        <w:t xml:space="preserve"> （2） </w:t>
      </w:r>
      <w:r>
        <w:rPr>
          <w:color w:val="auto"/>
        </w:rPr>
        <w:t>种方式解决：</w:t>
      </w:r>
    </w:p>
    <w:p w14:paraId="69D63C38">
      <w:pPr>
        <w:tabs>
          <w:tab w:val="left" w:pos="630"/>
        </w:tabs>
        <w:spacing w:line="360" w:lineRule="auto"/>
        <w:ind w:firstLine="420" w:firstLineChars="200"/>
        <w:rPr>
          <w:color w:val="auto"/>
        </w:rPr>
      </w:pPr>
      <w:r>
        <w:rPr>
          <w:color w:val="auto"/>
        </w:rPr>
        <w:t>（1） 将争议提交</w:t>
      </w:r>
      <w:r>
        <w:rPr>
          <w:color w:val="auto"/>
          <w:u w:val="single"/>
        </w:rPr>
        <w:t xml:space="preserve">  /  </w:t>
      </w:r>
      <w:r>
        <w:rPr>
          <w:color w:val="auto"/>
        </w:rPr>
        <w:t>仲裁委员会依申请仲裁时其现行有效的仲裁规则裁决；</w:t>
      </w:r>
    </w:p>
    <w:p w14:paraId="5AD10D67">
      <w:pPr>
        <w:tabs>
          <w:tab w:val="left" w:pos="630"/>
        </w:tabs>
        <w:spacing w:line="360" w:lineRule="auto"/>
        <w:ind w:firstLine="420" w:firstLineChars="200"/>
        <w:rPr>
          <w:color w:val="auto"/>
        </w:rPr>
      </w:pPr>
      <w:r>
        <w:rPr>
          <w:color w:val="auto"/>
        </w:rPr>
        <w:t>（2） 向</w:t>
      </w:r>
      <w:r>
        <w:rPr>
          <w:rFonts w:hint="eastAsia"/>
          <w:color w:val="auto"/>
          <w:u w:val="single"/>
        </w:rPr>
        <w:t>郑州市金水区</w:t>
      </w:r>
      <w:r>
        <w:rPr>
          <w:color w:val="auto"/>
        </w:rPr>
        <w:t>人民法院起诉。</w:t>
      </w:r>
    </w:p>
    <w:p w14:paraId="20FC1930">
      <w:pPr>
        <w:numPr>
          <w:ilvl w:val="0"/>
          <w:numId w:val="3"/>
        </w:numPr>
        <w:spacing w:line="400" w:lineRule="exact"/>
        <w:ind w:firstLine="422" w:firstLineChars="200"/>
        <w:rPr>
          <w:b/>
          <w:color w:val="auto"/>
        </w:rPr>
      </w:pPr>
      <w:r>
        <w:rPr>
          <w:b/>
          <w:color w:val="auto"/>
        </w:rPr>
        <w:t>合同生效</w:t>
      </w:r>
    </w:p>
    <w:p w14:paraId="025F0814">
      <w:pPr>
        <w:tabs>
          <w:tab w:val="left" w:pos="630"/>
        </w:tabs>
        <w:spacing w:line="360" w:lineRule="auto"/>
        <w:ind w:firstLine="420" w:firstLineChars="200"/>
        <w:rPr>
          <w:b/>
          <w:color w:val="auto"/>
        </w:rPr>
      </w:pPr>
      <w:r>
        <w:rPr>
          <w:color w:val="auto"/>
        </w:rPr>
        <w:t>本合同自双方当事人签字加盖单位印章并经甲方备案通过后生效（如授权代表代为签字，应将《授权委托书》作为附件）。</w:t>
      </w:r>
    </w:p>
    <w:p w14:paraId="12C59F3D">
      <w:pPr>
        <w:numPr>
          <w:ilvl w:val="0"/>
          <w:numId w:val="3"/>
        </w:numPr>
        <w:spacing w:line="400" w:lineRule="exact"/>
        <w:ind w:firstLine="422" w:firstLineChars="200"/>
        <w:rPr>
          <w:b/>
          <w:color w:val="auto"/>
        </w:rPr>
      </w:pPr>
      <w:r>
        <w:rPr>
          <w:b/>
          <w:color w:val="auto"/>
        </w:rPr>
        <w:t>合同份数</w:t>
      </w:r>
    </w:p>
    <w:p w14:paraId="427AB4F0">
      <w:pPr>
        <w:pStyle w:val="91"/>
        <w:adjustRightInd/>
        <w:ind w:firstLine="420"/>
        <w:rPr>
          <w:rFonts w:ascii="Times New Roman" w:hAnsi="Times New Roman" w:eastAsia="宋体" w:cs="Times New Roman"/>
          <w:color w:val="auto"/>
          <w:kern w:val="2"/>
          <w:sz w:val="21"/>
        </w:rPr>
      </w:pPr>
      <w:r>
        <w:rPr>
          <w:rFonts w:ascii="Times New Roman" w:hAnsi="Times New Roman" w:eastAsia="宋体" w:cs="Times New Roman"/>
          <w:color w:val="auto"/>
          <w:kern w:val="2"/>
          <w:sz w:val="21"/>
        </w:rPr>
        <w:t>本合同一式捌份，甲方执陆份，乙方执贰份，均具有同等法律效力。</w:t>
      </w:r>
    </w:p>
    <w:p w14:paraId="787C3A7E">
      <w:pPr>
        <w:pStyle w:val="91"/>
        <w:adjustRightInd/>
        <w:rPr>
          <w:rFonts w:ascii="Times New Roman" w:hAnsi="Times New Roman" w:eastAsia="宋体" w:cs="Times New Roman"/>
          <w:color w:val="auto"/>
        </w:rPr>
      </w:pPr>
    </w:p>
    <w:tbl>
      <w:tblPr>
        <w:tblStyle w:val="4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25"/>
        <w:gridCol w:w="2587"/>
        <w:gridCol w:w="2122"/>
        <w:gridCol w:w="2272"/>
      </w:tblGrid>
      <w:tr w14:paraId="33927B6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0" w:type="pct"/>
            <w:gridSpan w:val="2"/>
            <w:tcBorders>
              <w:bottom w:val="single" w:color="auto" w:sz="2" w:space="0"/>
              <w:right w:val="single" w:color="auto" w:sz="2" w:space="0"/>
            </w:tcBorders>
            <w:vAlign w:val="center"/>
          </w:tcPr>
          <w:p w14:paraId="50DCF5C6">
            <w:pPr>
              <w:spacing w:line="300" w:lineRule="exact"/>
              <w:jc w:val="center"/>
              <w:rPr>
                <w:color w:val="auto"/>
              </w:rPr>
            </w:pPr>
            <w:r>
              <w:rPr>
                <w:color w:val="auto"/>
              </w:rPr>
              <w:t>甲方（采购人）</w:t>
            </w:r>
          </w:p>
        </w:tc>
        <w:tc>
          <w:tcPr>
            <w:tcW w:w="2439" w:type="pct"/>
            <w:gridSpan w:val="2"/>
            <w:tcBorders>
              <w:left w:val="single" w:color="auto" w:sz="2" w:space="0"/>
              <w:bottom w:val="single" w:color="auto" w:sz="2" w:space="0"/>
            </w:tcBorders>
            <w:vAlign w:val="center"/>
          </w:tcPr>
          <w:p w14:paraId="47CD8C77">
            <w:pPr>
              <w:spacing w:line="300" w:lineRule="exact"/>
              <w:jc w:val="center"/>
              <w:rPr>
                <w:color w:val="auto"/>
              </w:rPr>
            </w:pPr>
            <w:r>
              <w:rPr>
                <w:color w:val="auto"/>
              </w:rPr>
              <w:t>乙方（供应商）</w:t>
            </w:r>
          </w:p>
        </w:tc>
      </w:tr>
      <w:tr w14:paraId="36E74D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4" w:type="pct"/>
            <w:tcBorders>
              <w:top w:val="single" w:color="auto" w:sz="2" w:space="0"/>
              <w:bottom w:val="single" w:color="auto" w:sz="2" w:space="0"/>
              <w:right w:val="single" w:color="auto" w:sz="2" w:space="0"/>
            </w:tcBorders>
            <w:vAlign w:val="center"/>
          </w:tcPr>
          <w:p w14:paraId="15953E3E">
            <w:pPr>
              <w:spacing w:line="300" w:lineRule="exact"/>
              <w:jc w:val="center"/>
              <w:rPr>
                <w:color w:val="auto"/>
              </w:rPr>
            </w:pPr>
            <w:r>
              <w:rPr>
                <w:color w:val="auto"/>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98194DC">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1B388893">
            <w:pPr>
              <w:spacing w:line="300" w:lineRule="exact"/>
              <w:jc w:val="center"/>
              <w:rPr>
                <w:color w:val="auto"/>
              </w:rPr>
            </w:pPr>
            <w:r>
              <w:rPr>
                <w:color w:val="auto"/>
              </w:rPr>
              <w:t>单位名称（公章或合同章）</w:t>
            </w:r>
          </w:p>
        </w:tc>
        <w:tc>
          <w:tcPr>
            <w:tcW w:w="1261" w:type="pct"/>
            <w:tcBorders>
              <w:top w:val="single" w:color="auto" w:sz="2" w:space="0"/>
              <w:left w:val="single" w:color="auto" w:sz="2" w:space="0"/>
              <w:bottom w:val="single" w:color="auto" w:sz="2" w:space="0"/>
            </w:tcBorders>
            <w:vAlign w:val="center"/>
          </w:tcPr>
          <w:p w14:paraId="62DC4245">
            <w:pPr>
              <w:spacing w:line="300" w:lineRule="exact"/>
              <w:jc w:val="center"/>
              <w:rPr>
                <w:color w:val="auto"/>
                <w:spacing w:val="20"/>
              </w:rPr>
            </w:pPr>
          </w:p>
        </w:tc>
      </w:tr>
      <w:tr w14:paraId="172FA9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4" w:type="pct"/>
            <w:tcBorders>
              <w:top w:val="single" w:color="auto" w:sz="2" w:space="0"/>
              <w:right w:val="single" w:color="auto" w:sz="2" w:space="0"/>
            </w:tcBorders>
            <w:vAlign w:val="center"/>
          </w:tcPr>
          <w:p w14:paraId="628A5CB8">
            <w:pPr>
              <w:spacing w:line="300" w:lineRule="exact"/>
              <w:jc w:val="center"/>
              <w:rPr>
                <w:color w:val="auto"/>
              </w:rPr>
            </w:pPr>
            <w:r>
              <w:rPr>
                <w:color w:val="auto"/>
              </w:rPr>
              <w:t>法定代表人</w:t>
            </w:r>
          </w:p>
          <w:p w14:paraId="7113F6F3">
            <w:pPr>
              <w:spacing w:line="300" w:lineRule="exact"/>
              <w:ind w:firstLine="100" w:firstLineChars="48"/>
              <w:jc w:val="center"/>
              <w:rPr>
                <w:color w:val="auto"/>
              </w:rPr>
            </w:pPr>
            <w:r>
              <w:rPr>
                <w:color w:val="auto"/>
              </w:rPr>
              <w:t>或其委托代理人（签章）</w:t>
            </w:r>
          </w:p>
        </w:tc>
        <w:tc>
          <w:tcPr>
            <w:tcW w:w="1436" w:type="pct"/>
            <w:tcBorders>
              <w:top w:val="single" w:color="auto" w:sz="2" w:space="0"/>
              <w:left w:val="single" w:color="auto" w:sz="2" w:space="0"/>
              <w:right w:val="single" w:color="auto" w:sz="2" w:space="0"/>
            </w:tcBorders>
            <w:vAlign w:val="center"/>
          </w:tcPr>
          <w:p w14:paraId="25F5CF00">
            <w:pPr>
              <w:spacing w:line="300" w:lineRule="exact"/>
              <w:jc w:val="center"/>
              <w:rPr>
                <w:color w:val="auto"/>
              </w:rPr>
            </w:pPr>
          </w:p>
        </w:tc>
        <w:tc>
          <w:tcPr>
            <w:tcW w:w="1178" w:type="pct"/>
            <w:tcBorders>
              <w:top w:val="single" w:color="auto" w:sz="2" w:space="0"/>
              <w:left w:val="single" w:color="auto" w:sz="2" w:space="0"/>
              <w:right w:val="single" w:color="auto" w:sz="2" w:space="0"/>
            </w:tcBorders>
            <w:vAlign w:val="center"/>
          </w:tcPr>
          <w:p w14:paraId="6212FD1A">
            <w:pPr>
              <w:spacing w:line="300" w:lineRule="exact"/>
              <w:jc w:val="center"/>
              <w:rPr>
                <w:color w:val="auto"/>
              </w:rPr>
            </w:pPr>
            <w:r>
              <w:rPr>
                <w:color w:val="auto"/>
              </w:rPr>
              <w:t>法定代表人</w:t>
            </w:r>
          </w:p>
          <w:p w14:paraId="0D84C0F0">
            <w:pPr>
              <w:spacing w:line="300" w:lineRule="exact"/>
              <w:jc w:val="center"/>
              <w:rPr>
                <w:color w:val="auto"/>
              </w:rPr>
            </w:pPr>
            <w:r>
              <w:rPr>
                <w:color w:val="auto"/>
              </w:rPr>
              <w:t>或其委托代理人（签章）</w:t>
            </w:r>
          </w:p>
        </w:tc>
        <w:tc>
          <w:tcPr>
            <w:tcW w:w="1261" w:type="pct"/>
            <w:tcBorders>
              <w:top w:val="single" w:color="auto" w:sz="2" w:space="0"/>
              <w:left w:val="single" w:color="auto" w:sz="2" w:space="0"/>
              <w:bottom w:val="single" w:color="auto" w:sz="2" w:space="0"/>
            </w:tcBorders>
            <w:vAlign w:val="center"/>
          </w:tcPr>
          <w:p w14:paraId="38EA7FA5">
            <w:pPr>
              <w:spacing w:line="300" w:lineRule="exact"/>
              <w:jc w:val="center"/>
              <w:rPr>
                <w:color w:val="auto"/>
              </w:rPr>
            </w:pPr>
          </w:p>
        </w:tc>
      </w:tr>
      <w:tr w14:paraId="3265BE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1A7B9FBD">
            <w:pPr>
              <w:spacing w:line="300" w:lineRule="exact"/>
              <w:jc w:val="center"/>
              <w:rPr>
                <w:color w:val="auto"/>
              </w:rPr>
            </w:pPr>
            <w:r>
              <w:rPr>
                <w:color w:val="auto"/>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3ABD9B3">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42CB58CE">
            <w:pPr>
              <w:spacing w:line="300" w:lineRule="exact"/>
              <w:jc w:val="center"/>
              <w:rPr>
                <w:color w:val="auto"/>
              </w:rPr>
            </w:pPr>
            <w:r>
              <w:rPr>
                <w:color w:val="auto"/>
              </w:rPr>
              <w:t>住  所</w:t>
            </w:r>
          </w:p>
        </w:tc>
        <w:tc>
          <w:tcPr>
            <w:tcW w:w="1261" w:type="pct"/>
            <w:tcBorders>
              <w:top w:val="single" w:color="auto" w:sz="2" w:space="0"/>
              <w:left w:val="single" w:color="auto" w:sz="2" w:space="0"/>
              <w:bottom w:val="single" w:color="auto" w:sz="2" w:space="0"/>
            </w:tcBorders>
            <w:vAlign w:val="center"/>
          </w:tcPr>
          <w:p w14:paraId="0E1ABA32">
            <w:pPr>
              <w:spacing w:line="300" w:lineRule="exact"/>
              <w:jc w:val="center"/>
              <w:rPr>
                <w:color w:val="auto"/>
                <w:spacing w:val="20"/>
              </w:rPr>
            </w:pPr>
          </w:p>
        </w:tc>
      </w:tr>
      <w:tr w14:paraId="71272C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043A85D3">
            <w:pPr>
              <w:spacing w:line="300" w:lineRule="exact"/>
              <w:jc w:val="center"/>
              <w:rPr>
                <w:color w:val="auto"/>
              </w:rPr>
            </w:pPr>
            <w:r>
              <w:rPr>
                <w:color w:val="auto"/>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42CA0BB">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4F1EFECC">
            <w:pPr>
              <w:spacing w:line="300" w:lineRule="exact"/>
              <w:jc w:val="center"/>
              <w:rPr>
                <w:color w:val="auto"/>
              </w:rPr>
            </w:pPr>
            <w:r>
              <w:rPr>
                <w:color w:val="auto"/>
              </w:rPr>
              <w:t>联 系 人</w:t>
            </w:r>
          </w:p>
        </w:tc>
        <w:tc>
          <w:tcPr>
            <w:tcW w:w="1261" w:type="pct"/>
            <w:tcBorders>
              <w:top w:val="single" w:color="auto" w:sz="2" w:space="0"/>
              <w:left w:val="single" w:color="auto" w:sz="2" w:space="0"/>
              <w:bottom w:val="single" w:color="auto" w:sz="2" w:space="0"/>
            </w:tcBorders>
            <w:vAlign w:val="center"/>
          </w:tcPr>
          <w:p w14:paraId="7321C248">
            <w:pPr>
              <w:spacing w:line="300" w:lineRule="exact"/>
              <w:jc w:val="center"/>
              <w:rPr>
                <w:color w:val="auto"/>
                <w:spacing w:val="20"/>
              </w:rPr>
            </w:pPr>
          </w:p>
        </w:tc>
      </w:tr>
      <w:tr w14:paraId="34E9CA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06ECD7D6">
            <w:pPr>
              <w:spacing w:line="300" w:lineRule="exact"/>
              <w:jc w:val="center"/>
              <w:rPr>
                <w:color w:val="auto"/>
              </w:rPr>
            </w:pPr>
            <w:r>
              <w:rPr>
                <w:color w:val="auto"/>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720D9A0">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5249A165">
            <w:pPr>
              <w:spacing w:line="300" w:lineRule="exact"/>
              <w:jc w:val="center"/>
              <w:rPr>
                <w:color w:val="auto"/>
              </w:rPr>
            </w:pPr>
            <w:r>
              <w:rPr>
                <w:color w:val="auto"/>
              </w:rPr>
              <w:t>联系电话</w:t>
            </w:r>
          </w:p>
        </w:tc>
        <w:tc>
          <w:tcPr>
            <w:tcW w:w="1261" w:type="pct"/>
            <w:tcBorders>
              <w:top w:val="single" w:color="auto" w:sz="2" w:space="0"/>
              <w:left w:val="single" w:color="auto" w:sz="2" w:space="0"/>
              <w:bottom w:val="single" w:color="auto" w:sz="2" w:space="0"/>
            </w:tcBorders>
            <w:vAlign w:val="center"/>
          </w:tcPr>
          <w:p w14:paraId="6DC18A76">
            <w:pPr>
              <w:spacing w:line="300" w:lineRule="exact"/>
              <w:jc w:val="center"/>
              <w:rPr>
                <w:color w:val="auto"/>
                <w:spacing w:val="20"/>
              </w:rPr>
            </w:pPr>
          </w:p>
        </w:tc>
      </w:tr>
      <w:tr w14:paraId="427009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0817DBF3">
            <w:pPr>
              <w:spacing w:line="300" w:lineRule="exact"/>
              <w:jc w:val="center"/>
              <w:rPr>
                <w:color w:val="auto"/>
              </w:rPr>
            </w:pPr>
            <w:r>
              <w:rPr>
                <w:color w:val="auto"/>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65DA916">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222C6020">
            <w:pPr>
              <w:spacing w:line="300" w:lineRule="exact"/>
              <w:jc w:val="center"/>
              <w:rPr>
                <w:color w:val="auto"/>
              </w:rPr>
            </w:pPr>
            <w:r>
              <w:rPr>
                <w:color w:val="auto"/>
              </w:rPr>
              <w:t>通信地址</w:t>
            </w:r>
          </w:p>
        </w:tc>
        <w:tc>
          <w:tcPr>
            <w:tcW w:w="1261" w:type="pct"/>
            <w:tcBorders>
              <w:top w:val="single" w:color="auto" w:sz="2" w:space="0"/>
              <w:left w:val="single" w:color="auto" w:sz="2" w:space="0"/>
              <w:bottom w:val="single" w:color="auto" w:sz="2" w:space="0"/>
            </w:tcBorders>
            <w:vAlign w:val="center"/>
          </w:tcPr>
          <w:p w14:paraId="1B7068C5">
            <w:pPr>
              <w:spacing w:line="300" w:lineRule="exact"/>
              <w:jc w:val="center"/>
              <w:rPr>
                <w:color w:val="auto"/>
                <w:spacing w:val="20"/>
              </w:rPr>
            </w:pPr>
          </w:p>
        </w:tc>
      </w:tr>
      <w:tr w14:paraId="4D0845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F26C62F">
            <w:pPr>
              <w:spacing w:line="300" w:lineRule="exact"/>
              <w:jc w:val="center"/>
              <w:rPr>
                <w:color w:val="auto"/>
              </w:rPr>
            </w:pPr>
            <w:r>
              <w:rPr>
                <w:color w:val="auto"/>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6D8DD143">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74A1EF86">
            <w:pPr>
              <w:spacing w:line="300" w:lineRule="exact"/>
              <w:jc w:val="center"/>
              <w:rPr>
                <w:color w:val="auto"/>
              </w:rPr>
            </w:pPr>
            <w:r>
              <w:rPr>
                <w:color w:val="auto"/>
              </w:rPr>
              <w:t>邮政编码</w:t>
            </w:r>
          </w:p>
        </w:tc>
        <w:tc>
          <w:tcPr>
            <w:tcW w:w="1261" w:type="pct"/>
            <w:tcBorders>
              <w:top w:val="single" w:color="auto" w:sz="2" w:space="0"/>
              <w:left w:val="single" w:color="auto" w:sz="2" w:space="0"/>
              <w:bottom w:val="single" w:color="auto" w:sz="2" w:space="0"/>
            </w:tcBorders>
            <w:vAlign w:val="center"/>
          </w:tcPr>
          <w:p w14:paraId="036ECF03">
            <w:pPr>
              <w:spacing w:line="300" w:lineRule="exact"/>
              <w:jc w:val="center"/>
              <w:rPr>
                <w:color w:val="auto"/>
                <w:spacing w:val="20"/>
              </w:rPr>
            </w:pPr>
          </w:p>
        </w:tc>
      </w:tr>
      <w:tr w14:paraId="57F65C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16A037D">
            <w:pPr>
              <w:spacing w:line="300" w:lineRule="exact"/>
              <w:jc w:val="center"/>
              <w:rPr>
                <w:color w:val="auto"/>
              </w:rPr>
            </w:pPr>
            <w:r>
              <w:rPr>
                <w:color w:val="auto"/>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6B14B996">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15208DE8">
            <w:pPr>
              <w:spacing w:line="300" w:lineRule="exact"/>
              <w:jc w:val="center"/>
              <w:rPr>
                <w:color w:val="auto"/>
              </w:rPr>
            </w:pPr>
            <w:r>
              <w:rPr>
                <w:color w:val="auto"/>
              </w:rPr>
              <w:t>电子邮箱</w:t>
            </w:r>
          </w:p>
        </w:tc>
        <w:tc>
          <w:tcPr>
            <w:tcW w:w="1261" w:type="pct"/>
            <w:tcBorders>
              <w:top w:val="single" w:color="auto" w:sz="2" w:space="0"/>
              <w:left w:val="single" w:color="auto" w:sz="2" w:space="0"/>
              <w:bottom w:val="single" w:color="auto" w:sz="2" w:space="0"/>
            </w:tcBorders>
            <w:vAlign w:val="center"/>
          </w:tcPr>
          <w:p w14:paraId="1CF0ABAA">
            <w:pPr>
              <w:spacing w:line="300" w:lineRule="exact"/>
              <w:jc w:val="center"/>
              <w:rPr>
                <w:color w:val="auto"/>
                <w:spacing w:val="20"/>
              </w:rPr>
            </w:pPr>
          </w:p>
        </w:tc>
      </w:tr>
      <w:tr w14:paraId="4A38E0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21586EA2">
            <w:pPr>
              <w:spacing w:line="300" w:lineRule="exact"/>
              <w:jc w:val="center"/>
              <w:rPr>
                <w:color w:val="auto"/>
              </w:rPr>
            </w:pPr>
            <w:r>
              <w:rPr>
                <w:color w:val="auto"/>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898F19A">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7E7975FC">
            <w:pPr>
              <w:spacing w:line="300" w:lineRule="exact"/>
              <w:jc w:val="center"/>
              <w:rPr>
                <w:color w:val="auto"/>
              </w:rPr>
            </w:pPr>
            <w:r>
              <w:rPr>
                <w:color w:val="auto"/>
              </w:rPr>
              <w:t>统一社会信用代码</w:t>
            </w:r>
          </w:p>
        </w:tc>
        <w:tc>
          <w:tcPr>
            <w:tcW w:w="1261" w:type="pct"/>
            <w:tcBorders>
              <w:top w:val="single" w:color="auto" w:sz="2" w:space="0"/>
              <w:left w:val="single" w:color="auto" w:sz="2" w:space="0"/>
              <w:bottom w:val="single" w:color="auto" w:sz="2" w:space="0"/>
            </w:tcBorders>
            <w:vAlign w:val="center"/>
          </w:tcPr>
          <w:p w14:paraId="14B04AF9">
            <w:pPr>
              <w:spacing w:line="300" w:lineRule="exact"/>
              <w:jc w:val="center"/>
              <w:rPr>
                <w:color w:val="auto"/>
                <w:spacing w:val="20"/>
              </w:rPr>
            </w:pPr>
          </w:p>
        </w:tc>
      </w:tr>
      <w:tr w14:paraId="0BD284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03109C8E">
            <w:pPr>
              <w:spacing w:line="300" w:lineRule="exact"/>
              <w:jc w:val="center"/>
              <w:rPr>
                <w:color w:val="auto"/>
              </w:rPr>
            </w:pPr>
          </w:p>
        </w:tc>
        <w:tc>
          <w:tcPr>
            <w:tcW w:w="1436" w:type="pct"/>
            <w:tcBorders>
              <w:top w:val="single" w:color="auto" w:sz="2" w:space="0"/>
              <w:left w:val="single" w:color="auto" w:sz="2" w:space="0"/>
              <w:bottom w:val="single" w:color="auto" w:sz="2" w:space="0"/>
              <w:right w:val="single" w:color="auto" w:sz="2" w:space="0"/>
            </w:tcBorders>
            <w:vAlign w:val="center"/>
          </w:tcPr>
          <w:p w14:paraId="2F52942E">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0E0B8315">
            <w:pPr>
              <w:spacing w:line="300" w:lineRule="exact"/>
              <w:jc w:val="center"/>
              <w:rPr>
                <w:color w:val="auto"/>
              </w:rPr>
            </w:pPr>
            <w:r>
              <w:rPr>
                <w:color w:val="auto"/>
              </w:rPr>
              <w:t>开户名称</w:t>
            </w:r>
          </w:p>
        </w:tc>
        <w:tc>
          <w:tcPr>
            <w:tcW w:w="1261" w:type="pct"/>
            <w:tcBorders>
              <w:top w:val="single" w:color="auto" w:sz="2" w:space="0"/>
              <w:left w:val="single" w:color="auto" w:sz="2" w:space="0"/>
              <w:bottom w:val="single" w:color="auto" w:sz="2" w:space="0"/>
            </w:tcBorders>
            <w:vAlign w:val="center"/>
          </w:tcPr>
          <w:p w14:paraId="6AB062FD">
            <w:pPr>
              <w:spacing w:line="300" w:lineRule="exact"/>
              <w:jc w:val="center"/>
              <w:rPr>
                <w:color w:val="auto"/>
                <w:spacing w:val="20"/>
              </w:rPr>
            </w:pPr>
          </w:p>
        </w:tc>
      </w:tr>
      <w:tr w14:paraId="10FB8F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26231E35">
            <w:pPr>
              <w:spacing w:line="300" w:lineRule="exact"/>
              <w:jc w:val="center"/>
              <w:rPr>
                <w:color w:val="auto"/>
              </w:rPr>
            </w:pPr>
          </w:p>
        </w:tc>
        <w:tc>
          <w:tcPr>
            <w:tcW w:w="1436" w:type="pct"/>
            <w:tcBorders>
              <w:top w:val="single" w:color="auto" w:sz="2" w:space="0"/>
              <w:left w:val="single" w:color="auto" w:sz="2" w:space="0"/>
              <w:bottom w:val="single" w:color="auto" w:sz="2" w:space="0"/>
              <w:right w:val="single" w:color="auto" w:sz="2" w:space="0"/>
            </w:tcBorders>
            <w:vAlign w:val="center"/>
          </w:tcPr>
          <w:p w14:paraId="2C4AB0A5">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4867782B">
            <w:pPr>
              <w:spacing w:line="300" w:lineRule="exact"/>
              <w:jc w:val="center"/>
              <w:rPr>
                <w:color w:val="auto"/>
              </w:rPr>
            </w:pPr>
            <w:r>
              <w:rPr>
                <w:color w:val="auto"/>
              </w:rPr>
              <w:t>开户银行</w:t>
            </w:r>
          </w:p>
        </w:tc>
        <w:tc>
          <w:tcPr>
            <w:tcW w:w="1261" w:type="pct"/>
            <w:tcBorders>
              <w:top w:val="single" w:color="auto" w:sz="2" w:space="0"/>
              <w:left w:val="single" w:color="auto" w:sz="2" w:space="0"/>
              <w:bottom w:val="single" w:color="auto" w:sz="2" w:space="0"/>
            </w:tcBorders>
            <w:vAlign w:val="center"/>
          </w:tcPr>
          <w:p w14:paraId="4479D560">
            <w:pPr>
              <w:spacing w:line="300" w:lineRule="exact"/>
              <w:jc w:val="center"/>
              <w:rPr>
                <w:color w:val="auto"/>
                <w:spacing w:val="20"/>
              </w:rPr>
            </w:pPr>
          </w:p>
        </w:tc>
      </w:tr>
      <w:tr w14:paraId="359DE1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1DCA7F14">
            <w:pPr>
              <w:spacing w:line="300" w:lineRule="exact"/>
              <w:jc w:val="center"/>
              <w:rPr>
                <w:color w:val="auto"/>
              </w:rPr>
            </w:pPr>
          </w:p>
        </w:tc>
        <w:tc>
          <w:tcPr>
            <w:tcW w:w="1436" w:type="pct"/>
            <w:tcBorders>
              <w:top w:val="single" w:color="auto" w:sz="2" w:space="0"/>
              <w:left w:val="single" w:color="auto" w:sz="2" w:space="0"/>
              <w:bottom w:val="single" w:color="auto" w:sz="2" w:space="0"/>
              <w:right w:val="single" w:color="auto" w:sz="2" w:space="0"/>
            </w:tcBorders>
            <w:vAlign w:val="center"/>
          </w:tcPr>
          <w:p w14:paraId="7C79F6C8">
            <w:pPr>
              <w:spacing w:line="300" w:lineRule="exact"/>
              <w:jc w:val="center"/>
              <w:rPr>
                <w:color w:val="auto"/>
              </w:rPr>
            </w:pPr>
          </w:p>
        </w:tc>
        <w:tc>
          <w:tcPr>
            <w:tcW w:w="1178" w:type="pct"/>
            <w:tcBorders>
              <w:top w:val="single" w:color="auto" w:sz="2" w:space="0"/>
              <w:left w:val="single" w:color="auto" w:sz="2" w:space="0"/>
              <w:bottom w:val="single" w:color="auto" w:sz="2" w:space="0"/>
              <w:right w:val="single" w:color="auto" w:sz="2" w:space="0"/>
            </w:tcBorders>
            <w:vAlign w:val="center"/>
          </w:tcPr>
          <w:p w14:paraId="6DFD52A9">
            <w:pPr>
              <w:spacing w:line="300" w:lineRule="exact"/>
              <w:jc w:val="center"/>
              <w:rPr>
                <w:color w:val="auto"/>
              </w:rPr>
            </w:pPr>
            <w:r>
              <w:rPr>
                <w:color w:val="auto"/>
              </w:rPr>
              <w:t>银行账号</w:t>
            </w:r>
          </w:p>
        </w:tc>
        <w:tc>
          <w:tcPr>
            <w:tcW w:w="1261" w:type="pct"/>
            <w:tcBorders>
              <w:top w:val="single" w:color="auto" w:sz="2" w:space="0"/>
              <w:left w:val="single" w:color="auto" w:sz="2" w:space="0"/>
              <w:bottom w:val="single" w:color="auto" w:sz="2" w:space="0"/>
            </w:tcBorders>
            <w:vAlign w:val="center"/>
          </w:tcPr>
          <w:p w14:paraId="2A590EEA">
            <w:pPr>
              <w:spacing w:line="300" w:lineRule="exact"/>
              <w:jc w:val="center"/>
              <w:rPr>
                <w:color w:val="auto"/>
                <w:spacing w:val="20"/>
              </w:rPr>
            </w:pPr>
          </w:p>
        </w:tc>
      </w:tr>
    </w:tbl>
    <w:p w14:paraId="04E78C4F">
      <w:pPr>
        <w:spacing w:line="360" w:lineRule="auto"/>
        <w:jc w:val="center"/>
        <w:rPr>
          <w:color w:val="auto"/>
          <w:sz w:val="32"/>
          <w:szCs w:val="32"/>
        </w:rPr>
      </w:pPr>
      <w:r>
        <w:rPr>
          <w:b/>
          <w:bCs/>
          <w:color w:val="auto"/>
          <w:sz w:val="32"/>
          <w:szCs w:val="32"/>
        </w:rPr>
        <w:br w:type="page"/>
      </w:r>
      <w:r>
        <w:rPr>
          <w:b/>
          <w:bCs/>
          <w:color w:val="auto"/>
          <w:sz w:val="32"/>
          <w:szCs w:val="32"/>
        </w:rPr>
        <w:t>第二节 政府采购合同通用条款</w:t>
      </w:r>
    </w:p>
    <w:p w14:paraId="41FE59BD">
      <w:pPr>
        <w:tabs>
          <w:tab w:val="left" w:pos="8820"/>
          <w:tab w:val="left" w:pos="9345"/>
          <w:tab w:val="left" w:pos="9765"/>
        </w:tabs>
        <w:spacing w:line="360" w:lineRule="auto"/>
        <w:jc w:val="left"/>
        <w:rPr>
          <w:b/>
          <w:bCs/>
          <w:color w:val="auto"/>
          <w:sz w:val="24"/>
        </w:rPr>
      </w:pPr>
      <w:r>
        <w:rPr>
          <w:b/>
          <w:color w:val="auto"/>
          <w:sz w:val="24"/>
        </w:rPr>
        <w:t xml:space="preserve">1. </w:t>
      </w:r>
      <w:r>
        <w:rPr>
          <w:b/>
          <w:bCs/>
          <w:color w:val="auto"/>
          <w:sz w:val="24"/>
        </w:rPr>
        <w:t>定义</w:t>
      </w:r>
    </w:p>
    <w:p w14:paraId="55C5737D">
      <w:pPr>
        <w:autoSpaceDE w:val="0"/>
        <w:autoSpaceDN w:val="0"/>
        <w:spacing w:line="360" w:lineRule="auto"/>
        <w:ind w:firstLine="420" w:firstLineChars="200"/>
        <w:jc w:val="left"/>
        <w:rPr>
          <w:color w:val="auto"/>
        </w:rPr>
      </w:pPr>
      <w:r>
        <w:rPr>
          <w:color w:val="auto"/>
        </w:rPr>
        <w:t>1.1合同当事人</w:t>
      </w:r>
    </w:p>
    <w:p w14:paraId="12EC555C">
      <w:pPr>
        <w:autoSpaceDE w:val="0"/>
        <w:autoSpaceDN w:val="0"/>
        <w:spacing w:line="360" w:lineRule="auto"/>
        <w:ind w:firstLine="420" w:firstLineChars="200"/>
        <w:jc w:val="left"/>
        <w:rPr>
          <w:color w:val="auto"/>
        </w:rPr>
      </w:pPr>
      <w:r>
        <w:rPr>
          <w:color w:val="auto"/>
        </w:rPr>
        <w:t>（1）采购人（以下称甲方）是指使用财政性资金，通过政府采购方式向供应商购买货物及其相关服务的国家机关、事业单位、团体组织。</w:t>
      </w:r>
    </w:p>
    <w:p w14:paraId="0F9360D3">
      <w:pPr>
        <w:autoSpaceDE w:val="0"/>
        <w:autoSpaceDN w:val="0"/>
        <w:spacing w:line="360" w:lineRule="auto"/>
        <w:ind w:firstLine="420" w:firstLineChars="200"/>
        <w:jc w:val="left"/>
        <w:rPr>
          <w:color w:val="auto"/>
        </w:rPr>
      </w:pPr>
      <w:r>
        <w:rPr>
          <w:color w:val="auto"/>
        </w:rPr>
        <w:t>（2）供应商（以下称乙方）是指参加政府采购活动并且中标（成交），向采购人提供合同约定的货物及其相关服务的法人、非法人组织或者自然人。</w:t>
      </w:r>
    </w:p>
    <w:p w14:paraId="23F62D2F">
      <w:pPr>
        <w:autoSpaceDE w:val="0"/>
        <w:autoSpaceDN w:val="0"/>
        <w:spacing w:line="360" w:lineRule="auto"/>
        <w:ind w:firstLine="420" w:firstLineChars="200"/>
        <w:jc w:val="left"/>
        <w:rPr>
          <w:color w:val="auto"/>
        </w:rPr>
      </w:pPr>
      <w:r>
        <w:rPr>
          <w:color w:val="auto"/>
        </w:rPr>
        <w:t>（3）其他合同主体是指除采购人和供应商以外，</w:t>
      </w:r>
      <w:r>
        <w:rPr>
          <w:bCs/>
          <w:color w:val="auto"/>
        </w:rPr>
        <w:t>依法参与合同缔结或履行，享有权利、承担义务的合同当事人</w:t>
      </w:r>
      <w:r>
        <w:rPr>
          <w:color w:val="auto"/>
        </w:rPr>
        <w:t>。</w:t>
      </w:r>
    </w:p>
    <w:p w14:paraId="36303632">
      <w:pPr>
        <w:tabs>
          <w:tab w:val="left" w:pos="570"/>
          <w:tab w:val="left" w:pos="9240"/>
          <w:tab w:val="left" w:pos="9555"/>
        </w:tabs>
        <w:spacing w:line="360" w:lineRule="auto"/>
        <w:ind w:firstLine="420" w:firstLineChars="200"/>
        <w:jc w:val="left"/>
        <w:rPr>
          <w:color w:val="auto"/>
        </w:rPr>
      </w:pPr>
      <w:r>
        <w:rPr>
          <w:color w:val="auto"/>
        </w:rPr>
        <w:t>1.2本合同下列术语应解释为：</w:t>
      </w:r>
    </w:p>
    <w:p w14:paraId="729BF8FF">
      <w:pPr>
        <w:spacing w:line="360" w:lineRule="auto"/>
        <w:ind w:firstLine="420" w:firstLineChars="200"/>
        <w:jc w:val="left"/>
        <w:rPr>
          <w:color w:val="auto"/>
        </w:rPr>
      </w:pPr>
      <w:r>
        <w:rPr>
          <w:color w:val="auto"/>
        </w:rPr>
        <w:t>（1）“合同”系指</w:t>
      </w:r>
      <w:r>
        <w:rPr>
          <w:bCs/>
          <w:color w:val="auto"/>
        </w:rPr>
        <w:t>合同当事人意思表示达成一致的任何协议，包括签署的</w:t>
      </w:r>
      <w:r>
        <w:rPr>
          <w:color w:val="auto"/>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4AC50DC">
      <w:pPr>
        <w:tabs>
          <w:tab w:val="left" w:pos="570"/>
          <w:tab w:val="left" w:pos="9240"/>
          <w:tab w:val="left" w:pos="9555"/>
        </w:tabs>
        <w:spacing w:line="360" w:lineRule="auto"/>
        <w:ind w:firstLine="420" w:firstLineChars="200"/>
        <w:jc w:val="left"/>
        <w:rPr>
          <w:color w:val="auto"/>
        </w:rPr>
      </w:pPr>
      <w:r>
        <w:rPr>
          <w:color w:val="auto"/>
        </w:rPr>
        <w:t>（2）“合同价款”系指根据本合同规定乙方在全面履行合同义务后甲方应支付给乙方的价款。</w:t>
      </w:r>
    </w:p>
    <w:p w14:paraId="41A6FC49">
      <w:pPr>
        <w:tabs>
          <w:tab w:val="left" w:pos="570"/>
          <w:tab w:val="left" w:pos="9240"/>
          <w:tab w:val="left" w:pos="9555"/>
        </w:tabs>
        <w:spacing w:line="360" w:lineRule="auto"/>
        <w:ind w:firstLine="420" w:firstLineChars="200"/>
        <w:jc w:val="left"/>
        <w:rPr>
          <w:color w:val="auto"/>
        </w:rPr>
      </w:pPr>
      <w:r>
        <w:rPr>
          <w:color w:val="auto"/>
        </w:rPr>
        <w:t>（3）“货物”系指乙方根据本合同规定须向甲方提供的各种形态和种类的物品，包括原材料、设备、产品（包括软件）及相关的其备品备件、工具、手册及</w:t>
      </w:r>
      <w:r>
        <w:rPr>
          <w:color w:val="auto"/>
          <w:lang w:val="en"/>
        </w:rPr>
        <w:t>其他</w:t>
      </w:r>
      <w:r>
        <w:rPr>
          <w:color w:val="auto"/>
        </w:rPr>
        <w:t>技术资料和材料等。</w:t>
      </w:r>
    </w:p>
    <w:p w14:paraId="3E2959BB">
      <w:pPr>
        <w:spacing w:line="360" w:lineRule="auto"/>
        <w:ind w:firstLine="420" w:firstLineChars="200"/>
        <w:jc w:val="left"/>
        <w:rPr>
          <w:color w:val="auto"/>
        </w:rPr>
      </w:pPr>
      <w:r>
        <w:rPr>
          <w:color w:val="auto"/>
        </w:rPr>
        <w:t>（4）“相关服务”系指根据合同规定，乙方应提供的与货物有关的技术、管理和</w:t>
      </w:r>
      <w:r>
        <w:rPr>
          <w:color w:val="auto"/>
          <w:lang w:val="en"/>
        </w:rPr>
        <w:t>其他</w:t>
      </w:r>
      <w:r>
        <w:rPr>
          <w:color w:val="auto"/>
        </w:rPr>
        <w:t>服务，包括但不限于：管理和质量保证、运输、保险、检验、现场准备、安装、集成、调试、培训、维修、废弃处置、技术支持等以及合同中规定乙方应承担的</w:t>
      </w:r>
      <w:r>
        <w:rPr>
          <w:color w:val="auto"/>
          <w:lang w:val="en"/>
        </w:rPr>
        <w:t>其他</w:t>
      </w:r>
      <w:r>
        <w:rPr>
          <w:color w:val="auto"/>
        </w:rPr>
        <w:t>义务。</w:t>
      </w:r>
    </w:p>
    <w:p w14:paraId="53643346">
      <w:pPr>
        <w:numPr>
          <w:ilvl w:val="0"/>
          <w:numId w:val="7"/>
        </w:numPr>
        <w:autoSpaceDE w:val="0"/>
        <w:autoSpaceDN w:val="0"/>
        <w:spacing w:line="360" w:lineRule="auto"/>
        <w:jc w:val="left"/>
        <w:rPr>
          <w:b/>
          <w:bCs/>
          <w:color w:val="auto"/>
          <w:sz w:val="24"/>
        </w:rPr>
      </w:pPr>
      <w:r>
        <w:rPr>
          <w:b/>
          <w:color w:val="auto"/>
          <w:sz w:val="24"/>
        </w:rPr>
        <w:t>合同标的及金额</w:t>
      </w:r>
    </w:p>
    <w:p w14:paraId="460FE430">
      <w:pPr>
        <w:autoSpaceDE w:val="0"/>
        <w:autoSpaceDN w:val="0"/>
        <w:spacing w:line="360" w:lineRule="auto"/>
        <w:ind w:firstLine="420" w:firstLineChars="200"/>
        <w:jc w:val="left"/>
        <w:rPr>
          <w:b/>
          <w:bCs/>
          <w:i/>
          <w:iCs/>
          <w:color w:val="auto"/>
        </w:rPr>
      </w:pPr>
      <w:r>
        <w:rPr>
          <w:color w:val="auto"/>
        </w:rPr>
        <w:t>2.1 合同标的及金额应与中标（成交）结果一致。乙方为履行本合同而发生的所有费用均应包含在合同价款中，甲方不再另行支付</w:t>
      </w:r>
      <w:r>
        <w:rPr>
          <w:color w:val="auto"/>
          <w:lang w:val="en"/>
        </w:rPr>
        <w:t>其他</w:t>
      </w:r>
      <w:r>
        <w:rPr>
          <w:color w:val="auto"/>
        </w:rPr>
        <w:t>任何费用。</w:t>
      </w:r>
    </w:p>
    <w:p w14:paraId="6AB1E485">
      <w:pPr>
        <w:spacing w:line="360" w:lineRule="auto"/>
        <w:jc w:val="left"/>
        <w:rPr>
          <w:b/>
          <w:color w:val="auto"/>
          <w:sz w:val="24"/>
        </w:rPr>
      </w:pPr>
      <w:r>
        <w:rPr>
          <w:b/>
          <w:color w:val="auto"/>
          <w:sz w:val="24"/>
        </w:rPr>
        <w:t>3. 履行合同的时间、地点和方式</w:t>
      </w:r>
    </w:p>
    <w:p w14:paraId="4598AF69">
      <w:pPr>
        <w:autoSpaceDE w:val="0"/>
        <w:autoSpaceDN w:val="0"/>
        <w:spacing w:line="360" w:lineRule="auto"/>
        <w:ind w:firstLine="420" w:firstLineChars="200"/>
        <w:jc w:val="left"/>
        <w:rPr>
          <w:color w:val="auto"/>
        </w:rPr>
      </w:pPr>
      <w:r>
        <w:rPr>
          <w:color w:val="auto"/>
        </w:rPr>
        <w:t>3.1 乙方应当在约定的时间、地点，按照约定方式履行合同。</w:t>
      </w:r>
    </w:p>
    <w:p w14:paraId="0D8E3AF8">
      <w:pPr>
        <w:autoSpaceDE w:val="0"/>
        <w:autoSpaceDN w:val="0"/>
        <w:spacing w:line="360" w:lineRule="auto"/>
        <w:jc w:val="left"/>
        <w:rPr>
          <w:b/>
          <w:bCs/>
          <w:color w:val="auto"/>
          <w:sz w:val="24"/>
        </w:rPr>
      </w:pPr>
      <w:r>
        <w:rPr>
          <w:b/>
          <w:bCs/>
          <w:color w:val="auto"/>
          <w:sz w:val="24"/>
        </w:rPr>
        <w:t>4. 甲方的权利和义务</w:t>
      </w:r>
    </w:p>
    <w:p w14:paraId="2478FE2F">
      <w:pPr>
        <w:autoSpaceDE w:val="0"/>
        <w:autoSpaceDN w:val="0"/>
        <w:spacing w:line="360" w:lineRule="auto"/>
        <w:ind w:firstLine="420" w:firstLineChars="200"/>
        <w:jc w:val="left"/>
        <w:rPr>
          <w:color w:val="auto"/>
        </w:rPr>
      </w:pPr>
      <w:r>
        <w:rPr>
          <w:color w:val="auto"/>
        </w:rPr>
        <w:t>4.1 签署合同后，甲方应确定项目负责人（或项目联系人），负责与本合同有关的事务。甲方有权对乙方的履约行为进行检查，并及时确认乙方提交的事项。甲方应当配合乙方完成相关项目实施工作。</w:t>
      </w:r>
    </w:p>
    <w:p w14:paraId="50BC0C7E">
      <w:pPr>
        <w:autoSpaceDE w:val="0"/>
        <w:autoSpaceDN w:val="0"/>
        <w:spacing w:line="360" w:lineRule="auto"/>
        <w:ind w:firstLine="420" w:firstLineChars="200"/>
        <w:jc w:val="left"/>
        <w:rPr>
          <w:color w:val="auto"/>
        </w:rPr>
      </w:pPr>
      <w:r>
        <w:rPr>
          <w:color w:val="auto"/>
        </w:rPr>
        <w:t>4.2 甲方有权要求乙方按时提交各阶段有关安排计划，并有权定期核对乙方提供货物数量、规格、质量等内容。甲方有权督促乙方工作并要求乙方更换不符合要求的货物。</w:t>
      </w:r>
    </w:p>
    <w:p w14:paraId="5938192F">
      <w:pPr>
        <w:autoSpaceDE w:val="0"/>
        <w:autoSpaceDN w:val="0"/>
        <w:spacing w:line="360" w:lineRule="auto"/>
        <w:ind w:firstLine="420" w:firstLineChars="200"/>
        <w:jc w:val="left"/>
        <w:rPr>
          <w:color w:val="auto"/>
        </w:rPr>
      </w:pPr>
      <w:r>
        <w:rPr>
          <w:color w:val="auto"/>
        </w:rPr>
        <w:t>4.3 甲方有权要求乙方对缺陷部分予以修复，并按合同约定享有货物保修及其他合同约定的权利。</w:t>
      </w:r>
    </w:p>
    <w:p w14:paraId="582B10FD">
      <w:pPr>
        <w:spacing w:line="360" w:lineRule="auto"/>
        <w:ind w:firstLine="420" w:firstLineChars="200"/>
        <w:rPr>
          <w:color w:val="auto"/>
        </w:rPr>
      </w:pPr>
      <w:r>
        <w:rPr>
          <w:color w:val="auto"/>
        </w:rPr>
        <w:t>4.4 甲方应当按照合同约定及时对交付的货物进行验收，未在</w:t>
      </w:r>
      <w:r>
        <w:rPr>
          <w:b/>
          <w:bCs/>
          <w:color w:val="auto"/>
        </w:rPr>
        <w:t>【政府采购合同专用条款】</w:t>
      </w:r>
      <w:r>
        <w:rPr>
          <w:color w:val="auto"/>
        </w:rPr>
        <w:t>约定的期限内对乙方履约提出任何异议或者向乙方作出任何说明的，视为验收通过。</w:t>
      </w:r>
    </w:p>
    <w:p w14:paraId="0737AFDA">
      <w:pPr>
        <w:autoSpaceDE w:val="0"/>
        <w:autoSpaceDN w:val="0"/>
        <w:spacing w:line="360" w:lineRule="auto"/>
        <w:ind w:firstLine="420" w:firstLineChars="200"/>
        <w:jc w:val="left"/>
        <w:rPr>
          <w:color w:val="auto"/>
        </w:rPr>
      </w:pPr>
      <w:r>
        <w:rPr>
          <w:color w:val="auto"/>
        </w:rPr>
        <w:t>4.5 甲方应当根据合同约定及时向乙方支付合同价款，不得以内部人员变更、履行内部付款流程等为由，拒绝或迟延支付。</w:t>
      </w:r>
    </w:p>
    <w:p w14:paraId="7E61EDEC">
      <w:pPr>
        <w:autoSpaceDE w:val="0"/>
        <w:autoSpaceDN w:val="0"/>
        <w:spacing w:line="360" w:lineRule="auto"/>
        <w:ind w:firstLine="420" w:firstLineChars="200"/>
        <w:jc w:val="left"/>
        <w:rPr>
          <w:color w:val="auto"/>
        </w:rPr>
      </w:pPr>
      <w:r>
        <w:rPr>
          <w:color w:val="auto"/>
        </w:rPr>
        <w:t>4.6 国家法律法规规定及</w:t>
      </w:r>
      <w:r>
        <w:rPr>
          <w:b/>
          <w:bCs/>
          <w:color w:val="auto"/>
        </w:rPr>
        <w:t>【政府采购合同专用条款】</w:t>
      </w:r>
      <w:r>
        <w:rPr>
          <w:color w:val="auto"/>
        </w:rPr>
        <w:t>约定应由甲方承担的其他义务和责任。</w:t>
      </w:r>
    </w:p>
    <w:p w14:paraId="0DF16BA0">
      <w:pPr>
        <w:autoSpaceDE w:val="0"/>
        <w:autoSpaceDN w:val="0"/>
        <w:spacing w:line="360" w:lineRule="auto"/>
        <w:jc w:val="left"/>
        <w:rPr>
          <w:b/>
          <w:bCs/>
          <w:color w:val="auto"/>
          <w:sz w:val="24"/>
        </w:rPr>
      </w:pPr>
      <w:r>
        <w:rPr>
          <w:b/>
          <w:bCs/>
          <w:color w:val="auto"/>
          <w:sz w:val="24"/>
        </w:rPr>
        <w:t>5. 乙方的权利和义务</w:t>
      </w:r>
    </w:p>
    <w:p w14:paraId="01BA9A64">
      <w:pPr>
        <w:autoSpaceDE w:val="0"/>
        <w:autoSpaceDN w:val="0"/>
        <w:spacing w:line="360" w:lineRule="auto"/>
        <w:ind w:firstLine="420" w:firstLineChars="200"/>
        <w:jc w:val="left"/>
        <w:rPr>
          <w:color w:val="auto"/>
        </w:rPr>
      </w:pPr>
      <w:r>
        <w:rPr>
          <w:color w:val="auto"/>
        </w:rPr>
        <w:t>5.1 签署合同后，乙方应确定项目负责人（或项目联系人），负责与本合同有关的事务。</w:t>
      </w:r>
    </w:p>
    <w:p w14:paraId="6EC1A9D2">
      <w:pPr>
        <w:autoSpaceDE w:val="0"/>
        <w:autoSpaceDN w:val="0"/>
        <w:spacing w:line="360" w:lineRule="auto"/>
        <w:ind w:firstLine="420" w:firstLineChars="200"/>
        <w:jc w:val="left"/>
        <w:rPr>
          <w:color w:val="auto"/>
        </w:rPr>
      </w:pPr>
      <w:r>
        <w:rPr>
          <w:color w:val="auto"/>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69CBFAD">
      <w:pPr>
        <w:autoSpaceDE w:val="0"/>
        <w:autoSpaceDN w:val="0"/>
        <w:spacing w:line="360" w:lineRule="auto"/>
        <w:ind w:firstLine="420" w:firstLineChars="200"/>
        <w:jc w:val="left"/>
        <w:rPr>
          <w:color w:val="auto"/>
        </w:rPr>
      </w:pPr>
      <w:r>
        <w:rPr>
          <w:color w:val="auto"/>
        </w:rPr>
        <w:t>5.3乙方有权根据合同约定向甲方收取合同价款。</w:t>
      </w:r>
    </w:p>
    <w:p w14:paraId="167206EC">
      <w:pPr>
        <w:autoSpaceDE w:val="0"/>
        <w:autoSpaceDN w:val="0"/>
        <w:spacing w:line="360" w:lineRule="auto"/>
        <w:ind w:firstLine="420" w:firstLineChars="200"/>
        <w:jc w:val="left"/>
        <w:rPr>
          <w:color w:val="auto"/>
        </w:rPr>
      </w:pPr>
      <w:r>
        <w:rPr>
          <w:color w:val="auto"/>
        </w:rPr>
        <w:t>5.4国家法律法规规定及</w:t>
      </w:r>
      <w:r>
        <w:rPr>
          <w:b/>
          <w:bCs/>
          <w:color w:val="auto"/>
        </w:rPr>
        <w:t>【政府采购合同专用条款】</w:t>
      </w:r>
      <w:r>
        <w:rPr>
          <w:color w:val="auto"/>
        </w:rPr>
        <w:t>约定应由乙方承担的其他义务和责任。</w:t>
      </w:r>
    </w:p>
    <w:p w14:paraId="2F80529E">
      <w:pPr>
        <w:numPr>
          <w:ilvl w:val="0"/>
          <w:numId w:val="8"/>
        </w:numPr>
        <w:autoSpaceDE w:val="0"/>
        <w:autoSpaceDN w:val="0"/>
        <w:spacing w:line="360" w:lineRule="auto"/>
        <w:jc w:val="left"/>
        <w:rPr>
          <w:b/>
          <w:bCs/>
          <w:color w:val="auto"/>
          <w:sz w:val="24"/>
        </w:rPr>
      </w:pPr>
      <w:r>
        <w:rPr>
          <w:b/>
          <w:bCs/>
          <w:color w:val="auto"/>
          <w:sz w:val="24"/>
        </w:rPr>
        <w:t>合同履行</w:t>
      </w:r>
    </w:p>
    <w:p w14:paraId="68EE4ACB">
      <w:pPr>
        <w:autoSpaceDE w:val="0"/>
        <w:autoSpaceDN w:val="0"/>
        <w:spacing w:line="360" w:lineRule="auto"/>
        <w:ind w:firstLine="420" w:firstLineChars="200"/>
        <w:jc w:val="left"/>
        <w:rPr>
          <w:color w:val="auto"/>
        </w:rPr>
      </w:pPr>
      <w:r>
        <w:rPr>
          <w:color w:val="auto"/>
        </w:rPr>
        <w:t>6.1 甲乙双方应当按照</w:t>
      </w:r>
      <w:r>
        <w:rPr>
          <w:b/>
          <w:bCs/>
          <w:color w:val="auto"/>
        </w:rPr>
        <w:t>【政府采购合同专用条款】</w:t>
      </w:r>
      <w:r>
        <w:rPr>
          <w:color w:val="auto"/>
        </w:rPr>
        <w:t>约定顺序履行合同义务；如果没有先后顺序的，应当同时履行。</w:t>
      </w:r>
    </w:p>
    <w:p w14:paraId="18B82DF5">
      <w:pPr>
        <w:autoSpaceDE w:val="0"/>
        <w:autoSpaceDN w:val="0"/>
        <w:spacing w:line="360" w:lineRule="auto"/>
        <w:ind w:firstLine="420" w:firstLineChars="200"/>
        <w:jc w:val="left"/>
        <w:rPr>
          <w:color w:val="auto"/>
        </w:rPr>
      </w:pPr>
      <w:r>
        <w:rPr>
          <w:color w:val="auto"/>
        </w:rPr>
        <w:t>6.2 甲乙双方按照合同约定顺序履行合同义务时，应当先履行一方未履行的，后履行一方有权拒绝其履行请求。先履行一方履行不符合约定的，后履行一方有权拒绝其相应的履行请求。</w:t>
      </w:r>
    </w:p>
    <w:p w14:paraId="6CC7CC2B">
      <w:pPr>
        <w:spacing w:line="360" w:lineRule="auto"/>
        <w:jc w:val="left"/>
        <w:rPr>
          <w:b/>
          <w:bCs/>
          <w:color w:val="auto"/>
          <w:sz w:val="24"/>
        </w:rPr>
      </w:pPr>
      <w:r>
        <w:rPr>
          <w:b/>
          <w:bCs/>
          <w:color w:val="auto"/>
          <w:sz w:val="24"/>
        </w:rPr>
        <w:t>7. 货物包装、运输、保险和交付要求</w:t>
      </w:r>
    </w:p>
    <w:p w14:paraId="47F0885A">
      <w:pPr>
        <w:autoSpaceDE w:val="0"/>
        <w:autoSpaceDN w:val="0"/>
        <w:spacing w:line="360" w:lineRule="auto"/>
        <w:ind w:firstLine="420" w:firstLineChars="200"/>
        <w:jc w:val="left"/>
        <w:rPr>
          <w:color w:val="auto"/>
        </w:rPr>
      </w:pPr>
      <w:r>
        <w:rPr>
          <w:color w:val="auto"/>
        </w:rPr>
        <w:t>7.1 本合同</w:t>
      </w:r>
      <w:r>
        <w:rPr>
          <w:bCs/>
          <w:color w:val="auto"/>
        </w:rPr>
        <w:t>涉及商品包装、快递包装的，</w:t>
      </w:r>
      <w:r>
        <w:rPr>
          <w:color w:val="auto"/>
        </w:rPr>
        <w:t>除</w:t>
      </w:r>
      <w:r>
        <w:rPr>
          <w:b/>
          <w:color w:val="auto"/>
        </w:rPr>
        <w:t>【政府采购合同专用条款】</w:t>
      </w:r>
      <w:r>
        <w:rPr>
          <w:bCs/>
          <w:color w:val="auto"/>
        </w:rPr>
        <w:t>另有约定外，</w:t>
      </w:r>
      <w:r>
        <w:rPr>
          <w:color w:val="auto"/>
        </w:rPr>
        <w:t>包装应适应远距离运输、防潮、防震、防锈和防野蛮装卸等要求，确保货物安全无损地运抵</w:t>
      </w:r>
      <w:r>
        <w:rPr>
          <w:b/>
          <w:color w:val="auto"/>
        </w:rPr>
        <w:t>【政府采购合同专用条款】</w:t>
      </w:r>
      <w:r>
        <w:rPr>
          <w:bCs/>
          <w:color w:val="auto"/>
        </w:rPr>
        <w:t>约定的</w:t>
      </w:r>
      <w:r>
        <w:rPr>
          <w:color w:val="auto"/>
        </w:rPr>
        <w:t>指定现场。</w:t>
      </w:r>
    </w:p>
    <w:p w14:paraId="71ABD2C3">
      <w:pPr>
        <w:spacing w:line="360" w:lineRule="auto"/>
        <w:ind w:firstLine="420" w:firstLineChars="200"/>
        <w:jc w:val="left"/>
        <w:rPr>
          <w:color w:val="auto"/>
        </w:rPr>
      </w:pPr>
      <w:r>
        <w:rPr>
          <w:color w:val="auto"/>
        </w:rPr>
        <w:t>7.2 除</w:t>
      </w:r>
      <w:r>
        <w:rPr>
          <w:b/>
          <w:color w:val="auto"/>
        </w:rPr>
        <w:t>【政府采购合同专用条款】</w:t>
      </w:r>
      <w:r>
        <w:rPr>
          <w:bCs/>
          <w:color w:val="auto"/>
        </w:rPr>
        <w:t>另有约定外，</w:t>
      </w:r>
      <w:r>
        <w:rPr>
          <w:color w:val="auto"/>
        </w:rPr>
        <w:t>乙方负责办理将货物运抵本合同规定的交货地点，并装卸、交付至甲方的一切运输事项，相关费用应包含在合同价款中。</w:t>
      </w:r>
    </w:p>
    <w:p w14:paraId="67C17C85">
      <w:pPr>
        <w:spacing w:line="360" w:lineRule="auto"/>
        <w:ind w:firstLine="420" w:firstLineChars="200"/>
        <w:jc w:val="left"/>
        <w:rPr>
          <w:color w:val="auto"/>
        </w:rPr>
      </w:pPr>
      <w:r>
        <w:rPr>
          <w:color w:val="auto"/>
        </w:rPr>
        <w:t>7.3 货物保险要求按</w:t>
      </w:r>
      <w:r>
        <w:rPr>
          <w:b/>
          <w:color w:val="auto"/>
        </w:rPr>
        <w:t>【政府采购合同专用条款】</w:t>
      </w:r>
      <w:r>
        <w:rPr>
          <w:bCs/>
          <w:color w:val="auto"/>
        </w:rPr>
        <w:t>规定执行</w:t>
      </w:r>
      <w:r>
        <w:rPr>
          <w:color w:val="auto"/>
        </w:rPr>
        <w:t>。</w:t>
      </w:r>
    </w:p>
    <w:p w14:paraId="04D2F9EC">
      <w:pPr>
        <w:autoSpaceDE w:val="0"/>
        <w:autoSpaceDN w:val="0"/>
        <w:spacing w:line="360" w:lineRule="auto"/>
        <w:ind w:firstLine="420" w:firstLineChars="200"/>
        <w:jc w:val="left"/>
        <w:rPr>
          <w:color w:val="auto"/>
        </w:rPr>
      </w:pPr>
      <w:r>
        <w:rPr>
          <w:color w:val="auto"/>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CCA9306">
      <w:pPr>
        <w:autoSpaceDE w:val="0"/>
        <w:autoSpaceDN w:val="0"/>
        <w:spacing w:line="360" w:lineRule="auto"/>
        <w:ind w:firstLine="420" w:firstLineChars="200"/>
        <w:jc w:val="left"/>
        <w:rPr>
          <w:color w:val="auto"/>
        </w:rPr>
      </w:pPr>
      <w:r>
        <w:rPr>
          <w:color w:val="auto"/>
        </w:rPr>
        <w:t>7.5 乙方在运输到达之前应提前通知甲方，并提示货物运输装卸的注意事项，甲方配合乙方做好货物的接收工作。</w:t>
      </w:r>
    </w:p>
    <w:p w14:paraId="7277212C">
      <w:pPr>
        <w:pStyle w:val="91"/>
        <w:adjustRightInd/>
        <w:spacing w:line="360" w:lineRule="auto"/>
        <w:ind w:firstLine="420"/>
        <w:rPr>
          <w:rFonts w:ascii="Times New Roman" w:hAnsi="Times New Roman" w:eastAsia="宋体" w:cs="Times New Roman"/>
          <w:color w:val="auto"/>
          <w:sz w:val="21"/>
        </w:rPr>
      </w:pPr>
      <w:r>
        <w:rPr>
          <w:rFonts w:ascii="Times New Roman" w:hAnsi="Times New Roman" w:eastAsia="宋体" w:cs="Times New Roman"/>
          <w:color w:val="auto"/>
          <w:kern w:val="2"/>
          <w:sz w:val="21"/>
        </w:rPr>
        <w:t>7.6 如因包装、运输问题导致货物损毁、丢失或者品质下降，甲方有权要求降价、换货、拒收部分或整批货物，由此产生的费用和损失，均由乙方承担。</w:t>
      </w:r>
    </w:p>
    <w:p w14:paraId="5F408693">
      <w:pPr>
        <w:spacing w:line="360" w:lineRule="auto"/>
        <w:jc w:val="left"/>
        <w:rPr>
          <w:b/>
          <w:color w:val="auto"/>
          <w:sz w:val="24"/>
        </w:rPr>
      </w:pPr>
      <w:r>
        <w:rPr>
          <w:b/>
          <w:color w:val="auto"/>
          <w:sz w:val="24"/>
        </w:rPr>
        <w:t>8. 质量标准和保证</w:t>
      </w:r>
    </w:p>
    <w:p w14:paraId="49779D54">
      <w:pPr>
        <w:pStyle w:val="22"/>
        <w:spacing w:line="360" w:lineRule="auto"/>
        <w:ind w:firstLine="400" w:firstLineChars="200"/>
        <w:jc w:val="left"/>
        <w:rPr>
          <w:rFonts w:hAnsi="Times New Roman"/>
          <w:b/>
          <w:color w:val="auto"/>
        </w:rPr>
      </w:pPr>
      <w:r>
        <w:rPr>
          <w:rFonts w:hAnsi="Times New Roman"/>
          <w:color w:val="auto"/>
        </w:rPr>
        <w:t>8.1 质量标准</w:t>
      </w:r>
    </w:p>
    <w:p w14:paraId="0CDB76E3">
      <w:pPr>
        <w:autoSpaceDE w:val="0"/>
        <w:autoSpaceDN w:val="0"/>
        <w:spacing w:line="360" w:lineRule="auto"/>
        <w:ind w:firstLine="420" w:firstLineChars="200"/>
        <w:jc w:val="left"/>
        <w:rPr>
          <w:color w:val="auto"/>
        </w:rPr>
      </w:pPr>
      <w:r>
        <w:rPr>
          <w:color w:val="auto"/>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A6C8DFF">
      <w:pPr>
        <w:pStyle w:val="22"/>
        <w:spacing w:line="360" w:lineRule="auto"/>
        <w:ind w:firstLine="400" w:firstLineChars="200"/>
        <w:jc w:val="left"/>
        <w:rPr>
          <w:rFonts w:hAnsi="Times New Roman"/>
          <w:color w:val="auto"/>
        </w:rPr>
      </w:pPr>
      <w:r>
        <w:rPr>
          <w:rFonts w:hAnsi="Times New Roman"/>
          <w:color w:val="auto"/>
        </w:rPr>
        <w:t>（2）采用中华人民共和国法定计量单位。</w:t>
      </w:r>
    </w:p>
    <w:p w14:paraId="11905DEF">
      <w:pPr>
        <w:autoSpaceDE w:val="0"/>
        <w:autoSpaceDN w:val="0"/>
        <w:spacing w:line="360" w:lineRule="auto"/>
        <w:ind w:firstLine="420" w:firstLineChars="200"/>
        <w:jc w:val="left"/>
        <w:rPr>
          <w:color w:val="auto"/>
        </w:rPr>
      </w:pPr>
      <w:r>
        <w:rPr>
          <w:color w:val="auto"/>
        </w:rPr>
        <w:t>（3）乙方所提供的货物应符合国家有关安全、环保、卫生的规定。</w:t>
      </w:r>
    </w:p>
    <w:p w14:paraId="6A705BAF">
      <w:pPr>
        <w:autoSpaceDE w:val="0"/>
        <w:autoSpaceDN w:val="0"/>
        <w:spacing w:line="360" w:lineRule="auto"/>
        <w:ind w:firstLine="420" w:firstLineChars="200"/>
        <w:jc w:val="left"/>
        <w:rPr>
          <w:color w:val="auto"/>
        </w:rPr>
      </w:pPr>
      <w:r>
        <w:rPr>
          <w:color w:val="auto"/>
        </w:rPr>
        <w:t>（4）乙方应向甲方提交所提供货物的技术文件，包括相应的中文技术文件，如：产品目录、图纸、操作手册、使用说明、维护手册或服务指南等。上述文件应包装好随货物一同发运。</w:t>
      </w:r>
    </w:p>
    <w:p w14:paraId="737A3BD0">
      <w:pPr>
        <w:autoSpaceDE w:val="0"/>
        <w:autoSpaceDN w:val="0"/>
        <w:spacing w:line="360" w:lineRule="auto"/>
        <w:ind w:firstLine="420" w:firstLineChars="200"/>
        <w:jc w:val="left"/>
        <w:rPr>
          <w:color w:val="auto"/>
        </w:rPr>
      </w:pPr>
      <w:r>
        <w:rPr>
          <w:color w:val="auto"/>
        </w:rPr>
        <w:t>8.2 保证</w:t>
      </w:r>
    </w:p>
    <w:p w14:paraId="33558257">
      <w:pPr>
        <w:autoSpaceDE w:val="0"/>
        <w:autoSpaceDN w:val="0"/>
        <w:spacing w:line="360" w:lineRule="auto"/>
        <w:ind w:firstLine="420" w:firstLineChars="200"/>
        <w:jc w:val="left"/>
        <w:rPr>
          <w:color w:val="auto"/>
        </w:rPr>
      </w:pPr>
      <w:r>
        <w:rPr>
          <w:color w:val="auto"/>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color w:val="auto"/>
        </w:rPr>
        <w:t>【政府采购合同专用条款】</w:t>
      </w:r>
      <w:r>
        <w:rPr>
          <w:color w:val="auto"/>
        </w:rPr>
        <w:t>规定或乙方书面承诺（两者以较长的为准）的质量保证期内，本保证保持有效。</w:t>
      </w:r>
    </w:p>
    <w:p w14:paraId="72760D1B">
      <w:pPr>
        <w:autoSpaceDE w:val="0"/>
        <w:autoSpaceDN w:val="0"/>
        <w:spacing w:line="360" w:lineRule="auto"/>
        <w:ind w:firstLine="420" w:firstLineChars="200"/>
        <w:jc w:val="left"/>
        <w:rPr>
          <w:color w:val="auto"/>
        </w:rPr>
      </w:pPr>
      <w:r>
        <w:rPr>
          <w:color w:val="auto"/>
        </w:rPr>
        <w:t>（2）在质量保证期内所发现的缺陷，甲方应尽快以书面形式通知乙方。</w:t>
      </w:r>
    </w:p>
    <w:p w14:paraId="35E1CC48">
      <w:pPr>
        <w:autoSpaceDE w:val="0"/>
        <w:autoSpaceDN w:val="0"/>
        <w:spacing w:line="360" w:lineRule="auto"/>
        <w:ind w:firstLine="420" w:firstLineChars="200"/>
        <w:jc w:val="left"/>
        <w:rPr>
          <w:color w:val="auto"/>
        </w:rPr>
      </w:pPr>
      <w:r>
        <w:rPr>
          <w:color w:val="auto"/>
        </w:rPr>
        <w:t>（3）乙方收到通知后，应在</w:t>
      </w:r>
      <w:r>
        <w:rPr>
          <w:b/>
          <w:color w:val="auto"/>
        </w:rPr>
        <w:t>【政府采购合同专用条款】</w:t>
      </w:r>
      <w:r>
        <w:rPr>
          <w:color w:val="auto"/>
        </w:rPr>
        <w:t>规定的响应时间内以合理的速度免费维修或更换有缺陷的货物或部件。</w:t>
      </w:r>
    </w:p>
    <w:p w14:paraId="3266A938">
      <w:pPr>
        <w:autoSpaceDE w:val="0"/>
        <w:autoSpaceDN w:val="0"/>
        <w:spacing w:line="360" w:lineRule="auto"/>
        <w:ind w:firstLine="420" w:firstLineChars="200"/>
        <w:jc w:val="left"/>
        <w:rPr>
          <w:color w:val="auto"/>
        </w:rPr>
      </w:pPr>
      <w:r>
        <w:rPr>
          <w:color w:val="auto"/>
        </w:rPr>
        <w:t>（4）在质量保证期内，如果货物的质量或规格与合同不符，或证实货物是有缺陷的，包括潜在的缺陷或使用不符合要求的材料等，甲方可以追究乙方的违约责任。</w:t>
      </w:r>
    </w:p>
    <w:p w14:paraId="277692A0">
      <w:pPr>
        <w:spacing w:line="360" w:lineRule="auto"/>
        <w:ind w:firstLine="420" w:firstLineChars="200"/>
        <w:jc w:val="left"/>
        <w:rPr>
          <w:color w:val="auto"/>
        </w:rPr>
      </w:pPr>
      <w:r>
        <w:rPr>
          <w:color w:val="auto"/>
        </w:rPr>
        <w:t>（5）乙方在约定的时间内未能弥补缺陷，甲方可采取必要的补救措施，但其风险和费用将由乙方承担，甲方根据合同约定对乙方行使的其他权利不受影响。</w:t>
      </w:r>
    </w:p>
    <w:p w14:paraId="0AE3D055">
      <w:pPr>
        <w:spacing w:line="360" w:lineRule="auto"/>
        <w:jc w:val="left"/>
        <w:rPr>
          <w:b/>
          <w:bCs/>
          <w:color w:val="auto"/>
          <w:sz w:val="24"/>
        </w:rPr>
      </w:pPr>
      <w:r>
        <w:rPr>
          <w:b/>
          <w:bCs/>
          <w:color w:val="auto"/>
          <w:sz w:val="24"/>
        </w:rPr>
        <w:t>9. 权利瑕疵担保</w:t>
      </w:r>
    </w:p>
    <w:p w14:paraId="60BBF5F0">
      <w:pPr>
        <w:autoSpaceDE w:val="0"/>
        <w:autoSpaceDN w:val="0"/>
        <w:spacing w:line="360" w:lineRule="auto"/>
        <w:ind w:firstLine="420" w:firstLineChars="200"/>
        <w:jc w:val="left"/>
        <w:rPr>
          <w:color w:val="auto"/>
        </w:rPr>
      </w:pPr>
      <w:r>
        <w:rPr>
          <w:color w:val="auto"/>
        </w:rPr>
        <w:t>9.1 乙方保证对其出售的货物享有合法的权利。</w:t>
      </w:r>
    </w:p>
    <w:p w14:paraId="25D6E6B5">
      <w:pPr>
        <w:autoSpaceDE w:val="0"/>
        <w:autoSpaceDN w:val="0"/>
        <w:spacing w:line="360" w:lineRule="auto"/>
        <w:ind w:firstLine="420" w:firstLineChars="200"/>
        <w:jc w:val="left"/>
        <w:rPr>
          <w:color w:val="auto"/>
        </w:rPr>
      </w:pPr>
      <w:r>
        <w:rPr>
          <w:color w:val="auto"/>
        </w:rPr>
        <w:t xml:space="preserve">9.2 </w:t>
      </w:r>
      <w:r>
        <w:rPr>
          <w:color w:val="auto"/>
          <w:szCs w:val="15"/>
        </w:rPr>
        <w:t>乙方保证在交付的货物上不存在抵押权等担保物权。</w:t>
      </w:r>
    </w:p>
    <w:p w14:paraId="405D8485">
      <w:pPr>
        <w:autoSpaceDE w:val="0"/>
        <w:autoSpaceDN w:val="0"/>
        <w:spacing w:line="360" w:lineRule="auto"/>
        <w:ind w:firstLine="420" w:firstLineChars="200"/>
        <w:jc w:val="left"/>
        <w:rPr>
          <w:color w:val="auto"/>
        </w:rPr>
      </w:pPr>
      <w:r>
        <w:rPr>
          <w:color w:val="auto"/>
        </w:rPr>
        <w:t>9.3 如甲方使用上述货物构成对第三人侵权的，则由乙方承担全部责任。</w:t>
      </w:r>
    </w:p>
    <w:p w14:paraId="5EB1C931">
      <w:pPr>
        <w:autoSpaceDE w:val="0"/>
        <w:autoSpaceDN w:val="0"/>
        <w:spacing w:line="360" w:lineRule="auto"/>
        <w:jc w:val="left"/>
        <w:rPr>
          <w:b/>
          <w:bCs/>
          <w:color w:val="auto"/>
          <w:sz w:val="24"/>
        </w:rPr>
      </w:pPr>
      <w:r>
        <w:rPr>
          <w:b/>
          <w:bCs/>
          <w:color w:val="auto"/>
          <w:sz w:val="24"/>
        </w:rPr>
        <w:t>10. 知识产权保护</w:t>
      </w:r>
    </w:p>
    <w:p w14:paraId="658045B3">
      <w:pPr>
        <w:autoSpaceDE w:val="0"/>
        <w:autoSpaceDN w:val="0"/>
        <w:spacing w:line="360" w:lineRule="auto"/>
        <w:ind w:firstLine="420" w:firstLineChars="200"/>
        <w:jc w:val="left"/>
        <w:rPr>
          <w:color w:val="auto"/>
        </w:rPr>
      </w:pPr>
      <w:r>
        <w:rPr>
          <w:color w:val="auto"/>
        </w:rPr>
        <w:t>10.1 乙方对其所销售的货物应当享有知识产权或经权利人合法授权，保证没有侵犯任何第三人的知识产权等权利。</w:t>
      </w:r>
      <w:bookmarkStart w:id="836" w:name="_Hlk163047038"/>
      <w:r>
        <w:rPr>
          <w:color w:val="auto"/>
          <w:szCs w:val="15"/>
        </w:rPr>
        <w:t>因违反前述约定对第三人构成侵权的，应当由乙方向第三人承担法律责任；甲方依法向第三人赔偿后，有权向乙方追偿。甲方有其他损失的，乙方应当赔偿</w:t>
      </w:r>
      <w:bookmarkEnd w:id="836"/>
      <w:r>
        <w:rPr>
          <w:color w:val="auto"/>
        </w:rPr>
        <w:t>。</w:t>
      </w:r>
    </w:p>
    <w:p w14:paraId="04FEC942">
      <w:pPr>
        <w:autoSpaceDE w:val="0"/>
        <w:autoSpaceDN w:val="0"/>
        <w:spacing w:line="360" w:lineRule="auto"/>
        <w:jc w:val="left"/>
        <w:rPr>
          <w:b/>
          <w:bCs/>
          <w:color w:val="auto"/>
          <w:sz w:val="24"/>
        </w:rPr>
      </w:pPr>
      <w:r>
        <w:rPr>
          <w:b/>
          <w:bCs/>
          <w:color w:val="auto"/>
          <w:sz w:val="24"/>
        </w:rPr>
        <w:t>11. 保密义务</w:t>
      </w:r>
    </w:p>
    <w:p w14:paraId="3D7BABAA">
      <w:pPr>
        <w:autoSpaceDE w:val="0"/>
        <w:autoSpaceDN w:val="0"/>
        <w:spacing w:line="360" w:lineRule="auto"/>
        <w:ind w:firstLine="420" w:firstLineChars="200"/>
        <w:jc w:val="left"/>
        <w:rPr>
          <w:color w:val="auto"/>
          <w:szCs w:val="15"/>
        </w:rPr>
      </w:pPr>
      <w:r>
        <w:rPr>
          <w:color w:val="auto"/>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color w:val="auto"/>
          <w:szCs w:val="15"/>
        </w:rPr>
        <w:t>【政府采购合同专用条款】</w:t>
      </w:r>
      <w:r>
        <w:rPr>
          <w:color w:val="auto"/>
          <w:szCs w:val="15"/>
        </w:rPr>
        <w:t>中约定。</w:t>
      </w:r>
    </w:p>
    <w:p w14:paraId="4C75658F">
      <w:pPr>
        <w:autoSpaceDE w:val="0"/>
        <w:autoSpaceDN w:val="0"/>
        <w:spacing w:line="360" w:lineRule="auto"/>
        <w:jc w:val="left"/>
        <w:rPr>
          <w:b/>
          <w:bCs/>
          <w:color w:val="auto"/>
          <w:sz w:val="24"/>
        </w:rPr>
      </w:pPr>
      <w:r>
        <w:rPr>
          <w:b/>
          <w:bCs/>
          <w:color w:val="auto"/>
          <w:sz w:val="24"/>
        </w:rPr>
        <w:t>12. 合同价款支付</w:t>
      </w:r>
    </w:p>
    <w:p w14:paraId="4EC5FFC2">
      <w:pPr>
        <w:spacing w:line="360" w:lineRule="auto"/>
        <w:ind w:firstLine="420" w:firstLineChars="200"/>
        <w:jc w:val="left"/>
        <w:rPr>
          <w:color w:val="auto"/>
        </w:rPr>
      </w:pPr>
      <w:r>
        <w:rPr>
          <w:color w:val="auto"/>
        </w:rPr>
        <w:t>12.1 合同价款支付按照国库集中支付制度及财政管理相关规定执行。</w:t>
      </w:r>
    </w:p>
    <w:p w14:paraId="1CF18308">
      <w:pPr>
        <w:spacing w:line="360" w:lineRule="auto"/>
        <w:ind w:firstLine="420" w:firstLineChars="200"/>
        <w:rPr>
          <w:color w:val="auto"/>
        </w:rPr>
      </w:pPr>
      <w:r>
        <w:rPr>
          <w:color w:val="auto"/>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b/>
          <w:bCs/>
          <w:color w:val="auto"/>
        </w:rPr>
        <w:t>政府采购合同专用条款</w:t>
      </w:r>
      <w:r>
        <w:rPr>
          <w:color w:val="auto"/>
        </w:rPr>
        <w:t>】中约定。</w:t>
      </w:r>
    </w:p>
    <w:p w14:paraId="783C7D4E">
      <w:pPr>
        <w:pStyle w:val="15"/>
        <w:spacing w:before="0" w:beforeAutospacing="0" w:after="0" w:line="360" w:lineRule="auto"/>
        <w:rPr>
          <w:b/>
          <w:bCs/>
          <w:color w:val="auto"/>
          <w:sz w:val="24"/>
          <w:szCs w:val="24"/>
        </w:rPr>
      </w:pPr>
      <w:r>
        <w:rPr>
          <w:b/>
          <w:bCs/>
          <w:color w:val="auto"/>
          <w:sz w:val="24"/>
          <w:szCs w:val="24"/>
        </w:rPr>
        <w:t>13. 履约保证金</w:t>
      </w:r>
    </w:p>
    <w:p w14:paraId="43A00A67">
      <w:pPr>
        <w:spacing w:line="360" w:lineRule="auto"/>
        <w:ind w:firstLine="420" w:firstLineChars="200"/>
        <w:jc w:val="left"/>
        <w:rPr>
          <w:color w:val="auto"/>
        </w:rPr>
      </w:pPr>
      <w:r>
        <w:rPr>
          <w:color w:val="auto"/>
        </w:rPr>
        <w:t xml:space="preserve">13.1 </w:t>
      </w:r>
      <w:r>
        <w:rPr>
          <w:color w:val="auto"/>
          <w:szCs w:val="15"/>
        </w:rPr>
        <w:t>乙方应当以支票、汇票、本票或者金融机构、担保机构出具的保函等非现金形式提交。</w:t>
      </w:r>
    </w:p>
    <w:p w14:paraId="6DBBEF00">
      <w:pPr>
        <w:spacing w:line="360" w:lineRule="auto"/>
        <w:ind w:firstLine="420" w:firstLineChars="200"/>
        <w:jc w:val="left"/>
        <w:rPr>
          <w:color w:val="auto"/>
        </w:rPr>
      </w:pPr>
      <w:r>
        <w:rPr>
          <w:color w:val="auto"/>
        </w:rPr>
        <w:t>13.2 如果乙方出现</w:t>
      </w:r>
      <w:r>
        <w:rPr>
          <w:b/>
          <w:bCs/>
          <w:color w:val="auto"/>
          <w:szCs w:val="15"/>
        </w:rPr>
        <w:t>【政府采购合同专用条款】</w:t>
      </w:r>
      <w:r>
        <w:rPr>
          <w:color w:val="auto"/>
          <w:szCs w:val="15"/>
        </w:rPr>
        <w:t>约定情形的</w:t>
      </w:r>
      <w:r>
        <w:rPr>
          <w:color w:val="auto"/>
        </w:rPr>
        <w:t>，履约保证金不予退还；如果乙方未能按合同约定全面履行义务，甲方有权从履约保证金中取得补偿或赔偿，且不影响甲方要求乙方承担合同约定的超过履约保证金的违约责任的权利。</w:t>
      </w:r>
    </w:p>
    <w:p w14:paraId="5DCCCE2E">
      <w:pPr>
        <w:spacing w:line="360" w:lineRule="auto"/>
        <w:ind w:firstLine="420"/>
        <w:rPr>
          <w:color w:val="auto"/>
        </w:rPr>
      </w:pPr>
      <w:r>
        <w:rPr>
          <w:color w:val="auto"/>
        </w:rPr>
        <w:t>13.3 甲方在项目通过验收后按照</w:t>
      </w:r>
      <w:r>
        <w:rPr>
          <w:b/>
          <w:color w:val="auto"/>
        </w:rPr>
        <w:t>【政府采购合同专用条款】</w:t>
      </w:r>
      <w:r>
        <w:rPr>
          <w:color w:val="auto"/>
        </w:rPr>
        <w:t>规定的时间内将履约保证金退还乙方。</w:t>
      </w:r>
    </w:p>
    <w:p w14:paraId="150EAC3B">
      <w:pPr>
        <w:autoSpaceDE w:val="0"/>
        <w:autoSpaceDN w:val="0"/>
        <w:spacing w:line="360" w:lineRule="auto"/>
        <w:jc w:val="left"/>
        <w:rPr>
          <w:b/>
          <w:color w:val="auto"/>
          <w:sz w:val="24"/>
        </w:rPr>
      </w:pPr>
      <w:r>
        <w:rPr>
          <w:b/>
          <w:bCs/>
          <w:color w:val="auto"/>
          <w:sz w:val="24"/>
        </w:rPr>
        <w:t xml:space="preserve">14. </w:t>
      </w:r>
      <w:r>
        <w:rPr>
          <w:b/>
          <w:color w:val="auto"/>
          <w:sz w:val="24"/>
        </w:rPr>
        <w:t>售后服务</w:t>
      </w:r>
    </w:p>
    <w:p w14:paraId="6EF20E06">
      <w:pPr>
        <w:autoSpaceDE w:val="0"/>
        <w:autoSpaceDN w:val="0"/>
        <w:spacing w:line="360" w:lineRule="auto"/>
        <w:ind w:firstLine="420" w:firstLineChars="200"/>
        <w:jc w:val="left"/>
        <w:rPr>
          <w:color w:val="auto"/>
        </w:rPr>
      </w:pPr>
      <w:r>
        <w:rPr>
          <w:color w:val="auto"/>
        </w:rPr>
        <w:t>14.1 除项目不涉及或采购活动中明确约定无须承担外，乙方还应提供下列服务：</w:t>
      </w:r>
    </w:p>
    <w:p w14:paraId="5710FE08">
      <w:pPr>
        <w:autoSpaceDE w:val="0"/>
        <w:autoSpaceDN w:val="0"/>
        <w:spacing w:line="360" w:lineRule="auto"/>
        <w:ind w:firstLine="420" w:firstLineChars="200"/>
        <w:jc w:val="left"/>
        <w:rPr>
          <w:color w:val="auto"/>
        </w:rPr>
      </w:pPr>
      <w:r>
        <w:rPr>
          <w:color w:val="auto"/>
        </w:rPr>
        <w:t>（1）货物的现场移动、安装、调试、启动监督及技术支持；</w:t>
      </w:r>
    </w:p>
    <w:p w14:paraId="41EE4A81">
      <w:pPr>
        <w:autoSpaceDE w:val="0"/>
        <w:autoSpaceDN w:val="0"/>
        <w:spacing w:line="360" w:lineRule="auto"/>
        <w:ind w:firstLine="420" w:firstLineChars="200"/>
        <w:jc w:val="left"/>
        <w:rPr>
          <w:color w:val="auto"/>
        </w:rPr>
      </w:pPr>
      <w:r>
        <w:rPr>
          <w:color w:val="auto"/>
        </w:rPr>
        <w:t>（2）提供货物组装和维修所需的专用工具和辅助材料；</w:t>
      </w:r>
    </w:p>
    <w:p w14:paraId="6DAD0948">
      <w:pPr>
        <w:autoSpaceDE w:val="0"/>
        <w:autoSpaceDN w:val="0"/>
        <w:spacing w:line="360" w:lineRule="auto"/>
        <w:ind w:firstLine="420" w:firstLineChars="200"/>
        <w:jc w:val="left"/>
        <w:rPr>
          <w:color w:val="auto"/>
        </w:rPr>
      </w:pPr>
      <w:r>
        <w:rPr>
          <w:color w:val="auto"/>
        </w:rPr>
        <w:t>（3）在制造商所在地或指定现场就货物的安装、启动、运营、维护、废弃处置等对甲方操作人员进行培训</w:t>
      </w:r>
      <w:r>
        <w:rPr>
          <w:color w:val="auto"/>
          <w:szCs w:val="15"/>
        </w:rPr>
        <w:t>；</w:t>
      </w:r>
    </w:p>
    <w:p w14:paraId="224A07DE">
      <w:pPr>
        <w:autoSpaceDE w:val="0"/>
        <w:autoSpaceDN w:val="0"/>
        <w:spacing w:line="360" w:lineRule="auto"/>
        <w:ind w:firstLine="420" w:firstLineChars="200"/>
        <w:jc w:val="left"/>
        <w:rPr>
          <w:color w:val="auto"/>
        </w:rPr>
      </w:pPr>
      <w:r>
        <w:rPr>
          <w:color w:val="auto"/>
        </w:rPr>
        <w:t>（4）</w:t>
      </w:r>
      <w:r>
        <w:rPr>
          <w:b/>
          <w:color w:val="auto"/>
        </w:rPr>
        <w:t>【政府采购合同专用条款】</w:t>
      </w:r>
      <w:r>
        <w:rPr>
          <w:color w:val="auto"/>
        </w:rPr>
        <w:t>规定由乙方提供的其他服务。</w:t>
      </w:r>
    </w:p>
    <w:p w14:paraId="0D1C9B1B">
      <w:pPr>
        <w:autoSpaceDE w:val="0"/>
        <w:autoSpaceDN w:val="0"/>
        <w:spacing w:line="360" w:lineRule="auto"/>
        <w:ind w:firstLine="420" w:firstLineChars="200"/>
        <w:jc w:val="left"/>
        <w:rPr>
          <w:color w:val="auto"/>
        </w:rPr>
      </w:pPr>
      <w:r>
        <w:rPr>
          <w:color w:val="auto"/>
        </w:rPr>
        <w:t>14.2 乙方提供的售后服务的费用已包含在合同价款中，甲方不再另行支付。</w:t>
      </w:r>
    </w:p>
    <w:p w14:paraId="1D770AEA">
      <w:pPr>
        <w:autoSpaceDE w:val="0"/>
        <w:autoSpaceDN w:val="0"/>
        <w:spacing w:line="360" w:lineRule="auto"/>
        <w:jc w:val="left"/>
        <w:rPr>
          <w:b/>
          <w:bCs/>
          <w:color w:val="auto"/>
          <w:sz w:val="24"/>
        </w:rPr>
      </w:pPr>
      <w:r>
        <w:rPr>
          <w:b/>
          <w:bCs/>
          <w:color w:val="auto"/>
          <w:sz w:val="24"/>
        </w:rPr>
        <w:t>15. 不可抗力</w:t>
      </w:r>
    </w:p>
    <w:p w14:paraId="7AEA7E02">
      <w:pPr>
        <w:autoSpaceDE w:val="0"/>
        <w:autoSpaceDN w:val="0"/>
        <w:spacing w:line="360" w:lineRule="auto"/>
        <w:ind w:firstLine="420" w:firstLineChars="200"/>
        <w:jc w:val="left"/>
        <w:rPr>
          <w:color w:val="auto"/>
        </w:rPr>
      </w:pPr>
      <w:r>
        <w:rPr>
          <w:color w:val="auto"/>
        </w:rPr>
        <w:t>15.1 不可抗力是指合同双方不能预见、不能避免且不能克服的客观情况。</w:t>
      </w:r>
    </w:p>
    <w:p w14:paraId="10F10C1D">
      <w:pPr>
        <w:autoSpaceDE w:val="0"/>
        <w:autoSpaceDN w:val="0"/>
        <w:spacing w:line="360" w:lineRule="auto"/>
        <w:ind w:firstLine="420" w:firstLineChars="200"/>
        <w:jc w:val="left"/>
        <w:rPr>
          <w:color w:val="auto"/>
        </w:rPr>
      </w:pPr>
      <w:r>
        <w:rPr>
          <w:color w:val="auto"/>
        </w:rPr>
        <w:t>15.2 任何一方对由于不可抗力造成的部分或全部不能履行合同不承担违约责任。但迟延履行后发生不可抗力的，不能免除责任。</w:t>
      </w:r>
    </w:p>
    <w:p w14:paraId="0A6A71E8">
      <w:pPr>
        <w:autoSpaceDE w:val="0"/>
        <w:autoSpaceDN w:val="0"/>
        <w:spacing w:line="360" w:lineRule="auto"/>
        <w:ind w:firstLine="420" w:firstLineChars="200"/>
        <w:jc w:val="left"/>
        <w:rPr>
          <w:color w:val="auto"/>
        </w:rPr>
      </w:pPr>
      <w:r>
        <w:rPr>
          <w:color w:val="auto"/>
        </w:rPr>
        <w:t>15.3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0A07BB1">
      <w:pPr>
        <w:autoSpaceDE w:val="0"/>
        <w:autoSpaceDN w:val="0"/>
        <w:spacing w:line="360" w:lineRule="auto"/>
        <w:jc w:val="left"/>
        <w:rPr>
          <w:color w:val="auto"/>
          <w:sz w:val="24"/>
        </w:rPr>
      </w:pPr>
      <w:r>
        <w:rPr>
          <w:b/>
          <w:color w:val="auto"/>
          <w:sz w:val="24"/>
        </w:rPr>
        <w:t>16. 政府采购政策</w:t>
      </w:r>
    </w:p>
    <w:p w14:paraId="17B607CD">
      <w:pPr>
        <w:autoSpaceDE w:val="0"/>
        <w:autoSpaceDN w:val="0"/>
        <w:spacing w:line="360" w:lineRule="auto"/>
        <w:ind w:firstLine="420" w:firstLineChars="200"/>
        <w:jc w:val="left"/>
        <w:rPr>
          <w:color w:val="auto"/>
        </w:rPr>
      </w:pPr>
      <w:r>
        <w:rPr>
          <w:color w:val="auto"/>
        </w:rPr>
        <w:t xml:space="preserve">16.1 </w:t>
      </w:r>
      <w:r>
        <w:rPr>
          <w:color w:val="auto"/>
          <w:lang w:val="en-GB"/>
        </w:rPr>
        <w:t>本合同应当按照规定执行政府采购政策。</w:t>
      </w:r>
    </w:p>
    <w:p w14:paraId="3D55F66D">
      <w:pPr>
        <w:autoSpaceDE w:val="0"/>
        <w:autoSpaceDN w:val="0"/>
        <w:spacing w:line="360" w:lineRule="auto"/>
        <w:ind w:firstLine="420" w:firstLineChars="200"/>
        <w:jc w:val="left"/>
        <w:rPr>
          <w:color w:val="auto"/>
        </w:rPr>
      </w:pPr>
      <w:r>
        <w:rPr>
          <w:color w:val="auto"/>
        </w:rPr>
        <w:t>16.2 本合同依法执行政府采购政策的方式和内容，属于合同履约验收的范围。甲乙双方</w:t>
      </w:r>
      <w:r>
        <w:rPr>
          <w:color w:val="auto"/>
          <w:lang w:val="en-GB"/>
        </w:rPr>
        <w:t>未按规定要求执行政府采购政策造成损失的</w:t>
      </w:r>
      <w:r>
        <w:rPr>
          <w:color w:val="auto"/>
        </w:rPr>
        <w:t>，有过错的一方应当承担赔偿责任，双方都有过错的，各自承担相应的责任。</w:t>
      </w:r>
    </w:p>
    <w:p w14:paraId="25DB7ADB">
      <w:pPr>
        <w:pStyle w:val="15"/>
        <w:spacing w:before="0" w:beforeAutospacing="0" w:after="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004F36E">
      <w:pPr>
        <w:autoSpaceDE w:val="0"/>
        <w:autoSpaceDN w:val="0"/>
        <w:spacing w:line="360" w:lineRule="auto"/>
        <w:jc w:val="left"/>
        <w:rPr>
          <w:b/>
          <w:color w:val="auto"/>
          <w:sz w:val="24"/>
        </w:rPr>
      </w:pPr>
      <w:r>
        <w:rPr>
          <w:b/>
          <w:color w:val="auto"/>
          <w:sz w:val="24"/>
        </w:rPr>
        <w:t>17. 法律适用</w:t>
      </w:r>
    </w:p>
    <w:p w14:paraId="08FBB4EE">
      <w:pPr>
        <w:pStyle w:val="91"/>
        <w:adjustRightInd/>
        <w:spacing w:line="360" w:lineRule="auto"/>
        <w:ind w:firstLine="420"/>
        <w:jc w:val="both"/>
        <w:rPr>
          <w:rFonts w:ascii="Times New Roman" w:hAnsi="Times New Roman" w:eastAsia="宋体" w:cs="Times New Roman"/>
          <w:color w:val="auto"/>
          <w:sz w:val="21"/>
        </w:rPr>
      </w:pPr>
      <w:r>
        <w:rPr>
          <w:rFonts w:ascii="Times New Roman" w:hAnsi="Times New Roman" w:eastAsia="宋体" w:cs="Times New Roman"/>
          <w:color w:val="auto"/>
          <w:sz w:val="21"/>
        </w:rPr>
        <w:t>17.1 本合同的订立、生效、解释、履行及与本合同有关的争议解决，均适用法律、行政法规。</w:t>
      </w:r>
    </w:p>
    <w:p w14:paraId="3B58CC94">
      <w:pPr>
        <w:pStyle w:val="91"/>
        <w:adjustRightInd/>
        <w:spacing w:line="360" w:lineRule="auto"/>
        <w:ind w:firstLine="420"/>
        <w:jc w:val="both"/>
        <w:rPr>
          <w:rFonts w:ascii="Times New Roman" w:hAnsi="Times New Roman" w:eastAsia="宋体" w:cs="Times New Roman"/>
          <w:color w:val="auto"/>
          <w:sz w:val="21"/>
        </w:rPr>
      </w:pPr>
      <w:r>
        <w:rPr>
          <w:rFonts w:ascii="Times New Roman" w:hAnsi="Times New Roman" w:eastAsia="宋体" w:cs="Times New Roman"/>
          <w:color w:val="auto"/>
          <w:sz w:val="21"/>
        </w:rPr>
        <w:t>17.2 本合同条款与法律、行政法规的强制性规定不一致的，双方当事人应按照法律、行政法规的强制性规定修改本合同的相关条款。</w:t>
      </w:r>
    </w:p>
    <w:p w14:paraId="58AD137E">
      <w:pPr>
        <w:autoSpaceDE w:val="0"/>
        <w:autoSpaceDN w:val="0"/>
        <w:spacing w:line="360" w:lineRule="auto"/>
        <w:jc w:val="left"/>
        <w:rPr>
          <w:b/>
          <w:color w:val="auto"/>
          <w:sz w:val="24"/>
        </w:rPr>
      </w:pPr>
      <w:r>
        <w:rPr>
          <w:b/>
          <w:color w:val="auto"/>
          <w:sz w:val="24"/>
        </w:rPr>
        <w:t>18. 通知</w:t>
      </w:r>
    </w:p>
    <w:p w14:paraId="02D1BECA">
      <w:pPr>
        <w:pStyle w:val="91"/>
        <w:adjustRightInd/>
        <w:spacing w:line="360" w:lineRule="auto"/>
        <w:ind w:firstLine="420"/>
        <w:jc w:val="both"/>
        <w:rPr>
          <w:rFonts w:ascii="Times New Roman" w:hAnsi="Times New Roman" w:eastAsia="宋体" w:cs="Times New Roman"/>
          <w:color w:val="auto"/>
          <w:sz w:val="21"/>
        </w:rPr>
      </w:pPr>
      <w:r>
        <w:rPr>
          <w:rFonts w:ascii="Times New Roman" w:hAnsi="Times New Roman" w:eastAsia="宋体" w:cs="Times New Roman"/>
          <w:color w:val="auto"/>
          <w:sz w:val="21"/>
        </w:rPr>
        <w:t>18.1 本合同任何一方向对方发出的通知、信件、数据电文等，应当发送至本合同第一部分《政府采购合同协议书》所约定的通讯地址、联系人、联系电话或电子邮箱。</w:t>
      </w:r>
    </w:p>
    <w:p w14:paraId="43910215">
      <w:pPr>
        <w:pStyle w:val="91"/>
        <w:adjustRightInd/>
        <w:spacing w:line="360" w:lineRule="auto"/>
        <w:ind w:firstLine="420"/>
        <w:jc w:val="both"/>
        <w:rPr>
          <w:rFonts w:ascii="Times New Roman" w:hAnsi="Times New Roman" w:eastAsia="宋体" w:cs="Times New Roman"/>
          <w:color w:val="auto"/>
          <w:sz w:val="21"/>
        </w:rPr>
      </w:pPr>
      <w:r>
        <w:rPr>
          <w:rFonts w:ascii="Times New Roman" w:hAnsi="Times New Roman" w:eastAsia="宋体" w:cs="Times New Roman"/>
          <w:color w:val="auto"/>
          <w:sz w:val="21"/>
        </w:rPr>
        <w:t>18.2 一方当事人变更名称、住所、联系人、联系电话或电子邮箱等信息的，应当在变更后3日内及时书面通知对方，对方实际收到变更通知前的送达仍为有效送达。</w:t>
      </w:r>
    </w:p>
    <w:p w14:paraId="2D09AA09">
      <w:pPr>
        <w:spacing w:line="360" w:lineRule="auto"/>
        <w:ind w:firstLine="420" w:firstLineChars="200"/>
        <w:jc w:val="left"/>
        <w:rPr>
          <w:color w:val="auto"/>
        </w:rPr>
      </w:pPr>
      <w:r>
        <w:rPr>
          <w:color w:val="auto"/>
        </w:rPr>
        <w:t>18.3本合同一方给另一方的通知均应采用书面形式，传真或快递送到本合同中规定的对方的地址和办理签收手续。</w:t>
      </w:r>
    </w:p>
    <w:p w14:paraId="66CCF3E8">
      <w:pPr>
        <w:spacing w:line="360" w:lineRule="auto"/>
        <w:ind w:firstLine="420" w:firstLineChars="200"/>
        <w:jc w:val="left"/>
        <w:rPr>
          <w:color w:val="auto"/>
        </w:rPr>
      </w:pPr>
      <w:r>
        <w:rPr>
          <w:color w:val="auto"/>
        </w:rPr>
        <w:t>18.4通知以送达之日或通知书中规定的生效之日起生效，两者中以较迟之日为准。</w:t>
      </w:r>
    </w:p>
    <w:p w14:paraId="5FB606E9">
      <w:pPr>
        <w:numPr>
          <w:ilvl w:val="0"/>
          <w:numId w:val="9"/>
        </w:numPr>
        <w:spacing w:line="360" w:lineRule="auto"/>
        <w:jc w:val="left"/>
        <w:rPr>
          <w:b/>
          <w:bCs/>
          <w:color w:val="auto"/>
          <w:sz w:val="24"/>
        </w:rPr>
      </w:pPr>
      <w:r>
        <w:rPr>
          <w:b/>
          <w:bCs/>
          <w:color w:val="auto"/>
          <w:sz w:val="24"/>
        </w:rPr>
        <w:t>合同未尽事项</w:t>
      </w:r>
    </w:p>
    <w:p w14:paraId="65340D9B">
      <w:pPr>
        <w:spacing w:line="360" w:lineRule="auto"/>
        <w:ind w:firstLine="420" w:firstLineChars="200"/>
        <w:jc w:val="left"/>
        <w:rPr>
          <w:bCs/>
          <w:color w:val="auto"/>
        </w:rPr>
      </w:pPr>
      <w:r>
        <w:rPr>
          <w:bCs/>
          <w:color w:val="auto"/>
        </w:rPr>
        <w:t>19.1合同未尽事项见</w:t>
      </w:r>
      <w:r>
        <w:rPr>
          <w:b/>
          <w:color w:val="auto"/>
        </w:rPr>
        <w:t>【政府采购合同专用条款】</w:t>
      </w:r>
      <w:r>
        <w:rPr>
          <w:bCs/>
          <w:color w:val="auto"/>
        </w:rPr>
        <w:t>。</w:t>
      </w:r>
    </w:p>
    <w:p w14:paraId="18FAE1E8">
      <w:pPr>
        <w:spacing w:line="360" w:lineRule="auto"/>
        <w:ind w:firstLine="420" w:firstLineChars="200"/>
        <w:jc w:val="left"/>
        <w:rPr>
          <w:color w:val="auto"/>
          <w:sz w:val="28"/>
          <w:szCs w:val="28"/>
        </w:rPr>
      </w:pPr>
      <w:r>
        <w:rPr>
          <w:bCs/>
          <w:color w:val="auto"/>
        </w:rPr>
        <w:t>19.2 合同附件与合同正文具有同等的法律效力。</w:t>
      </w:r>
    </w:p>
    <w:p w14:paraId="6BB938A7">
      <w:pPr>
        <w:spacing w:line="360" w:lineRule="auto"/>
        <w:jc w:val="center"/>
        <w:rPr>
          <w:color w:val="auto"/>
        </w:rPr>
      </w:pPr>
      <w:r>
        <w:rPr>
          <w:color w:val="auto"/>
          <w:sz w:val="28"/>
          <w:szCs w:val="28"/>
        </w:rPr>
        <w:br w:type="page"/>
      </w:r>
      <w:r>
        <w:rPr>
          <w:b/>
          <w:bCs/>
          <w:color w:val="auto"/>
          <w:kern w:val="0"/>
          <w:sz w:val="28"/>
          <w:szCs w:val="28"/>
        </w:rPr>
        <w:t>第三节 政府采购合同专用条款</w:t>
      </w:r>
    </w:p>
    <w:tbl>
      <w:tblPr>
        <w:tblStyle w:val="41"/>
        <w:tblW w:w="899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649"/>
      </w:tblGrid>
      <w:tr w14:paraId="6D31DB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BF416D">
            <w:pPr>
              <w:spacing w:line="360" w:lineRule="auto"/>
              <w:jc w:val="center"/>
              <w:rPr>
                <w:color w:val="auto"/>
              </w:rPr>
            </w:pPr>
            <w:r>
              <w:rPr>
                <w:color w:val="auto"/>
              </w:rPr>
              <w:t>第二节</w:t>
            </w:r>
          </w:p>
          <w:p w14:paraId="333DB582">
            <w:pPr>
              <w:spacing w:line="360" w:lineRule="auto"/>
              <w:jc w:val="center"/>
              <w:rPr>
                <w:color w:val="auto"/>
              </w:rPr>
            </w:pPr>
            <w:r>
              <w:rPr>
                <w:color w:val="auto"/>
              </w:rPr>
              <w:t>第4.4款</w:t>
            </w:r>
          </w:p>
        </w:tc>
        <w:tc>
          <w:tcPr>
            <w:tcW w:w="1742" w:type="dxa"/>
            <w:vAlign w:val="center"/>
          </w:tcPr>
          <w:p w14:paraId="61691DEE">
            <w:pPr>
              <w:spacing w:line="360" w:lineRule="auto"/>
              <w:jc w:val="left"/>
              <w:rPr>
                <w:color w:val="auto"/>
              </w:rPr>
            </w:pPr>
            <w:r>
              <w:rPr>
                <w:color w:val="auto"/>
              </w:rPr>
              <w:t>履约验收中甲方提出异议或作出说明的期限</w:t>
            </w:r>
          </w:p>
        </w:tc>
        <w:tc>
          <w:tcPr>
            <w:tcW w:w="5649" w:type="dxa"/>
            <w:vAlign w:val="center"/>
          </w:tcPr>
          <w:p w14:paraId="18AE2E45">
            <w:pPr>
              <w:spacing w:line="360" w:lineRule="auto"/>
              <w:jc w:val="left"/>
              <w:rPr>
                <w:color w:val="auto"/>
              </w:rPr>
            </w:pPr>
            <w:r>
              <w:rPr>
                <w:color w:val="auto"/>
              </w:rPr>
              <w:t>如有异议，甲方在货到一个月内向乙方提出，乙方应在接到甲方异议的7天内做出书面答复，否则视为乙方同意甲方提出的异议和处理意见</w:t>
            </w:r>
          </w:p>
        </w:tc>
      </w:tr>
      <w:tr w14:paraId="53987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CC7D739">
            <w:pPr>
              <w:spacing w:line="360" w:lineRule="auto"/>
              <w:jc w:val="center"/>
              <w:rPr>
                <w:color w:val="auto"/>
              </w:rPr>
            </w:pPr>
            <w:r>
              <w:rPr>
                <w:color w:val="auto"/>
              </w:rPr>
              <w:t>第二节</w:t>
            </w:r>
          </w:p>
          <w:p w14:paraId="09987F66">
            <w:pPr>
              <w:spacing w:line="360" w:lineRule="auto"/>
              <w:jc w:val="center"/>
              <w:rPr>
                <w:color w:val="auto"/>
              </w:rPr>
            </w:pPr>
            <w:r>
              <w:rPr>
                <w:color w:val="auto"/>
              </w:rPr>
              <w:t>第4.6款</w:t>
            </w:r>
          </w:p>
        </w:tc>
        <w:tc>
          <w:tcPr>
            <w:tcW w:w="1742" w:type="dxa"/>
            <w:vAlign w:val="center"/>
          </w:tcPr>
          <w:p w14:paraId="3A5C2FCA">
            <w:pPr>
              <w:spacing w:line="360" w:lineRule="auto"/>
              <w:jc w:val="left"/>
              <w:rPr>
                <w:color w:val="auto"/>
              </w:rPr>
            </w:pPr>
            <w:r>
              <w:rPr>
                <w:color w:val="auto"/>
              </w:rPr>
              <w:t>约定甲方承担的其他义务和责任</w:t>
            </w:r>
          </w:p>
        </w:tc>
        <w:tc>
          <w:tcPr>
            <w:tcW w:w="5649" w:type="dxa"/>
            <w:vAlign w:val="center"/>
          </w:tcPr>
          <w:p w14:paraId="7DA23A03">
            <w:pPr>
              <w:spacing w:line="360" w:lineRule="auto"/>
              <w:jc w:val="left"/>
              <w:rPr>
                <w:color w:val="auto"/>
              </w:rPr>
            </w:pPr>
            <w:r>
              <w:rPr>
                <w:color w:val="auto"/>
              </w:rPr>
              <w:t>/</w:t>
            </w:r>
          </w:p>
        </w:tc>
      </w:tr>
      <w:tr w14:paraId="3D834F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641542">
            <w:pPr>
              <w:spacing w:line="360" w:lineRule="auto"/>
              <w:jc w:val="center"/>
              <w:rPr>
                <w:color w:val="auto"/>
              </w:rPr>
            </w:pPr>
            <w:r>
              <w:rPr>
                <w:color w:val="auto"/>
              </w:rPr>
              <w:t>第二节</w:t>
            </w:r>
          </w:p>
          <w:p w14:paraId="699053CD">
            <w:pPr>
              <w:spacing w:line="360" w:lineRule="auto"/>
              <w:jc w:val="center"/>
              <w:rPr>
                <w:color w:val="auto"/>
              </w:rPr>
            </w:pPr>
            <w:r>
              <w:rPr>
                <w:color w:val="auto"/>
              </w:rPr>
              <w:t>第5.4款</w:t>
            </w:r>
          </w:p>
        </w:tc>
        <w:tc>
          <w:tcPr>
            <w:tcW w:w="1742" w:type="dxa"/>
            <w:vAlign w:val="center"/>
          </w:tcPr>
          <w:p w14:paraId="60EBBC9B">
            <w:pPr>
              <w:spacing w:line="360" w:lineRule="auto"/>
              <w:jc w:val="left"/>
              <w:rPr>
                <w:color w:val="auto"/>
              </w:rPr>
            </w:pPr>
            <w:r>
              <w:rPr>
                <w:color w:val="auto"/>
              </w:rPr>
              <w:t>约定乙方承担的其他义务和责任</w:t>
            </w:r>
          </w:p>
        </w:tc>
        <w:tc>
          <w:tcPr>
            <w:tcW w:w="5649" w:type="dxa"/>
            <w:vAlign w:val="center"/>
          </w:tcPr>
          <w:p w14:paraId="4EAF7E0B">
            <w:pPr>
              <w:spacing w:line="360" w:lineRule="auto"/>
              <w:jc w:val="left"/>
              <w:rPr>
                <w:color w:val="auto"/>
              </w:rPr>
            </w:pPr>
            <w:r>
              <w:rPr>
                <w:color w:val="auto"/>
              </w:rPr>
              <w:t>/</w:t>
            </w:r>
          </w:p>
        </w:tc>
      </w:tr>
      <w:tr w14:paraId="586E33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9C2315">
            <w:pPr>
              <w:spacing w:line="360" w:lineRule="auto"/>
              <w:jc w:val="center"/>
              <w:rPr>
                <w:color w:val="auto"/>
              </w:rPr>
            </w:pPr>
            <w:r>
              <w:rPr>
                <w:color w:val="auto"/>
              </w:rPr>
              <w:t>第二节</w:t>
            </w:r>
          </w:p>
          <w:p w14:paraId="0DFACD40">
            <w:pPr>
              <w:spacing w:line="360" w:lineRule="auto"/>
              <w:jc w:val="center"/>
              <w:rPr>
                <w:color w:val="auto"/>
              </w:rPr>
            </w:pPr>
            <w:r>
              <w:rPr>
                <w:color w:val="auto"/>
              </w:rPr>
              <w:t>第6.1款</w:t>
            </w:r>
          </w:p>
        </w:tc>
        <w:tc>
          <w:tcPr>
            <w:tcW w:w="1742" w:type="dxa"/>
            <w:vAlign w:val="center"/>
          </w:tcPr>
          <w:p w14:paraId="69A0C406">
            <w:pPr>
              <w:spacing w:line="360" w:lineRule="auto"/>
              <w:jc w:val="left"/>
              <w:rPr>
                <w:color w:val="auto"/>
              </w:rPr>
            </w:pPr>
            <w:r>
              <w:rPr>
                <w:color w:val="auto"/>
              </w:rPr>
              <w:t>履行合同义务的顺序</w:t>
            </w:r>
          </w:p>
        </w:tc>
        <w:tc>
          <w:tcPr>
            <w:tcW w:w="5649" w:type="dxa"/>
            <w:vAlign w:val="center"/>
          </w:tcPr>
          <w:p w14:paraId="578D07B9">
            <w:pPr>
              <w:spacing w:line="360" w:lineRule="auto"/>
              <w:jc w:val="left"/>
              <w:rPr>
                <w:color w:val="auto"/>
              </w:rPr>
            </w:pPr>
            <w:r>
              <w:rPr>
                <w:color w:val="auto"/>
              </w:rPr>
              <w:t>/</w:t>
            </w:r>
          </w:p>
        </w:tc>
      </w:tr>
      <w:tr w14:paraId="73C555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vMerge w:val="restart"/>
            <w:vAlign w:val="center"/>
          </w:tcPr>
          <w:p w14:paraId="16B99F0C">
            <w:pPr>
              <w:spacing w:line="360" w:lineRule="auto"/>
              <w:jc w:val="center"/>
              <w:rPr>
                <w:color w:val="auto"/>
              </w:rPr>
            </w:pPr>
            <w:r>
              <w:rPr>
                <w:color w:val="auto"/>
              </w:rPr>
              <w:t>第二节</w:t>
            </w:r>
          </w:p>
          <w:p w14:paraId="6A174D06">
            <w:pPr>
              <w:spacing w:line="360" w:lineRule="auto"/>
              <w:jc w:val="center"/>
              <w:rPr>
                <w:color w:val="auto"/>
              </w:rPr>
            </w:pPr>
            <w:r>
              <w:rPr>
                <w:color w:val="auto"/>
              </w:rPr>
              <w:t>第7.1款</w:t>
            </w:r>
          </w:p>
        </w:tc>
        <w:tc>
          <w:tcPr>
            <w:tcW w:w="1742" w:type="dxa"/>
            <w:vAlign w:val="center"/>
          </w:tcPr>
          <w:p w14:paraId="1AF2CBD4">
            <w:pPr>
              <w:spacing w:line="360" w:lineRule="auto"/>
              <w:jc w:val="left"/>
              <w:rPr>
                <w:color w:val="auto"/>
              </w:rPr>
            </w:pPr>
            <w:r>
              <w:rPr>
                <w:color w:val="auto"/>
              </w:rPr>
              <w:t>包装特殊要求</w:t>
            </w:r>
          </w:p>
        </w:tc>
        <w:tc>
          <w:tcPr>
            <w:tcW w:w="5649" w:type="dxa"/>
            <w:vAlign w:val="center"/>
          </w:tcPr>
          <w:p w14:paraId="6F824606">
            <w:pPr>
              <w:spacing w:line="360" w:lineRule="auto"/>
              <w:rPr>
                <w:color w:val="auto"/>
              </w:rPr>
            </w:pPr>
            <w:r>
              <w:rPr>
                <w:color w:val="auto"/>
              </w:rPr>
              <w:t>/</w:t>
            </w:r>
          </w:p>
        </w:tc>
      </w:tr>
      <w:tr w14:paraId="3B15DA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4686397">
            <w:pPr>
              <w:spacing w:line="360" w:lineRule="auto"/>
              <w:jc w:val="center"/>
              <w:rPr>
                <w:color w:val="auto"/>
              </w:rPr>
            </w:pPr>
          </w:p>
        </w:tc>
        <w:tc>
          <w:tcPr>
            <w:tcW w:w="1742" w:type="dxa"/>
            <w:vAlign w:val="center"/>
          </w:tcPr>
          <w:p w14:paraId="63C18879">
            <w:pPr>
              <w:spacing w:line="360" w:lineRule="auto"/>
              <w:jc w:val="left"/>
              <w:rPr>
                <w:color w:val="auto"/>
              </w:rPr>
            </w:pPr>
            <w:r>
              <w:rPr>
                <w:color w:val="auto"/>
              </w:rPr>
              <w:t>指定现场</w:t>
            </w:r>
          </w:p>
        </w:tc>
        <w:tc>
          <w:tcPr>
            <w:tcW w:w="5649" w:type="dxa"/>
            <w:vAlign w:val="center"/>
          </w:tcPr>
          <w:p w14:paraId="129D6419">
            <w:pPr>
              <w:spacing w:line="360" w:lineRule="auto"/>
              <w:rPr>
                <w:color w:val="auto"/>
              </w:rPr>
            </w:pPr>
            <w:r>
              <w:rPr>
                <w:color w:val="auto"/>
              </w:rPr>
              <w:t>/</w:t>
            </w:r>
          </w:p>
        </w:tc>
      </w:tr>
      <w:tr w14:paraId="339687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0632B9C">
            <w:pPr>
              <w:spacing w:line="360" w:lineRule="auto"/>
              <w:jc w:val="center"/>
              <w:rPr>
                <w:color w:val="auto"/>
              </w:rPr>
            </w:pPr>
            <w:r>
              <w:rPr>
                <w:color w:val="auto"/>
              </w:rPr>
              <w:t>第二节</w:t>
            </w:r>
          </w:p>
          <w:p w14:paraId="078CCF66">
            <w:pPr>
              <w:spacing w:line="360" w:lineRule="auto"/>
              <w:jc w:val="center"/>
              <w:rPr>
                <w:color w:val="auto"/>
              </w:rPr>
            </w:pPr>
            <w:r>
              <w:rPr>
                <w:color w:val="auto"/>
              </w:rPr>
              <w:t>第7.2款</w:t>
            </w:r>
          </w:p>
        </w:tc>
        <w:tc>
          <w:tcPr>
            <w:tcW w:w="1742" w:type="dxa"/>
            <w:vAlign w:val="center"/>
          </w:tcPr>
          <w:p w14:paraId="3FFD39B9">
            <w:pPr>
              <w:spacing w:line="360" w:lineRule="auto"/>
              <w:jc w:val="left"/>
              <w:rPr>
                <w:color w:val="auto"/>
              </w:rPr>
            </w:pPr>
            <w:r>
              <w:rPr>
                <w:color w:val="auto"/>
              </w:rPr>
              <w:t>运输特殊要求</w:t>
            </w:r>
          </w:p>
        </w:tc>
        <w:tc>
          <w:tcPr>
            <w:tcW w:w="5649" w:type="dxa"/>
            <w:vAlign w:val="center"/>
          </w:tcPr>
          <w:p w14:paraId="709C347D">
            <w:pPr>
              <w:spacing w:line="360" w:lineRule="auto"/>
              <w:rPr>
                <w:color w:val="auto"/>
              </w:rPr>
            </w:pPr>
            <w:r>
              <w:rPr>
                <w:color w:val="auto"/>
              </w:rPr>
              <w:t>/</w:t>
            </w:r>
          </w:p>
        </w:tc>
      </w:tr>
      <w:tr w14:paraId="2E54C0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30E404E9">
            <w:pPr>
              <w:spacing w:line="360" w:lineRule="auto"/>
              <w:jc w:val="center"/>
              <w:rPr>
                <w:color w:val="auto"/>
              </w:rPr>
            </w:pPr>
            <w:r>
              <w:rPr>
                <w:color w:val="auto"/>
              </w:rPr>
              <w:t>第二节</w:t>
            </w:r>
          </w:p>
          <w:p w14:paraId="369D1EC9">
            <w:pPr>
              <w:spacing w:line="360" w:lineRule="auto"/>
              <w:jc w:val="center"/>
              <w:rPr>
                <w:color w:val="auto"/>
              </w:rPr>
            </w:pPr>
            <w:r>
              <w:rPr>
                <w:color w:val="auto"/>
              </w:rPr>
              <w:t>第7.3款</w:t>
            </w:r>
          </w:p>
        </w:tc>
        <w:tc>
          <w:tcPr>
            <w:tcW w:w="1742" w:type="dxa"/>
            <w:vAlign w:val="center"/>
          </w:tcPr>
          <w:p w14:paraId="44B2CB14">
            <w:pPr>
              <w:spacing w:line="360" w:lineRule="auto"/>
              <w:jc w:val="left"/>
              <w:rPr>
                <w:color w:val="auto"/>
              </w:rPr>
            </w:pPr>
            <w:r>
              <w:rPr>
                <w:color w:val="auto"/>
              </w:rPr>
              <w:t>保险要求</w:t>
            </w:r>
          </w:p>
        </w:tc>
        <w:tc>
          <w:tcPr>
            <w:tcW w:w="5649" w:type="dxa"/>
            <w:vAlign w:val="center"/>
          </w:tcPr>
          <w:p w14:paraId="1A2591BD">
            <w:pPr>
              <w:spacing w:line="360" w:lineRule="auto"/>
              <w:rPr>
                <w:color w:val="auto"/>
              </w:rPr>
            </w:pPr>
            <w:r>
              <w:rPr>
                <w:color w:val="auto"/>
              </w:rPr>
              <w:t>/</w:t>
            </w:r>
          </w:p>
        </w:tc>
      </w:tr>
      <w:tr w14:paraId="71380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468C05F">
            <w:pPr>
              <w:spacing w:line="360" w:lineRule="auto"/>
              <w:jc w:val="center"/>
              <w:rPr>
                <w:color w:val="auto"/>
              </w:rPr>
            </w:pPr>
            <w:r>
              <w:rPr>
                <w:color w:val="auto"/>
              </w:rPr>
              <w:t>第二节</w:t>
            </w:r>
          </w:p>
          <w:p w14:paraId="41A8AAE4">
            <w:pPr>
              <w:spacing w:line="360" w:lineRule="auto"/>
              <w:jc w:val="center"/>
              <w:rPr>
                <w:color w:val="auto"/>
              </w:rPr>
            </w:pPr>
            <w:r>
              <w:rPr>
                <w:color w:val="auto"/>
              </w:rPr>
              <w:t>第8.2（1）项</w:t>
            </w:r>
          </w:p>
        </w:tc>
        <w:tc>
          <w:tcPr>
            <w:tcW w:w="1742" w:type="dxa"/>
            <w:vAlign w:val="center"/>
          </w:tcPr>
          <w:p w14:paraId="7EB0D75F">
            <w:pPr>
              <w:spacing w:line="360" w:lineRule="auto"/>
              <w:jc w:val="left"/>
              <w:rPr>
                <w:color w:val="auto"/>
              </w:rPr>
            </w:pPr>
            <w:r>
              <w:rPr>
                <w:color w:val="auto"/>
              </w:rPr>
              <w:t>质量保证期</w:t>
            </w:r>
          </w:p>
        </w:tc>
        <w:tc>
          <w:tcPr>
            <w:tcW w:w="5649" w:type="dxa"/>
            <w:vAlign w:val="center"/>
          </w:tcPr>
          <w:p w14:paraId="614362F4">
            <w:pPr>
              <w:autoSpaceDE w:val="0"/>
              <w:autoSpaceDN w:val="0"/>
              <w:spacing w:line="360" w:lineRule="auto"/>
              <w:jc w:val="left"/>
              <w:rPr>
                <w:color w:val="auto"/>
              </w:rPr>
            </w:pPr>
            <w:r>
              <w:rPr>
                <w:color w:val="auto"/>
              </w:rPr>
              <w:t>验收合格后XX年（自验收合格之日起计算）</w:t>
            </w:r>
          </w:p>
        </w:tc>
      </w:tr>
      <w:tr w14:paraId="263C75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447208">
            <w:pPr>
              <w:spacing w:line="360" w:lineRule="auto"/>
              <w:jc w:val="center"/>
              <w:rPr>
                <w:color w:val="auto"/>
              </w:rPr>
            </w:pPr>
            <w:r>
              <w:rPr>
                <w:color w:val="auto"/>
              </w:rPr>
              <w:t>第二节</w:t>
            </w:r>
          </w:p>
          <w:p w14:paraId="15D7527C">
            <w:pPr>
              <w:spacing w:line="360" w:lineRule="auto"/>
              <w:jc w:val="center"/>
              <w:rPr>
                <w:color w:val="auto"/>
              </w:rPr>
            </w:pPr>
            <w:r>
              <w:rPr>
                <w:color w:val="auto"/>
              </w:rPr>
              <w:t>第8.2（3）项</w:t>
            </w:r>
          </w:p>
        </w:tc>
        <w:tc>
          <w:tcPr>
            <w:tcW w:w="1742" w:type="dxa"/>
            <w:vAlign w:val="center"/>
          </w:tcPr>
          <w:p w14:paraId="00840DA8">
            <w:pPr>
              <w:spacing w:line="360" w:lineRule="auto"/>
              <w:jc w:val="left"/>
              <w:rPr>
                <w:color w:val="auto"/>
              </w:rPr>
            </w:pPr>
            <w:r>
              <w:rPr>
                <w:color w:val="auto"/>
              </w:rPr>
              <w:t>货物质量缺陷</w:t>
            </w:r>
          </w:p>
          <w:p w14:paraId="650C98C1">
            <w:pPr>
              <w:spacing w:line="360" w:lineRule="auto"/>
              <w:jc w:val="left"/>
              <w:rPr>
                <w:color w:val="auto"/>
              </w:rPr>
            </w:pPr>
            <w:r>
              <w:rPr>
                <w:color w:val="auto"/>
              </w:rPr>
              <w:t>响应时间</w:t>
            </w:r>
          </w:p>
        </w:tc>
        <w:tc>
          <w:tcPr>
            <w:tcW w:w="5649" w:type="dxa"/>
            <w:vAlign w:val="center"/>
          </w:tcPr>
          <w:p w14:paraId="2F4D2332">
            <w:pPr>
              <w:spacing w:line="360" w:lineRule="auto"/>
              <w:jc w:val="left"/>
              <w:rPr>
                <w:color w:val="auto"/>
              </w:rPr>
            </w:pPr>
            <w:r>
              <w:rPr>
                <w:color w:val="auto"/>
              </w:rPr>
              <w:t>质保期内出现故障，接到甲方通知后，乙方2小时内电话响应，24小时抵达现场。</w:t>
            </w:r>
          </w:p>
          <w:p w14:paraId="3D4BF681">
            <w:pPr>
              <w:spacing w:line="360" w:lineRule="auto"/>
              <w:jc w:val="left"/>
              <w:rPr>
                <w:color w:val="auto"/>
              </w:rPr>
            </w:pPr>
            <w:r>
              <w:rPr>
                <w:color w:val="auto"/>
              </w:rPr>
              <w:t>质保期外，乙方提供该设备终身维修服务，服务响应时间与质保期内保持一致。</w:t>
            </w:r>
          </w:p>
        </w:tc>
      </w:tr>
      <w:tr w14:paraId="42BB46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86DCF69">
            <w:pPr>
              <w:spacing w:line="360" w:lineRule="auto"/>
              <w:jc w:val="center"/>
              <w:rPr>
                <w:color w:val="auto"/>
              </w:rPr>
            </w:pPr>
            <w:r>
              <w:rPr>
                <w:color w:val="auto"/>
              </w:rPr>
              <w:t>第二节</w:t>
            </w:r>
          </w:p>
          <w:p w14:paraId="27BADC51">
            <w:pPr>
              <w:pStyle w:val="91"/>
              <w:adjustRightInd/>
              <w:spacing w:line="360" w:lineRule="auto"/>
              <w:ind w:firstLine="0" w:firstLineChars="0"/>
              <w:jc w:val="center"/>
              <w:rPr>
                <w:rFonts w:ascii="Times New Roman" w:hAnsi="Times New Roman" w:eastAsia="宋体" w:cs="Times New Roman"/>
                <w:color w:val="auto"/>
              </w:rPr>
            </w:pPr>
            <w:r>
              <w:rPr>
                <w:rFonts w:ascii="Times New Roman" w:hAnsi="Times New Roman" w:eastAsia="宋体" w:cs="Times New Roman"/>
                <w:color w:val="auto"/>
              </w:rPr>
              <w:t>第11.1款</w:t>
            </w:r>
          </w:p>
        </w:tc>
        <w:tc>
          <w:tcPr>
            <w:tcW w:w="1742" w:type="dxa"/>
            <w:vAlign w:val="center"/>
          </w:tcPr>
          <w:p w14:paraId="46A2DBED">
            <w:pPr>
              <w:spacing w:line="360" w:lineRule="auto"/>
              <w:rPr>
                <w:color w:val="auto"/>
              </w:rPr>
            </w:pPr>
            <w:r>
              <w:rPr>
                <w:color w:val="auto"/>
              </w:rPr>
              <w:t>其他应当保密的信息</w:t>
            </w:r>
          </w:p>
        </w:tc>
        <w:tc>
          <w:tcPr>
            <w:tcW w:w="5649" w:type="dxa"/>
            <w:vAlign w:val="center"/>
          </w:tcPr>
          <w:p w14:paraId="70DBFE64">
            <w:pPr>
              <w:spacing w:line="360" w:lineRule="auto"/>
              <w:jc w:val="left"/>
              <w:rPr>
                <w:color w:val="auto"/>
              </w:rPr>
            </w:pPr>
            <w:r>
              <w:rPr>
                <w:color w:val="auto"/>
              </w:rPr>
              <w:t>包括但不限于技术情报、技术资料、商业秘密和商业信息等。</w:t>
            </w:r>
          </w:p>
        </w:tc>
      </w:tr>
      <w:tr w14:paraId="4703E7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59525EA">
            <w:pPr>
              <w:spacing w:line="360" w:lineRule="auto"/>
              <w:jc w:val="center"/>
              <w:rPr>
                <w:color w:val="auto"/>
              </w:rPr>
            </w:pPr>
            <w:r>
              <w:rPr>
                <w:color w:val="auto"/>
              </w:rPr>
              <w:t>第二节</w:t>
            </w:r>
          </w:p>
          <w:p w14:paraId="65DC3B67">
            <w:pPr>
              <w:spacing w:line="360" w:lineRule="auto"/>
              <w:jc w:val="center"/>
              <w:rPr>
                <w:color w:val="auto"/>
              </w:rPr>
            </w:pPr>
            <w:r>
              <w:rPr>
                <w:color w:val="auto"/>
              </w:rPr>
              <w:t>第12.2款</w:t>
            </w:r>
          </w:p>
        </w:tc>
        <w:tc>
          <w:tcPr>
            <w:tcW w:w="1742" w:type="dxa"/>
            <w:vAlign w:val="center"/>
          </w:tcPr>
          <w:p w14:paraId="4CDFBD80">
            <w:pPr>
              <w:spacing w:line="360" w:lineRule="auto"/>
              <w:jc w:val="left"/>
              <w:rPr>
                <w:color w:val="auto"/>
              </w:rPr>
            </w:pPr>
            <w:r>
              <w:rPr>
                <w:color w:val="auto"/>
              </w:rPr>
              <w:t>合同价款支付时间</w:t>
            </w:r>
          </w:p>
        </w:tc>
        <w:tc>
          <w:tcPr>
            <w:tcW w:w="5649" w:type="dxa"/>
            <w:vAlign w:val="center"/>
          </w:tcPr>
          <w:p w14:paraId="3E75C499">
            <w:pPr>
              <w:spacing w:line="360" w:lineRule="auto"/>
              <w:jc w:val="left"/>
              <w:rPr>
                <w:color w:val="auto"/>
              </w:rPr>
            </w:pPr>
            <w:r>
              <w:rPr>
                <w:rFonts w:hint="eastAsia" w:ascii="宋体" w:hAnsi="宋体"/>
                <w:color w:val="auto"/>
              </w:rPr>
              <w:t>以成交后签订合同为准</w:t>
            </w:r>
          </w:p>
        </w:tc>
      </w:tr>
      <w:tr w14:paraId="43DA7C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C35314">
            <w:pPr>
              <w:spacing w:line="360" w:lineRule="auto"/>
              <w:jc w:val="center"/>
              <w:rPr>
                <w:color w:val="auto"/>
              </w:rPr>
            </w:pPr>
            <w:r>
              <w:rPr>
                <w:color w:val="auto"/>
              </w:rPr>
              <w:t>第二节</w:t>
            </w:r>
          </w:p>
          <w:p w14:paraId="0F572E6A">
            <w:pPr>
              <w:spacing w:line="360" w:lineRule="auto"/>
              <w:jc w:val="center"/>
              <w:rPr>
                <w:color w:val="auto"/>
              </w:rPr>
            </w:pPr>
            <w:r>
              <w:rPr>
                <w:color w:val="auto"/>
              </w:rPr>
              <w:t>第13.2款</w:t>
            </w:r>
          </w:p>
        </w:tc>
        <w:tc>
          <w:tcPr>
            <w:tcW w:w="1742" w:type="dxa"/>
            <w:vAlign w:val="center"/>
          </w:tcPr>
          <w:p w14:paraId="1E9C4DA2">
            <w:pPr>
              <w:spacing w:line="360" w:lineRule="auto"/>
              <w:jc w:val="left"/>
              <w:rPr>
                <w:color w:val="auto"/>
              </w:rPr>
            </w:pPr>
            <w:r>
              <w:rPr>
                <w:color w:val="auto"/>
              </w:rPr>
              <w:t>履约保证金不予退还的情形</w:t>
            </w:r>
          </w:p>
        </w:tc>
        <w:tc>
          <w:tcPr>
            <w:tcW w:w="5649" w:type="dxa"/>
            <w:vAlign w:val="center"/>
          </w:tcPr>
          <w:p w14:paraId="6D5B115F">
            <w:pPr>
              <w:spacing w:line="360" w:lineRule="auto"/>
              <w:jc w:val="left"/>
              <w:rPr>
                <w:color w:val="auto"/>
              </w:rPr>
            </w:pPr>
            <w:r>
              <w:rPr>
                <w:color w:val="auto"/>
              </w:rPr>
              <w:t>1.乙方不履行合同，履约保证金不予退还；</w:t>
            </w:r>
          </w:p>
          <w:p w14:paraId="59B65B54">
            <w:pPr>
              <w:spacing w:line="360" w:lineRule="auto"/>
              <w:jc w:val="left"/>
              <w:rPr>
                <w:color w:val="auto"/>
              </w:rPr>
            </w:pPr>
            <w:r>
              <w:rPr>
                <w:color w:val="auto"/>
              </w:rPr>
              <w:t>2.乙方未能按合同约定全面履行业务，甲方有权从履约保证金中取得补偿或赔偿，给甲方造成的损失超过履约保证金数额的，还应当对超过部分予以赔偿；</w:t>
            </w:r>
          </w:p>
        </w:tc>
      </w:tr>
      <w:tr w14:paraId="5D71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FD61D6C">
            <w:pPr>
              <w:spacing w:line="360" w:lineRule="auto"/>
              <w:jc w:val="center"/>
              <w:rPr>
                <w:color w:val="auto"/>
              </w:rPr>
            </w:pPr>
            <w:r>
              <w:rPr>
                <w:color w:val="auto"/>
              </w:rPr>
              <w:t>第二节</w:t>
            </w:r>
          </w:p>
          <w:p w14:paraId="44338722">
            <w:pPr>
              <w:spacing w:line="360" w:lineRule="auto"/>
              <w:jc w:val="center"/>
              <w:rPr>
                <w:color w:val="auto"/>
              </w:rPr>
            </w:pPr>
            <w:r>
              <w:rPr>
                <w:color w:val="auto"/>
              </w:rPr>
              <w:t>第13.3款</w:t>
            </w:r>
          </w:p>
        </w:tc>
        <w:tc>
          <w:tcPr>
            <w:tcW w:w="1742" w:type="dxa"/>
            <w:vAlign w:val="center"/>
          </w:tcPr>
          <w:p w14:paraId="07D40776">
            <w:pPr>
              <w:spacing w:line="360" w:lineRule="auto"/>
              <w:jc w:val="left"/>
              <w:rPr>
                <w:color w:val="auto"/>
              </w:rPr>
            </w:pPr>
            <w:r>
              <w:rPr>
                <w:color w:val="auto"/>
              </w:rPr>
              <w:t>履约保证金退还时间</w:t>
            </w:r>
          </w:p>
        </w:tc>
        <w:tc>
          <w:tcPr>
            <w:tcW w:w="5649" w:type="dxa"/>
            <w:vAlign w:val="center"/>
          </w:tcPr>
          <w:p w14:paraId="6C2EE0C1">
            <w:pPr>
              <w:spacing w:line="360" w:lineRule="auto"/>
              <w:jc w:val="left"/>
              <w:rPr>
                <w:color w:val="auto"/>
              </w:rPr>
            </w:pPr>
            <w:r>
              <w:rPr>
                <w:color w:val="auto"/>
              </w:rPr>
              <w:t>乙方完成其合同义务包括任何保证义务至质保期结束无质量问题之日起7个工作日内，退还乙方履约保证金。</w:t>
            </w:r>
          </w:p>
        </w:tc>
      </w:tr>
      <w:tr w14:paraId="36BE52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596156">
            <w:pPr>
              <w:spacing w:line="360" w:lineRule="auto"/>
              <w:jc w:val="center"/>
              <w:rPr>
                <w:color w:val="auto"/>
              </w:rPr>
            </w:pPr>
            <w:r>
              <w:rPr>
                <w:color w:val="auto"/>
              </w:rPr>
              <w:t>第二节</w:t>
            </w:r>
          </w:p>
          <w:p w14:paraId="31F7FC41">
            <w:pPr>
              <w:spacing w:line="360" w:lineRule="auto"/>
              <w:jc w:val="center"/>
              <w:rPr>
                <w:color w:val="auto"/>
              </w:rPr>
            </w:pPr>
            <w:r>
              <w:rPr>
                <w:color w:val="auto"/>
              </w:rPr>
              <w:t>第14.1（6）项</w:t>
            </w:r>
          </w:p>
        </w:tc>
        <w:tc>
          <w:tcPr>
            <w:tcW w:w="1742" w:type="dxa"/>
            <w:vAlign w:val="center"/>
          </w:tcPr>
          <w:p w14:paraId="1195258E">
            <w:pPr>
              <w:spacing w:line="360" w:lineRule="auto"/>
              <w:jc w:val="left"/>
              <w:rPr>
                <w:color w:val="auto"/>
              </w:rPr>
            </w:pPr>
            <w:r>
              <w:rPr>
                <w:color w:val="auto"/>
              </w:rPr>
              <w:t>乙方提供的其他服务</w:t>
            </w:r>
          </w:p>
        </w:tc>
        <w:tc>
          <w:tcPr>
            <w:tcW w:w="5649" w:type="dxa"/>
            <w:vAlign w:val="center"/>
          </w:tcPr>
          <w:p w14:paraId="21CE6732">
            <w:pPr>
              <w:pStyle w:val="91"/>
              <w:adjustRightInd/>
              <w:spacing w:line="360" w:lineRule="auto"/>
              <w:ind w:firstLine="0" w:firstLineChars="0"/>
              <w:rPr>
                <w:rFonts w:ascii="Times New Roman" w:hAnsi="Times New Roman" w:eastAsia="宋体" w:cs="Times New Roman"/>
                <w:color w:val="auto"/>
                <w:kern w:val="2"/>
                <w:sz w:val="21"/>
              </w:rPr>
            </w:pPr>
            <w:r>
              <w:rPr>
                <w:rFonts w:ascii="Times New Roman" w:hAnsi="Times New Roman" w:eastAsia="宋体" w:cs="Times New Roman"/>
                <w:color w:val="auto"/>
                <w:kern w:val="2"/>
                <w:sz w:val="21"/>
              </w:rPr>
              <w:t>质保期内，乙方应对货物及主要部件、配件维修更换，对货物（人为故意损坏除外）提供全免费保修或免费更换；如出现故障，乙方应在接到通知后2小时内响应，24小时内抵达现场进行维修，若问题、故障在检修48小时内仍无法解决，乙方应在3个工作日内免费提供不低于故障货物规格型号档次的备用货物供甲方使用，直至故障货物修复，期间产生的所有费用均由乙方承担。更换的全新配件在使用期间的质保及售后均按本合同执行。</w:t>
            </w:r>
          </w:p>
          <w:p w14:paraId="06599BE5">
            <w:pPr>
              <w:spacing w:line="360" w:lineRule="auto"/>
              <w:jc w:val="left"/>
              <w:rPr>
                <w:color w:val="auto"/>
              </w:rPr>
            </w:pPr>
            <w:r>
              <w:rPr>
                <w:color w:val="auto"/>
              </w:rPr>
              <w:t>质保期外，乙方应提供货物（设备）的终身维修服务，服务响应时间与质保期内保持一致，质保期外只收取甲方零配件成本费，其他免费。</w:t>
            </w:r>
          </w:p>
        </w:tc>
      </w:tr>
      <w:tr w14:paraId="2E03E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717ABC">
            <w:pPr>
              <w:spacing w:line="360" w:lineRule="auto"/>
              <w:jc w:val="center"/>
              <w:rPr>
                <w:color w:val="auto"/>
              </w:rPr>
            </w:pPr>
            <w:r>
              <w:rPr>
                <w:color w:val="auto"/>
              </w:rPr>
              <w:t>第二节</w:t>
            </w:r>
          </w:p>
          <w:p w14:paraId="227E48C7">
            <w:pPr>
              <w:spacing w:line="360" w:lineRule="auto"/>
              <w:jc w:val="center"/>
              <w:rPr>
                <w:color w:val="auto"/>
              </w:rPr>
            </w:pPr>
            <w:r>
              <w:rPr>
                <w:color w:val="auto"/>
              </w:rPr>
              <w:t>第19.1款</w:t>
            </w:r>
          </w:p>
        </w:tc>
        <w:tc>
          <w:tcPr>
            <w:tcW w:w="1742" w:type="dxa"/>
            <w:vAlign w:val="center"/>
          </w:tcPr>
          <w:p w14:paraId="61BAC2E6">
            <w:pPr>
              <w:spacing w:line="360" w:lineRule="auto"/>
              <w:jc w:val="left"/>
              <w:rPr>
                <w:color w:val="auto"/>
              </w:rPr>
            </w:pPr>
            <w:r>
              <w:rPr>
                <w:bCs/>
                <w:color w:val="auto"/>
              </w:rPr>
              <w:t>其他专用条款</w:t>
            </w:r>
          </w:p>
        </w:tc>
        <w:tc>
          <w:tcPr>
            <w:tcW w:w="5649" w:type="dxa"/>
            <w:vAlign w:val="center"/>
          </w:tcPr>
          <w:p w14:paraId="54D3CBC4">
            <w:pPr>
              <w:spacing w:line="360" w:lineRule="auto"/>
              <w:jc w:val="left"/>
              <w:rPr>
                <w:color w:val="auto"/>
              </w:rPr>
            </w:pPr>
            <w:r>
              <w:rPr>
                <w:color w:val="auto"/>
              </w:rPr>
              <w:t>项目管理服务：乙方应指定不少于一人全权全程负责本项目的商务服务，以及货物安装、调试、咨询、培训和售后等技术服务工作。（如发生变更应及时书面通知甲方。）</w:t>
            </w:r>
          </w:p>
          <w:p w14:paraId="5C3D12B7">
            <w:pPr>
              <w:spacing w:line="360" w:lineRule="auto"/>
              <w:jc w:val="left"/>
              <w:rPr>
                <w:color w:val="auto"/>
              </w:rPr>
            </w:pPr>
            <w:r>
              <w:rPr>
                <w:color w:val="auto"/>
              </w:rPr>
              <w:t>项目负责人：</w:t>
            </w:r>
            <w:r>
              <w:rPr>
                <w:color w:val="auto"/>
                <w:u w:val="single"/>
              </w:rPr>
              <w:t xml:space="preserve">        </w:t>
            </w:r>
            <w:r>
              <w:rPr>
                <w:color w:val="auto"/>
              </w:rPr>
              <w:t>；联系电话：</w:t>
            </w:r>
            <w:r>
              <w:rPr>
                <w:color w:val="auto"/>
                <w:u w:val="single"/>
              </w:rPr>
              <w:t xml:space="preserve">          </w:t>
            </w:r>
          </w:p>
        </w:tc>
      </w:tr>
    </w:tbl>
    <w:p w14:paraId="65F3AD96">
      <w:pPr>
        <w:spacing w:line="360" w:lineRule="auto"/>
        <w:rPr>
          <w:color w:val="auto"/>
        </w:rPr>
      </w:pPr>
    </w:p>
    <w:p w14:paraId="50573400">
      <w:pPr>
        <w:spacing w:line="360" w:lineRule="auto"/>
        <w:rPr>
          <w:color w:val="auto"/>
        </w:rPr>
      </w:pPr>
    </w:p>
    <w:p w14:paraId="3C72BC0B">
      <w:pPr>
        <w:spacing w:line="360" w:lineRule="auto"/>
        <w:rPr>
          <w:b/>
          <w:bCs/>
          <w:color w:val="auto"/>
        </w:rPr>
      </w:pPr>
      <w:r>
        <w:rPr>
          <w:b/>
          <w:bCs/>
          <w:color w:val="auto"/>
        </w:rPr>
        <w:t>附件1：货物分项报价一览表</w:t>
      </w:r>
    </w:p>
    <w:p w14:paraId="18A4B5E2">
      <w:pPr>
        <w:spacing w:line="360" w:lineRule="auto"/>
        <w:rPr>
          <w:b/>
          <w:bCs/>
          <w:color w:val="auto"/>
        </w:rPr>
      </w:pPr>
      <w:r>
        <w:rPr>
          <w:b/>
          <w:bCs/>
          <w:color w:val="auto"/>
        </w:rPr>
        <w:t>附件2：配置清单</w:t>
      </w:r>
    </w:p>
    <w:p w14:paraId="01E26850">
      <w:pPr>
        <w:spacing w:line="360" w:lineRule="auto"/>
        <w:rPr>
          <w:b/>
          <w:bCs/>
          <w:color w:val="auto"/>
        </w:rPr>
      </w:pPr>
      <w:r>
        <w:rPr>
          <w:b/>
          <w:bCs/>
          <w:color w:val="auto"/>
        </w:rPr>
        <w:t>附件3：技术参数</w:t>
      </w:r>
    </w:p>
    <w:p w14:paraId="65C863EE">
      <w:pPr>
        <w:spacing w:line="360" w:lineRule="auto"/>
        <w:rPr>
          <w:b/>
          <w:bCs/>
          <w:color w:val="auto"/>
        </w:rPr>
      </w:pPr>
      <w:r>
        <w:rPr>
          <w:b/>
          <w:bCs/>
          <w:color w:val="auto"/>
        </w:rPr>
        <w:t>附件4：售后服务</w:t>
      </w:r>
    </w:p>
    <w:p w14:paraId="53AE9B5F">
      <w:pPr>
        <w:rPr>
          <w:rFonts w:ascii="宋体" w:hAnsi="宋体"/>
          <w:b/>
          <w:bCs/>
          <w:color w:val="auto"/>
        </w:rPr>
      </w:pPr>
      <w:r>
        <w:rPr>
          <w:b/>
          <w:bCs/>
          <w:color w:val="auto"/>
        </w:rPr>
        <w:t>附件5：授权委托书等</w:t>
      </w:r>
    </w:p>
    <w:p w14:paraId="6C8B6A4B">
      <w:pPr>
        <w:jc w:val="center"/>
        <w:outlineLvl w:val="0"/>
        <w:rPr>
          <w:rFonts w:hint="eastAsia" w:ascii="宋体" w:hAnsi="宋体" w:cs="宋体"/>
          <w:b/>
          <w:bCs/>
          <w:color w:val="auto"/>
          <w:sz w:val="36"/>
          <w:szCs w:val="36"/>
        </w:rPr>
      </w:pPr>
      <w:r>
        <w:rPr>
          <w:rFonts w:hint="eastAsia"/>
          <w:color w:val="auto"/>
        </w:rPr>
        <w:br w:type="page"/>
      </w:r>
      <w:bookmarkStart w:id="837" w:name="_Toc306"/>
      <w:bookmarkStart w:id="838" w:name="_Toc27455"/>
      <w:r>
        <w:rPr>
          <w:rFonts w:hint="eastAsia" w:ascii="宋体" w:hAnsi="宋体" w:cs="宋体"/>
          <w:b/>
          <w:bCs/>
          <w:color w:val="auto"/>
          <w:sz w:val="36"/>
          <w:szCs w:val="36"/>
        </w:rPr>
        <w:t>第五章 采购需求</w:t>
      </w:r>
      <w:bookmarkEnd w:id="837"/>
      <w:bookmarkEnd w:id="838"/>
    </w:p>
    <w:p w14:paraId="3B79B6D5">
      <w:pPr>
        <w:spacing w:line="360" w:lineRule="auto"/>
        <w:outlineLvl w:val="1"/>
        <w:rPr>
          <w:rFonts w:ascii="宋体" w:hAnsi="宋体" w:cs="宋体"/>
          <w:b/>
          <w:bCs/>
          <w:color w:val="auto"/>
          <w:sz w:val="24"/>
          <w:szCs w:val="24"/>
        </w:rPr>
      </w:pPr>
      <w:bookmarkStart w:id="839" w:name="_Toc18187"/>
      <w:r>
        <w:rPr>
          <w:rFonts w:hint="eastAsia" w:ascii="宋体" w:hAnsi="宋体" w:cs="宋体"/>
          <w:b/>
          <w:bCs/>
          <w:color w:val="auto"/>
          <w:sz w:val="24"/>
          <w:szCs w:val="24"/>
        </w:rPr>
        <w:t>一、配置清单</w:t>
      </w:r>
      <w:bookmarkEnd w:id="839"/>
    </w:p>
    <w:tbl>
      <w:tblPr>
        <w:tblStyle w:val="41"/>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838"/>
        <w:gridCol w:w="2687"/>
        <w:gridCol w:w="837"/>
        <w:gridCol w:w="700"/>
        <w:gridCol w:w="1101"/>
        <w:gridCol w:w="1001"/>
      </w:tblGrid>
      <w:tr w14:paraId="2005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noWrap/>
            <w:vAlign w:val="center"/>
          </w:tcPr>
          <w:p w14:paraId="4767DF52">
            <w:pPr>
              <w:widowControl/>
              <w:jc w:val="center"/>
              <w:rPr>
                <w:rFonts w:hint="eastAsia" w:ascii="宋体" w:hAnsi="宋体" w:cs="宋体"/>
                <w:color w:val="auto"/>
              </w:rPr>
            </w:pPr>
            <w:r>
              <w:rPr>
                <w:rFonts w:hint="eastAsia" w:ascii="宋体" w:hAnsi="宋体" w:cs="宋体"/>
                <w:color w:val="auto"/>
              </w:rPr>
              <w:t>序号</w:t>
            </w:r>
          </w:p>
        </w:tc>
        <w:tc>
          <w:tcPr>
            <w:tcW w:w="1838" w:type="dxa"/>
            <w:noWrap/>
            <w:vAlign w:val="center"/>
          </w:tcPr>
          <w:p w14:paraId="76EF33BD">
            <w:pPr>
              <w:widowControl/>
              <w:jc w:val="center"/>
              <w:rPr>
                <w:rFonts w:hint="eastAsia" w:ascii="宋体" w:hAnsi="宋体" w:cs="宋体"/>
                <w:color w:val="auto"/>
              </w:rPr>
            </w:pPr>
            <w:r>
              <w:rPr>
                <w:rFonts w:hint="eastAsia" w:ascii="宋体" w:hAnsi="宋体" w:cs="宋体"/>
                <w:color w:val="auto"/>
              </w:rPr>
              <w:t>设备名称</w:t>
            </w:r>
          </w:p>
        </w:tc>
        <w:tc>
          <w:tcPr>
            <w:tcW w:w="2687" w:type="dxa"/>
            <w:noWrap/>
            <w:vAlign w:val="center"/>
          </w:tcPr>
          <w:p w14:paraId="51A0C987">
            <w:pPr>
              <w:widowControl/>
              <w:jc w:val="center"/>
              <w:rPr>
                <w:rFonts w:hint="eastAsia" w:ascii="宋体" w:hAnsi="宋体" w:cs="宋体"/>
                <w:color w:val="auto"/>
              </w:rPr>
            </w:pPr>
            <w:r>
              <w:rPr>
                <w:rFonts w:hint="eastAsia" w:ascii="宋体" w:hAnsi="宋体" w:cs="宋体"/>
                <w:color w:val="auto"/>
              </w:rPr>
              <w:t>配置清单</w:t>
            </w:r>
          </w:p>
        </w:tc>
        <w:tc>
          <w:tcPr>
            <w:tcW w:w="837" w:type="dxa"/>
            <w:noWrap/>
            <w:vAlign w:val="center"/>
          </w:tcPr>
          <w:p w14:paraId="2060213A">
            <w:pPr>
              <w:widowControl/>
              <w:jc w:val="center"/>
              <w:rPr>
                <w:rFonts w:hint="eastAsia" w:ascii="宋体" w:hAnsi="宋体" w:cs="宋体"/>
                <w:color w:val="auto"/>
              </w:rPr>
            </w:pPr>
            <w:r>
              <w:rPr>
                <w:rFonts w:hint="eastAsia" w:ascii="宋体" w:hAnsi="宋体" w:cs="宋体"/>
                <w:color w:val="auto"/>
              </w:rPr>
              <w:t>单位</w:t>
            </w:r>
          </w:p>
        </w:tc>
        <w:tc>
          <w:tcPr>
            <w:tcW w:w="700" w:type="dxa"/>
            <w:noWrap/>
            <w:vAlign w:val="center"/>
          </w:tcPr>
          <w:p w14:paraId="22E7781A">
            <w:pPr>
              <w:widowControl/>
              <w:jc w:val="center"/>
              <w:rPr>
                <w:rFonts w:hint="eastAsia" w:ascii="宋体" w:hAnsi="宋体" w:cs="宋体"/>
                <w:color w:val="auto"/>
              </w:rPr>
            </w:pPr>
            <w:r>
              <w:rPr>
                <w:rFonts w:hint="eastAsia" w:ascii="宋体" w:hAnsi="宋体" w:cs="宋体"/>
                <w:color w:val="auto"/>
              </w:rPr>
              <w:t>数量</w:t>
            </w:r>
          </w:p>
        </w:tc>
        <w:tc>
          <w:tcPr>
            <w:tcW w:w="1101" w:type="dxa"/>
            <w:noWrap/>
            <w:vAlign w:val="center"/>
          </w:tcPr>
          <w:p w14:paraId="24F7429B">
            <w:pPr>
              <w:widowControl/>
              <w:jc w:val="center"/>
              <w:rPr>
                <w:rFonts w:hint="eastAsia" w:ascii="宋体" w:hAnsi="宋体" w:cs="宋体"/>
                <w:color w:val="auto"/>
              </w:rPr>
            </w:pPr>
            <w:r>
              <w:rPr>
                <w:rFonts w:hint="eastAsia" w:ascii="宋体" w:hAnsi="宋体" w:cs="宋体"/>
                <w:color w:val="auto"/>
              </w:rPr>
              <w:t>所属行业</w:t>
            </w:r>
          </w:p>
        </w:tc>
        <w:tc>
          <w:tcPr>
            <w:tcW w:w="1001" w:type="dxa"/>
            <w:noWrap/>
            <w:vAlign w:val="center"/>
          </w:tcPr>
          <w:p w14:paraId="3CC300E3">
            <w:pPr>
              <w:widowControl/>
              <w:jc w:val="center"/>
              <w:rPr>
                <w:rFonts w:hint="eastAsia" w:ascii="宋体" w:hAnsi="宋体" w:cs="宋体"/>
                <w:color w:val="auto"/>
              </w:rPr>
            </w:pPr>
            <w:r>
              <w:rPr>
                <w:rFonts w:hint="eastAsia" w:ascii="宋体" w:hAnsi="宋体" w:cs="宋体"/>
                <w:color w:val="auto"/>
              </w:rPr>
              <w:t>是否核心产品</w:t>
            </w:r>
          </w:p>
        </w:tc>
      </w:tr>
      <w:tr w14:paraId="0CEC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693" w:type="dxa"/>
            <w:vAlign w:val="center"/>
          </w:tcPr>
          <w:p w14:paraId="1A178011">
            <w:pPr>
              <w:widowControl/>
              <w:jc w:val="center"/>
              <w:rPr>
                <w:rFonts w:hint="eastAsia" w:ascii="宋体" w:hAnsi="宋体" w:cs="宋体"/>
                <w:color w:val="auto"/>
              </w:rPr>
            </w:pPr>
            <w:r>
              <w:rPr>
                <w:rFonts w:hint="eastAsia" w:ascii="宋体" w:hAnsi="宋体" w:cs="宋体"/>
                <w:color w:val="auto"/>
              </w:rPr>
              <w:t>1</w:t>
            </w:r>
          </w:p>
        </w:tc>
        <w:tc>
          <w:tcPr>
            <w:tcW w:w="1838" w:type="dxa"/>
            <w:vAlign w:val="center"/>
          </w:tcPr>
          <w:p w14:paraId="1298BE75">
            <w:pPr>
              <w:widowControl/>
              <w:jc w:val="center"/>
              <w:rPr>
                <w:rFonts w:hint="eastAsia" w:ascii="宋体" w:hAnsi="宋体" w:cs="宋体"/>
                <w:color w:val="auto"/>
              </w:rPr>
            </w:pPr>
            <w:r>
              <w:rPr>
                <w:rFonts w:hint="eastAsia" w:ascii="宋体" w:hAnsi="宋体" w:cs="宋体"/>
                <w:color w:val="auto"/>
              </w:rPr>
              <w:t>超高温石墨化炉</w:t>
            </w:r>
          </w:p>
        </w:tc>
        <w:tc>
          <w:tcPr>
            <w:tcW w:w="2687" w:type="dxa"/>
            <w:vAlign w:val="center"/>
          </w:tcPr>
          <w:p w14:paraId="08CF3D6A">
            <w:pPr>
              <w:widowControl/>
              <w:jc w:val="left"/>
              <w:rPr>
                <w:rFonts w:hint="eastAsia" w:ascii="宋体" w:hAnsi="宋体" w:cs="宋体"/>
                <w:color w:val="auto"/>
              </w:rPr>
            </w:pPr>
            <w:r>
              <w:rPr>
                <w:rFonts w:hint="eastAsia" w:ascii="宋体" w:hAnsi="宋体" w:cs="宋体"/>
                <w:color w:val="auto"/>
              </w:rPr>
              <w:t>1.中频电源柜一台</w:t>
            </w:r>
            <w:r>
              <w:rPr>
                <w:rFonts w:hint="eastAsia" w:ascii="宋体" w:hAnsi="宋体" w:cs="宋体"/>
                <w:color w:val="auto"/>
              </w:rPr>
              <w:br w:type="textWrapping"/>
            </w:r>
            <w:r>
              <w:rPr>
                <w:rFonts w:hint="eastAsia" w:ascii="宋体" w:hAnsi="宋体" w:cs="宋体"/>
                <w:color w:val="auto"/>
              </w:rPr>
              <w:t>2.红外测温仪一台</w:t>
            </w:r>
            <w:r>
              <w:rPr>
                <w:rFonts w:hint="eastAsia" w:ascii="宋体" w:hAnsi="宋体" w:cs="宋体"/>
                <w:color w:val="auto"/>
              </w:rPr>
              <w:br w:type="textWrapping"/>
            </w:r>
            <w:r>
              <w:rPr>
                <w:rFonts w:hint="eastAsia" w:ascii="宋体" w:hAnsi="宋体" w:cs="宋体"/>
                <w:color w:val="auto"/>
              </w:rPr>
              <w:t>3.石墨化炉体一套</w:t>
            </w:r>
            <w:r>
              <w:rPr>
                <w:rFonts w:hint="eastAsia" w:ascii="宋体" w:hAnsi="宋体" w:cs="宋体"/>
                <w:color w:val="auto"/>
              </w:rPr>
              <w:br w:type="textWrapping"/>
            </w:r>
            <w:r>
              <w:rPr>
                <w:rFonts w:hint="eastAsia" w:ascii="宋体" w:hAnsi="宋体" w:cs="宋体"/>
                <w:color w:val="auto"/>
              </w:rPr>
              <w:t>4.感应线圈一套</w:t>
            </w:r>
            <w:r>
              <w:rPr>
                <w:rFonts w:hint="eastAsia" w:ascii="宋体" w:hAnsi="宋体" w:cs="宋体"/>
                <w:color w:val="auto"/>
              </w:rPr>
              <w:br w:type="textWrapping"/>
            </w:r>
            <w:r>
              <w:rPr>
                <w:rFonts w:hint="eastAsia" w:ascii="宋体" w:hAnsi="宋体" w:cs="宋体"/>
                <w:color w:val="auto"/>
              </w:rPr>
              <w:t>5.真空泵机组一套</w:t>
            </w:r>
            <w:r>
              <w:rPr>
                <w:rFonts w:hint="eastAsia" w:ascii="宋体" w:hAnsi="宋体" w:cs="宋体"/>
                <w:color w:val="auto"/>
              </w:rPr>
              <w:br w:type="textWrapping"/>
            </w:r>
            <w:r>
              <w:rPr>
                <w:rFonts w:hint="eastAsia" w:ascii="宋体" w:hAnsi="宋体" w:cs="宋体"/>
                <w:color w:val="auto"/>
              </w:rPr>
              <w:t>6.闭式冷却装置一套</w:t>
            </w:r>
          </w:p>
        </w:tc>
        <w:tc>
          <w:tcPr>
            <w:tcW w:w="837" w:type="dxa"/>
            <w:noWrap/>
            <w:vAlign w:val="center"/>
          </w:tcPr>
          <w:p w14:paraId="1173B3BF">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1EC36E9F">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4A778122">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65A1D81B">
            <w:pPr>
              <w:widowControl/>
              <w:jc w:val="center"/>
              <w:rPr>
                <w:rFonts w:hint="eastAsia" w:ascii="宋体" w:hAnsi="宋体" w:cs="宋体"/>
                <w:color w:val="auto"/>
              </w:rPr>
            </w:pPr>
            <w:r>
              <w:rPr>
                <w:rFonts w:hint="eastAsia" w:ascii="宋体" w:hAnsi="宋体" w:cs="宋体"/>
                <w:color w:val="auto"/>
              </w:rPr>
              <w:t>是</w:t>
            </w:r>
          </w:p>
        </w:tc>
      </w:tr>
      <w:tr w14:paraId="3B76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693" w:type="dxa"/>
            <w:vAlign w:val="center"/>
          </w:tcPr>
          <w:p w14:paraId="6521A055">
            <w:pPr>
              <w:widowControl/>
              <w:jc w:val="center"/>
              <w:rPr>
                <w:rFonts w:hint="eastAsia" w:ascii="宋体" w:hAnsi="宋体" w:cs="宋体"/>
                <w:color w:val="auto"/>
              </w:rPr>
            </w:pPr>
            <w:r>
              <w:rPr>
                <w:rFonts w:hint="eastAsia" w:ascii="宋体" w:hAnsi="宋体" w:cs="宋体"/>
                <w:color w:val="auto"/>
              </w:rPr>
              <w:t>2</w:t>
            </w:r>
          </w:p>
        </w:tc>
        <w:tc>
          <w:tcPr>
            <w:tcW w:w="1838" w:type="dxa"/>
            <w:vAlign w:val="center"/>
          </w:tcPr>
          <w:p w14:paraId="5610D7AF">
            <w:pPr>
              <w:widowControl/>
              <w:jc w:val="center"/>
              <w:rPr>
                <w:rFonts w:hint="eastAsia" w:ascii="宋体" w:hAnsi="宋体" w:cs="宋体"/>
                <w:color w:val="auto"/>
              </w:rPr>
            </w:pPr>
            <w:r>
              <w:rPr>
                <w:rFonts w:hint="eastAsia" w:ascii="宋体" w:hAnsi="宋体" w:cs="宋体"/>
                <w:color w:val="auto"/>
              </w:rPr>
              <w:t>真空高压浸渍系统</w:t>
            </w:r>
          </w:p>
        </w:tc>
        <w:tc>
          <w:tcPr>
            <w:tcW w:w="2687" w:type="dxa"/>
            <w:vAlign w:val="center"/>
          </w:tcPr>
          <w:p w14:paraId="5F2F499C">
            <w:pPr>
              <w:widowControl/>
              <w:numPr>
                <w:ilvl w:val="0"/>
                <w:numId w:val="10"/>
              </w:numPr>
              <w:jc w:val="left"/>
              <w:rPr>
                <w:rFonts w:hint="eastAsia" w:ascii="宋体" w:hAnsi="宋体" w:cs="宋体"/>
                <w:color w:val="auto"/>
              </w:rPr>
            </w:pPr>
            <w:r>
              <w:rPr>
                <w:rFonts w:hint="eastAsia" w:ascii="宋体" w:hAnsi="宋体" w:cs="宋体"/>
                <w:color w:val="auto"/>
              </w:rPr>
              <w:t>浸渍罐一套；</w:t>
            </w:r>
          </w:p>
          <w:p w14:paraId="3427DB3C">
            <w:pPr>
              <w:widowControl/>
              <w:numPr>
                <w:ilvl w:val="0"/>
                <w:numId w:val="10"/>
              </w:numPr>
              <w:jc w:val="left"/>
              <w:rPr>
                <w:rFonts w:hint="eastAsia" w:ascii="宋体" w:hAnsi="宋体" w:cs="宋体"/>
                <w:color w:val="auto"/>
              </w:rPr>
            </w:pPr>
            <w:r>
              <w:rPr>
                <w:rFonts w:hint="eastAsia" w:ascii="宋体" w:hAnsi="宋体" w:cs="宋体"/>
                <w:color w:val="auto"/>
              </w:rPr>
              <w:t>储液罐一套；</w:t>
            </w:r>
          </w:p>
          <w:p w14:paraId="78126668">
            <w:pPr>
              <w:widowControl/>
              <w:numPr>
                <w:ilvl w:val="0"/>
                <w:numId w:val="10"/>
              </w:numPr>
              <w:jc w:val="left"/>
              <w:rPr>
                <w:rFonts w:hint="eastAsia" w:ascii="宋体" w:hAnsi="宋体" w:cs="宋体"/>
                <w:color w:val="auto"/>
              </w:rPr>
            </w:pPr>
            <w:r>
              <w:rPr>
                <w:rFonts w:hint="eastAsia" w:ascii="宋体" w:hAnsi="宋体" w:cs="宋体"/>
                <w:color w:val="auto"/>
              </w:rPr>
              <w:t>真空系统一套；</w:t>
            </w:r>
          </w:p>
          <w:p w14:paraId="74EFAD46">
            <w:pPr>
              <w:widowControl/>
              <w:numPr>
                <w:ilvl w:val="0"/>
                <w:numId w:val="10"/>
              </w:numPr>
              <w:jc w:val="left"/>
              <w:rPr>
                <w:rFonts w:hint="eastAsia" w:ascii="宋体" w:hAnsi="宋体" w:cs="宋体"/>
                <w:color w:val="auto"/>
              </w:rPr>
            </w:pPr>
            <w:r>
              <w:rPr>
                <w:rFonts w:hint="eastAsia" w:ascii="宋体" w:hAnsi="宋体" w:cs="宋体"/>
                <w:color w:val="auto"/>
              </w:rPr>
              <w:t>气源系统一套；</w:t>
            </w:r>
          </w:p>
          <w:p w14:paraId="29D73C42">
            <w:pPr>
              <w:widowControl/>
              <w:numPr>
                <w:ilvl w:val="0"/>
                <w:numId w:val="10"/>
              </w:numPr>
              <w:jc w:val="left"/>
              <w:rPr>
                <w:rFonts w:hint="eastAsia" w:ascii="宋体" w:hAnsi="宋体" w:cs="宋体"/>
                <w:color w:val="auto"/>
              </w:rPr>
            </w:pPr>
            <w:r>
              <w:rPr>
                <w:rFonts w:hint="eastAsia" w:ascii="宋体" w:hAnsi="宋体" w:cs="宋体"/>
                <w:color w:val="auto"/>
              </w:rPr>
              <w:t>不锈钢吊篮两个。</w:t>
            </w:r>
          </w:p>
        </w:tc>
        <w:tc>
          <w:tcPr>
            <w:tcW w:w="837" w:type="dxa"/>
            <w:noWrap/>
            <w:vAlign w:val="center"/>
          </w:tcPr>
          <w:p w14:paraId="412F841F">
            <w:pPr>
              <w:widowControl/>
              <w:jc w:val="center"/>
              <w:rPr>
                <w:rFonts w:hint="eastAsia" w:ascii="宋体" w:hAnsi="宋体" w:cs="宋体"/>
                <w:color w:val="auto"/>
              </w:rPr>
            </w:pPr>
            <w:r>
              <w:rPr>
                <w:rFonts w:hint="eastAsia" w:ascii="宋体" w:hAnsi="宋体" w:cs="宋体"/>
                <w:color w:val="auto"/>
              </w:rPr>
              <w:t>套</w:t>
            </w:r>
          </w:p>
        </w:tc>
        <w:tc>
          <w:tcPr>
            <w:tcW w:w="700" w:type="dxa"/>
            <w:noWrap/>
            <w:vAlign w:val="center"/>
          </w:tcPr>
          <w:p w14:paraId="56EC726D">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47EE9F48">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28616546">
            <w:pPr>
              <w:widowControl/>
              <w:jc w:val="center"/>
              <w:rPr>
                <w:rFonts w:hint="eastAsia" w:ascii="宋体" w:hAnsi="宋体" w:cs="宋体"/>
                <w:color w:val="auto"/>
              </w:rPr>
            </w:pPr>
          </w:p>
        </w:tc>
      </w:tr>
      <w:tr w14:paraId="218F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693" w:type="dxa"/>
            <w:vAlign w:val="center"/>
          </w:tcPr>
          <w:p w14:paraId="5E462A9A">
            <w:pPr>
              <w:widowControl/>
              <w:jc w:val="center"/>
              <w:rPr>
                <w:rFonts w:hint="eastAsia" w:ascii="宋体" w:hAnsi="宋体" w:cs="宋体"/>
                <w:color w:val="auto"/>
              </w:rPr>
            </w:pPr>
            <w:r>
              <w:rPr>
                <w:rFonts w:hint="eastAsia" w:ascii="宋体" w:hAnsi="宋体" w:cs="宋体"/>
                <w:color w:val="auto"/>
              </w:rPr>
              <w:t>3</w:t>
            </w:r>
          </w:p>
        </w:tc>
        <w:tc>
          <w:tcPr>
            <w:tcW w:w="1838" w:type="dxa"/>
            <w:vAlign w:val="center"/>
          </w:tcPr>
          <w:p w14:paraId="44DD41EB">
            <w:pPr>
              <w:widowControl/>
              <w:jc w:val="center"/>
              <w:rPr>
                <w:rFonts w:hint="eastAsia" w:ascii="宋体" w:hAnsi="宋体" w:cs="宋体"/>
                <w:color w:val="auto"/>
              </w:rPr>
            </w:pPr>
            <w:r>
              <w:rPr>
                <w:rFonts w:hint="eastAsia" w:ascii="宋体" w:hAnsi="宋体" w:cs="宋体"/>
                <w:color w:val="auto"/>
              </w:rPr>
              <w:t>温等静压机</w:t>
            </w:r>
          </w:p>
        </w:tc>
        <w:tc>
          <w:tcPr>
            <w:tcW w:w="2687" w:type="dxa"/>
            <w:vAlign w:val="center"/>
          </w:tcPr>
          <w:p w14:paraId="7736A464">
            <w:pPr>
              <w:widowControl/>
              <w:numPr>
                <w:ilvl w:val="0"/>
                <w:numId w:val="11"/>
              </w:numPr>
              <w:jc w:val="left"/>
              <w:rPr>
                <w:rFonts w:hint="eastAsia" w:ascii="宋体" w:hAnsi="宋体" w:cs="宋体"/>
                <w:color w:val="auto"/>
              </w:rPr>
            </w:pPr>
            <w:r>
              <w:rPr>
                <w:rFonts w:hint="eastAsia" w:ascii="宋体" w:hAnsi="宋体" w:cs="宋体"/>
                <w:color w:val="auto"/>
              </w:rPr>
              <w:t>温等静压机一套（含风冷系统）；</w:t>
            </w:r>
          </w:p>
          <w:p w14:paraId="064D903C">
            <w:pPr>
              <w:widowControl/>
              <w:numPr>
                <w:ilvl w:val="0"/>
                <w:numId w:val="11"/>
              </w:numPr>
              <w:jc w:val="left"/>
              <w:rPr>
                <w:rFonts w:hint="eastAsia" w:ascii="宋体" w:hAnsi="宋体" w:cs="宋体"/>
                <w:color w:val="auto"/>
              </w:rPr>
            </w:pPr>
            <w:r>
              <w:rPr>
                <w:rFonts w:hint="eastAsia" w:ascii="宋体" w:hAnsi="宋体" w:cs="宋体"/>
                <w:color w:val="auto"/>
              </w:rPr>
              <w:t>专用工具一套；</w:t>
            </w:r>
          </w:p>
          <w:p w14:paraId="68A303AB">
            <w:pPr>
              <w:widowControl/>
              <w:numPr>
                <w:ilvl w:val="0"/>
                <w:numId w:val="11"/>
              </w:numPr>
              <w:jc w:val="left"/>
              <w:rPr>
                <w:rFonts w:hint="eastAsia" w:ascii="宋体" w:hAnsi="宋体" w:cs="宋体"/>
                <w:color w:val="auto"/>
              </w:rPr>
            </w:pPr>
            <w:r>
              <w:rPr>
                <w:rFonts w:hint="eastAsia" w:ascii="宋体" w:hAnsi="宋体" w:cs="宋体"/>
                <w:color w:val="auto"/>
              </w:rPr>
              <w:t>常用密封件一套。</w:t>
            </w:r>
          </w:p>
        </w:tc>
        <w:tc>
          <w:tcPr>
            <w:tcW w:w="837" w:type="dxa"/>
            <w:noWrap/>
            <w:vAlign w:val="center"/>
          </w:tcPr>
          <w:p w14:paraId="50D0A7F6">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6FC87755">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7896F874">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52C66EA7">
            <w:pPr>
              <w:widowControl/>
              <w:jc w:val="center"/>
              <w:rPr>
                <w:rFonts w:hint="eastAsia" w:ascii="宋体" w:hAnsi="宋体" w:cs="宋体"/>
                <w:color w:val="auto"/>
              </w:rPr>
            </w:pPr>
          </w:p>
        </w:tc>
      </w:tr>
      <w:tr w14:paraId="7144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14:paraId="28BFECE6">
            <w:pPr>
              <w:widowControl/>
              <w:jc w:val="center"/>
              <w:rPr>
                <w:rFonts w:hint="eastAsia" w:ascii="宋体" w:hAnsi="宋体" w:cs="宋体"/>
                <w:color w:val="auto"/>
              </w:rPr>
            </w:pPr>
            <w:r>
              <w:rPr>
                <w:rFonts w:hint="eastAsia" w:ascii="宋体" w:hAnsi="宋体" w:cs="宋体"/>
                <w:color w:val="auto"/>
              </w:rPr>
              <w:t>4</w:t>
            </w:r>
          </w:p>
        </w:tc>
        <w:tc>
          <w:tcPr>
            <w:tcW w:w="1838" w:type="dxa"/>
            <w:vAlign w:val="center"/>
          </w:tcPr>
          <w:p w14:paraId="65EFE993">
            <w:pPr>
              <w:widowControl/>
              <w:jc w:val="center"/>
              <w:rPr>
                <w:rFonts w:hint="eastAsia" w:ascii="宋体" w:hAnsi="宋体" w:cs="宋体"/>
                <w:color w:val="auto"/>
              </w:rPr>
            </w:pPr>
            <w:r>
              <w:rPr>
                <w:rFonts w:hint="eastAsia" w:ascii="宋体" w:hAnsi="宋体" w:cs="宋体"/>
                <w:color w:val="auto"/>
              </w:rPr>
              <w:t>高速纳米级陶瓷气流粉碎分级机</w:t>
            </w:r>
          </w:p>
        </w:tc>
        <w:tc>
          <w:tcPr>
            <w:tcW w:w="2687" w:type="dxa"/>
            <w:vAlign w:val="center"/>
          </w:tcPr>
          <w:p w14:paraId="3FE0AB2E">
            <w:pPr>
              <w:widowControl/>
              <w:jc w:val="left"/>
              <w:rPr>
                <w:rFonts w:hint="eastAsia" w:ascii="宋体" w:hAnsi="宋体" w:cs="宋体"/>
                <w:color w:val="auto"/>
              </w:rPr>
            </w:pPr>
            <w:r>
              <w:rPr>
                <w:rFonts w:hint="eastAsia" w:ascii="宋体" w:hAnsi="宋体" w:cs="宋体"/>
                <w:color w:val="auto"/>
              </w:rPr>
              <w:t>1.气流粉碎系统一套；</w:t>
            </w:r>
          </w:p>
          <w:p w14:paraId="2913EA70">
            <w:pPr>
              <w:widowControl/>
              <w:jc w:val="left"/>
              <w:rPr>
                <w:rFonts w:hint="eastAsia" w:ascii="宋体" w:hAnsi="宋体" w:cs="宋体"/>
                <w:color w:val="auto"/>
              </w:rPr>
            </w:pPr>
            <w:r>
              <w:rPr>
                <w:rFonts w:hint="eastAsia" w:ascii="宋体" w:hAnsi="宋体" w:cs="宋体"/>
                <w:color w:val="auto"/>
              </w:rPr>
              <w:t>2.空压机系统一套。</w:t>
            </w:r>
          </w:p>
        </w:tc>
        <w:tc>
          <w:tcPr>
            <w:tcW w:w="837" w:type="dxa"/>
            <w:noWrap/>
            <w:vAlign w:val="center"/>
          </w:tcPr>
          <w:p w14:paraId="7C15A5A6">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6580BEC6">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17239A4F">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4BE37D26">
            <w:pPr>
              <w:widowControl/>
              <w:jc w:val="center"/>
              <w:rPr>
                <w:rFonts w:hint="eastAsia" w:ascii="宋体" w:hAnsi="宋体" w:cs="宋体"/>
                <w:color w:val="auto"/>
              </w:rPr>
            </w:pPr>
          </w:p>
        </w:tc>
      </w:tr>
      <w:tr w14:paraId="75C5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693" w:type="dxa"/>
            <w:vAlign w:val="center"/>
          </w:tcPr>
          <w:p w14:paraId="7E44A5C8">
            <w:pPr>
              <w:widowControl/>
              <w:jc w:val="center"/>
              <w:rPr>
                <w:rFonts w:hint="eastAsia" w:ascii="宋体" w:hAnsi="宋体" w:cs="宋体"/>
                <w:color w:val="auto"/>
              </w:rPr>
            </w:pPr>
            <w:r>
              <w:rPr>
                <w:rFonts w:hint="eastAsia" w:ascii="宋体" w:hAnsi="宋体" w:cs="宋体"/>
                <w:color w:val="auto"/>
              </w:rPr>
              <w:t>5</w:t>
            </w:r>
          </w:p>
        </w:tc>
        <w:tc>
          <w:tcPr>
            <w:tcW w:w="1838" w:type="dxa"/>
            <w:vAlign w:val="center"/>
          </w:tcPr>
          <w:p w14:paraId="2A98E31E">
            <w:pPr>
              <w:widowControl/>
              <w:jc w:val="center"/>
              <w:rPr>
                <w:rFonts w:hint="eastAsia" w:ascii="宋体" w:hAnsi="宋体" w:cs="宋体"/>
                <w:color w:val="auto"/>
              </w:rPr>
            </w:pPr>
            <w:r>
              <w:rPr>
                <w:rFonts w:hint="eastAsia" w:ascii="宋体" w:hAnsi="宋体" w:cs="宋体"/>
                <w:color w:val="auto"/>
              </w:rPr>
              <w:t>机械整形机</w:t>
            </w:r>
          </w:p>
        </w:tc>
        <w:tc>
          <w:tcPr>
            <w:tcW w:w="2687" w:type="dxa"/>
            <w:vAlign w:val="center"/>
          </w:tcPr>
          <w:p w14:paraId="464DBA4F">
            <w:pPr>
              <w:widowControl/>
              <w:numPr>
                <w:ilvl w:val="0"/>
                <w:numId w:val="12"/>
              </w:numPr>
              <w:jc w:val="left"/>
              <w:rPr>
                <w:rFonts w:hint="eastAsia" w:ascii="宋体" w:hAnsi="宋体" w:cs="宋体"/>
                <w:color w:val="auto"/>
              </w:rPr>
            </w:pPr>
            <w:r>
              <w:rPr>
                <w:rFonts w:hint="eastAsia" w:ascii="宋体" w:hAnsi="宋体" w:cs="宋体"/>
                <w:color w:val="auto"/>
              </w:rPr>
              <w:t>机械整形主机一台；</w:t>
            </w:r>
          </w:p>
          <w:p w14:paraId="2EF13C52">
            <w:pPr>
              <w:widowControl/>
              <w:numPr>
                <w:ilvl w:val="0"/>
                <w:numId w:val="12"/>
              </w:numPr>
              <w:jc w:val="left"/>
              <w:rPr>
                <w:rFonts w:hint="eastAsia" w:ascii="宋体" w:hAnsi="宋体" w:cs="宋体"/>
                <w:color w:val="auto"/>
              </w:rPr>
            </w:pPr>
            <w:r>
              <w:rPr>
                <w:rFonts w:hint="eastAsia" w:ascii="宋体" w:hAnsi="宋体" w:cs="宋体"/>
                <w:color w:val="auto"/>
              </w:rPr>
              <w:t>成品收集器一套；</w:t>
            </w:r>
          </w:p>
          <w:p w14:paraId="77A3E489">
            <w:pPr>
              <w:widowControl/>
              <w:numPr>
                <w:ilvl w:val="0"/>
                <w:numId w:val="12"/>
              </w:numPr>
              <w:jc w:val="left"/>
              <w:rPr>
                <w:rFonts w:hint="eastAsia" w:ascii="宋体" w:hAnsi="宋体" w:cs="宋体"/>
                <w:color w:val="auto"/>
              </w:rPr>
            </w:pPr>
            <w:r>
              <w:rPr>
                <w:rFonts w:hint="eastAsia" w:ascii="宋体" w:hAnsi="宋体" w:cs="宋体"/>
                <w:color w:val="auto"/>
              </w:rPr>
              <w:t>高效滤筒收集器一台；</w:t>
            </w:r>
          </w:p>
          <w:p w14:paraId="6583584C">
            <w:pPr>
              <w:widowControl/>
              <w:numPr>
                <w:ilvl w:val="0"/>
                <w:numId w:val="12"/>
              </w:numPr>
              <w:jc w:val="left"/>
              <w:rPr>
                <w:rFonts w:hint="eastAsia" w:ascii="宋体" w:hAnsi="宋体" w:cs="宋体"/>
                <w:color w:val="auto"/>
              </w:rPr>
            </w:pPr>
            <w:r>
              <w:rPr>
                <w:rFonts w:hint="eastAsia" w:ascii="宋体" w:hAnsi="宋体" w:cs="宋体"/>
                <w:color w:val="auto"/>
              </w:rPr>
              <w:t>高压引风机一台；</w:t>
            </w:r>
          </w:p>
          <w:p w14:paraId="7ADF5776">
            <w:pPr>
              <w:widowControl/>
              <w:numPr>
                <w:ilvl w:val="0"/>
                <w:numId w:val="12"/>
              </w:numPr>
              <w:jc w:val="left"/>
              <w:rPr>
                <w:rFonts w:hint="eastAsia" w:ascii="宋体" w:hAnsi="宋体" w:cs="宋体"/>
                <w:color w:val="auto"/>
              </w:rPr>
            </w:pPr>
            <w:r>
              <w:rPr>
                <w:rFonts w:hint="eastAsia" w:ascii="宋体" w:hAnsi="宋体" w:cs="宋体"/>
                <w:color w:val="auto"/>
              </w:rPr>
              <w:t>电控操作系统一套。</w:t>
            </w:r>
          </w:p>
        </w:tc>
        <w:tc>
          <w:tcPr>
            <w:tcW w:w="837" w:type="dxa"/>
            <w:noWrap/>
            <w:vAlign w:val="center"/>
          </w:tcPr>
          <w:p w14:paraId="652B53BC">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4A383587">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696A5AE6">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302E281C">
            <w:pPr>
              <w:widowControl/>
              <w:jc w:val="center"/>
              <w:rPr>
                <w:rFonts w:hint="eastAsia" w:ascii="宋体" w:hAnsi="宋体" w:cs="宋体"/>
                <w:color w:val="auto"/>
              </w:rPr>
            </w:pPr>
          </w:p>
        </w:tc>
      </w:tr>
      <w:tr w14:paraId="527B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14:paraId="3698769A">
            <w:pPr>
              <w:widowControl/>
              <w:jc w:val="center"/>
              <w:rPr>
                <w:rFonts w:hint="eastAsia" w:ascii="宋体" w:hAnsi="宋体" w:cs="宋体"/>
                <w:color w:val="auto"/>
              </w:rPr>
            </w:pPr>
            <w:r>
              <w:rPr>
                <w:rFonts w:hint="eastAsia" w:ascii="宋体" w:hAnsi="宋体" w:cs="宋体"/>
                <w:color w:val="auto"/>
              </w:rPr>
              <w:t>6</w:t>
            </w:r>
          </w:p>
        </w:tc>
        <w:tc>
          <w:tcPr>
            <w:tcW w:w="1838" w:type="dxa"/>
            <w:vAlign w:val="center"/>
          </w:tcPr>
          <w:p w14:paraId="120AB802">
            <w:pPr>
              <w:widowControl/>
              <w:jc w:val="center"/>
              <w:rPr>
                <w:rFonts w:hint="eastAsia" w:ascii="宋体" w:hAnsi="宋体" w:cs="宋体"/>
                <w:color w:val="auto"/>
              </w:rPr>
            </w:pPr>
            <w:r>
              <w:rPr>
                <w:rFonts w:hint="eastAsia" w:ascii="宋体" w:hAnsi="宋体" w:cs="宋体"/>
                <w:color w:val="auto"/>
                <w:lang w:eastAsia="zh-CN"/>
              </w:rPr>
              <w:t>电子</w:t>
            </w:r>
            <w:r>
              <w:rPr>
                <w:rFonts w:hint="eastAsia" w:ascii="宋体" w:hAnsi="宋体" w:cs="宋体"/>
                <w:color w:val="auto"/>
              </w:rPr>
              <w:t>天平</w:t>
            </w:r>
          </w:p>
        </w:tc>
        <w:tc>
          <w:tcPr>
            <w:tcW w:w="2687" w:type="dxa"/>
            <w:vAlign w:val="center"/>
          </w:tcPr>
          <w:p w14:paraId="4041D1D5">
            <w:pPr>
              <w:widowControl/>
              <w:jc w:val="left"/>
              <w:rPr>
                <w:rFonts w:hint="eastAsia" w:ascii="宋体" w:hAnsi="宋体" w:cs="宋体"/>
                <w:color w:val="auto"/>
              </w:rPr>
            </w:pPr>
            <w:r>
              <w:rPr>
                <w:rFonts w:hint="eastAsia" w:ascii="宋体" w:hAnsi="宋体" w:cs="宋体"/>
                <w:color w:val="auto"/>
                <w:lang w:val="en-US" w:eastAsia="zh-CN"/>
              </w:rPr>
              <w:t>1.</w:t>
            </w:r>
            <w:r>
              <w:rPr>
                <w:rFonts w:hint="eastAsia" w:ascii="宋体" w:hAnsi="宋体" w:cs="宋体"/>
                <w:color w:val="auto"/>
              </w:rPr>
              <w:t>分析天平1台</w:t>
            </w:r>
          </w:p>
        </w:tc>
        <w:tc>
          <w:tcPr>
            <w:tcW w:w="837" w:type="dxa"/>
            <w:noWrap/>
            <w:vAlign w:val="center"/>
          </w:tcPr>
          <w:p w14:paraId="381BBF8E">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1B908900">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12E47362">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612B3AC9">
            <w:pPr>
              <w:widowControl/>
              <w:jc w:val="center"/>
              <w:rPr>
                <w:rFonts w:hint="eastAsia" w:ascii="宋体" w:hAnsi="宋体" w:cs="宋体"/>
                <w:color w:val="auto"/>
              </w:rPr>
            </w:pPr>
          </w:p>
        </w:tc>
      </w:tr>
      <w:tr w14:paraId="4F80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14:paraId="570B9832">
            <w:pPr>
              <w:widowControl/>
              <w:jc w:val="center"/>
              <w:rPr>
                <w:rFonts w:hint="eastAsia" w:ascii="宋体" w:hAnsi="宋体" w:cs="宋体"/>
                <w:color w:val="auto"/>
              </w:rPr>
            </w:pPr>
            <w:r>
              <w:rPr>
                <w:rFonts w:hint="eastAsia" w:ascii="宋体" w:hAnsi="宋体" w:cs="宋体"/>
                <w:color w:val="auto"/>
              </w:rPr>
              <w:t>7</w:t>
            </w:r>
          </w:p>
        </w:tc>
        <w:tc>
          <w:tcPr>
            <w:tcW w:w="1838" w:type="dxa"/>
            <w:vAlign w:val="center"/>
          </w:tcPr>
          <w:p w14:paraId="72DA8B34">
            <w:pPr>
              <w:widowControl/>
              <w:jc w:val="center"/>
              <w:rPr>
                <w:rFonts w:hint="eastAsia" w:ascii="宋体" w:hAnsi="宋体" w:cs="宋体"/>
                <w:color w:val="auto"/>
              </w:rPr>
            </w:pPr>
            <w:r>
              <w:rPr>
                <w:rFonts w:hint="eastAsia" w:ascii="宋体" w:hAnsi="宋体" w:cs="宋体"/>
                <w:color w:val="auto"/>
              </w:rPr>
              <w:t>石墨体积密度测试仪</w:t>
            </w:r>
          </w:p>
        </w:tc>
        <w:tc>
          <w:tcPr>
            <w:tcW w:w="2687" w:type="dxa"/>
            <w:vAlign w:val="center"/>
          </w:tcPr>
          <w:p w14:paraId="451B5050">
            <w:pPr>
              <w:pStyle w:val="71"/>
              <w:widowControl/>
              <w:ind w:left="0"/>
              <w:rPr>
                <w:rFonts w:hint="eastAsia" w:ascii="宋体" w:hAnsi="宋体" w:cs="宋体"/>
                <w:color w:val="auto"/>
              </w:rPr>
            </w:pPr>
            <w:r>
              <w:rPr>
                <w:rFonts w:hint="eastAsia" w:ascii="宋体" w:hAnsi="宋体" w:cs="宋体"/>
                <w:color w:val="auto"/>
              </w:rPr>
              <w:t>1.石墨体积密度测试仪1台</w:t>
            </w:r>
          </w:p>
        </w:tc>
        <w:tc>
          <w:tcPr>
            <w:tcW w:w="837" w:type="dxa"/>
            <w:noWrap/>
            <w:vAlign w:val="center"/>
          </w:tcPr>
          <w:p w14:paraId="43E4E1A8">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3EB1C6A5">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451E6EE6">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3B9147EB">
            <w:pPr>
              <w:widowControl/>
              <w:jc w:val="center"/>
              <w:rPr>
                <w:rFonts w:hint="eastAsia" w:ascii="宋体" w:hAnsi="宋体" w:cs="宋体"/>
                <w:color w:val="auto"/>
              </w:rPr>
            </w:pPr>
          </w:p>
        </w:tc>
      </w:tr>
      <w:tr w14:paraId="1ED8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93" w:type="dxa"/>
            <w:vAlign w:val="center"/>
          </w:tcPr>
          <w:p w14:paraId="1DE31169">
            <w:pPr>
              <w:widowControl/>
              <w:jc w:val="center"/>
              <w:rPr>
                <w:rFonts w:hint="eastAsia" w:ascii="宋体" w:hAnsi="宋体" w:cs="宋体"/>
                <w:color w:val="auto"/>
              </w:rPr>
            </w:pPr>
            <w:r>
              <w:rPr>
                <w:rFonts w:hint="eastAsia" w:ascii="宋体" w:hAnsi="宋体" w:cs="宋体"/>
                <w:color w:val="auto"/>
              </w:rPr>
              <w:t>8</w:t>
            </w:r>
          </w:p>
        </w:tc>
        <w:tc>
          <w:tcPr>
            <w:tcW w:w="1838" w:type="dxa"/>
            <w:vAlign w:val="center"/>
          </w:tcPr>
          <w:p w14:paraId="2B1FB9FE">
            <w:pPr>
              <w:widowControl/>
              <w:jc w:val="center"/>
              <w:rPr>
                <w:rFonts w:hint="eastAsia" w:ascii="宋体" w:hAnsi="宋体" w:cs="宋体"/>
                <w:color w:val="auto"/>
              </w:rPr>
            </w:pPr>
            <w:r>
              <w:rPr>
                <w:rFonts w:hint="eastAsia" w:ascii="宋体" w:hAnsi="宋体" w:cs="宋体"/>
                <w:color w:val="auto"/>
              </w:rPr>
              <w:t>振实密度仪</w:t>
            </w:r>
          </w:p>
        </w:tc>
        <w:tc>
          <w:tcPr>
            <w:tcW w:w="2687" w:type="dxa"/>
            <w:vAlign w:val="center"/>
          </w:tcPr>
          <w:p w14:paraId="7B2F1EBC">
            <w:pPr>
              <w:widowControl/>
              <w:jc w:val="left"/>
              <w:rPr>
                <w:rFonts w:hint="eastAsia" w:ascii="宋体" w:hAnsi="宋体" w:cs="宋体"/>
                <w:color w:val="auto"/>
              </w:rPr>
            </w:pPr>
            <w:r>
              <w:rPr>
                <w:rFonts w:hint="eastAsia" w:ascii="宋体" w:hAnsi="宋体" w:cs="宋体"/>
                <w:color w:val="auto"/>
              </w:rPr>
              <w:t>1.粉末振实密度仪1台</w:t>
            </w:r>
          </w:p>
        </w:tc>
        <w:tc>
          <w:tcPr>
            <w:tcW w:w="837" w:type="dxa"/>
            <w:noWrap/>
            <w:vAlign w:val="center"/>
          </w:tcPr>
          <w:p w14:paraId="59BB0DDA">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780F5243">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7ED3CE05">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1E93956C">
            <w:pPr>
              <w:widowControl/>
              <w:jc w:val="center"/>
              <w:rPr>
                <w:rFonts w:hint="eastAsia" w:ascii="宋体" w:hAnsi="宋体" w:cs="宋体"/>
                <w:color w:val="auto"/>
              </w:rPr>
            </w:pPr>
          </w:p>
        </w:tc>
      </w:tr>
      <w:tr w14:paraId="68EE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93" w:type="dxa"/>
            <w:vAlign w:val="center"/>
          </w:tcPr>
          <w:p w14:paraId="6201988B">
            <w:pPr>
              <w:widowControl/>
              <w:jc w:val="center"/>
              <w:rPr>
                <w:rFonts w:hint="eastAsia" w:ascii="宋体" w:hAnsi="宋体" w:cs="宋体"/>
                <w:color w:val="auto"/>
              </w:rPr>
            </w:pPr>
            <w:r>
              <w:rPr>
                <w:rFonts w:hint="eastAsia" w:ascii="宋体" w:hAnsi="宋体" w:cs="宋体"/>
                <w:color w:val="auto"/>
              </w:rPr>
              <w:t>9</w:t>
            </w:r>
          </w:p>
        </w:tc>
        <w:tc>
          <w:tcPr>
            <w:tcW w:w="1838" w:type="dxa"/>
            <w:vAlign w:val="center"/>
          </w:tcPr>
          <w:p w14:paraId="7245F9F7">
            <w:pPr>
              <w:widowControl/>
              <w:jc w:val="center"/>
              <w:rPr>
                <w:rFonts w:hint="eastAsia" w:ascii="宋体" w:hAnsi="宋体" w:cs="宋体"/>
                <w:color w:val="auto"/>
              </w:rPr>
            </w:pPr>
            <w:r>
              <w:rPr>
                <w:rFonts w:hint="eastAsia" w:ascii="宋体" w:hAnsi="宋体" w:cs="宋体"/>
                <w:color w:val="auto"/>
              </w:rPr>
              <w:t>鼓风干燥箱</w:t>
            </w:r>
          </w:p>
        </w:tc>
        <w:tc>
          <w:tcPr>
            <w:tcW w:w="2687" w:type="dxa"/>
            <w:vAlign w:val="center"/>
          </w:tcPr>
          <w:p w14:paraId="01936109">
            <w:pPr>
              <w:widowControl/>
              <w:jc w:val="left"/>
              <w:rPr>
                <w:rFonts w:hint="eastAsia" w:ascii="宋体" w:hAnsi="宋体" w:cs="宋体"/>
                <w:color w:val="auto"/>
              </w:rPr>
            </w:pPr>
            <w:r>
              <w:rPr>
                <w:rFonts w:hint="eastAsia" w:ascii="宋体" w:hAnsi="宋体" w:cs="宋体"/>
                <w:color w:val="auto"/>
              </w:rPr>
              <w:t>1.鼓风干燥箱1台</w:t>
            </w:r>
          </w:p>
        </w:tc>
        <w:tc>
          <w:tcPr>
            <w:tcW w:w="837" w:type="dxa"/>
            <w:noWrap/>
            <w:vAlign w:val="center"/>
          </w:tcPr>
          <w:p w14:paraId="0DFE43C1">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6E7A0067">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596E6B16">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7C0F1038">
            <w:pPr>
              <w:widowControl/>
              <w:jc w:val="center"/>
              <w:rPr>
                <w:rFonts w:hint="eastAsia" w:ascii="宋体" w:hAnsi="宋体" w:cs="宋体"/>
                <w:color w:val="auto"/>
              </w:rPr>
            </w:pPr>
          </w:p>
        </w:tc>
      </w:tr>
      <w:tr w14:paraId="3F5B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14:paraId="11EA787F">
            <w:pPr>
              <w:widowControl/>
              <w:jc w:val="center"/>
              <w:rPr>
                <w:rFonts w:hint="eastAsia" w:ascii="宋体" w:hAnsi="宋体" w:cs="宋体"/>
                <w:color w:val="auto"/>
              </w:rPr>
            </w:pPr>
            <w:r>
              <w:rPr>
                <w:rFonts w:hint="eastAsia" w:ascii="宋体" w:hAnsi="宋体" w:cs="宋体"/>
                <w:color w:val="auto"/>
              </w:rPr>
              <w:t>10</w:t>
            </w:r>
          </w:p>
        </w:tc>
        <w:tc>
          <w:tcPr>
            <w:tcW w:w="1838" w:type="dxa"/>
            <w:vAlign w:val="center"/>
          </w:tcPr>
          <w:p w14:paraId="6B1D5A94">
            <w:pPr>
              <w:widowControl/>
              <w:jc w:val="center"/>
              <w:rPr>
                <w:rFonts w:hint="eastAsia" w:ascii="宋体" w:hAnsi="宋体" w:cs="宋体"/>
                <w:color w:val="auto"/>
              </w:rPr>
            </w:pPr>
            <w:r>
              <w:rPr>
                <w:rFonts w:hint="eastAsia" w:ascii="宋体" w:hAnsi="宋体" w:cs="宋体"/>
                <w:color w:val="auto"/>
              </w:rPr>
              <w:t>密封式制样破碎机</w:t>
            </w:r>
          </w:p>
        </w:tc>
        <w:tc>
          <w:tcPr>
            <w:tcW w:w="2687" w:type="dxa"/>
            <w:vAlign w:val="center"/>
          </w:tcPr>
          <w:p w14:paraId="6028D3AE">
            <w:pPr>
              <w:pStyle w:val="71"/>
              <w:widowControl/>
              <w:ind w:left="0"/>
              <w:rPr>
                <w:rFonts w:hint="eastAsia" w:ascii="宋体" w:hAnsi="宋体" w:cs="宋体"/>
                <w:color w:val="auto"/>
              </w:rPr>
            </w:pPr>
            <w:r>
              <w:rPr>
                <w:rFonts w:hint="eastAsia" w:ascii="宋体" w:hAnsi="宋体" w:cs="宋体"/>
                <w:color w:val="auto"/>
              </w:rPr>
              <w:t>1.制样机1台</w:t>
            </w:r>
          </w:p>
        </w:tc>
        <w:tc>
          <w:tcPr>
            <w:tcW w:w="837" w:type="dxa"/>
            <w:noWrap/>
            <w:vAlign w:val="center"/>
          </w:tcPr>
          <w:p w14:paraId="194D940D">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50358865">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30BE6415">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131247DB">
            <w:pPr>
              <w:widowControl/>
              <w:jc w:val="center"/>
              <w:rPr>
                <w:rFonts w:hint="eastAsia" w:ascii="宋体" w:hAnsi="宋体" w:cs="宋体"/>
                <w:color w:val="auto"/>
              </w:rPr>
            </w:pPr>
          </w:p>
        </w:tc>
      </w:tr>
      <w:tr w14:paraId="14FF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93" w:type="dxa"/>
            <w:vAlign w:val="center"/>
          </w:tcPr>
          <w:p w14:paraId="30BD910B">
            <w:pPr>
              <w:widowControl/>
              <w:jc w:val="center"/>
              <w:rPr>
                <w:rFonts w:hint="eastAsia" w:ascii="宋体" w:hAnsi="宋体" w:cs="宋体"/>
                <w:color w:val="auto"/>
              </w:rPr>
            </w:pPr>
            <w:r>
              <w:rPr>
                <w:rFonts w:hint="eastAsia" w:ascii="宋体" w:hAnsi="宋体" w:cs="宋体"/>
                <w:color w:val="auto"/>
              </w:rPr>
              <w:t>11</w:t>
            </w:r>
          </w:p>
        </w:tc>
        <w:tc>
          <w:tcPr>
            <w:tcW w:w="1838" w:type="dxa"/>
            <w:vAlign w:val="center"/>
          </w:tcPr>
          <w:p w14:paraId="73720D83">
            <w:pPr>
              <w:widowControl/>
              <w:jc w:val="center"/>
              <w:rPr>
                <w:rFonts w:hint="eastAsia" w:ascii="宋体" w:hAnsi="宋体" w:cs="宋体"/>
                <w:color w:val="auto"/>
              </w:rPr>
            </w:pPr>
            <w:r>
              <w:rPr>
                <w:rFonts w:hint="eastAsia" w:ascii="宋体" w:hAnsi="宋体" w:cs="宋体"/>
                <w:color w:val="auto"/>
              </w:rPr>
              <w:t>三维混合机</w:t>
            </w:r>
          </w:p>
        </w:tc>
        <w:tc>
          <w:tcPr>
            <w:tcW w:w="2687" w:type="dxa"/>
            <w:vAlign w:val="center"/>
          </w:tcPr>
          <w:p w14:paraId="797D5578">
            <w:pPr>
              <w:widowControl/>
              <w:jc w:val="left"/>
              <w:rPr>
                <w:rFonts w:hint="eastAsia" w:ascii="宋体" w:hAnsi="宋体" w:cs="宋体"/>
                <w:color w:val="auto"/>
              </w:rPr>
            </w:pPr>
            <w:r>
              <w:rPr>
                <w:rFonts w:hint="eastAsia" w:ascii="宋体" w:hAnsi="宋体" w:cs="宋体"/>
                <w:color w:val="auto"/>
              </w:rPr>
              <w:t>1.粉体三维混合机1台</w:t>
            </w:r>
          </w:p>
        </w:tc>
        <w:tc>
          <w:tcPr>
            <w:tcW w:w="837" w:type="dxa"/>
            <w:noWrap/>
            <w:vAlign w:val="center"/>
          </w:tcPr>
          <w:p w14:paraId="5844D899">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64365719">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13B83B0B">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1DBDCA1F">
            <w:pPr>
              <w:widowControl/>
              <w:jc w:val="center"/>
              <w:rPr>
                <w:rFonts w:hint="eastAsia" w:ascii="宋体" w:hAnsi="宋体" w:cs="宋体"/>
                <w:color w:val="auto"/>
              </w:rPr>
            </w:pPr>
          </w:p>
        </w:tc>
      </w:tr>
      <w:tr w14:paraId="0B9C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93" w:type="dxa"/>
            <w:vAlign w:val="center"/>
          </w:tcPr>
          <w:p w14:paraId="362C6279">
            <w:pPr>
              <w:widowControl/>
              <w:jc w:val="center"/>
              <w:rPr>
                <w:rFonts w:hint="eastAsia" w:ascii="宋体" w:hAnsi="宋体" w:cs="宋体"/>
                <w:color w:val="auto"/>
              </w:rPr>
            </w:pPr>
            <w:r>
              <w:rPr>
                <w:rFonts w:hint="eastAsia" w:ascii="宋体" w:hAnsi="宋体" w:cs="宋体"/>
                <w:color w:val="auto"/>
              </w:rPr>
              <w:t>12</w:t>
            </w:r>
          </w:p>
        </w:tc>
        <w:tc>
          <w:tcPr>
            <w:tcW w:w="1838" w:type="dxa"/>
            <w:vAlign w:val="center"/>
          </w:tcPr>
          <w:p w14:paraId="64C939CB">
            <w:pPr>
              <w:widowControl/>
              <w:jc w:val="center"/>
              <w:rPr>
                <w:rFonts w:hint="eastAsia" w:ascii="宋体" w:hAnsi="宋体" w:cs="宋体"/>
                <w:color w:val="auto"/>
              </w:rPr>
            </w:pPr>
            <w:r>
              <w:rPr>
                <w:rFonts w:hint="eastAsia" w:ascii="宋体" w:hAnsi="宋体" w:cs="宋体"/>
                <w:color w:val="auto"/>
              </w:rPr>
              <w:t>箱式气氛焙烧炉</w:t>
            </w:r>
          </w:p>
        </w:tc>
        <w:tc>
          <w:tcPr>
            <w:tcW w:w="2687" w:type="dxa"/>
            <w:vAlign w:val="center"/>
          </w:tcPr>
          <w:p w14:paraId="79602A99">
            <w:pPr>
              <w:widowControl/>
              <w:jc w:val="left"/>
              <w:rPr>
                <w:rFonts w:hint="eastAsia" w:ascii="宋体" w:hAnsi="宋体" w:cs="宋体"/>
                <w:color w:val="auto"/>
              </w:rPr>
            </w:pPr>
            <w:r>
              <w:rPr>
                <w:rFonts w:hint="eastAsia" w:ascii="宋体" w:hAnsi="宋体" w:cs="宋体"/>
                <w:color w:val="auto"/>
              </w:rPr>
              <w:t>1.气氛炉1台；</w:t>
            </w:r>
          </w:p>
          <w:p w14:paraId="794F28F6">
            <w:pPr>
              <w:widowControl/>
              <w:jc w:val="left"/>
              <w:rPr>
                <w:rFonts w:hint="eastAsia" w:ascii="宋体" w:hAnsi="宋体" w:cs="宋体"/>
                <w:color w:val="auto"/>
              </w:rPr>
            </w:pPr>
            <w:r>
              <w:rPr>
                <w:rFonts w:hint="eastAsia" w:ascii="宋体" w:hAnsi="宋体" w:cs="宋体"/>
                <w:color w:val="auto"/>
              </w:rPr>
              <w:t>2.真空泵1台。</w:t>
            </w:r>
          </w:p>
        </w:tc>
        <w:tc>
          <w:tcPr>
            <w:tcW w:w="837" w:type="dxa"/>
            <w:noWrap/>
            <w:vAlign w:val="center"/>
          </w:tcPr>
          <w:p w14:paraId="6CE36F75">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6C37D2B6">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349B9005">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4EF0EC0D">
            <w:pPr>
              <w:widowControl/>
              <w:jc w:val="center"/>
              <w:rPr>
                <w:rFonts w:hint="eastAsia" w:ascii="宋体" w:hAnsi="宋体" w:cs="宋体"/>
                <w:color w:val="auto"/>
              </w:rPr>
            </w:pPr>
          </w:p>
        </w:tc>
      </w:tr>
      <w:tr w14:paraId="76CE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93" w:type="dxa"/>
            <w:vAlign w:val="center"/>
          </w:tcPr>
          <w:p w14:paraId="12A24649">
            <w:pPr>
              <w:widowControl/>
              <w:jc w:val="center"/>
              <w:rPr>
                <w:rFonts w:hint="eastAsia" w:ascii="宋体" w:hAnsi="宋体" w:cs="宋体"/>
                <w:color w:val="auto"/>
              </w:rPr>
            </w:pPr>
            <w:r>
              <w:rPr>
                <w:rFonts w:hint="eastAsia" w:ascii="宋体" w:hAnsi="宋体" w:cs="宋体"/>
                <w:color w:val="auto"/>
              </w:rPr>
              <w:t>13</w:t>
            </w:r>
          </w:p>
        </w:tc>
        <w:tc>
          <w:tcPr>
            <w:tcW w:w="1838" w:type="dxa"/>
            <w:vAlign w:val="center"/>
          </w:tcPr>
          <w:p w14:paraId="766F125E">
            <w:pPr>
              <w:widowControl/>
              <w:jc w:val="center"/>
              <w:rPr>
                <w:rFonts w:hint="eastAsia" w:ascii="宋体" w:hAnsi="宋体" w:cs="宋体"/>
                <w:color w:val="auto"/>
              </w:rPr>
            </w:pPr>
            <w:r>
              <w:rPr>
                <w:rFonts w:hint="eastAsia" w:ascii="宋体" w:hAnsi="宋体" w:cs="宋体"/>
                <w:color w:val="auto"/>
              </w:rPr>
              <w:t>电动四柱液压机</w:t>
            </w:r>
          </w:p>
        </w:tc>
        <w:tc>
          <w:tcPr>
            <w:tcW w:w="2687" w:type="dxa"/>
            <w:vAlign w:val="center"/>
          </w:tcPr>
          <w:p w14:paraId="1E2094AA">
            <w:pPr>
              <w:pStyle w:val="71"/>
              <w:widowControl/>
              <w:ind w:left="0"/>
              <w:rPr>
                <w:rFonts w:hint="eastAsia" w:ascii="宋体" w:hAnsi="宋体" w:cs="宋体"/>
                <w:color w:val="auto"/>
              </w:rPr>
            </w:pPr>
            <w:r>
              <w:rPr>
                <w:rFonts w:hint="eastAsia" w:ascii="宋体" w:hAnsi="宋体" w:cs="宋体"/>
                <w:color w:val="auto"/>
              </w:rPr>
              <w:t>1.液压机1台；</w:t>
            </w:r>
          </w:p>
        </w:tc>
        <w:tc>
          <w:tcPr>
            <w:tcW w:w="837" w:type="dxa"/>
            <w:noWrap/>
            <w:vAlign w:val="center"/>
          </w:tcPr>
          <w:p w14:paraId="62F4029D">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46153E77">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380A379E">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7B0480CF">
            <w:pPr>
              <w:widowControl/>
              <w:jc w:val="center"/>
              <w:rPr>
                <w:rFonts w:hint="eastAsia" w:ascii="宋体" w:hAnsi="宋体" w:cs="宋体"/>
                <w:color w:val="auto"/>
              </w:rPr>
            </w:pPr>
          </w:p>
        </w:tc>
      </w:tr>
      <w:tr w14:paraId="2D3F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93" w:type="dxa"/>
            <w:vAlign w:val="center"/>
          </w:tcPr>
          <w:p w14:paraId="6DCEFBEB">
            <w:pPr>
              <w:widowControl/>
              <w:jc w:val="center"/>
              <w:rPr>
                <w:rFonts w:hint="eastAsia" w:ascii="宋体" w:hAnsi="宋体" w:cs="宋体"/>
                <w:color w:val="auto"/>
              </w:rPr>
            </w:pPr>
            <w:r>
              <w:rPr>
                <w:rFonts w:hint="eastAsia" w:ascii="宋体" w:hAnsi="宋体" w:cs="宋体"/>
                <w:color w:val="auto"/>
              </w:rPr>
              <w:t>14</w:t>
            </w:r>
          </w:p>
        </w:tc>
        <w:tc>
          <w:tcPr>
            <w:tcW w:w="1838" w:type="dxa"/>
            <w:vAlign w:val="center"/>
          </w:tcPr>
          <w:p w14:paraId="38A35AE3">
            <w:pPr>
              <w:widowControl/>
              <w:jc w:val="center"/>
              <w:rPr>
                <w:rFonts w:hint="eastAsia" w:ascii="宋体" w:hAnsi="宋体" w:cs="宋体"/>
                <w:color w:val="auto"/>
              </w:rPr>
            </w:pPr>
            <w:r>
              <w:rPr>
                <w:rFonts w:hint="eastAsia" w:ascii="宋体" w:hAnsi="宋体" w:cs="宋体"/>
                <w:color w:val="auto"/>
              </w:rPr>
              <w:t>小型炭素混捏锅</w:t>
            </w:r>
          </w:p>
        </w:tc>
        <w:tc>
          <w:tcPr>
            <w:tcW w:w="2687" w:type="dxa"/>
            <w:vAlign w:val="center"/>
          </w:tcPr>
          <w:p w14:paraId="6DE27B52">
            <w:pPr>
              <w:widowControl/>
              <w:jc w:val="left"/>
              <w:rPr>
                <w:rFonts w:hint="eastAsia" w:ascii="宋体" w:hAnsi="宋体" w:cs="宋体"/>
                <w:color w:val="auto"/>
              </w:rPr>
            </w:pPr>
            <w:r>
              <w:rPr>
                <w:rFonts w:hint="eastAsia" w:ascii="宋体" w:hAnsi="宋体" w:cs="宋体"/>
                <w:color w:val="auto"/>
              </w:rPr>
              <w:t>1.小型炭素混捏锅1台。</w:t>
            </w:r>
          </w:p>
        </w:tc>
        <w:tc>
          <w:tcPr>
            <w:tcW w:w="837" w:type="dxa"/>
            <w:noWrap/>
            <w:vAlign w:val="center"/>
          </w:tcPr>
          <w:p w14:paraId="24A1F639">
            <w:pPr>
              <w:widowControl/>
              <w:jc w:val="center"/>
              <w:rPr>
                <w:rFonts w:hint="eastAsia" w:ascii="宋体" w:hAnsi="宋体" w:cs="宋体"/>
                <w:color w:val="auto"/>
              </w:rPr>
            </w:pPr>
            <w:r>
              <w:rPr>
                <w:rFonts w:hint="eastAsia" w:ascii="宋体" w:hAnsi="宋体" w:cs="宋体"/>
                <w:color w:val="auto"/>
              </w:rPr>
              <w:t>台</w:t>
            </w:r>
          </w:p>
        </w:tc>
        <w:tc>
          <w:tcPr>
            <w:tcW w:w="700" w:type="dxa"/>
            <w:noWrap/>
            <w:vAlign w:val="center"/>
          </w:tcPr>
          <w:p w14:paraId="746F9EBA">
            <w:pPr>
              <w:widowControl/>
              <w:jc w:val="center"/>
              <w:rPr>
                <w:rFonts w:hint="eastAsia" w:ascii="宋体" w:hAnsi="宋体" w:cs="宋体"/>
                <w:color w:val="auto"/>
              </w:rPr>
            </w:pPr>
            <w:r>
              <w:rPr>
                <w:rFonts w:hint="eastAsia" w:ascii="宋体" w:hAnsi="宋体" w:cs="宋体"/>
                <w:color w:val="auto"/>
              </w:rPr>
              <w:t>1</w:t>
            </w:r>
          </w:p>
        </w:tc>
        <w:tc>
          <w:tcPr>
            <w:tcW w:w="1101" w:type="dxa"/>
            <w:noWrap/>
            <w:vAlign w:val="center"/>
          </w:tcPr>
          <w:p w14:paraId="79294459">
            <w:pPr>
              <w:widowControl/>
              <w:jc w:val="center"/>
              <w:rPr>
                <w:rFonts w:hint="eastAsia" w:ascii="宋体" w:hAnsi="宋体" w:cs="宋体"/>
                <w:color w:val="auto"/>
              </w:rPr>
            </w:pPr>
            <w:r>
              <w:rPr>
                <w:rFonts w:hint="eastAsia" w:ascii="宋体" w:hAnsi="宋体" w:cs="宋体"/>
                <w:color w:val="auto"/>
              </w:rPr>
              <w:t>工业</w:t>
            </w:r>
          </w:p>
        </w:tc>
        <w:tc>
          <w:tcPr>
            <w:tcW w:w="1001" w:type="dxa"/>
            <w:noWrap/>
            <w:vAlign w:val="center"/>
          </w:tcPr>
          <w:p w14:paraId="3F2FF10F">
            <w:pPr>
              <w:widowControl/>
              <w:jc w:val="center"/>
              <w:rPr>
                <w:rFonts w:hint="eastAsia" w:ascii="宋体" w:hAnsi="宋体" w:cs="宋体"/>
                <w:color w:val="auto"/>
              </w:rPr>
            </w:pPr>
          </w:p>
        </w:tc>
      </w:tr>
    </w:tbl>
    <w:p w14:paraId="7E09347B">
      <w:pPr>
        <w:spacing w:line="360" w:lineRule="auto"/>
        <w:jc w:val="center"/>
        <w:rPr>
          <w:rFonts w:hint="eastAsia" w:ascii="宋体" w:hAnsi="宋体" w:cs="宋体"/>
          <w:b/>
          <w:bCs/>
          <w:color w:val="auto"/>
          <w:sz w:val="24"/>
          <w:szCs w:val="24"/>
        </w:rPr>
      </w:pPr>
    </w:p>
    <w:p w14:paraId="422F5D3A">
      <w:pPr>
        <w:spacing w:line="360" w:lineRule="auto"/>
        <w:jc w:val="left"/>
        <w:outlineLvl w:val="1"/>
        <w:rPr>
          <w:rFonts w:hint="eastAsia" w:ascii="宋体" w:hAnsi="宋体" w:eastAsia="宋体" w:cs="宋体"/>
          <w:b/>
          <w:bCs/>
          <w:color w:val="auto"/>
          <w:sz w:val="24"/>
          <w:szCs w:val="24"/>
          <w:lang w:eastAsia="zh-CN"/>
        </w:rPr>
      </w:pPr>
      <w:r>
        <w:rPr>
          <w:rFonts w:hint="eastAsia" w:ascii="宋体" w:hAnsi="宋体" w:cs="宋体"/>
          <w:b/>
          <w:bCs/>
          <w:color w:val="auto"/>
          <w:sz w:val="24"/>
          <w:szCs w:val="24"/>
        </w:rPr>
        <w:br w:type="page"/>
      </w:r>
      <w:bookmarkStart w:id="840" w:name="_Toc15039"/>
      <w:r>
        <w:rPr>
          <w:rFonts w:hint="eastAsia" w:ascii="宋体" w:hAnsi="宋体" w:cs="宋体"/>
          <w:b/>
          <w:bCs/>
          <w:color w:val="auto"/>
          <w:sz w:val="24"/>
          <w:szCs w:val="24"/>
        </w:rPr>
        <w:t>二、技术参数要求</w:t>
      </w:r>
      <w:bookmarkEnd w:id="840"/>
      <w:r>
        <w:rPr>
          <w:rFonts w:hint="eastAsia" w:ascii="宋体" w:hAnsi="宋体" w:cs="宋体"/>
          <w:b/>
          <w:bCs/>
          <w:color w:val="auto"/>
          <w:sz w:val="24"/>
          <w:szCs w:val="24"/>
          <w:lang w:eastAsia="zh-CN"/>
        </w:rPr>
        <w:t>（按最低等级序号为一项计数）</w:t>
      </w:r>
    </w:p>
    <w:tbl>
      <w:tblPr>
        <w:tblStyle w:val="41"/>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87"/>
        <w:gridCol w:w="6951"/>
      </w:tblGrid>
      <w:tr w14:paraId="5F30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93" w:type="dxa"/>
            <w:noWrap/>
            <w:vAlign w:val="center"/>
          </w:tcPr>
          <w:p w14:paraId="2E184E5E">
            <w:pPr>
              <w:widowControl w:val="0"/>
              <w:adjustRightInd w:val="0"/>
              <w:snapToGrid w:val="0"/>
              <w:jc w:val="left"/>
              <w:rPr>
                <w:rFonts w:hint="eastAsia" w:ascii="宋体" w:hAnsi="宋体" w:cs="宋体"/>
                <w:b/>
                <w:bCs/>
                <w:color w:val="auto"/>
                <w:highlight w:val="none"/>
              </w:rPr>
            </w:pPr>
            <w:r>
              <w:rPr>
                <w:rFonts w:hint="eastAsia" w:ascii="宋体" w:hAnsi="宋体" w:cs="宋体"/>
                <w:b/>
                <w:bCs/>
                <w:color w:val="auto"/>
                <w:highlight w:val="none"/>
              </w:rPr>
              <w:t>序号</w:t>
            </w:r>
          </w:p>
        </w:tc>
        <w:tc>
          <w:tcPr>
            <w:tcW w:w="1387" w:type="dxa"/>
            <w:noWrap/>
            <w:vAlign w:val="center"/>
          </w:tcPr>
          <w:p w14:paraId="75832CE2">
            <w:pPr>
              <w:widowControl w:val="0"/>
              <w:adjustRightInd w:val="0"/>
              <w:snapToGrid w:val="0"/>
              <w:jc w:val="center"/>
              <w:rPr>
                <w:rFonts w:hint="eastAsia" w:ascii="宋体" w:hAnsi="宋体" w:cs="宋体"/>
                <w:b/>
                <w:bCs/>
                <w:color w:val="auto"/>
                <w:highlight w:val="none"/>
              </w:rPr>
            </w:pPr>
            <w:r>
              <w:rPr>
                <w:rFonts w:hint="eastAsia" w:ascii="宋体" w:hAnsi="宋体" w:cs="宋体"/>
                <w:b/>
                <w:bCs/>
                <w:color w:val="auto"/>
                <w:highlight w:val="none"/>
              </w:rPr>
              <w:t>设备名称</w:t>
            </w:r>
          </w:p>
        </w:tc>
        <w:tc>
          <w:tcPr>
            <w:tcW w:w="6951" w:type="dxa"/>
            <w:noWrap/>
            <w:vAlign w:val="center"/>
          </w:tcPr>
          <w:p w14:paraId="445DD7E8">
            <w:pPr>
              <w:widowControl w:val="0"/>
              <w:adjustRightInd w:val="0"/>
              <w:snapToGrid w:val="0"/>
              <w:jc w:val="center"/>
              <w:rPr>
                <w:rFonts w:hint="eastAsia" w:ascii="宋体" w:hAnsi="宋体" w:cs="宋体"/>
                <w:b/>
                <w:bCs/>
                <w:color w:val="auto"/>
                <w:highlight w:val="none"/>
              </w:rPr>
            </w:pPr>
            <w:r>
              <w:rPr>
                <w:rFonts w:hint="eastAsia" w:ascii="宋体" w:hAnsi="宋体" w:cs="宋体"/>
                <w:b/>
                <w:bCs/>
                <w:color w:val="auto"/>
                <w:highlight w:val="none"/>
              </w:rPr>
              <w:t>技术参数</w:t>
            </w:r>
          </w:p>
        </w:tc>
      </w:tr>
      <w:tr w14:paraId="00F7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6B182D7C">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w:t>
            </w:r>
          </w:p>
        </w:tc>
        <w:tc>
          <w:tcPr>
            <w:tcW w:w="1387" w:type="dxa"/>
            <w:vAlign w:val="center"/>
          </w:tcPr>
          <w:p w14:paraId="1995D287">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超高温石墨化炉</w:t>
            </w:r>
          </w:p>
        </w:tc>
        <w:tc>
          <w:tcPr>
            <w:tcW w:w="6951" w:type="dxa"/>
            <w:vAlign w:val="center"/>
          </w:tcPr>
          <w:p w14:paraId="23BA4ED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cs="宋体"/>
                <w:color w:val="auto"/>
                <w:highlight w:val="none"/>
              </w:rPr>
            </w:pPr>
            <w:r>
              <w:rPr>
                <w:rFonts w:hint="eastAsia" w:ascii="宋体" w:hAnsi="宋体" w:cs="宋体"/>
                <w:color w:val="auto"/>
                <w:highlight w:val="none"/>
              </w:rPr>
              <w:t>1、电源控制系统</w:t>
            </w:r>
            <w:r>
              <w:rPr>
                <w:rFonts w:hint="eastAsia" w:ascii="宋体" w:hAnsi="宋体" w:cs="宋体"/>
                <w:color w:val="auto"/>
                <w:highlight w:val="none"/>
              </w:rPr>
              <w:br w:type="textWrapping"/>
            </w:r>
            <w:r>
              <w:rPr>
                <w:rFonts w:hint="eastAsia" w:ascii="宋体" w:hAnsi="宋体" w:cs="宋体"/>
                <w:color w:val="auto"/>
                <w:highlight w:val="none"/>
              </w:rPr>
              <w:t>1.1电源柜采用全密封防尘结构，防止导电炭纤维和导电尘土</w:t>
            </w:r>
            <w:r>
              <w:rPr>
                <w:rFonts w:hint="eastAsia" w:ascii="宋体" w:hAnsi="宋体" w:cs="宋体"/>
                <w:color w:val="auto"/>
                <w:highlight w:val="none"/>
              </w:rPr>
              <w:br w:type="textWrapping"/>
            </w:r>
            <w:r>
              <w:rPr>
                <w:rFonts w:hint="eastAsia" w:ascii="宋体" w:hAnsi="宋体" w:cs="宋体"/>
                <w:color w:val="auto"/>
                <w:highlight w:val="none"/>
              </w:rPr>
              <w:t>1.2机柜自带水冷散热器，不与室内空气发生热交换，全部水冷却管道、阀门等都采用不锈钢件或铜铸件；</w:t>
            </w:r>
            <w:r>
              <w:rPr>
                <w:rFonts w:hint="eastAsia" w:ascii="宋体" w:hAnsi="宋体" w:cs="宋体"/>
                <w:color w:val="auto"/>
                <w:highlight w:val="none"/>
              </w:rPr>
              <w:br w:type="textWrapping"/>
            </w:r>
            <w:r>
              <w:rPr>
                <w:rFonts w:hint="eastAsia" w:ascii="微软雅黑" w:hAnsi="微软雅黑" w:eastAsia="微软雅黑" w:cs="微软雅黑"/>
                <w:color w:val="auto"/>
                <w:highlight w:val="none"/>
              </w:rPr>
              <w:t>▲</w:t>
            </w:r>
            <w:r>
              <w:rPr>
                <w:rFonts w:hint="eastAsia" w:ascii="宋体" w:hAnsi="宋体" w:cs="宋体"/>
                <w:color w:val="auto"/>
                <w:highlight w:val="none"/>
              </w:rPr>
              <w:t>1.3 触摸屏：全触摸屏控制，自动监测，自我保护功能，预警报警功能，实时记录各项数据，30天自动保存，可U盘导出;</w:t>
            </w:r>
            <w:r>
              <w:rPr>
                <w:rFonts w:hint="eastAsia" w:ascii="宋体" w:hAnsi="宋体" w:cs="宋体"/>
                <w:color w:val="auto"/>
                <w:highlight w:val="none"/>
              </w:rPr>
              <w:br w:type="textWrapping"/>
            </w:r>
            <w:r>
              <w:rPr>
                <w:rFonts w:hint="eastAsia" w:ascii="宋体" w:hAnsi="宋体" w:cs="宋体"/>
                <w:color w:val="auto"/>
                <w:highlight w:val="none"/>
              </w:rPr>
              <w:t>1.4 红外线测温仪：重复精度：≤0.2%，64段温度程序设置，6组PID自动调节。手动/自动自由切换;</w:t>
            </w:r>
          </w:p>
          <w:p w14:paraId="3D6FB173">
            <w:pPr>
              <w:widowControl w:val="0"/>
              <w:adjustRightInd w:val="0"/>
              <w:snapToGrid w:val="0"/>
              <w:spacing w:line="240" w:lineRule="auto"/>
              <w:jc w:val="left"/>
              <w:rPr>
                <w:rFonts w:hint="eastAsia" w:ascii="宋体" w:hAnsi="宋体" w:cs="宋体"/>
                <w:color w:val="auto"/>
                <w:highlight w:val="none"/>
              </w:rPr>
            </w:pPr>
            <w:r>
              <w:rPr>
                <w:rFonts w:hint="eastAsia" w:ascii="宋体" w:hAnsi="宋体" w:cs="宋体"/>
                <w:color w:val="auto"/>
                <w:highlight w:val="none"/>
              </w:rPr>
              <w:t>1.5加热方式:采用中频感应加热，石墨坩埚发热传热。</w:t>
            </w:r>
            <w:r>
              <w:rPr>
                <w:rFonts w:hint="eastAsia" w:ascii="宋体" w:hAnsi="宋体" w:cs="宋体"/>
                <w:color w:val="auto"/>
                <w:highlight w:val="none"/>
              </w:rPr>
              <w:br w:type="textWrapping"/>
            </w:r>
            <w:r>
              <w:rPr>
                <w:rFonts w:hint="eastAsia" w:ascii="宋体" w:hAnsi="宋体" w:cs="宋体"/>
                <w:color w:val="auto"/>
                <w:highlight w:val="none"/>
              </w:rPr>
              <w:t>2、炉体</w:t>
            </w:r>
            <w:r>
              <w:rPr>
                <w:rFonts w:hint="eastAsia" w:ascii="宋体" w:hAnsi="宋体" w:cs="宋体"/>
                <w:color w:val="auto"/>
                <w:highlight w:val="none"/>
              </w:rPr>
              <w:br w:type="textWrapping"/>
            </w:r>
            <w:r>
              <w:rPr>
                <w:rFonts w:hint="eastAsia" w:ascii="宋体" w:hAnsi="宋体" w:cs="宋体"/>
                <w:color w:val="auto"/>
                <w:highlight w:val="none"/>
              </w:rPr>
              <w:t>2.1炉内使用环境：氩气保护或真空</w:t>
            </w:r>
            <w:r>
              <w:rPr>
                <w:rFonts w:hint="eastAsia" w:ascii="宋体" w:hAnsi="宋体" w:cs="宋体"/>
                <w:color w:val="auto"/>
                <w:highlight w:val="none"/>
              </w:rPr>
              <w:br w:type="textWrapping"/>
            </w:r>
            <w:r>
              <w:rPr>
                <w:rFonts w:hint="eastAsia" w:ascii="宋体" w:hAnsi="宋体" w:cs="宋体"/>
                <w:color w:val="auto"/>
                <w:highlight w:val="none"/>
              </w:rPr>
              <w:t>2.2装载区尺寸：≥直径300×高500mm</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2.3最大容积：35L</w:t>
            </w:r>
            <w:r>
              <w:rPr>
                <w:rFonts w:hint="eastAsia" w:ascii="宋体" w:hAnsi="宋体" w:cs="宋体"/>
                <w:color w:val="auto"/>
                <w:highlight w:val="none"/>
              </w:rPr>
              <w:br w:type="textWrapping"/>
            </w:r>
            <w:r>
              <w:rPr>
                <w:rFonts w:hint="eastAsia" w:ascii="宋体" w:hAnsi="宋体" w:cs="宋体"/>
                <w:color w:val="auto"/>
                <w:highlight w:val="none"/>
              </w:rPr>
              <w:t>2.4出料方式：立式炉体，顶部出料</w:t>
            </w:r>
            <w:r>
              <w:rPr>
                <w:rFonts w:hint="eastAsia" w:ascii="宋体" w:hAnsi="宋体" w:cs="宋体"/>
                <w:color w:val="auto"/>
                <w:highlight w:val="none"/>
              </w:rPr>
              <w:br w:type="textWrapping"/>
            </w:r>
            <w:r>
              <w:rPr>
                <w:rFonts w:hint="eastAsia" w:ascii="宋体" w:hAnsi="宋体" w:cs="宋体"/>
                <w:color w:val="auto"/>
                <w:highlight w:val="none"/>
              </w:rPr>
              <w:t>2.5炉体、管道均为SUS304材质，与水接触均为不锈钢,通气的管道采用无缝钢管</w:t>
            </w:r>
            <w:r>
              <w:rPr>
                <w:rFonts w:hint="eastAsia" w:ascii="宋体" w:hAnsi="宋体" w:cs="宋体"/>
                <w:color w:val="auto"/>
                <w:highlight w:val="none"/>
              </w:rPr>
              <w:br w:type="textWrapping"/>
            </w:r>
            <w:r>
              <w:rPr>
                <w:rFonts w:hint="eastAsia" w:ascii="宋体" w:hAnsi="宋体" w:cs="宋体"/>
                <w:color w:val="auto"/>
                <w:highlight w:val="none"/>
              </w:rPr>
              <w:t>2.6炉体内保温层厚度不小于150mm。</w:t>
            </w:r>
            <w:r>
              <w:rPr>
                <w:rFonts w:hint="eastAsia" w:ascii="宋体" w:hAnsi="宋体" w:cs="宋体"/>
                <w:color w:val="auto"/>
                <w:highlight w:val="none"/>
              </w:rPr>
              <w:br w:type="textWrapping"/>
            </w:r>
            <w:r>
              <w:rPr>
                <w:rFonts w:hint="eastAsia" w:ascii="宋体" w:hAnsi="宋体" w:cs="宋体"/>
                <w:color w:val="auto"/>
                <w:highlight w:val="none"/>
              </w:rPr>
              <w:t>2.7炉膛由外至内分别由感应线圈、刚玉层、保温炭黑和硬碳毡底构成</w:t>
            </w:r>
            <w:r>
              <w:rPr>
                <w:rFonts w:hint="eastAsia" w:ascii="宋体" w:hAnsi="宋体" w:cs="宋体"/>
                <w:color w:val="auto"/>
                <w:highlight w:val="none"/>
              </w:rPr>
              <w:br w:type="textWrapping"/>
            </w:r>
            <w:r>
              <w:rPr>
                <w:rFonts w:hint="eastAsia" w:ascii="宋体" w:hAnsi="宋体" w:cs="宋体"/>
                <w:color w:val="auto"/>
                <w:highlight w:val="none"/>
              </w:rPr>
              <w:t>3、真空机组</w:t>
            </w:r>
            <w:r>
              <w:rPr>
                <w:rFonts w:hint="eastAsia" w:ascii="宋体" w:hAnsi="宋体" w:cs="宋体"/>
                <w:color w:val="auto"/>
                <w:highlight w:val="none"/>
              </w:rPr>
              <w:br w:type="textWrapping"/>
            </w:r>
            <w:r>
              <w:rPr>
                <w:rFonts w:hint="eastAsia" w:ascii="宋体" w:hAnsi="宋体" w:cs="宋体"/>
                <w:color w:val="auto"/>
                <w:highlight w:val="none"/>
              </w:rPr>
              <w:t>3.1极限真空：-0.1MPa（空炉、冷态）</w:t>
            </w:r>
            <w:r>
              <w:rPr>
                <w:rFonts w:hint="eastAsia" w:ascii="宋体" w:hAnsi="宋体" w:cs="宋体"/>
                <w:color w:val="auto"/>
                <w:highlight w:val="none"/>
              </w:rPr>
              <w:br w:type="textWrapping"/>
            </w:r>
            <w:r>
              <w:rPr>
                <w:rFonts w:hint="eastAsia" w:ascii="宋体" w:hAnsi="宋体" w:cs="宋体"/>
                <w:color w:val="auto"/>
                <w:highlight w:val="none"/>
              </w:rPr>
              <w:t>3.2抽气速率：≤16L/S</w:t>
            </w:r>
            <w:r>
              <w:rPr>
                <w:rFonts w:hint="eastAsia" w:ascii="宋体" w:hAnsi="宋体" w:cs="宋体"/>
                <w:color w:val="auto"/>
                <w:highlight w:val="none"/>
              </w:rPr>
              <w:br w:type="textWrapping"/>
            </w:r>
            <w:r>
              <w:rPr>
                <w:rFonts w:hint="eastAsia" w:ascii="宋体" w:hAnsi="宋体" w:cs="宋体"/>
                <w:color w:val="auto"/>
                <w:highlight w:val="none"/>
              </w:rPr>
              <w:t>3.3全304不锈钢管道阀门，气动阀门通过触摸屏自动控制，电接点压力表，自锁联锁控制，自动保护功能</w:t>
            </w:r>
            <w:r>
              <w:rPr>
                <w:rFonts w:hint="eastAsia" w:ascii="宋体" w:hAnsi="宋体" w:cs="宋体"/>
                <w:color w:val="auto"/>
                <w:highlight w:val="none"/>
              </w:rPr>
              <w:br w:type="textWrapping"/>
            </w:r>
            <w:r>
              <w:rPr>
                <w:rFonts w:hint="eastAsia" w:ascii="宋体" w:hAnsi="宋体" w:cs="宋体"/>
                <w:color w:val="auto"/>
                <w:highlight w:val="none"/>
              </w:rPr>
              <w:t>4、闭式冷却塔</w:t>
            </w:r>
            <w:r>
              <w:rPr>
                <w:rFonts w:hint="eastAsia" w:ascii="宋体" w:hAnsi="宋体" w:cs="宋体"/>
                <w:color w:val="auto"/>
                <w:highlight w:val="none"/>
              </w:rPr>
              <w:br w:type="textWrapping"/>
            </w:r>
            <w:r>
              <w:rPr>
                <w:rFonts w:hint="eastAsia" w:ascii="宋体" w:hAnsi="宋体" w:cs="宋体"/>
                <w:color w:val="auto"/>
                <w:highlight w:val="none"/>
              </w:rPr>
              <w:t>4.1闭式循环系统，采用软水循环，水散失量小，流量20T/H，主水泵一用一备。</w:t>
            </w:r>
            <w:r>
              <w:rPr>
                <w:rFonts w:hint="eastAsia" w:ascii="宋体" w:hAnsi="宋体" w:cs="宋体"/>
                <w:color w:val="auto"/>
                <w:highlight w:val="none"/>
              </w:rPr>
              <w:br w:type="textWrapping"/>
            </w:r>
            <w:r>
              <w:rPr>
                <w:rFonts w:hint="eastAsia" w:ascii="宋体" w:hAnsi="宋体" w:cs="宋体"/>
                <w:color w:val="auto"/>
                <w:highlight w:val="none"/>
              </w:rPr>
              <w:t>5、温度要求</w:t>
            </w:r>
            <w:r>
              <w:rPr>
                <w:rFonts w:hint="eastAsia" w:ascii="宋体" w:hAnsi="宋体" w:cs="宋体"/>
                <w:color w:val="auto"/>
                <w:highlight w:val="none"/>
              </w:rPr>
              <w:br w:type="textWrapping"/>
            </w:r>
            <w:r>
              <w:rPr>
                <w:rFonts w:hint="eastAsia" w:ascii="宋体" w:hAnsi="宋体" w:cs="宋体"/>
                <w:color w:val="auto"/>
                <w:highlight w:val="none"/>
              </w:rPr>
              <w:t>5.1极限温度：≥ 3150℃</w:t>
            </w:r>
            <w:r>
              <w:rPr>
                <w:rFonts w:hint="eastAsia" w:ascii="宋体" w:hAnsi="宋体" w:cs="宋体"/>
                <w:color w:val="auto"/>
                <w:highlight w:val="none"/>
              </w:rPr>
              <w:br w:type="textWrapping"/>
            </w:r>
            <w:r>
              <w:rPr>
                <w:rFonts w:hint="eastAsia" w:ascii="宋体" w:hAnsi="宋体" w:cs="宋体"/>
                <w:color w:val="auto"/>
                <w:highlight w:val="none"/>
              </w:rPr>
              <w:t>5.2极限升温速率：≤160min（常温-3150℃）</w:t>
            </w:r>
            <w:r>
              <w:rPr>
                <w:rFonts w:hint="eastAsia" w:ascii="宋体" w:hAnsi="宋体" w:cs="宋体"/>
                <w:color w:val="auto"/>
                <w:highlight w:val="none"/>
              </w:rPr>
              <w:br w:type="textWrapping"/>
            </w:r>
            <w:r>
              <w:rPr>
                <w:rFonts w:hint="eastAsia" w:ascii="宋体" w:hAnsi="宋体" w:cs="宋体"/>
                <w:color w:val="auto"/>
                <w:highlight w:val="none"/>
              </w:rPr>
              <w:t>5.3控温精度：≤±1℃&lt;无干扰&gt;</w:t>
            </w:r>
            <w:r>
              <w:rPr>
                <w:rFonts w:hint="eastAsia" w:ascii="宋体" w:hAnsi="宋体" w:cs="宋体"/>
                <w:color w:val="auto"/>
                <w:highlight w:val="none"/>
              </w:rPr>
              <w:br w:type="textWrapping"/>
            </w:r>
            <w:r>
              <w:rPr>
                <w:rFonts w:hint="eastAsia" w:ascii="宋体" w:hAnsi="宋体" w:cs="宋体"/>
                <w:color w:val="auto"/>
                <w:highlight w:val="none"/>
              </w:rPr>
              <w:t>5.4控温程序：16步×4段温度曲线设置</w:t>
            </w:r>
            <w:r>
              <w:rPr>
                <w:rFonts w:hint="eastAsia" w:ascii="宋体" w:hAnsi="宋体" w:cs="宋体"/>
                <w:color w:val="auto"/>
                <w:highlight w:val="none"/>
              </w:rPr>
              <w:br w:type="textWrapping"/>
            </w:r>
            <w:r>
              <w:rPr>
                <w:rFonts w:hint="eastAsia" w:ascii="宋体" w:hAnsi="宋体" w:cs="宋体"/>
                <w:color w:val="auto"/>
                <w:highlight w:val="none"/>
              </w:rPr>
              <w:t>★5.5工作温度：≥3100℃（保温2h）</w:t>
            </w:r>
            <w:r>
              <w:rPr>
                <w:rFonts w:hint="eastAsia" w:ascii="宋体" w:hAnsi="宋体" w:cs="宋体"/>
                <w:color w:val="auto"/>
                <w:highlight w:val="none"/>
              </w:rPr>
              <w:br w:type="textWrapping"/>
            </w:r>
            <w:r>
              <w:rPr>
                <w:rFonts w:hint="eastAsia" w:ascii="宋体" w:hAnsi="宋体" w:cs="宋体"/>
                <w:color w:val="auto"/>
                <w:highlight w:val="none"/>
              </w:rPr>
              <w:t>5.6均温性：保温30分钟后，温度不均匀度为≤±5℃</w:t>
            </w:r>
          </w:p>
        </w:tc>
      </w:tr>
      <w:tr w14:paraId="17E8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D6C9AA0">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2</w:t>
            </w:r>
          </w:p>
        </w:tc>
        <w:tc>
          <w:tcPr>
            <w:tcW w:w="1387" w:type="dxa"/>
            <w:vAlign w:val="center"/>
          </w:tcPr>
          <w:p w14:paraId="3A74AA3E">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真空高压浸渍系统</w:t>
            </w:r>
          </w:p>
        </w:tc>
        <w:tc>
          <w:tcPr>
            <w:tcW w:w="6951" w:type="dxa"/>
            <w:vAlign w:val="center"/>
          </w:tcPr>
          <w:p w14:paraId="28B3E1C2">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一、浸渍罐</w:t>
            </w:r>
            <w:r>
              <w:rPr>
                <w:rFonts w:hint="eastAsia" w:ascii="宋体" w:hAnsi="宋体" w:cs="宋体"/>
                <w:color w:val="auto"/>
                <w:highlight w:val="none"/>
              </w:rPr>
              <w:br w:type="textWrapping"/>
            </w:r>
            <w:r>
              <w:rPr>
                <w:rFonts w:hint="eastAsia" w:ascii="宋体" w:hAnsi="宋体" w:cs="宋体"/>
                <w:color w:val="auto"/>
                <w:highlight w:val="none"/>
              </w:rPr>
              <w:t>1、设备尺寸：直径≥500mm，筒高：≥1000mm</w:t>
            </w:r>
            <w:r>
              <w:rPr>
                <w:rFonts w:hint="eastAsia" w:ascii="宋体" w:hAnsi="宋体" w:cs="宋体"/>
                <w:color w:val="auto"/>
                <w:highlight w:val="none"/>
              </w:rPr>
              <w:br w:type="textWrapping"/>
            </w:r>
            <w:r>
              <w:rPr>
                <w:rFonts w:hint="eastAsia" w:ascii="宋体" w:hAnsi="宋体" w:cs="宋体"/>
                <w:color w:val="auto"/>
                <w:highlight w:val="none"/>
              </w:rPr>
              <w:t>2、设备主要材质：不锈钢304，厚度≥10mm</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3、压力</w:t>
            </w:r>
            <w:r>
              <w:rPr>
                <w:rFonts w:hint="eastAsia" w:ascii="宋体" w:hAnsi="宋体" w:cs="宋体"/>
                <w:color w:val="auto"/>
                <w:highlight w:val="none"/>
                <w:lang w:val="en-US" w:eastAsia="zh-CN"/>
              </w:rPr>
              <w:t>范围</w:t>
            </w:r>
            <w:r>
              <w:rPr>
                <w:rFonts w:hint="eastAsia" w:ascii="宋体" w:hAnsi="宋体" w:cs="宋体"/>
                <w:color w:val="auto"/>
                <w:highlight w:val="none"/>
              </w:rPr>
              <w:t xml:space="preserve">：-0.1-3MPa， </w:t>
            </w:r>
            <w:r>
              <w:rPr>
                <w:rFonts w:hint="eastAsia" w:ascii="宋体" w:hAnsi="宋体" w:cs="宋体"/>
                <w:color w:val="auto"/>
                <w:highlight w:val="none"/>
              </w:rPr>
              <w:br w:type="textWrapping"/>
            </w:r>
            <w:r>
              <w:rPr>
                <w:rFonts w:hint="eastAsia" w:ascii="宋体" w:hAnsi="宋体" w:cs="宋体"/>
                <w:color w:val="auto"/>
                <w:highlight w:val="none"/>
              </w:rPr>
              <w:t>★4、最高温度：185℃</w:t>
            </w:r>
            <w:r>
              <w:rPr>
                <w:rFonts w:hint="eastAsia" w:ascii="宋体" w:hAnsi="宋体" w:cs="宋体"/>
                <w:color w:val="auto"/>
                <w:highlight w:val="none"/>
              </w:rPr>
              <w:br w:type="textWrapping"/>
            </w:r>
            <w:r>
              <w:rPr>
                <w:rFonts w:hint="eastAsia" w:ascii="宋体" w:hAnsi="宋体" w:cs="宋体"/>
                <w:color w:val="auto"/>
                <w:highlight w:val="none"/>
              </w:rPr>
              <w:t>5、主要构成：筒体、封头、罐门法兰、鞍座、开门结构、阀组、电控系统等</w:t>
            </w:r>
            <w:r>
              <w:rPr>
                <w:rFonts w:hint="eastAsia" w:ascii="宋体" w:hAnsi="宋体" w:cs="宋体"/>
                <w:color w:val="auto"/>
                <w:highlight w:val="none"/>
              </w:rPr>
              <w:br w:type="textWrapping"/>
            </w:r>
            <w:r>
              <w:rPr>
                <w:rFonts w:hint="eastAsia" w:ascii="宋体" w:hAnsi="宋体" w:cs="宋体"/>
                <w:color w:val="auto"/>
                <w:highlight w:val="none"/>
              </w:rPr>
              <w:t>6、控制系统：电气半自动</w:t>
            </w:r>
            <w:r>
              <w:rPr>
                <w:rFonts w:hint="eastAsia" w:ascii="宋体" w:hAnsi="宋体" w:cs="宋体"/>
                <w:color w:val="auto"/>
                <w:highlight w:val="none"/>
              </w:rPr>
              <w:br w:type="textWrapping"/>
            </w:r>
            <w:r>
              <w:rPr>
                <w:rFonts w:hint="eastAsia" w:ascii="宋体" w:hAnsi="宋体" w:cs="宋体"/>
                <w:color w:val="auto"/>
                <w:highlight w:val="none"/>
              </w:rPr>
              <w:t>7、开门形式：上开门，手动快开门，单开门</w:t>
            </w:r>
            <w:r>
              <w:rPr>
                <w:rFonts w:hint="eastAsia" w:ascii="宋体" w:hAnsi="宋体" w:cs="宋体"/>
                <w:color w:val="auto"/>
                <w:highlight w:val="none"/>
              </w:rPr>
              <w:br w:type="textWrapping"/>
            </w:r>
            <w:r>
              <w:rPr>
                <w:rFonts w:hint="eastAsia" w:ascii="宋体" w:hAnsi="宋体" w:cs="宋体"/>
                <w:color w:val="auto"/>
                <w:highlight w:val="none"/>
              </w:rPr>
              <w:t>8、加热形式：夹套、导热油。夹套厚度：≥50mm</w:t>
            </w:r>
            <w:r>
              <w:rPr>
                <w:rFonts w:hint="eastAsia" w:ascii="宋体" w:hAnsi="宋体" w:cs="宋体"/>
                <w:color w:val="auto"/>
                <w:highlight w:val="none"/>
              </w:rPr>
              <w:br w:type="textWrapping"/>
            </w:r>
            <w:r>
              <w:rPr>
                <w:rFonts w:hint="eastAsia" w:ascii="宋体" w:hAnsi="宋体" w:cs="宋体"/>
                <w:color w:val="auto"/>
                <w:highlight w:val="none"/>
              </w:rPr>
              <w:t>9、保温形式：外保温，不低于50mm硅酸铝、0.4mm不锈防护板</w:t>
            </w:r>
            <w:r>
              <w:rPr>
                <w:rFonts w:hint="eastAsia" w:ascii="宋体" w:hAnsi="宋体" w:cs="宋体"/>
                <w:color w:val="auto"/>
                <w:highlight w:val="none"/>
              </w:rPr>
              <w:br w:type="textWrapping"/>
            </w:r>
            <w:r>
              <w:rPr>
                <w:rFonts w:hint="eastAsia" w:ascii="宋体" w:hAnsi="宋体" w:cs="宋体"/>
                <w:color w:val="auto"/>
                <w:highlight w:val="none"/>
              </w:rPr>
              <w:t>二、储液罐</w:t>
            </w:r>
            <w:r>
              <w:rPr>
                <w:rFonts w:hint="eastAsia" w:ascii="宋体" w:hAnsi="宋体" w:cs="宋体"/>
                <w:color w:val="auto"/>
                <w:highlight w:val="none"/>
              </w:rPr>
              <w:br w:type="textWrapping"/>
            </w:r>
            <w:r>
              <w:rPr>
                <w:rFonts w:hint="eastAsia" w:ascii="宋体" w:hAnsi="宋体" w:cs="宋体"/>
                <w:color w:val="auto"/>
                <w:highlight w:val="none"/>
              </w:rPr>
              <w:t>1、设备尺寸：直径≥500mm，筒高：≥1000mm</w:t>
            </w:r>
            <w:r>
              <w:rPr>
                <w:rFonts w:hint="eastAsia" w:ascii="宋体" w:hAnsi="宋体" w:cs="宋体"/>
                <w:color w:val="auto"/>
                <w:highlight w:val="none"/>
              </w:rPr>
              <w:br w:type="textWrapping"/>
            </w:r>
            <w:r>
              <w:rPr>
                <w:rFonts w:hint="eastAsia" w:ascii="宋体" w:hAnsi="宋体" w:cs="宋体"/>
                <w:color w:val="auto"/>
                <w:highlight w:val="none"/>
              </w:rPr>
              <w:t>2、设备主要材质：不锈钢304，厚度≥10mm</w:t>
            </w:r>
            <w:r>
              <w:rPr>
                <w:rFonts w:hint="eastAsia" w:ascii="宋体" w:hAnsi="宋体" w:cs="宋体"/>
                <w:color w:val="auto"/>
                <w:highlight w:val="none"/>
              </w:rPr>
              <w:br w:type="textWrapping"/>
            </w:r>
            <w:r>
              <w:rPr>
                <w:rFonts w:hint="eastAsia" w:ascii="宋体" w:hAnsi="宋体" w:cs="宋体"/>
                <w:color w:val="auto"/>
                <w:highlight w:val="none"/>
              </w:rPr>
              <w:t xml:space="preserve">3、压力：常压， </w:t>
            </w:r>
            <w:r>
              <w:rPr>
                <w:rFonts w:hint="eastAsia" w:ascii="宋体" w:hAnsi="宋体" w:cs="宋体"/>
                <w:color w:val="auto"/>
                <w:highlight w:val="none"/>
              </w:rPr>
              <w:br w:type="textWrapping"/>
            </w:r>
            <w:r>
              <w:rPr>
                <w:rFonts w:hint="eastAsia" w:ascii="宋体" w:hAnsi="宋体" w:cs="宋体"/>
                <w:color w:val="auto"/>
                <w:highlight w:val="none"/>
              </w:rPr>
              <w:t>4、设计最高温度：185℃</w:t>
            </w:r>
            <w:r>
              <w:rPr>
                <w:rFonts w:hint="eastAsia" w:ascii="宋体" w:hAnsi="宋体" w:cs="宋体"/>
                <w:color w:val="auto"/>
                <w:highlight w:val="none"/>
              </w:rPr>
              <w:br w:type="textWrapping"/>
            </w:r>
            <w:r>
              <w:rPr>
                <w:rFonts w:hint="eastAsia" w:ascii="宋体" w:hAnsi="宋体" w:cs="宋体"/>
                <w:color w:val="auto"/>
                <w:highlight w:val="none"/>
              </w:rPr>
              <w:t>5、主要构成：筒体、封头、鞍座、开门结构、阀组等</w:t>
            </w:r>
            <w:r>
              <w:rPr>
                <w:rFonts w:hint="eastAsia" w:ascii="宋体" w:hAnsi="宋体" w:cs="宋体"/>
                <w:color w:val="auto"/>
                <w:highlight w:val="none"/>
              </w:rPr>
              <w:br w:type="textWrapping"/>
            </w:r>
            <w:r>
              <w:rPr>
                <w:rFonts w:hint="eastAsia" w:ascii="宋体" w:hAnsi="宋体" w:cs="宋体"/>
                <w:color w:val="auto"/>
                <w:highlight w:val="none"/>
              </w:rPr>
              <w:t>6、加热形式：夹套、导热油。夹套厚度：≥50mm</w:t>
            </w:r>
            <w:r>
              <w:rPr>
                <w:rFonts w:hint="eastAsia" w:ascii="宋体" w:hAnsi="宋体" w:cs="宋体"/>
                <w:color w:val="auto"/>
                <w:highlight w:val="none"/>
              </w:rPr>
              <w:br w:type="textWrapping"/>
            </w:r>
            <w:r>
              <w:rPr>
                <w:rFonts w:hint="eastAsia" w:ascii="宋体" w:hAnsi="宋体" w:cs="宋体"/>
                <w:color w:val="auto"/>
                <w:highlight w:val="none"/>
              </w:rPr>
              <w:t>7、保温形式：外保温，≥50mm硅酸铝、0.4mm不锈防护板</w:t>
            </w:r>
            <w:r>
              <w:rPr>
                <w:rFonts w:hint="eastAsia" w:ascii="宋体" w:hAnsi="宋体" w:cs="宋体"/>
                <w:color w:val="auto"/>
                <w:highlight w:val="none"/>
              </w:rPr>
              <w:br w:type="textWrapping"/>
            </w:r>
            <w:r>
              <w:rPr>
                <w:rFonts w:hint="eastAsia" w:ascii="宋体" w:hAnsi="宋体" w:cs="宋体"/>
                <w:color w:val="auto"/>
                <w:highlight w:val="none"/>
              </w:rPr>
              <w:t>三、真空系统</w:t>
            </w:r>
            <w:r>
              <w:rPr>
                <w:rFonts w:hint="eastAsia" w:ascii="宋体" w:hAnsi="宋体" w:cs="宋体"/>
                <w:color w:val="auto"/>
                <w:highlight w:val="none"/>
              </w:rPr>
              <w:br w:type="textWrapping"/>
            </w:r>
            <w:r>
              <w:rPr>
                <w:rFonts w:hint="eastAsia" w:ascii="宋体" w:hAnsi="宋体" w:cs="宋体"/>
                <w:color w:val="auto"/>
                <w:highlight w:val="none"/>
              </w:rPr>
              <w:t>1、真空泵：2.2KW，旋片式，≥120m³/min</w:t>
            </w:r>
            <w:r>
              <w:rPr>
                <w:rFonts w:hint="eastAsia" w:ascii="宋体" w:hAnsi="宋体" w:cs="宋体"/>
                <w:color w:val="auto"/>
                <w:highlight w:val="none"/>
              </w:rPr>
              <w:br w:type="textWrapping"/>
            </w:r>
            <w:r>
              <w:rPr>
                <w:rFonts w:hint="eastAsia" w:ascii="宋体" w:hAnsi="宋体" w:cs="宋体"/>
                <w:color w:val="auto"/>
                <w:highlight w:val="none"/>
              </w:rPr>
              <w:t xml:space="preserve">   电源要求：380V，50HZ</w:t>
            </w:r>
            <w:r>
              <w:rPr>
                <w:rFonts w:hint="eastAsia" w:ascii="宋体" w:hAnsi="宋体" w:cs="宋体"/>
                <w:color w:val="auto"/>
                <w:highlight w:val="none"/>
              </w:rPr>
              <w:br w:type="textWrapping"/>
            </w:r>
            <w:r>
              <w:rPr>
                <w:rFonts w:hint="eastAsia" w:ascii="宋体" w:hAnsi="宋体" w:cs="宋体"/>
                <w:color w:val="auto"/>
                <w:highlight w:val="none"/>
              </w:rPr>
              <w:t>2、缓冲罐：≥100L；碳钢材质，承压≥-0.1MPa</w:t>
            </w:r>
            <w:r>
              <w:rPr>
                <w:rFonts w:hint="eastAsia" w:ascii="宋体" w:hAnsi="宋体" w:cs="宋体"/>
                <w:color w:val="auto"/>
                <w:highlight w:val="none"/>
              </w:rPr>
              <w:br w:type="textWrapping"/>
            </w:r>
            <w:r>
              <w:rPr>
                <w:rFonts w:hint="eastAsia" w:ascii="宋体" w:hAnsi="宋体" w:cs="宋体"/>
                <w:color w:val="auto"/>
                <w:highlight w:val="none"/>
              </w:rPr>
              <w:t>四、气源系统</w:t>
            </w:r>
            <w:r>
              <w:rPr>
                <w:rFonts w:hint="eastAsia" w:ascii="宋体" w:hAnsi="宋体" w:cs="宋体"/>
                <w:color w:val="auto"/>
                <w:highlight w:val="none"/>
              </w:rPr>
              <w:br w:type="textWrapping"/>
            </w:r>
            <w:r>
              <w:rPr>
                <w:rFonts w:hint="eastAsia" w:ascii="宋体" w:hAnsi="宋体" w:cs="宋体"/>
                <w:color w:val="auto"/>
                <w:highlight w:val="none"/>
              </w:rPr>
              <w:t>1、活塞空压机：≥11KW，产气量≥1m³/min，</w:t>
            </w:r>
            <w:r>
              <w:rPr>
                <w:rFonts w:hint="eastAsia" w:ascii="宋体" w:hAnsi="宋体" w:cs="宋体"/>
                <w:color w:val="auto"/>
                <w:highlight w:val="none"/>
              </w:rPr>
              <w:br w:type="textWrapping"/>
            </w:r>
            <w:r>
              <w:rPr>
                <w:rFonts w:hint="eastAsia" w:ascii="宋体" w:hAnsi="宋体" w:cs="宋体"/>
                <w:color w:val="auto"/>
                <w:highlight w:val="none"/>
              </w:rPr>
              <w:t xml:space="preserve">   输出压力：≥3.0MPa， 电源：380V，50HZ</w:t>
            </w:r>
            <w:r>
              <w:rPr>
                <w:rFonts w:hint="eastAsia" w:ascii="宋体" w:hAnsi="宋体" w:cs="宋体"/>
                <w:color w:val="auto"/>
                <w:highlight w:val="none"/>
              </w:rPr>
              <w:br w:type="textWrapping"/>
            </w:r>
            <w:r>
              <w:rPr>
                <w:rFonts w:hint="eastAsia" w:ascii="宋体" w:hAnsi="宋体" w:cs="宋体"/>
                <w:color w:val="auto"/>
                <w:highlight w:val="none"/>
              </w:rPr>
              <w:t>2、储气罐：容积≥1m³，使用压力≥3.0MPa</w:t>
            </w:r>
            <w:r>
              <w:rPr>
                <w:rFonts w:hint="eastAsia" w:ascii="宋体" w:hAnsi="宋体" w:cs="宋体"/>
                <w:color w:val="auto"/>
                <w:highlight w:val="none"/>
              </w:rPr>
              <w:br w:type="textWrapping"/>
            </w:r>
            <w:r>
              <w:rPr>
                <w:rFonts w:hint="eastAsia" w:ascii="宋体" w:hAnsi="宋体" w:cs="宋体"/>
                <w:color w:val="auto"/>
                <w:highlight w:val="none"/>
              </w:rPr>
              <w:t>五、物料系统</w:t>
            </w:r>
            <w:r>
              <w:rPr>
                <w:rFonts w:hint="eastAsia" w:ascii="宋体" w:hAnsi="宋体" w:cs="宋体"/>
                <w:color w:val="auto"/>
                <w:highlight w:val="none"/>
              </w:rPr>
              <w:br w:type="textWrapping"/>
            </w:r>
            <w:r>
              <w:rPr>
                <w:rFonts w:hint="eastAsia" w:ascii="宋体" w:hAnsi="宋体" w:cs="宋体"/>
                <w:color w:val="auto"/>
                <w:highlight w:val="none"/>
              </w:rPr>
              <w:t>1、不锈钢吊篮，直径≥300mm，高度≥700mm。</w:t>
            </w:r>
          </w:p>
        </w:tc>
      </w:tr>
      <w:tr w14:paraId="7809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EA1148D">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3</w:t>
            </w:r>
          </w:p>
        </w:tc>
        <w:tc>
          <w:tcPr>
            <w:tcW w:w="1387" w:type="dxa"/>
            <w:vAlign w:val="center"/>
          </w:tcPr>
          <w:p w14:paraId="149E53E5">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温等静压机</w:t>
            </w:r>
          </w:p>
        </w:tc>
        <w:tc>
          <w:tcPr>
            <w:tcW w:w="6951" w:type="dxa"/>
            <w:vAlign w:val="center"/>
          </w:tcPr>
          <w:p w14:paraId="19053689">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★1、最高工作压力：≥300MPa；</w:t>
            </w:r>
            <w:r>
              <w:rPr>
                <w:rFonts w:hint="eastAsia" w:ascii="宋体" w:hAnsi="宋体" w:cs="宋体"/>
                <w:color w:val="auto"/>
                <w:highlight w:val="none"/>
              </w:rPr>
              <w:br w:type="textWrapping"/>
            </w:r>
            <w:r>
              <w:rPr>
                <w:rFonts w:hint="eastAsia" w:ascii="宋体" w:hAnsi="宋体" w:cs="宋体"/>
                <w:color w:val="auto"/>
                <w:highlight w:val="none"/>
              </w:rPr>
              <w:t>2、高压腔内径：≥Ф150mm；</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3、高压腔高度：≥300mm；</w:t>
            </w:r>
            <w:r>
              <w:rPr>
                <w:rFonts w:hint="eastAsia" w:ascii="宋体" w:hAnsi="宋体" w:cs="宋体"/>
                <w:color w:val="auto"/>
                <w:highlight w:val="none"/>
              </w:rPr>
              <w:br w:type="textWrapping"/>
            </w:r>
            <w:r>
              <w:rPr>
                <w:rFonts w:hint="eastAsia" w:ascii="宋体" w:hAnsi="宋体" w:cs="宋体"/>
                <w:color w:val="auto"/>
                <w:highlight w:val="none"/>
              </w:rPr>
              <w:t>4、高压腔介质控温范围：室温~120℃；</w:t>
            </w:r>
            <w:r>
              <w:rPr>
                <w:rFonts w:hint="eastAsia" w:ascii="宋体" w:hAnsi="宋体" w:cs="宋体"/>
                <w:color w:val="auto"/>
                <w:highlight w:val="none"/>
              </w:rPr>
              <w:br w:type="textWrapping"/>
            </w:r>
            <w:r>
              <w:rPr>
                <w:rFonts w:hint="eastAsia" w:ascii="宋体" w:hAnsi="宋体" w:cs="宋体"/>
                <w:color w:val="auto"/>
                <w:highlight w:val="none"/>
              </w:rPr>
              <w:t>5、高压腔内工作介质：导热油；</w:t>
            </w:r>
            <w:r>
              <w:rPr>
                <w:rFonts w:hint="eastAsia" w:ascii="宋体" w:hAnsi="宋体" w:cs="宋体"/>
                <w:color w:val="auto"/>
                <w:highlight w:val="none"/>
              </w:rPr>
              <w:br w:type="textWrapping"/>
            </w:r>
            <w:r>
              <w:rPr>
                <w:rFonts w:hint="eastAsia" w:ascii="宋体" w:hAnsi="宋体" w:cs="宋体"/>
                <w:color w:val="auto"/>
                <w:highlight w:val="none"/>
              </w:rPr>
              <w:t>6、提料方式：自动提料；</w:t>
            </w:r>
            <w:r>
              <w:rPr>
                <w:rFonts w:hint="eastAsia" w:ascii="宋体" w:hAnsi="宋体" w:cs="宋体"/>
                <w:color w:val="auto"/>
                <w:highlight w:val="none"/>
              </w:rPr>
              <w:br w:type="textWrapping"/>
            </w:r>
            <w:r>
              <w:rPr>
                <w:rFonts w:hint="eastAsia" w:ascii="宋体" w:hAnsi="宋体" w:cs="宋体"/>
                <w:color w:val="auto"/>
                <w:highlight w:val="none"/>
              </w:rPr>
              <w:t>7、0～300MPa最快加压时间(无制件)：≤1.5min；</w:t>
            </w:r>
            <w:r>
              <w:rPr>
                <w:rFonts w:hint="eastAsia" w:ascii="宋体" w:hAnsi="宋体" w:cs="宋体"/>
                <w:color w:val="auto"/>
                <w:highlight w:val="none"/>
              </w:rPr>
              <w:br w:type="textWrapping"/>
            </w:r>
            <w:r>
              <w:rPr>
                <w:rFonts w:hint="eastAsia" w:ascii="宋体" w:hAnsi="宋体" w:cs="宋体"/>
                <w:color w:val="auto"/>
                <w:highlight w:val="none"/>
              </w:rPr>
              <w:t>8、升压速率：可设定，线性比例升压；</w:t>
            </w:r>
            <w:r>
              <w:rPr>
                <w:rFonts w:hint="eastAsia" w:ascii="宋体" w:hAnsi="宋体" w:cs="宋体"/>
                <w:color w:val="auto"/>
                <w:highlight w:val="none"/>
              </w:rPr>
              <w:br w:type="textWrapping"/>
            </w:r>
            <w:r>
              <w:rPr>
                <w:rFonts w:hint="eastAsia" w:ascii="宋体" w:hAnsi="宋体" w:cs="宋体"/>
                <w:color w:val="auto"/>
                <w:highlight w:val="none"/>
              </w:rPr>
              <w:t>9、卸压速率：可设定，线性比例卸压；</w:t>
            </w:r>
            <w:r>
              <w:rPr>
                <w:rFonts w:hint="eastAsia" w:ascii="宋体" w:hAnsi="宋体" w:cs="宋体"/>
                <w:color w:val="auto"/>
                <w:highlight w:val="none"/>
              </w:rPr>
              <w:br w:type="textWrapping"/>
            </w:r>
            <w:r>
              <w:rPr>
                <w:rFonts w:hint="eastAsia" w:ascii="宋体" w:hAnsi="宋体" w:cs="宋体"/>
                <w:color w:val="auto"/>
                <w:highlight w:val="none"/>
              </w:rPr>
              <w:t>10、保压时间：可任意设置，带自动补压功能，设置范围0~9999s；</w:t>
            </w:r>
            <w:r>
              <w:rPr>
                <w:rFonts w:hint="eastAsia" w:ascii="宋体" w:hAnsi="宋体" w:cs="宋体"/>
                <w:color w:val="auto"/>
                <w:highlight w:val="none"/>
              </w:rPr>
              <w:br w:type="textWrapping"/>
            </w:r>
            <w:r>
              <w:rPr>
                <w:rFonts w:hint="eastAsia" w:ascii="宋体" w:hAnsi="宋体" w:cs="宋体"/>
                <w:color w:val="auto"/>
                <w:highlight w:val="none"/>
              </w:rPr>
              <w:t>11、设备主机采用钢带缠绕式结构</w:t>
            </w:r>
            <w:r>
              <w:rPr>
                <w:rFonts w:hint="eastAsia" w:ascii="宋体" w:hAnsi="宋体" w:cs="宋体"/>
                <w:color w:val="auto"/>
                <w:highlight w:val="none"/>
              </w:rPr>
              <w:br w:type="textWrapping"/>
            </w:r>
            <w:r>
              <w:rPr>
                <w:rFonts w:hint="eastAsia" w:ascii="宋体" w:hAnsi="宋体" w:cs="宋体"/>
                <w:color w:val="auto"/>
                <w:highlight w:val="none"/>
              </w:rPr>
              <w:t>12、设备为触摸屏界面显示，设定工艺参数，保存压制过程曲线；</w:t>
            </w:r>
            <w:r>
              <w:rPr>
                <w:rFonts w:hint="eastAsia" w:ascii="宋体" w:hAnsi="宋体" w:cs="宋体"/>
                <w:color w:val="auto"/>
                <w:highlight w:val="none"/>
              </w:rPr>
              <w:br w:type="textWrapping"/>
            </w:r>
            <w:r>
              <w:rPr>
                <w:rFonts w:hint="eastAsia" w:ascii="宋体" w:hAnsi="宋体" w:cs="宋体"/>
                <w:color w:val="auto"/>
                <w:highlight w:val="none"/>
              </w:rPr>
              <w:t>13、设备要求有紧急卸荷、电器控制程序互锁、分层级报警等安全防护系统。</w:t>
            </w:r>
            <w:r>
              <w:rPr>
                <w:rFonts w:hint="eastAsia" w:ascii="宋体" w:hAnsi="宋体" w:cs="宋体"/>
                <w:color w:val="auto"/>
                <w:highlight w:val="none"/>
              </w:rPr>
              <w:br w:type="textWrapping"/>
            </w:r>
            <w:r>
              <w:rPr>
                <w:rFonts w:hint="eastAsia" w:ascii="宋体" w:hAnsi="宋体" w:cs="宋体"/>
                <w:color w:val="auto"/>
                <w:highlight w:val="none"/>
              </w:rPr>
              <w:t>14、设备外形要一体式设计，无管线外露</w:t>
            </w:r>
            <w:r>
              <w:rPr>
                <w:rFonts w:hint="eastAsia" w:ascii="宋体" w:hAnsi="宋体" w:cs="宋体"/>
                <w:color w:val="auto"/>
                <w:highlight w:val="none"/>
              </w:rPr>
              <w:br w:type="textWrapping"/>
            </w:r>
            <w:r>
              <w:rPr>
                <w:rFonts w:hint="eastAsia" w:ascii="宋体" w:hAnsi="宋体" w:cs="宋体"/>
                <w:color w:val="auto"/>
                <w:highlight w:val="none"/>
              </w:rPr>
              <w:t>15、噪声：低于75dB</w:t>
            </w:r>
          </w:p>
        </w:tc>
      </w:tr>
      <w:tr w14:paraId="7B67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D980F48">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4</w:t>
            </w:r>
          </w:p>
        </w:tc>
        <w:tc>
          <w:tcPr>
            <w:tcW w:w="1387" w:type="dxa"/>
            <w:vAlign w:val="center"/>
          </w:tcPr>
          <w:p w14:paraId="3D8F1B57">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高速纳米级陶瓷气流粉碎分级机</w:t>
            </w:r>
          </w:p>
        </w:tc>
        <w:tc>
          <w:tcPr>
            <w:tcW w:w="6951" w:type="dxa"/>
            <w:vAlign w:val="center"/>
          </w:tcPr>
          <w:p w14:paraId="3618BECF">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1、设备整体采用304不锈钢材质制作，与物料接触的部份可根据物料特性喷涂或贴附防粘性材料</w:t>
            </w:r>
            <w:r>
              <w:rPr>
                <w:rFonts w:hint="eastAsia" w:ascii="宋体" w:hAnsi="宋体" w:cs="宋体"/>
                <w:color w:val="auto"/>
                <w:highlight w:val="none"/>
              </w:rPr>
              <w:br w:type="textWrapping"/>
            </w:r>
            <w:r>
              <w:rPr>
                <w:rFonts w:hint="eastAsia" w:ascii="宋体" w:hAnsi="宋体" w:cs="宋体"/>
                <w:color w:val="auto"/>
                <w:highlight w:val="none"/>
              </w:rPr>
              <w:t>2、粉碎强度可调</w:t>
            </w:r>
          </w:p>
          <w:p w14:paraId="6E5CDBBF">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3、外置端面密封，可获得严格的粒度分布</w:t>
            </w:r>
            <w:r>
              <w:rPr>
                <w:rFonts w:hint="eastAsia" w:ascii="宋体" w:hAnsi="宋体" w:cs="宋体"/>
                <w:color w:val="auto"/>
                <w:highlight w:val="none"/>
              </w:rPr>
              <w:br w:type="textWrapping"/>
            </w:r>
            <w:r>
              <w:rPr>
                <w:rFonts w:hint="eastAsia" w:ascii="宋体" w:hAnsi="宋体" w:cs="宋体"/>
                <w:color w:val="auto"/>
                <w:highlight w:val="none"/>
              </w:rPr>
              <w:t>4、分级机转子需采用一次成型制作</w:t>
            </w:r>
            <w:r>
              <w:rPr>
                <w:rFonts w:hint="eastAsia" w:ascii="宋体" w:hAnsi="宋体" w:cs="宋体"/>
                <w:color w:val="auto"/>
                <w:highlight w:val="none"/>
              </w:rPr>
              <w:br w:type="textWrapping"/>
            </w:r>
            <w:r>
              <w:rPr>
                <w:rFonts w:hint="eastAsia" w:ascii="宋体" w:hAnsi="宋体" w:cs="宋体"/>
                <w:color w:val="auto"/>
                <w:highlight w:val="none"/>
              </w:rPr>
              <w:t>5、最大入料粒度：≤1mm</w:t>
            </w:r>
            <w:r>
              <w:rPr>
                <w:rFonts w:hint="eastAsia" w:ascii="宋体" w:hAnsi="宋体" w:cs="宋体"/>
                <w:color w:val="auto"/>
                <w:highlight w:val="none"/>
              </w:rPr>
              <w:br w:type="textWrapping"/>
            </w:r>
            <w:r>
              <w:rPr>
                <w:rFonts w:hint="eastAsia" w:ascii="宋体" w:hAnsi="宋体" w:cs="宋体"/>
                <w:color w:val="auto"/>
                <w:highlight w:val="none"/>
              </w:rPr>
              <w:t>★6、出料粒度：D50=2-74</w:t>
            </w:r>
            <w:r>
              <w:rPr>
                <w:rFonts w:hint="eastAsia" w:ascii="宋体" w:hAnsi="宋体" w:cs="宋体"/>
                <w:color w:val="auto"/>
                <w:highlight w:val="none"/>
                <w:lang w:val="en-US" w:eastAsia="zh-CN"/>
              </w:rPr>
              <w:t>微米</w:t>
            </w:r>
            <w:r>
              <w:rPr>
                <w:rFonts w:hint="eastAsia" w:ascii="宋体" w:hAnsi="宋体" w:cs="宋体"/>
                <w:color w:val="auto"/>
                <w:highlight w:val="none"/>
              </w:rPr>
              <w:t>(可调)</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7、处理能力：0.2-3kg/h。</w:t>
            </w:r>
            <w:r>
              <w:rPr>
                <w:rFonts w:hint="eastAsia" w:ascii="宋体" w:hAnsi="宋体" w:cs="宋体"/>
                <w:color w:val="auto"/>
                <w:highlight w:val="none"/>
              </w:rPr>
              <w:br w:type="textWrapping"/>
            </w:r>
            <w:r>
              <w:rPr>
                <w:rFonts w:hint="eastAsia" w:ascii="宋体" w:hAnsi="宋体" w:cs="宋体"/>
                <w:color w:val="auto"/>
                <w:highlight w:val="none"/>
              </w:rPr>
              <w:t>8、耗气量：≤1m</w:t>
            </w:r>
            <w:r>
              <w:rPr>
                <w:rFonts w:hint="eastAsia" w:ascii="宋体" w:hAnsi="宋体" w:cs="宋体"/>
                <w:color w:val="auto"/>
                <w:highlight w:val="none"/>
                <w:vertAlign w:val="superscript"/>
              </w:rPr>
              <w:t>3</w:t>
            </w:r>
            <w:r>
              <w:rPr>
                <w:rFonts w:hint="eastAsia" w:ascii="宋体" w:hAnsi="宋体" w:cs="宋体"/>
                <w:color w:val="auto"/>
                <w:highlight w:val="none"/>
              </w:rPr>
              <w:t>/min</w:t>
            </w:r>
            <w:r>
              <w:rPr>
                <w:rFonts w:hint="eastAsia" w:ascii="宋体" w:hAnsi="宋体" w:cs="宋体"/>
                <w:color w:val="auto"/>
                <w:highlight w:val="none"/>
              </w:rPr>
              <w:br w:type="textWrapping"/>
            </w:r>
            <w:r>
              <w:rPr>
                <w:rFonts w:hint="eastAsia" w:ascii="宋体" w:hAnsi="宋体" w:cs="宋体"/>
                <w:color w:val="auto"/>
                <w:highlight w:val="none"/>
              </w:rPr>
              <w:t>9、设备外形尺寸：≤L</w:t>
            </w:r>
            <w:r>
              <w:rPr>
                <w:rFonts w:hint="eastAsia" w:ascii="宋体" w:hAnsi="宋体" w:cs="宋体"/>
                <w:color w:val="auto"/>
                <w:highlight w:val="none"/>
                <w:lang w:val="en-US" w:eastAsia="zh-CN"/>
              </w:rPr>
              <w:t xml:space="preserve"> </w:t>
            </w:r>
            <w:r>
              <w:rPr>
                <w:rFonts w:hint="eastAsia" w:ascii="宋体" w:hAnsi="宋体" w:cs="宋体"/>
                <w:color w:val="auto"/>
                <w:highlight w:val="none"/>
              </w:rPr>
              <w:t>1.2m*W</w:t>
            </w:r>
            <w:r>
              <w:rPr>
                <w:rFonts w:hint="eastAsia" w:ascii="宋体" w:hAnsi="宋体" w:cs="宋体"/>
                <w:color w:val="auto"/>
                <w:highlight w:val="none"/>
                <w:lang w:val="en-US" w:eastAsia="zh-CN"/>
              </w:rPr>
              <w:t xml:space="preserve"> </w:t>
            </w:r>
            <w:r>
              <w:rPr>
                <w:rFonts w:hint="eastAsia" w:ascii="宋体" w:hAnsi="宋体" w:cs="宋体"/>
                <w:color w:val="auto"/>
                <w:highlight w:val="none"/>
              </w:rPr>
              <w:t>0.8m*H</w:t>
            </w:r>
            <w:r>
              <w:rPr>
                <w:rFonts w:hint="eastAsia" w:ascii="宋体" w:hAnsi="宋体" w:cs="宋体"/>
                <w:color w:val="auto"/>
                <w:highlight w:val="none"/>
                <w:lang w:val="en-US" w:eastAsia="zh-CN"/>
              </w:rPr>
              <w:t xml:space="preserve"> </w:t>
            </w:r>
            <w:r>
              <w:rPr>
                <w:rFonts w:hint="eastAsia" w:ascii="宋体" w:hAnsi="宋体" w:cs="宋体"/>
                <w:color w:val="auto"/>
                <w:highlight w:val="none"/>
              </w:rPr>
              <w:t>1.7m</w:t>
            </w:r>
            <w:r>
              <w:rPr>
                <w:rFonts w:hint="eastAsia" w:ascii="宋体" w:hAnsi="宋体" w:cs="宋体"/>
                <w:color w:val="auto"/>
                <w:highlight w:val="none"/>
              </w:rPr>
              <w:br w:type="textWrapping"/>
            </w:r>
            <w:r>
              <w:rPr>
                <w:rFonts w:hint="eastAsia" w:ascii="宋体" w:hAnsi="宋体" w:cs="宋体"/>
                <w:color w:val="auto"/>
                <w:highlight w:val="none"/>
              </w:rPr>
              <w:t>10、最小投料量：&gt;500ml</w:t>
            </w:r>
            <w:r>
              <w:rPr>
                <w:rFonts w:hint="eastAsia" w:ascii="宋体" w:hAnsi="宋体" w:cs="宋体"/>
                <w:color w:val="auto"/>
                <w:highlight w:val="none"/>
              </w:rPr>
              <w:br w:type="textWrapping"/>
            </w:r>
            <w:r>
              <w:rPr>
                <w:rFonts w:hint="eastAsia" w:ascii="宋体" w:hAnsi="宋体" w:cs="宋体"/>
                <w:color w:val="auto"/>
                <w:highlight w:val="none"/>
              </w:rPr>
              <w:t>11、加料系统：采用电磁振动给料机，含料斗(容积：5-10L)，给料量均匀可调.</w:t>
            </w:r>
            <w:r>
              <w:rPr>
                <w:rFonts w:hint="eastAsia" w:ascii="宋体" w:hAnsi="宋体" w:cs="宋体"/>
                <w:color w:val="auto"/>
                <w:highlight w:val="none"/>
              </w:rPr>
              <w:br w:type="textWrapping"/>
            </w:r>
            <w:r>
              <w:rPr>
                <w:rFonts w:hint="eastAsia" w:ascii="宋体" w:hAnsi="宋体" w:cs="宋体"/>
                <w:color w:val="auto"/>
                <w:highlight w:val="none"/>
              </w:rPr>
              <w:t>12、涡轮气流分级机：外置密封方式,高速变频电机，调频范围5-100Hz；设置有独特气密封装置</w:t>
            </w:r>
            <w:r>
              <w:rPr>
                <w:rFonts w:hint="eastAsia" w:ascii="宋体" w:hAnsi="宋体" w:cs="宋体"/>
                <w:color w:val="auto"/>
                <w:highlight w:val="none"/>
              </w:rPr>
              <w:br w:type="textWrapping"/>
            </w:r>
            <w:r>
              <w:rPr>
                <w:rFonts w:hint="eastAsia" w:ascii="宋体" w:hAnsi="宋体" w:cs="宋体"/>
                <w:color w:val="auto"/>
                <w:highlight w:val="none"/>
              </w:rPr>
              <w:t>13、高效滤筒式收集器：采用滤筒式收集器，PTFE覆膜滤材收集效率≥99.99%；腔体内衬PTFE材质</w:t>
            </w:r>
            <w:r>
              <w:rPr>
                <w:rFonts w:hint="eastAsia" w:ascii="宋体" w:hAnsi="宋体" w:cs="宋体"/>
                <w:color w:val="auto"/>
                <w:highlight w:val="none"/>
              </w:rPr>
              <w:br w:type="textWrapping"/>
            </w:r>
            <w:r>
              <w:rPr>
                <w:rFonts w:hint="eastAsia" w:ascii="宋体" w:hAnsi="宋体" w:cs="宋体"/>
                <w:color w:val="auto"/>
                <w:highlight w:val="none"/>
              </w:rPr>
              <w:t>14、电控操作系统：PLC+触摸屏可视化操作</w:t>
            </w:r>
            <w:r>
              <w:rPr>
                <w:rFonts w:hint="eastAsia" w:ascii="宋体" w:hAnsi="宋体" w:cs="宋体"/>
                <w:color w:val="auto"/>
                <w:highlight w:val="none"/>
              </w:rPr>
              <w:br w:type="textWrapping"/>
            </w:r>
            <w:r>
              <w:rPr>
                <w:rFonts w:hint="eastAsia" w:ascii="宋体" w:hAnsi="宋体" w:cs="宋体"/>
                <w:color w:val="auto"/>
                <w:highlight w:val="none"/>
              </w:rPr>
              <w:t>15、操作平台及机架：不锈钢材质，有轮子可移动</w:t>
            </w:r>
            <w:r>
              <w:rPr>
                <w:rFonts w:hint="eastAsia" w:ascii="宋体" w:hAnsi="宋体" w:cs="宋体"/>
                <w:color w:val="auto"/>
                <w:highlight w:val="none"/>
              </w:rPr>
              <w:br w:type="textWrapping"/>
            </w:r>
            <w:r>
              <w:rPr>
                <w:rFonts w:hint="eastAsia" w:ascii="宋体" w:hAnsi="宋体" w:cs="宋体"/>
                <w:color w:val="auto"/>
                <w:highlight w:val="none"/>
              </w:rPr>
              <w:t>16、高气密性下料阀及收料瓶：含阀门和收料瓶容积2000ml</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18、空压机：流量≥1.0m³/min, 压力1.0Mpa，功率7.5kw</w:t>
            </w:r>
            <w:r>
              <w:rPr>
                <w:rFonts w:hint="eastAsia" w:ascii="宋体" w:hAnsi="宋体" w:cs="宋体"/>
                <w:color w:val="auto"/>
                <w:highlight w:val="none"/>
              </w:rPr>
              <w:br w:type="textWrapping"/>
            </w:r>
            <w:r>
              <w:rPr>
                <w:rFonts w:hint="eastAsia" w:ascii="宋体" w:hAnsi="宋体" w:cs="宋体"/>
                <w:color w:val="auto"/>
                <w:highlight w:val="none"/>
              </w:rPr>
              <w:t>19、储气罐：容积≥0.2m³/min,压力：1.0Mpa</w:t>
            </w:r>
            <w:r>
              <w:rPr>
                <w:rFonts w:hint="eastAsia" w:ascii="宋体" w:hAnsi="宋体" w:cs="宋体"/>
                <w:color w:val="auto"/>
                <w:highlight w:val="none"/>
              </w:rPr>
              <w:br w:type="textWrapping"/>
            </w:r>
            <w:r>
              <w:rPr>
                <w:rFonts w:hint="eastAsia" w:ascii="宋体" w:hAnsi="宋体" w:cs="宋体"/>
                <w:color w:val="auto"/>
                <w:highlight w:val="none"/>
              </w:rPr>
              <w:t>20、冷干机：流量≥1.0m³/min,露点温度：2-10℃</w:t>
            </w:r>
          </w:p>
        </w:tc>
      </w:tr>
      <w:tr w14:paraId="486E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3C377949">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5</w:t>
            </w:r>
          </w:p>
        </w:tc>
        <w:tc>
          <w:tcPr>
            <w:tcW w:w="1387" w:type="dxa"/>
            <w:vAlign w:val="center"/>
          </w:tcPr>
          <w:p w14:paraId="3734ABBA">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机械整形机</w:t>
            </w:r>
          </w:p>
        </w:tc>
        <w:tc>
          <w:tcPr>
            <w:tcW w:w="6951" w:type="dxa"/>
            <w:vAlign w:val="center"/>
          </w:tcPr>
          <w:p w14:paraId="7AACDFF9">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1、可控制物料在整形机内的停留时间来控制颗粒的整形效果；</w:t>
            </w:r>
            <w:r>
              <w:rPr>
                <w:rFonts w:hint="eastAsia" w:ascii="宋体" w:hAnsi="宋体" w:cs="宋体"/>
                <w:color w:val="auto"/>
                <w:highlight w:val="none"/>
              </w:rPr>
              <w:br w:type="textWrapping"/>
            </w:r>
            <w:r>
              <w:rPr>
                <w:rFonts w:hint="eastAsia" w:ascii="宋体" w:hAnsi="宋体" w:cs="宋体"/>
                <w:color w:val="auto"/>
                <w:highlight w:val="none"/>
              </w:rPr>
              <w:t>2、整形强度可调，可根据不同的物料及不同的粒度设定不同参数；</w:t>
            </w:r>
          </w:p>
          <w:p w14:paraId="551958C1">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3、内部主要整形件采用合金及陶瓷材料做耐磨处理；负压软管进料，变频控制；</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4、整套设备需采用全封闭负压操作，除尘器采用诱导式脉冲清灰系统，PTFE 覆膜滤材，收集效率大于99.9%。</w:t>
            </w:r>
            <w:r>
              <w:rPr>
                <w:rFonts w:hint="eastAsia" w:ascii="宋体" w:hAnsi="宋体" w:cs="宋体"/>
                <w:color w:val="auto"/>
                <w:highlight w:val="none"/>
              </w:rPr>
              <w:br w:type="textWrapping"/>
            </w:r>
            <w:r>
              <w:rPr>
                <w:rFonts w:hint="eastAsia" w:ascii="宋体" w:hAnsi="宋体" w:cs="宋体"/>
                <w:color w:val="auto"/>
                <w:highlight w:val="none"/>
              </w:rPr>
              <w:t>5、涡轮气流分级机：立式分级机结构，带气密封装置，高速变频电机，粒度均匀可调；</w:t>
            </w:r>
            <w:r>
              <w:rPr>
                <w:rFonts w:hint="eastAsia" w:ascii="宋体" w:hAnsi="宋体" w:cs="宋体"/>
                <w:color w:val="auto"/>
                <w:highlight w:val="none"/>
              </w:rPr>
              <w:br w:type="textWrapping"/>
            </w:r>
            <w:r>
              <w:rPr>
                <w:rFonts w:hint="eastAsia" w:ascii="宋体" w:hAnsi="宋体" w:cs="宋体"/>
                <w:color w:val="auto"/>
                <w:highlight w:val="none"/>
              </w:rPr>
              <w:t xml:space="preserve">6、成品收集器：PTFE覆膜滤料，收集效率≥99.9%； </w:t>
            </w:r>
            <w:r>
              <w:rPr>
                <w:rFonts w:hint="eastAsia" w:ascii="宋体" w:hAnsi="宋体" w:cs="宋体"/>
                <w:color w:val="auto"/>
                <w:highlight w:val="none"/>
              </w:rPr>
              <w:br w:type="textWrapping"/>
            </w:r>
            <w:r>
              <w:rPr>
                <w:rFonts w:hint="eastAsia" w:ascii="宋体" w:hAnsi="宋体" w:cs="宋体"/>
                <w:color w:val="auto"/>
                <w:highlight w:val="none"/>
              </w:rPr>
              <w:t>7、高效滤筒收集器：PTFE覆膜滤料，收集效率≥99.9%；粉碎时用于粉碎后超细粉的收集，整形时用于超细粉的收集。</w:t>
            </w:r>
            <w:r>
              <w:rPr>
                <w:rFonts w:hint="eastAsia" w:ascii="宋体" w:hAnsi="宋体" w:cs="宋体"/>
                <w:color w:val="auto"/>
                <w:highlight w:val="none"/>
              </w:rPr>
              <w:br w:type="textWrapping"/>
            </w:r>
            <w:r>
              <w:rPr>
                <w:rFonts w:hint="eastAsia" w:ascii="宋体" w:hAnsi="宋体" w:cs="宋体"/>
                <w:color w:val="auto"/>
                <w:highlight w:val="none"/>
              </w:rPr>
              <w:t>8、电控操作系统：碳钢喷塑壳体，PLC/触摸屏</w:t>
            </w:r>
            <w:r>
              <w:rPr>
                <w:rFonts w:hint="eastAsia" w:ascii="宋体" w:hAnsi="宋体" w:cs="宋体"/>
                <w:color w:val="auto"/>
                <w:highlight w:val="none"/>
              </w:rPr>
              <w:br w:type="textWrapping"/>
            </w:r>
            <w:r>
              <w:rPr>
                <w:rFonts w:hint="eastAsia" w:ascii="宋体" w:hAnsi="宋体" w:cs="宋体"/>
                <w:color w:val="auto"/>
                <w:highlight w:val="none"/>
              </w:rPr>
              <w:t>9、平台机架：304不钢材质</w:t>
            </w:r>
          </w:p>
        </w:tc>
      </w:tr>
      <w:tr w14:paraId="46E7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5C490200">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6</w:t>
            </w:r>
          </w:p>
        </w:tc>
        <w:tc>
          <w:tcPr>
            <w:tcW w:w="1387" w:type="dxa"/>
            <w:vAlign w:val="center"/>
          </w:tcPr>
          <w:p w14:paraId="77DE9D94">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lang w:eastAsia="zh-CN"/>
              </w:rPr>
              <w:t>电子</w:t>
            </w:r>
            <w:r>
              <w:rPr>
                <w:rFonts w:hint="eastAsia" w:ascii="宋体" w:hAnsi="宋体" w:cs="宋体"/>
                <w:color w:val="auto"/>
                <w:highlight w:val="none"/>
              </w:rPr>
              <w:t>天平</w:t>
            </w:r>
          </w:p>
        </w:tc>
        <w:tc>
          <w:tcPr>
            <w:tcW w:w="6951" w:type="dxa"/>
            <w:vAlign w:val="center"/>
          </w:tcPr>
          <w:p w14:paraId="32501FF7">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1.最大称量值：≥120g</w:t>
            </w:r>
            <w:r>
              <w:rPr>
                <w:rFonts w:hint="eastAsia" w:ascii="宋体" w:hAnsi="宋体" w:cs="宋体"/>
                <w:color w:val="auto"/>
                <w:highlight w:val="none"/>
              </w:rPr>
              <w:br w:type="textWrapping"/>
            </w:r>
            <w:r>
              <w:rPr>
                <w:rFonts w:hint="eastAsia" w:ascii="宋体" w:hAnsi="宋体" w:cs="宋体"/>
                <w:color w:val="auto"/>
                <w:highlight w:val="none"/>
              </w:rPr>
              <w:t>2.可读性：0.1mg</w:t>
            </w:r>
            <w:r>
              <w:rPr>
                <w:rFonts w:hint="eastAsia" w:ascii="宋体" w:hAnsi="宋体" w:cs="宋体"/>
                <w:color w:val="auto"/>
                <w:highlight w:val="none"/>
              </w:rPr>
              <w:br w:type="textWrapping"/>
            </w:r>
            <w:r>
              <w:rPr>
                <w:rFonts w:hint="eastAsia" w:ascii="宋体" w:hAnsi="宋体" w:cs="宋体"/>
                <w:color w:val="auto"/>
                <w:highlight w:val="none"/>
              </w:rPr>
              <w:t>3.典型值重复性：≤0.08mg，</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4.典型值线性偏差: ≤ 0.08mg</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5.典型值最小称量值（USP，允差 = 0.10%）：≤160mg</w:t>
            </w:r>
            <w:r>
              <w:rPr>
                <w:rFonts w:hint="eastAsia" w:ascii="宋体" w:hAnsi="宋体" w:cs="宋体"/>
                <w:color w:val="auto"/>
                <w:highlight w:val="none"/>
              </w:rPr>
              <w:br w:type="textWrapping"/>
            </w:r>
            <w:r>
              <w:rPr>
                <w:rFonts w:hint="eastAsia" w:ascii="宋体" w:hAnsi="宋体" w:cs="宋体"/>
                <w:color w:val="auto"/>
                <w:highlight w:val="none"/>
              </w:rPr>
              <w:t>7.秤盘外形尺寸： Ø80mm</w:t>
            </w:r>
            <w:r>
              <w:rPr>
                <w:rFonts w:hint="eastAsia" w:ascii="宋体" w:hAnsi="宋体" w:cs="宋体"/>
                <w:color w:val="auto"/>
                <w:highlight w:val="none"/>
              </w:rPr>
              <w:br w:type="textWrapping"/>
            </w:r>
            <w:r>
              <w:rPr>
                <w:rFonts w:hint="eastAsia" w:ascii="宋体" w:hAnsi="宋体" w:cs="宋体"/>
                <w:color w:val="auto"/>
                <w:highlight w:val="none"/>
              </w:rPr>
              <w:t>8.天平尺寸（宽*深*高） ≤210× 308× 345mm</w:t>
            </w:r>
            <w:r>
              <w:rPr>
                <w:rFonts w:hint="eastAsia" w:ascii="宋体" w:hAnsi="宋体" w:cs="宋体"/>
                <w:color w:val="auto"/>
                <w:highlight w:val="none"/>
              </w:rPr>
              <w:br w:type="textWrapping"/>
            </w:r>
            <w:r>
              <w:rPr>
                <w:rFonts w:hint="eastAsia" w:ascii="宋体" w:hAnsi="宋体" w:cs="宋体"/>
                <w:color w:val="auto"/>
                <w:highlight w:val="none"/>
              </w:rPr>
              <w:t>9.稳定时间：3s</w:t>
            </w:r>
            <w:r>
              <w:rPr>
                <w:rFonts w:hint="eastAsia" w:ascii="宋体" w:hAnsi="宋体" w:cs="宋体"/>
                <w:color w:val="auto"/>
                <w:highlight w:val="none"/>
              </w:rPr>
              <w:br w:type="textWrapping"/>
            </w:r>
            <w:r>
              <w:rPr>
                <w:rFonts w:hint="eastAsia" w:ascii="宋体" w:hAnsi="宋体" w:cs="宋体"/>
                <w:color w:val="auto"/>
                <w:highlight w:val="none"/>
              </w:rPr>
              <w:t>10.LCD 显示屏</w:t>
            </w:r>
            <w:r>
              <w:rPr>
                <w:rFonts w:hint="eastAsia" w:ascii="宋体" w:hAnsi="宋体" w:cs="宋体"/>
                <w:color w:val="auto"/>
                <w:highlight w:val="none"/>
              </w:rPr>
              <w:br w:type="textWrapping"/>
            </w:r>
            <w:r>
              <w:rPr>
                <w:rFonts w:hint="eastAsia" w:ascii="宋体" w:hAnsi="宋体" w:cs="宋体"/>
                <w:color w:val="auto"/>
                <w:highlight w:val="none"/>
              </w:rPr>
              <w:t>11.引导式操作，每个称量过程仅需按照屏幕上的操作引导进行操作</w:t>
            </w:r>
            <w:r>
              <w:rPr>
                <w:rFonts w:hint="eastAsia" w:ascii="宋体" w:hAnsi="宋体" w:cs="宋体"/>
                <w:color w:val="auto"/>
                <w:highlight w:val="none"/>
              </w:rPr>
              <w:br w:type="textWrapping"/>
            </w:r>
            <w:r>
              <w:rPr>
                <w:rFonts w:hint="eastAsia" w:ascii="宋体" w:hAnsi="宋体" w:cs="宋体"/>
                <w:color w:val="auto"/>
                <w:highlight w:val="none"/>
              </w:rPr>
              <w:t>12.标配RS232 接口，即插即用，自动识别外围设备</w:t>
            </w:r>
            <w:r>
              <w:rPr>
                <w:rFonts w:hint="eastAsia" w:ascii="宋体" w:hAnsi="宋体" w:cs="宋体"/>
                <w:color w:val="auto"/>
                <w:highlight w:val="none"/>
              </w:rPr>
              <w:br w:type="textWrapping"/>
            </w:r>
            <w:r>
              <w:rPr>
                <w:rFonts w:hint="eastAsia" w:ascii="宋体" w:hAnsi="宋体" w:cs="宋体"/>
                <w:color w:val="auto"/>
                <w:highlight w:val="none"/>
              </w:rPr>
              <w:t>13.金属底座和具有耐化学及酸碱腐蚀性的PBT外壳材料</w:t>
            </w:r>
            <w:r>
              <w:rPr>
                <w:rFonts w:hint="eastAsia" w:ascii="宋体" w:hAnsi="宋体" w:cs="宋体"/>
                <w:color w:val="auto"/>
                <w:highlight w:val="none"/>
              </w:rPr>
              <w:br w:type="textWrapping"/>
            </w:r>
            <w:r>
              <w:rPr>
                <w:rFonts w:hint="eastAsia" w:ascii="宋体" w:hAnsi="宋体" w:cs="宋体"/>
                <w:color w:val="auto"/>
                <w:highlight w:val="none"/>
              </w:rPr>
              <w:t xml:space="preserve">14.内置3种应用程序 </w:t>
            </w:r>
          </w:p>
        </w:tc>
      </w:tr>
      <w:tr w14:paraId="7F5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BFBD129">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7</w:t>
            </w:r>
          </w:p>
        </w:tc>
        <w:tc>
          <w:tcPr>
            <w:tcW w:w="1387" w:type="dxa"/>
            <w:vAlign w:val="center"/>
          </w:tcPr>
          <w:p w14:paraId="7693E031">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石墨体积密度测试仪</w:t>
            </w:r>
          </w:p>
        </w:tc>
        <w:tc>
          <w:tcPr>
            <w:tcW w:w="6951" w:type="dxa"/>
            <w:vAlign w:val="center"/>
          </w:tcPr>
          <w:p w14:paraId="220CB0E3">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w:t>
            </w:r>
            <w:r>
              <w:rPr>
                <w:rFonts w:hint="eastAsia" w:ascii="宋体" w:hAnsi="宋体" w:cs="宋体"/>
                <w:color w:val="auto"/>
                <w:highlight w:val="none"/>
              </w:rPr>
              <w:t>密度精度：≤ 0.001g/cm³</w:t>
            </w:r>
          </w:p>
          <w:p w14:paraId="5BEABC52">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2、</w:t>
            </w:r>
            <w:r>
              <w:rPr>
                <w:rFonts w:hint="eastAsia" w:ascii="宋体" w:hAnsi="宋体" w:cs="宋体"/>
                <w:color w:val="auto"/>
                <w:highlight w:val="none"/>
              </w:rPr>
              <w:t>密度范围：0.001~99.999g/cm³</w:t>
            </w:r>
          </w:p>
          <w:p w14:paraId="5747770B">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3、</w:t>
            </w:r>
            <w:r>
              <w:rPr>
                <w:rFonts w:hint="eastAsia" w:ascii="宋体" w:hAnsi="宋体" w:cs="宋体"/>
                <w:color w:val="auto"/>
                <w:highlight w:val="none"/>
              </w:rPr>
              <w:t>水槽尺寸：≥149*100*85mm</w:t>
            </w:r>
          </w:p>
          <w:p w14:paraId="6BAED85B">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4、</w:t>
            </w:r>
            <w:r>
              <w:rPr>
                <w:rFonts w:hint="eastAsia" w:ascii="宋体" w:hAnsi="宋体" w:cs="宋体"/>
                <w:color w:val="auto"/>
                <w:highlight w:val="none"/>
              </w:rPr>
              <w:t>控制器尺寸：≥4.3寸全彩触屏</w:t>
            </w:r>
          </w:p>
          <w:p w14:paraId="2DAF0276">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5、</w:t>
            </w:r>
            <w:r>
              <w:rPr>
                <w:rFonts w:hint="eastAsia" w:ascii="宋体" w:hAnsi="宋体" w:cs="宋体"/>
                <w:color w:val="auto"/>
                <w:highlight w:val="none"/>
              </w:rPr>
              <w:t>测量原理：阿基米德排水法</w:t>
            </w:r>
          </w:p>
          <w:p w14:paraId="2DFE35D2">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6、</w:t>
            </w:r>
            <w:r>
              <w:rPr>
                <w:rFonts w:hint="eastAsia" w:ascii="宋体" w:hAnsi="宋体" w:cs="宋体"/>
                <w:color w:val="auto"/>
                <w:highlight w:val="none"/>
              </w:rPr>
              <w:t>测量时间：约5秒</w:t>
            </w:r>
          </w:p>
          <w:p w14:paraId="0C6381AC">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7、</w:t>
            </w:r>
            <w:r>
              <w:rPr>
                <w:rFonts w:hint="eastAsia" w:ascii="宋体" w:hAnsi="宋体" w:cs="宋体"/>
                <w:color w:val="auto"/>
                <w:highlight w:val="none"/>
              </w:rPr>
              <w:t>结果显示：密度、比重、体积、孔隙率</w:t>
            </w:r>
          </w:p>
          <w:p w14:paraId="607268CB">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8、</w:t>
            </w:r>
            <w:r>
              <w:rPr>
                <w:rFonts w:hint="eastAsia" w:ascii="宋体" w:hAnsi="宋体" w:cs="宋体"/>
                <w:color w:val="auto"/>
                <w:highlight w:val="none"/>
              </w:rPr>
              <w:t>参数设定：水温设定、媒介液体密度设定</w:t>
            </w:r>
          </w:p>
          <w:p w14:paraId="202B0E43">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9、</w:t>
            </w:r>
            <w:r>
              <w:rPr>
                <w:rFonts w:hint="eastAsia" w:ascii="宋体" w:hAnsi="宋体" w:cs="宋体"/>
                <w:color w:val="auto"/>
                <w:highlight w:val="none"/>
              </w:rPr>
              <w:t>校正方式：一键自动校正</w:t>
            </w:r>
          </w:p>
          <w:p w14:paraId="2ECEE400">
            <w:pPr>
              <w:pStyle w:val="71"/>
              <w:widowControl w:val="0"/>
              <w:numPr>
                <w:ilvl w:val="0"/>
                <w:numId w:val="0"/>
              </w:numPr>
              <w:tabs>
                <w:tab w:val="left" w:pos="420"/>
              </w:tabs>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10、</w:t>
            </w:r>
            <w:r>
              <w:rPr>
                <w:rFonts w:hint="eastAsia" w:ascii="宋体" w:hAnsi="宋体" w:cs="宋体"/>
                <w:color w:val="auto"/>
                <w:highlight w:val="none"/>
              </w:rPr>
              <w:t>针对粉末样品，配置专用测量组件，直接读取分体真密度</w:t>
            </w:r>
          </w:p>
          <w:p w14:paraId="520DAEAA">
            <w:pPr>
              <w:pStyle w:val="71"/>
              <w:widowControl w:val="0"/>
              <w:numPr>
                <w:ilvl w:val="0"/>
                <w:numId w:val="0"/>
              </w:numPr>
              <w:tabs>
                <w:tab w:val="left" w:pos="420"/>
              </w:tabs>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11、</w:t>
            </w:r>
            <w:r>
              <w:rPr>
                <w:rFonts w:hint="eastAsia" w:ascii="宋体" w:hAnsi="宋体" w:cs="宋体"/>
                <w:color w:val="auto"/>
                <w:highlight w:val="none"/>
              </w:rPr>
              <w:t>温湿度范围：允许环境温度：0~60℃；允许相对湿度：80%以内</w:t>
            </w:r>
          </w:p>
          <w:p w14:paraId="71F2815A">
            <w:pPr>
              <w:pStyle w:val="71"/>
              <w:widowControl w:val="0"/>
              <w:numPr>
                <w:ilvl w:val="0"/>
                <w:numId w:val="0"/>
              </w:numPr>
              <w:tabs>
                <w:tab w:val="left" w:pos="420"/>
              </w:tabs>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12、</w:t>
            </w:r>
            <w:r>
              <w:rPr>
                <w:rFonts w:hint="eastAsia" w:ascii="宋体" w:hAnsi="宋体" w:cs="宋体"/>
                <w:color w:val="auto"/>
                <w:highlight w:val="none"/>
              </w:rPr>
              <w:t>电    源：AC~220V / 50HZ</w:t>
            </w:r>
          </w:p>
        </w:tc>
      </w:tr>
      <w:tr w14:paraId="652D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0BE0B08">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8</w:t>
            </w:r>
          </w:p>
        </w:tc>
        <w:tc>
          <w:tcPr>
            <w:tcW w:w="1387" w:type="dxa"/>
            <w:vAlign w:val="center"/>
          </w:tcPr>
          <w:p w14:paraId="35B9FD5C">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振实密度仪</w:t>
            </w:r>
          </w:p>
        </w:tc>
        <w:tc>
          <w:tcPr>
            <w:tcW w:w="6951" w:type="dxa"/>
            <w:vAlign w:val="center"/>
          </w:tcPr>
          <w:p w14:paraId="3B3988E4">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1、量   筒：25ml（两个），100ml（两个）</w:t>
            </w:r>
          </w:p>
          <w:p w14:paraId="29455DD5">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2、振   幅：3mm（±0.1mm）</w:t>
            </w:r>
            <w:r>
              <w:rPr>
                <w:rFonts w:hint="eastAsia" w:ascii="宋体" w:hAnsi="宋体" w:cs="宋体"/>
                <w:color w:val="auto"/>
                <w:highlight w:val="none"/>
              </w:rPr>
              <w:br w:type="textWrapping"/>
            </w:r>
            <w:r>
              <w:rPr>
                <w:rFonts w:hint="eastAsia" w:ascii="宋体" w:hAnsi="宋体" w:cs="宋体"/>
                <w:color w:val="auto"/>
                <w:highlight w:val="none"/>
              </w:rPr>
              <w:t>3、密度范围：0.1g/ml~19.9g/ml</w:t>
            </w:r>
            <w:r>
              <w:rPr>
                <w:rFonts w:hint="eastAsia" w:ascii="宋体" w:hAnsi="宋体" w:cs="宋体"/>
                <w:color w:val="auto"/>
                <w:highlight w:val="none"/>
              </w:rPr>
              <w:br w:type="textWrapping"/>
            </w:r>
            <w:r>
              <w:rPr>
                <w:rFonts w:hint="eastAsia" w:ascii="宋体" w:hAnsi="宋体" w:cs="宋体"/>
                <w:color w:val="auto"/>
                <w:highlight w:val="none"/>
              </w:rPr>
              <w:t>4、显示屏：≥5寸触摸屏</w:t>
            </w:r>
            <w:r>
              <w:rPr>
                <w:rFonts w:hint="eastAsia" w:ascii="宋体" w:hAnsi="宋体" w:cs="宋体"/>
                <w:color w:val="auto"/>
                <w:highlight w:val="none"/>
              </w:rPr>
              <w:br w:type="textWrapping"/>
            </w:r>
            <w:r>
              <w:rPr>
                <w:rFonts w:hint="eastAsia" w:ascii="宋体" w:hAnsi="宋体" w:cs="宋体"/>
                <w:color w:val="auto"/>
                <w:highlight w:val="none"/>
              </w:rPr>
              <w:t>5、重 复性：误差≤1%</w:t>
            </w:r>
            <w:r>
              <w:rPr>
                <w:rFonts w:hint="eastAsia" w:ascii="宋体" w:hAnsi="宋体" w:cs="宋体"/>
                <w:color w:val="auto"/>
                <w:highlight w:val="none"/>
              </w:rPr>
              <w:br w:type="textWrapping"/>
            </w:r>
            <w:r>
              <w:rPr>
                <w:rFonts w:hint="eastAsia" w:ascii="宋体" w:hAnsi="宋体" w:cs="宋体"/>
                <w:color w:val="auto"/>
                <w:highlight w:val="none"/>
              </w:rPr>
              <w:t xml:space="preserve">6、可靠性：可连续工作8小时 </w:t>
            </w:r>
            <w:r>
              <w:rPr>
                <w:rFonts w:hint="eastAsia" w:ascii="宋体" w:hAnsi="宋体" w:cs="宋体"/>
                <w:color w:val="auto"/>
                <w:highlight w:val="none"/>
              </w:rPr>
              <w:br w:type="textWrapping"/>
            </w:r>
            <w:r>
              <w:rPr>
                <w:rFonts w:hint="eastAsia" w:ascii="宋体" w:hAnsi="宋体" w:cs="宋体"/>
                <w:color w:val="auto"/>
                <w:highlight w:val="none"/>
              </w:rPr>
              <w:t>7、振实方式：上下振动+旋转</w:t>
            </w:r>
            <w:r>
              <w:rPr>
                <w:rFonts w:hint="eastAsia" w:ascii="宋体" w:hAnsi="宋体" w:cs="宋体"/>
                <w:color w:val="auto"/>
                <w:highlight w:val="none"/>
              </w:rPr>
              <w:br w:type="textWrapping"/>
            </w:r>
            <w:r>
              <w:rPr>
                <w:rFonts w:hint="eastAsia" w:ascii="宋体" w:hAnsi="宋体" w:cs="宋体"/>
                <w:color w:val="auto"/>
                <w:highlight w:val="none"/>
              </w:rPr>
              <w:t>8、流动指数：豪斯纳比、卡尔系数</w:t>
            </w:r>
            <w:r>
              <w:rPr>
                <w:rFonts w:hint="eastAsia" w:ascii="宋体" w:hAnsi="宋体" w:cs="宋体"/>
                <w:color w:val="auto"/>
                <w:highlight w:val="none"/>
              </w:rPr>
              <w:br w:type="textWrapping"/>
            </w:r>
            <w:r>
              <w:rPr>
                <w:rFonts w:hint="eastAsia" w:ascii="宋体" w:hAnsi="宋体" w:cs="宋体"/>
                <w:color w:val="auto"/>
                <w:highlight w:val="none"/>
              </w:rPr>
              <w:t>9、数据处理：单次测量自动计算</w:t>
            </w:r>
            <w:r>
              <w:rPr>
                <w:rFonts w:hint="eastAsia" w:ascii="宋体" w:hAnsi="宋体" w:cs="宋体"/>
                <w:color w:val="auto"/>
                <w:highlight w:val="none"/>
              </w:rPr>
              <w:br w:type="textWrapping"/>
            </w:r>
            <w:r>
              <w:rPr>
                <w:rFonts w:hint="eastAsia" w:ascii="宋体" w:hAnsi="宋体" w:cs="宋体"/>
                <w:color w:val="auto"/>
                <w:highlight w:val="none"/>
              </w:rPr>
              <w:t>10、振动频率：1~300次/分钟（可调）</w:t>
            </w:r>
            <w:r>
              <w:rPr>
                <w:rFonts w:hint="eastAsia" w:ascii="宋体" w:hAnsi="宋体" w:cs="宋体"/>
                <w:color w:val="auto"/>
                <w:highlight w:val="none"/>
              </w:rPr>
              <w:br w:type="textWrapping"/>
            </w:r>
            <w:r>
              <w:rPr>
                <w:rFonts w:hint="eastAsia" w:ascii="宋体" w:hAnsi="宋体" w:cs="宋体"/>
                <w:color w:val="auto"/>
                <w:highlight w:val="none"/>
              </w:rPr>
              <w:t>11、振动时长：0~60分钟内置嵌入式微型小票打印机</w:t>
            </w:r>
            <w:r>
              <w:rPr>
                <w:rFonts w:hint="eastAsia" w:ascii="宋体" w:hAnsi="宋体" w:cs="宋体"/>
                <w:color w:val="auto"/>
                <w:highlight w:val="none"/>
              </w:rPr>
              <w:br w:type="textWrapping"/>
            </w:r>
            <w:r>
              <w:rPr>
                <w:rFonts w:hint="eastAsia" w:ascii="宋体" w:hAnsi="宋体" w:cs="宋体"/>
                <w:color w:val="auto"/>
                <w:highlight w:val="none"/>
              </w:rPr>
              <w:t>12、工作环境：-20℃~50℃</w:t>
            </w:r>
            <w:r>
              <w:rPr>
                <w:rFonts w:hint="eastAsia" w:ascii="宋体" w:hAnsi="宋体" w:cs="宋体"/>
                <w:color w:val="auto"/>
                <w:highlight w:val="none"/>
              </w:rPr>
              <w:br w:type="textWrapping"/>
            </w:r>
            <w:r>
              <w:rPr>
                <w:rFonts w:hint="eastAsia" w:ascii="宋体" w:hAnsi="宋体" w:cs="宋体"/>
                <w:color w:val="auto"/>
                <w:highlight w:val="none"/>
              </w:rPr>
              <w:t>13、工作电压：AC220V±10%50HZ</w:t>
            </w:r>
          </w:p>
        </w:tc>
      </w:tr>
      <w:tr w14:paraId="5691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EB037C9">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9</w:t>
            </w:r>
          </w:p>
        </w:tc>
        <w:tc>
          <w:tcPr>
            <w:tcW w:w="1387" w:type="dxa"/>
            <w:vAlign w:val="center"/>
          </w:tcPr>
          <w:p w14:paraId="6958EACA">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鼓风干燥箱</w:t>
            </w:r>
          </w:p>
        </w:tc>
        <w:tc>
          <w:tcPr>
            <w:tcW w:w="6951" w:type="dxa"/>
            <w:vAlign w:val="center"/>
          </w:tcPr>
          <w:p w14:paraId="1334403F">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 xml:space="preserve">1、容积：≥136L； </w:t>
            </w:r>
            <w:r>
              <w:rPr>
                <w:rFonts w:hint="eastAsia" w:ascii="宋体" w:hAnsi="宋体" w:cs="宋体"/>
                <w:color w:val="auto"/>
                <w:highlight w:val="none"/>
              </w:rPr>
              <w:br w:type="textWrapping"/>
            </w:r>
            <w:r>
              <w:rPr>
                <w:rFonts w:hint="eastAsia" w:ascii="宋体" w:hAnsi="宋体" w:cs="宋体"/>
                <w:color w:val="auto"/>
                <w:highlight w:val="none"/>
              </w:rPr>
              <w:t>2、外形尺寸（mm）W*D*H：≤840*580*730</w:t>
            </w:r>
            <w:r>
              <w:rPr>
                <w:rFonts w:hint="eastAsia" w:ascii="宋体" w:hAnsi="宋体" w:cs="宋体"/>
                <w:color w:val="auto"/>
                <w:highlight w:val="none"/>
              </w:rPr>
              <w:br w:type="textWrapping"/>
            </w:r>
            <w:r>
              <w:rPr>
                <w:rFonts w:hint="eastAsia" w:ascii="宋体" w:hAnsi="宋体" w:cs="宋体"/>
                <w:color w:val="auto"/>
                <w:highlight w:val="none"/>
              </w:rPr>
              <w:t xml:space="preserve">3、内胆尺寸（mm）W*D*H：≥550*450*550 </w:t>
            </w:r>
            <w:r>
              <w:rPr>
                <w:rFonts w:hint="eastAsia" w:ascii="宋体" w:hAnsi="宋体" w:cs="宋体"/>
                <w:color w:val="auto"/>
                <w:highlight w:val="none"/>
              </w:rPr>
              <w:br w:type="textWrapping"/>
            </w:r>
            <w:r>
              <w:rPr>
                <w:rFonts w:hint="eastAsia" w:ascii="宋体" w:hAnsi="宋体" w:cs="宋体"/>
                <w:color w:val="auto"/>
                <w:highlight w:val="none"/>
              </w:rPr>
              <w:t xml:space="preserve">4、载物托架（标配）：2块 </w:t>
            </w:r>
            <w:r>
              <w:rPr>
                <w:rFonts w:hint="eastAsia" w:ascii="宋体" w:hAnsi="宋体" w:cs="宋体"/>
                <w:color w:val="auto"/>
                <w:highlight w:val="none"/>
              </w:rPr>
              <w:br w:type="textWrapping"/>
            </w:r>
            <w:r>
              <w:rPr>
                <w:rFonts w:hint="eastAsia" w:ascii="宋体" w:hAnsi="宋体" w:cs="宋体"/>
                <w:color w:val="auto"/>
                <w:highlight w:val="none"/>
              </w:rPr>
              <w:t xml:space="preserve">5、恒温波动度：≤±1℃ </w:t>
            </w:r>
            <w:r>
              <w:rPr>
                <w:rFonts w:hint="eastAsia" w:ascii="宋体" w:hAnsi="宋体" w:cs="宋体"/>
                <w:color w:val="auto"/>
                <w:highlight w:val="none"/>
              </w:rPr>
              <w:br w:type="textWrapping"/>
            </w:r>
            <w:r>
              <w:rPr>
                <w:rFonts w:hint="eastAsia" w:ascii="宋体" w:hAnsi="宋体" w:cs="宋体"/>
                <w:color w:val="auto"/>
                <w:highlight w:val="none"/>
              </w:rPr>
              <w:t xml:space="preserve">6、工作环境温度：+5～40℃ </w:t>
            </w:r>
            <w:r>
              <w:rPr>
                <w:rFonts w:hint="eastAsia" w:ascii="宋体" w:hAnsi="宋体" w:cs="宋体"/>
                <w:color w:val="auto"/>
                <w:highlight w:val="none"/>
              </w:rPr>
              <w:br w:type="textWrapping"/>
            </w:r>
            <w:r>
              <w:rPr>
                <w:rFonts w:hint="eastAsia" w:ascii="宋体" w:hAnsi="宋体" w:cs="宋体"/>
                <w:color w:val="auto"/>
                <w:highlight w:val="none"/>
              </w:rPr>
              <w:t xml:space="preserve">7、控制范围：RT+10～300℃ </w:t>
            </w:r>
            <w:r>
              <w:rPr>
                <w:rFonts w:hint="eastAsia" w:ascii="宋体" w:hAnsi="宋体" w:cs="宋体"/>
                <w:color w:val="auto"/>
                <w:highlight w:val="none"/>
              </w:rPr>
              <w:br w:type="textWrapping"/>
            </w:r>
            <w:r>
              <w:rPr>
                <w:rFonts w:hint="eastAsia" w:ascii="宋体" w:hAnsi="宋体" w:cs="宋体"/>
                <w:color w:val="auto"/>
                <w:highlight w:val="none"/>
              </w:rPr>
              <w:t>8、输入功率：≤2050W</w:t>
            </w:r>
          </w:p>
        </w:tc>
      </w:tr>
      <w:tr w14:paraId="57E8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2AFF65D">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10</w:t>
            </w:r>
          </w:p>
        </w:tc>
        <w:tc>
          <w:tcPr>
            <w:tcW w:w="1387" w:type="dxa"/>
            <w:vAlign w:val="center"/>
          </w:tcPr>
          <w:p w14:paraId="538B1DA8">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密封式制样</w:t>
            </w:r>
            <w:r>
              <w:rPr>
                <w:rFonts w:hint="eastAsia" w:ascii="宋体" w:hAnsi="宋体" w:cs="宋体"/>
                <w:color w:val="auto"/>
                <w:highlight w:val="none"/>
                <w:lang w:eastAsia="zh-CN"/>
              </w:rPr>
              <w:t>破碎</w:t>
            </w:r>
            <w:r>
              <w:rPr>
                <w:rFonts w:hint="eastAsia" w:ascii="宋体" w:hAnsi="宋体" w:cs="宋体"/>
                <w:color w:val="auto"/>
                <w:highlight w:val="none"/>
              </w:rPr>
              <w:t>机</w:t>
            </w:r>
          </w:p>
        </w:tc>
        <w:tc>
          <w:tcPr>
            <w:tcW w:w="6951" w:type="dxa"/>
            <w:vAlign w:val="center"/>
          </w:tcPr>
          <w:p w14:paraId="1AFDA800">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w:t>
            </w:r>
            <w:r>
              <w:rPr>
                <w:rFonts w:hint="eastAsia" w:ascii="宋体" w:hAnsi="宋体" w:cs="宋体"/>
                <w:color w:val="auto"/>
                <w:highlight w:val="none"/>
              </w:rPr>
              <w:t>进料粒度：≤20mm</w:t>
            </w:r>
          </w:p>
          <w:p w14:paraId="1022C60B">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2、</w:t>
            </w:r>
            <w:r>
              <w:rPr>
                <w:rFonts w:hint="eastAsia" w:ascii="宋体" w:hAnsi="宋体" w:cs="宋体"/>
                <w:color w:val="auto"/>
                <w:highlight w:val="none"/>
              </w:rPr>
              <w:t>出料粒度：≤80-300目</w:t>
            </w:r>
          </w:p>
          <w:p w14:paraId="211456C2">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3、</w:t>
            </w:r>
            <w:r>
              <w:rPr>
                <w:rFonts w:hint="eastAsia" w:ascii="宋体" w:hAnsi="宋体" w:cs="宋体"/>
                <w:color w:val="auto"/>
                <w:highlight w:val="none"/>
              </w:rPr>
              <w:t>钵体进料量：≥200克</w:t>
            </w:r>
          </w:p>
          <w:p w14:paraId="24512440">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4、</w:t>
            </w:r>
            <w:r>
              <w:rPr>
                <w:rFonts w:hint="eastAsia" w:ascii="宋体" w:hAnsi="宋体" w:cs="宋体"/>
                <w:color w:val="auto"/>
                <w:highlight w:val="none"/>
              </w:rPr>
              <w:t>尺寸：≤550*550*750mm</w:t>
            </w:r>
          </w:p>
        </w:tc>
      </w:tr>
      <w:tr w14:paraId="0346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08F41255">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11</w:t>
            </w:r>
          </w:p>
        </w:tc>
        <w:tc>
          <w:tcPr>
            <w:tcW w:w="1387" w:type="dxa"/>
            <w:vAlign w:val="center"/>
          </w:tcPr>
          <w:p w14:paraId="166FF6C3">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三维混合机</w:t>
            </w:r>
          </w:p>
        </w:tc>
        <w:tc>
          <w:tcPr>
            <w:tcW w:w="6951" w:type="dxa"/>
            <w:vAlign w:val="center"/>
          </w:tcPr>
          <w:p w14:paraId="605A4CF0">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 xml:space="preserve">1、 混合桶容积：≥5L </w:t>
            </w:r>
            <w:r>
              <w:rPr>
                <w:rFonts w:hint="eastAsia" w:ascii="宋体" w:hAnsi="宋体" w:cs="宋体"/>
                <w:color w:val="auto"/>
                <w:highlight w:val="none"/>
              </w:rPr>
              <w:br w:type="textWrapping"/>
            </w:r>
            <w:r>
              <w:rPr>
                <w:rFonts w:hint="eastAsia" w:ascii="宋体" w:hAnsi="宋体" w:cs="宋体"/>
                <w:color w:val="auto"/>
                <w:highlight w:val="none"/>
              </w:rPr>
              <w:t xml:space="preserve">2、 工作容积：≥ 2.5L </w:t>
            </w:r>
            <w:r>
              <w:rPr>
                <w:rFonts w:hint="eastAsia" w:ascii="宋体" w:hAnsi="宋体" w:cs="宋体"/>
                <w:color w:val="auto"/>
                <w:highlight w:val="none"/>
              </w:rPr>
              <w:br w:type="textWrapping"/>
            </w:r>
            <w:r>
              <w:rPr>
                <w:rFonts w:hint="eastAsia" w:ascii="宋体" w:hAnsi="宋体" w:cs="宋体"/>
                <w:color w:val="auto"/>
                <w:highlight w:val="none"/>
              </w:rPr>
              <w:t xml:space="preserve">3、 最佳装量：≥ 1.7kg </w:t>
            </w:r>
            <w:r>
              <w:rPr>
                <w:rFonts w:hint="eastAsia" w:ascii="宋体" w:hAnsi="宋体" w:cs="宋体"/>
                <w:color w:val="auto"/>
                <w:highlight w:val="none"/>
              </w:rPr>
              <w:br w:type="textWrapping"/>
            </w:r>
            <w:r>
              <w:rPr>
                <w:rFonts w:hint="eastAsia" w:ascii="宋体" w:hAnsi="宋体" w:cs="宋体"/>
                <w:color w:val="auto"/>
                <w:highlight w:val="none"/>
              </w:rPr>
              <w:t xml:space="preserve">4、 主轴转速：≥ 20转/min </w:t>
            </w:r>
            <w:r>
              <w:rPr>
                <w:rFonts w:hint="eastAsia" w:ascii="宋体" w:hAnsi="宋体" w:cs="宋体"/>
                <w:color w:val="auto"/>
                <w:highlight w:val="none"/>
              </w:rPr>
              <w:br w:type="textWrapping"/>
            </w:r>
            <w:r>
              <w:rPr>
                <w:rFonts w:hint="eastAsia" w:ascii="宋体" w:hAnsi="宋体" w:cs="宋体"/>
                <w:color w:val="auto"/>
                <w:highlight w:val="none"/>
              </w:rPr>
              <w:t xml:space="preserve">5、 功率： ≤0.75kw </w:t>
            </w:r>
            <w:r>
              <w:rPr>
                <w:rFonts w:hint="eastAsia" w:ascii="宋体" w:hAnsi="宋体" w:cs="宋体"/>
                <w:color w:val="auto"/>
                <w:highlight w:val="none"/>
              </w:rPr>
              <w:br w:type="textWrapping"/>
            </w:r>
            <w:r>
              <w:rPr>
                <w:rFonts w:hint="eastAsia" w:ascii="宋体" w:hAnsi="宋体" w:cs="宋体"/>
                <w:color w:val="auto"/>
                <w:highlight w:val="none"/>
              </w:rPr>
              <w:t xml:space="preserve">6、 外形尺寸：≤640*755*660mm </w:t>
            </w:r>
            <w:r>
              <w:rPr>
                <w:rFonts w:hint="eastAsia" w:ascii="宋体" w:hAnsi="宋体" w:cs="宋体"/>
                <w:color w:val="auto"/>
                <w:highlight w:val="none"/>
              </w:rPr>
              <w:br w:type="textWrapping"/>
            </w:r>
            <w:r>
              <w:rPr>
                <w:rFonts w:hint="eastAsia" w:ascii="宋体" w:hAnsi="宋体" w:cs="宋体"/>
                <w:color w:val="auto"/>
                <w:highlight w:val="none"/>
              </w:rPr>
              <w:t>7、 重量：≤90kg</w:t>
            </w:r>
          </w:p>
        </w:tc>
      </w:tr>
      <w:tr w14:paraId="5D01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0A62DA5">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12</w:t>
            </w:r>
          </w:p>
        </w:tc>
        <w:tc>
          <w:tcPr>
            <w:tcW w:w="1387" w:type="dxa"/>
            <w:vAlign w:val="center"/>
          </w:tcPr>
          <w:p w14:paraId="4231EE48">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箱式气氛焙烧炉</w:t>
            </w:r>
          </w:p>
        </w:tc>
        <w:tc>
          <w:tcPr>
            <w:tcW w:w="6951" w:type="dxa"/>
            <w:vAlign w:val="center"/>
          </w:tcPr>
          <w:p w14:paraId="108F1ABF">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 xml:space="preserve">1、炉膛材料：氧化铝陶瓷纤维炉膛 </w:t>
            </w:r>
            <w:r>
              <w:rPr>
                <w:rFonts w:hint="eastAsia" w:ascii="宋体" w:hAnsi="宋体" w:cs="宋体"/>
                <w:color w:val="auto"/>
                <w:highlight w:val="none"/>
              </w:rPr>
              <w:br w:type="textWrapping"/>
            </w:r>
            <w:r>
              <w:rPr>
                <w:rFonts w:hint="eastAsia" w:ascii="宋体" w:hAnsi="宋体" w:cs="宋体"/>
                <w:color w:val="auto"/>
                <w:highlight w:val="none"/>
              </w:rPr>
              <w:t>2、炉体外壳采用Q235优质冷轧管材和板材</w:t>
            </w:r>
            <w:r>
              <w:rPr>
                <w:rFonts w:hint="eastAsia" w:ascii="宋体" w:hAnsi="宋体" w:cs="宋体"/>
                <w:color w:val="auto"/>
                <w:highlight w:val="none"/>
              </w:rPr>
              <w:br w:type="textWrapping"/>
            </w:r>
            <w:r>
              <w:rPr>
                <w:rFonts w:hint="eastAsia" w:ascii="宋体" w:hAnsi="宋体" w:cs="宋体"/>
                <w:color w:val="auto"/>
                <w:highlight w:val="none"/>
              </w:rPr>
              <w:t>3、炉门： CNC数控加工，台阶式耦合密封</w:t>
            </w:r>
            <w:r>
              <w:rPr>
                <w:rFonts w:hint="eastAsia" w:ascii="宋体" w:hAnsi="宋体" w:cs="宋体"/>
                <w:color w:val="auto"/>
                <w:highlight w:val="none"/>
              </w:rPr>
              <w:br w:type="textWrapping"/>
            </w:r>
            <w:r>
              <w:rPr>
                <w:rFonts w:hint="eastAsia" w:ascii="宋体" w:hAnsi="宋体" w:cs="宋体"/>
                <w:color w:val="auto"/>
                <w:highlight w:val="none"/>
              </w:rPr>
              <w:t>4、温度控制：微电脑温度程序控制器，30段可编程控制器，实现自动控制和运行</w:t>
            </w:r>
            <w:r>
              <w:rPr>
                <w:rFonts w:hint="eastAsia" w:ascii="宋体" w:hAnsi="宋体" w:cs="宋体"/>
                <w:color w:val="auto"/>
                <w:highlight w:val="none"/>
              </w:rPr>
              <w:br w:type="textWrapping"/>
            </w:r>
            <w:r>
              <w:rPr>
                <w:rFonts w:hint="eastAsia" w:ascii="宋体" w:hAnsi="宋体" w:cs="宋体"/>
                <w:color w:val="auto"/>
                <w:highlight w:val="none"/>
              </w:rPr>
              <w:t>5、安全保护：具有过温保护器，电阻炉异常报警功能，超温报警、断偶报警、声光报警</w:t>
            </w:r>
            <w:r>
              <w:rPr>
                <w:rFonts w:hint="eastAsia" w:ascii="宋体" w:hAnsi="宋体" w:cs="宋体"/>
                <w:color w:val="auto"/>
                <w:highlight w:val="none"/>
              </w:rPr>
              <w:br w:type="textWrapping"/>
            </w:r>
            <w:r>
              <w:rPr>
                <w:rFonts w:hint="eastAsia" w:ascii="宋体" w:hAnsi="宋体" w:cs="宋体"/>
                <w:color w:val="auto"/>
                <w:highlight w:val="none"/>
              </w:rPr>
              <w:t>6、炉膛尺寸：≥300mm（宽）×500mm（深）×300mm（高）</w:t>
            </w:r>
            <w:r>
              <w:rPr>
                <w:rFonts w:hint="eastAsia" w:ascii="宋体" w:hAnsi="宋体" w:cs="宋体"/>
                <w:color w:val="auto"/>
                <w:highlight w:val="none"/>
              </w:rPr>
              <w:br w:type="textWrapping"/>
            </w:r>
            <w:r>
              <w:rPr>
                <w:rFonts w:hint="eastAsia" w:ascii="宋体" w:hAnsi="宋体" w:cs="宋体"/>
                <w:color w:val="auto"/>
                <w:highlight w:val="none"/>
              </w:rPr>
              <w:t>7、额定最高温度：≥1400℃</w:t>
            </w:r>
            <w:r>
              <w:rPr>
                <w:rFonts w:hint="eastAsia" w:ascii="宋体" w:hAnsi="宋体" w:cs="宋体"/>
                <w:color w:val="auto"/>
                <w:highlight w:val="none"/>
              </w:rPr>
              <w:br w:type="textWrapping"/>
            </w:r>
            <w:r>
              <w:rPr>
                <w:rFonts w:hint="eastAsia" w:ascii="宋体" w:hAnsi="宋体" w:cs="宋体"/>
                <w:color w:val="auto"/>
                <w:highlight w:val="none"/>
                <w:lang w:eastAsia="zh-CN"/>
              </w:rPr>
              <w:t>▲</w:t>
            </w:r>
            <w:r>
              <w:rPr>
                <w:rFonts w:hint="eastAsia" w:ascii="宋体" w:hAnsi="宋体" w:cs="宋体"/>
                <w:color w:val="auto"/>
                <w:highlight w:val="none"/>
              </w:rPr>
              <w:t>8、长期工作温度：≥1300℃</w:t>
            </w:r>
            <w:r>
              <w:rPr>
                <w:rFonts w:hint="eastAsia" w:ascii="宋体" w:hAnsi="宋体" w:cs="宋体"/>
                <w:color w:val="auto"/>
                <w:highlight w:val="none"/>
              </w:rPr>
              <w:br w:type="textWrapping"/>
            </w:r>
            <w:r>
              <w:rPr>
                <w:rFonts w:hint="eastAsia" w:ascii="宋体" w:hAnsi="宋体" w:cs="宋体"/>
                <w:color w:val="auto"/>
                <w:highlight w:val="none"/>
              </w:rPr>
              <w:t>9、温度稳定性：±1℃</w:t>
            </w:r>
            <w:r>
              <w:rPr>
                <w:rFonts w:hint="eastAsia" w:ascii="宋体" w:hAnsi="宋体" w:cs="宋体"/>
                <w:color w:val="auto"/>
                <w:highlight w:val="none"/>
              </w:rPr>
              <w:br w:type="textWrapping"/>
            </w:r>
            <w:r>
              <w:rPr>
                <w:rFonts w:hint="eastAsia" w:ascii="宋体" w:hAnsi="宋体" w:cs="宋体"/>
                <w:color w:val="auto"/>
                <w:highlight w:val="none"/>
              </w:rPr>
              <w:t>10、升温速度：1-30℃/min，可根据工艺自由调节</w:t>
            </w:r>
            <w:r>
              <w:rPr>
                <w:rFonts w:hint="eastAsia" w:ascii="宋体" w:hAnsi="宋体" w:cs="宋体"/>
                <w:color w:val="auto"/>
                <w:highlight w:val="none"/>
              </w:rPr>
              <w:br w:type="textWrapping"/>
            </w:r>
            <w:r>
              <w:rPr>
                <w:rFonts w:hint="eastAsia" w:ascii="宋体" w:hAnsi="宋体" w:cs="宋体"/>
                <w:color w:val="auto"/>
                <w:highlight w:val="none"/>
              </w:rPr>
              <w:t>11、电源功率：AC380V，15KW， 50HZ</w:t>
            </w:r>
            <w:r>
              <w:rPr>
                <w:rFonts w:hint="eastAsia" w:ascii="宋体" w:hAnsi="宋体" w:cs="宋体"/>
                <w:color w:val="auto"/>
                <w:highlight w:val="none"/>
              </w:rPr>
              <w:br w:type="textWrapping"/>
            </w:r>
            <w:r>
              <w:rPr>
                <w:rFonts w:hint="eastAsia" w:ascii="宋体" w:hAnsi="宋体" w:cs="宋体"/>
                <w:color w:val="auto"/>
                <w:highlight w:val="none"/>
              </w:rPr>
              <w:t>12、采用不小于7英寸触控屏智能微电脑PID温控仪表，可在线实时记录升温曲线，有存储功能，可自动保存数据，设计有USB接口，可用U盘拷贝数据到计算机</w:t>
            </w:r>
            <w:r>
              <w:rPr>
                <w:rFonts w:hint="eastAsia" w:ascii="宋体" w:hAnsi="宋体" w:cs="宋体"/>
                <w:color w:val="auto"/>
                <w:highlight w:val="none"/>
              </w:rPr>
              <w:br w:type="textWrapping"/>
            </w:r>
            <w:r>
              <w:rPr>
                <w:rFonts w:hint="eastAsia" w:ascii="宋体" w:hAnsi="宋体" w:cs="宋体"/>
                <w:color w:val="auto"/>
                <w:highlight w:val="none"/>
              </w:rPr>
              <w:t>13、高品质U型硅碳棒，硅碳棒垂直安装，均匀的分布在炉膛两侧</w:t>
            </w:r>
            <w:r>
              <w:rPr>
                <w:rFonts w:hint="eastAsia" w:ascii="宋体" w:hAnsi="宋体" w:cs="宋体"/>
                <w:color w:val="auto"/>
                <w:highlight w:val="none"/>
              </w:rPr>
              <w:br w:type="textWrapping"/>
            </w:r>
            <w:r>
              <w:rPr>
                <w:rFonts w:hint="eastAsia" w:ascii="宋体" w:hAnsi="宋体" w:cs="宋体"/>
                <w:color w:val="auto"/>
                <w:highlight w:val="none"/>
              </w:rPr>
              <w:t>14、S型铂铑热电偶，测温范围0-1600℃</w:t>
            </w:r>
            <w:r>
              <w:rPr>
                <w:rFonts w:hint="eastAsia" w:ascii="宋体" w:hAnsi="宋体" w:cs="宋体"/>
                <w:color w:val="auto"/>
                <w:highlight w:val="none"/>
              </w:rPr>
              <w:br w:type="textWrapping"/>
            </w:r>
            <w:r>
              <w:rPr>
                <w:rFonts w:hint="eastAsia" w:ascii="宋体" w:hAnsi="宋体" w:cs="宋体"/>
                <w:color w:val="auto"/>
                <w:highlight w:val="none"/>
              </w:rPr>
              <w:t>15、设备面板装有1路浮子流量计，流量计量程1-10L/min</w:t>
            </w:r>
            <w:r>
              <w:rPr>
                <w:rFonts w:hint="eastAsia" w:ascii="宋体" w:hAnsi="宋体" w:cs="宋体"/>
                <w:color w:val="auto"/>
                <w:highlight w:val="none"/>
              </w:rPr>
              <w:br w:type="textWrapping"/>
            </w:r>
            <w:r>
              <w:rPr>
                <w:rFonts w:hint="eastAsia" w:ascii="宋体" w:hAnsi="宋体" w:cs="宋体"/>
                <w:color w:val="auto"/>
                <w:highlight w:val="none"/>
              </w:rPr>
              <w:t>16、机械指针式真空压力表，压力表量程-0.1Mpa-0.15Mpa</w:t>
            </w:r>
            <w:r>
              <w:rPr>
                <w:rFonts w:hint="eastAsia" w:ascii="宋体" w:hAnsi="宋体" w:cs="宋体"/>
                <w:color w:val="auto"/>
                <w:highlight w:val="none"/>
              </w:rPr>
              <w:br w:type="textWrapping"/>
            </w:r>
            <w:r>
              <w:rPr>
                <w:rFonts w:hint="eastAsia" w:ascii="宋体" w:hAnsi="宋体" w:cs="宋体"/>
                <w:color w:val="auto"/>
                <w:highlight w:val="none"/>
              </w:rPr>
              <w:t>17、配有旋片式真空泵1台，系统真空度：-0.098Mpa，抽速：≥8L/S</w:t>
            </w:r>
          </w:p>
        </w:tc>
      </w:tr>
      <w:tr w14:paraId="778D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B625BFF">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13</w:t>
            </w:r>
          </w:p>
        </w:tc>
        <w:tc>
          <w:tcPr>
            <w:tcW w:w="1387" w:type="dxa"/>
            <w:vAlign w:val="center"/>
          </w:tcPr>
          <w:p w14:paraId="7770179B">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电动四柱液压机</w:t>
            </w:r>
          </w:p>
        </w:tc>
        <w:tc>
          <w:tcPr>
            <w:tcW w:w="6951" w:type="dxa"/>
            <w:vAlign w:val="center"/>
          </w:tcPr>
          <w:p w14:paraId="22468A93">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1、</w:t>
            </w:r>
            <w:r>
              <w:rPr>
                <w:rFonts w:hint="eastAsia" w:ascii="宋体" w:hAnsi="宋体" w:cs="宋体"/>
                <w:color w:val="auto"/>
                <w:highlight w:val="none"/>
              </w:rPr>
              <w:t>额定压力：≥200吨</w:t>
            </w:r>
          </w:p>
          <w:p w14:paraId="073EE739">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2、</w:t>
            </w:r>
            <w:r>
              <w:rPr>
                <w:rFonts w:hint="eastAsia" w:ascii="宋体" w:hAnsi="宋体" w:cs="宋体"/>
                <w:color w:val="auto"/>
                <w:highlight w:val="none"/>
              </w:rPr>
              <w:t>使用行程：≥500mm</w:t>
            </w:r>
          </w:p>
          <w:p w14:paraId="13392391">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3、</w:t>
            </w:r>
            <w:r>
              <w:rPr>
                <w:rFonts w:hint="eastAsia" w:ascii="宋体" w:hAnsi="宋体" w:cs="宋体"/>
                <w:color w:val="auto"/>
                <w:highlight w:val="none"/>
              </w:rPr>
              <w:t>电动千斤顶行程：≥100mm</w:t>
            </w:r>
          </w:p>
          <w:p w14:paraId="12162B73">
            <w:pPr>
              <w:pStyle w:val="71"/>
              <w:widowControl w:val="0"/>
              <w:numPr>
                <w:ilvl w:val="0"/>
                <w:numId w:val="0"/>
              </w:numPr>
              <w:adjustRightInd w:val="0"/>
              <w:snapToGrid w:val="0"/>
              <w:ind w:left="0" w:firstLine="0"/>
              <w:contextualSpacing w:val="0"/>
              <w:rPr>
                <w:rFonts w:hint="eastAsia" w:ascii="宋体" w:hAnsi="宋体" w:cs="宋体"/>
                <w:color w:val="auto"/>
                <w:highlight w:val="none"/>
              </w:rPr>
            </w:pPr>
            <w:r>
              <w:rPr>
                <w:rFonts w:hint="default" w:ascii="宋体" w:hAnsi="宋体" w:eastAsia="宋体" w:cs="宋体"/>
                <w:color w:val="auto"/>
                <w:kern w:val="2"/>
                <w:sz w:val="21"/>
                <w:szCs w:val="21"/>
                <w:highlight w:val="none"/>
                <w:lang w:val="en-US" w:eastAsia="zh-CN" w:bidi="ar-SA"/>
                <w14:ligatures w14:val="none"/>
              </w:rPr>
              <w:t>4、</w:t>
            </w:r>
            <w:r>
              <w:rPr>
                <w:rFonts w:hint="eastAsia" w:ascii="宋体" w:hAnsi="宋体" w:cs="宋体"/>
                <w:color w:val="auto"/>
                <w:highlight w:val="none"/>
              </w:rPr>
              <w:t>传感器加固定</w:t>
            </w:r>
          </w:p>
        </w:tc>
      </w:tr>
      <w:tr w14:paraId="367B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0CD94250">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14</w:t>
            </w:r>
          </w:p>
        </w:tc>
        <w:tc>
          <w:tcPr>
            <w:tcW w:w="1387" w:type="dxa"/>
            <w:vAlign w:val="center"/>
          </w:tcPr>
          <w:p w14:paraId="05D1BE79">
            <w:pPr>
              <w:widowControl w:val="0"/>
              <w:adjustRightInd w:val="0"/>
              <w:snapToGrid w:val="0"/>
              <w:jc w:val="center"/>
              <w:rPr>
                <w:rFonts w:hint="eastAsia" w:ascii="宋体" w:hAnsi="宋体" w:cs="宋体"/>
                <w:color w:val="auto"/>
                <w:highlight w:val="none"/>
              </w:rPr>
            </w:pPr>
            <w:r>
              <w:rPr>
                <w:rFonts w:hint="eastAsia" w:ascii="宋体" w:hAnsi="宋体" w:cs="宋体"/>
                <w:color w:val="auto"/>
                <w:highlight w:val="none"/>
              </w:rPr>
              <w:t>小型炭素混捏锅</w:t>
            </w:r>
          </w:p>
        </w:tc>
        <w:tc>
          <w:tcPr>
            <w:tcW w:w="6951" w:type="dxa"/>
            <w:vAlign w:val="center"/>
          </w:tcPr>
          <w:p w14:paraId="5A84DF67">
            <w:pPr>
              <w:widowControl w:val="0"/>
              <w:adjustRightInd w:val="0"/>
              <w:snapToGrid w:val="0"/>
              <w:jc w:val="left"/>
              <w:rPr>
                <w:rFonts w:hint="eastAsia" w:ascii="宋体" w:hAnsi="宋体" w:cs="宋体"/>
                <w:color w:val="auto"/>
                <w:highlight w:val="none"/>
              </w:rPr>
            </w:pPr>
            <w:r>
              <w:rPr>
                <w:rFonts w:hint="eastAsia" w:ascii="宋体" w:hAnsi="宋体" w:cs="宋体"/>
                <w:color w:val="auto"/>
                <w:highlight w:val="none"/>
              </w:rPr>
              <w:t>1、接触物料为 304 不锈钢材质，筒体板厚不低于 4mm，侧板板厚 不低于6mm</w:t>
            </w:r>
            <w:r>
              <w:rPr>
                <w:rFonts w:hint="eastAsia" w:ascii="宋体" w:hAnsi="宋体" w:cs="宋体"/>
                <w:color w:val="auto"/>
                <w:highlight w:val="none"/>
              </w:rPr>
              <w:br w:type="textWrapping"/>
            </w:r>
            <w:r>
              <w:rPr>
                <w:rFonts w:hint="eastAsia" w:ascii="宋体" w:hAnsi="宋体" w:cs="宋体"/>
                <w:color w:val="auto"/>
                <w:highlight w:val="none"/>
              </w:rPr>
              <w:t>2、功率：0.75KW 电机(铜线电机)</w:t>
            </w:r>
            <w:r>
              <w:rPr>
                <w:rFonts w:hint="eastAsia" w:ascii="宋体" w:hAnsi="宋体" w:cs="宋体"/>
                <w:color w:val="auto"/>
                <w:highlight w:val="none"/>
              </w:rPr>
              <w:br w:type="textWrapping"/>
            </w:r>
            <w:r>
              <w:rPr>
                <w:rFonts w:hint="eastAsia" w:ascii="宋体" w:hAnsi="宋体" w:cs="宋体"/>
                <w:color w:val="auto"/>
                <w:highlight w:val="none"/>
              </w:rPr>
              <w:t>3、Z型搅拌双桨不锈钢</w:t>
            </w:r>
            <w:r>
              <w:rPr>
                <w:rFonts w:hint="eastAsia" w:ascii="宋体" w:hAnsi="宋体" w:cs="宋体"/>
                <w:color w:val="auto"/>
                <w:highlight w:val="none"/>
              </w:rPr>
              <w:br w:type="textWrapping"/>
            </w:r>
            <w:r>
              <w:rPr>
                <w:rFonts w:hint="eastAsia" w:ascii="宋体" w:hAnsi="宋体" w:cs="宋体"/>
                <w:color w:val="auto"/>
                <w:highlight w:val="none"/>
              </w:rPr>
              <w:t>4、转速:两个桨均不低于25转/分</w:t>
            </w:r>
            <w:r>
              <w:rPr>
                <w:rFonts w:hint="eastAsia" w:ascii="宋体" w:hAnsi="宋体" w:cs="宋体"/>
                <w:color w:val="auto"/>
                <w:highlight w:val="none"/>
              </w:rPr>
              <w:br w:type="textWrapping"/>
            </w:r>
            <w:r>
              <w:rPr>
                <w:rFonts w:hint="eastAsia" w:ascii="宋体" w:hAnsi="宋体" w:cs="宋体"/>
                <w:color w:val="auto"/>
                <w:highlight w:val="none"/>
              </w:rPr>
              <w:t>5、电加热：温度可调， 0-200 度</w:t>
            </w:r>
            <w:r>
              <w:rPr>
                <w:rFonts w:hint="eastAsia" w:ascii="宋体" w:hAnsi="宋体" w:cs="宋体"/>
                <w:color w:val="auto"/>
                <w:highlight w:val="none"/>
              </w:rPr>
              <w:br w:type="textWrapping"/>
            </w:r>
            <w:r>
              <w:rPr>
                <w:rFonts w:hint="eastAsia" w:ascii="宋体" w:hAnsi="宋体" w:cs="宋体"/>
                <w:color w:val="auto"/>
                <w:highlight w:val="none"/>
              </w:rPr>
              <w:t>6、出料形式:手动翻斗出料</w:t>
            </w:r>
            <w:r>
              <w:rPr>
                <w:rFonts w:hint="eastAsia" w:ascii="宋体" w:hAnsi="宋体" w:cs="宋体"/>
                <w:color w:val="auto"/>
                <w:highlight w:val="none"/>
              </w:rPr>
              <w:br w:type="textWrapping"/>
            </w:r>
            <w:r>
              <w:rPr>
                <w:rFonts w:hint="eastAsia" w:ascii="宋体" w:hAnsi="宋体" w:cs="宋体"/>
                <w:color w:val="auto"/>
                <w:highlight w:val="none"/>
              </w:rPr>
              <w:t>7、开盖形式:手动开盖</w:t>
            </w:r>
            <w:r>
              <w:rPr>
                <w:rFonts w:hint="eastAsia" w:ascii="宋体" w:hAnsi="宋体" w:cs="宋体"/>
                <w:color w:val="auto"/>
                <w:highlight w:val="none"/>
              </w:rPr>
              <w:br w:type="textWrapping"/>
            </w:r>
            <w:r>
              <w:rPr>
                <w:rFonts w:hint="eastAsia" w:ascii="宋体" w:hAnsi="宋体" w:cs="宋体"/>
                <w:color w:val="auto"/>
                <w:highlight w:val="none"/>
              </w:rPr>
              <w:t>8、带控制箱</w:t>
            </w:r>
            <w:r>
              <w:rPr>
                <w:rFonts w:hint="eastAsia" w:ascii="宋体" w:hAnsi="宋体" w:cs="宋体"/>
                <w:color w:val="auto"/>
                <w:highlight w:val="none"/>
              </w:rPr>
              <w:br w:type="textWrapping"/>
            </w:r>
            <w:r>
              <w:rPr>
                <w:rFonts w:hint="eastAsia" w:ascii="宋体" w:hAnsi="宋体" w:cs="宋体"/>
                <w:color w:val="auto"/>
                <w:highlight w:val="none"/>
              </w:rPr>
              <w:t>9、四氟密宫式密封</w:t>
            </w:r>
          </w:p>
        </w:tc>
      </w:tr>
    </w:tbl>
    <w:p w14:paraId="358AB63B">
      <w:pPr>
        <w:spacing w:line="360" w:lineRule="auto"/>
        <w:jc w:val="left"/>
        <w:rPr>
          <w:rFonts w:hint="eastAsia" w:ascii="宋体" w:hAnsi="宋体" w:cs="宋体"/>
          <w:b/>
          <w:bCs/>
          <w:color w:val="auto"/>
        </w:rPr>
      </w:pPr>
      <w:r>
        <w:rPr>
          <w:rFonts w:hint="eastAsia" w:ascii="宋体" w:hAnsi="宋体" w:cs="宋体"/>
          <w:b/>
          <w:bCs/>
          <w:color w:val="auto"/>
        </w:rPr>
        <w:t>注意：</w:t>
      </w:r>
    </w:p>
    <w:p w14:paraId="257DD784">
      <w:pPr>
        <w:spacing w:line="360" w:lineRule="auto"/>
        <w:ind w:firstLine="422" w:firstLineChars="200"/>
        <w:jc w:val="left"/>
        <w:rPr>
          <w:rFonts w:hint="eastAsia" w:ascii="宋体" w:hAnsi="宋体" w:cs="宋体"/>
          <w:b/>
          <w:bCs/>
          <w:color w:val="auto"/>
        </w:rPr>
      </w:pPr>
      <w:r>
        <w:rPr>
          <w:rFonts w:hint="eastAsia" w:ascii="宋体" w:hAnsi="宋体" w:cs="宋体"/>
          <w:b/>
          <w:bCs/>
          <w:color w:val="auto"/>
        </w:rPr>
        <w:t>上表标注★号的为实质性响应指标，有一项不满足要求，其投标将被拒绝。标注▲为重要技术指标，未有标注的为一般技术指标，重要技术指标与一般技术指标负偏离的，将根据评审规则进行扣分。</w:t>
      </w:r>
    </w:p>
    <w:p w14:paraId="67C1B3E0">
      <w:pPr>
        <w:adjustRightInd w:val="0"/>
        <w:snapToGrid w:val="0"/>
        <w:spacing w:line="440" w:lineRule="exact"/>
        <w:ind w:firstLine="480" w:firstLineChars="200"/>
        <w:jc w:val="left"/>
        <w:rPr>
          <w:rFonts w:hint="eastAsia" w:ascii="宋体" w:hAnsi="宋体" w:cs="宋体"/>
          <w:iCs/>
          <w:color w:val="auto"/>
          <w:sz w:val="21"/>
          <w:szCs w:val="21"/>
        </w:rPr>
      </w:pPr>
      <w:r>
        <w:rPr>
          <w:rFonts w:hint="eastAsia" w:ascii="宋体" w:hAnsi="宋体" w:cs="宋体"/>
          <w:iCs/>
          <w:color w:val="auto"/>
          <w:sz w:val="24"/>
          <w:szCs w:val="24"/>
        </w:rPr>
        <w:br w:type="page"/>
      </w:r>
      <w:r>
        <w:rPr>
          <w:rFonts w:hint="eastAsia" w:ascii="宋体" w:hAnsi="宋体" w:cs="宋体"/>
          <w:b/>
          <w:bCs/>
          <w:iCs/>
          <w:color w:val="auto"/>
          <w:sz w:val="21"/>
          <w:szCs w:val="21"/>
        </w:rPr>
        <w:t>三、商务要求</w:t>
      </w:r>
    </w:p>
    <w:p w14:paraId="79523DBC">
      <w:pPr>
        <w:adjustRightInd w:val="0"/>
        <w:snapToGrid w:val="0"/>
        <w:spacing w:line="440" w:lineRule="exact"/>
        <w:ind w:firstLine="422" w:firstLineChars="200"/>
        <w:jc w:val="left"/>
        <w:rPr>
          <w:rFonts w:hint="eastAsia" w:ascii="宋体" w:hAnsi="宋体" w:cs="宋体"/>
          <w:b/>
          <w:bCs/>
          <w:iCs/>
          <w:color w:val="auto"/>
          <w:sz w:val="21"/>
          <w:szCs w:val="21"/>
          <w:lang w:eastAsia="zh-CN"/>
        </w:rPr>
      </w:pPr>
      <w:r>
        <w:rPr>
          <w:rFonts w:hint="eastAsia" w:ascii="宋体" w:hAnsi="宋体" w:cs="宋体"/>
          <w:b/>
          <w:bCs/>
          <w:iCs/>
          <w:color w:val="auto"/>
          <w:sz w:val="21"/>
          <w:szCs w:val="21"/>
          <w:lang w:eastAsia="zh-CN"/>
        </w:rPr>
        <w:t>（一）质量要求</w:t>
      </w:r>
    </w:p>
    <w:p w14:paraId="524FCC07">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rPr>
        <w:t>1、供应商须提供符合国家质量标准、部颁标准、行业标准或本公开招标规定标准、供货渠道合法的全新原装合格正品（包括零部件），如安装或配置软件的，须为正版软件。所提供的货物应当同时符合国家有关安全、卫生、环保规定。</w:t>
      </w:r>
    </w:p>
    <w:p w14:paraId="2CB02272">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rPr>
        <w:t>2、采购人使用供应商中标的货物、技术、资料、服务或其他任何一部分时，享有无偿使用权。免受第三方提出的侵犯其专利权、著作权、商标权或其它知识产权的起诉。如果第三方提出侵权指控，中标供应商应承担由此而引起的一切法律责任和费用。</w:t>
      </w:r>
    </w:p>
    <w:p w14:paraId="731DA7E7">
      <w:pPr>
        <w:adjustRightInd w:val="0"/>
        <w:snapToGrid w:val="0"/>
        <w:spacing w:line="440" w:lineRule="exact"/>
        <w:ind w:firstLine="422" w:firstLineChars="200"/>
        <w:jc w:val="left"/>
        <w:rPr>
          <w:rFonts w:hint="eastAsia" w:ascii="宋体" w:hAnsi="宋体" w:cs="宋体"/>
          <w:b/>
          <w:bCs/>
          <w:iCs/>
          <w:color w:val="auto"/>
          <w:sz w:val="21"/>
          <w:szCs w:val="21"/>
        </w:rPr>
      </w:pPr>
      <w:r>
        <w:rPr>
          <w:rFonts w:hint="eastAsia" w:ascii="宋体" w:hAnsi="宋体" w:cs="宋体"/>
          <w:b/>
          <w:bCs/>
          <w:iCs/>
          <w:color w:val="auto"/>
          <w:sz w:val="21"/>
          <w:szCs w:val="21"/>
          <w:lang w:eastAsia="zh-CN"/>
        </w:rPr>
        <w:t>（二）</w:t>
      </w:r>
      <w:r>
        <w:rPr>
          <w:rFonts w:hint="eastAsia" w:ascii="宋体" w:hAnsi="宋体" w:cs="宋体"/>
          <w:b/>
          <w:bCs/>
          <w:iCs/>
          <w:color w:val="auto"/>
          <w:sz w:val="21"/>
          <w:szCs w:val="21"/>
        </w:rPr>
        <w:t>包装、保险及发运、保管要求</w:t>
      </w:r>
    </w:p>
    <w:p w14:paraId="43FA89A9">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eastAsia="zh-CN"/>
        </w:rPr>
        <w:t>1</w:t>
      </w:r>
      <w:r>
        <w:rPr>
          <w:rFonts w:hint="eastAsia" w:ascii="宋体" w:hAnsi="宋体" w:cs="宋体"/>
          <w:iCs/>
          <w:color w:val="auto"/>
          <w:sz w:val="21"/>
          <w:szCs w:val="21"/>
        </w:rPr>
        <w:t>货物的包装和运输须符合货物特性要求。</w:t>
      </w:r>
      <w:r>
        <w:rPr>
          <w:rFonts w:hint="eastAsia" w:ascii="宋体" w:hAnsi="宋体" w:cs="宋体"/>
          <w:iCs/>
          <w:color w:val="auto"/>
          <w:sz w:val="21"/>
          <w:szCs w:val="21"/>
          <w:lang w:eastAsia="zh-CN"/>
        </w:rPr>
        <w:t>且</w:t>
      </w:r>
      <w:r>
        <w:rPr>
          <w:rFonts w:hint="eastAsia" w:ascii="宋体" w:hAnsi="宋体" w:cs="宋体"/>
          <w:iCs/>
          <w:color w:val="auto"/>
          <w:sz w:val="21"/>
          <w:szCs w:val="21"/>
        </w:rPr>
        <w:t>必须是制造商原厂包装，其包装均应有良好的防湿、防锈、防潮、防雨、防腐及防碰撞的措施，符合《财政部等三部门联合印发商品包装和快递包装政府采购需求标准（试行）》（财办库〔2020〕123号文）的有关规定的要求</w:t>
      </w:r>
      <w:r>
        <w:rPr>
          <w:rFonts w:hint="eastAsia" w:ascii="宋体" w:hAnsi="宋体" w:cs="宋体"/>
          <w:iCs/>
          <w:color w:val="auto"/>
          <w:sz w:val="21"/>
          <w:szCs w:val="21"/>
          <w:lang w:eastAsia="zh-CN"/>
        </w:rPr>
        <w:t>。</w:t>
      </w:r>
      <w:r>
        <w:rPr>
          <w:rFonts w:hint="eastAsia" w:ascii="宋体" w:hAnsi="宋体" w:cs="宋体"/>
          <w:iCs/>
          <w:color w:val="auto"/>
          <w:sz w:val="21"/>
          <w:szCs w:val="21"/>
        </w:rPr>
        <w:t>从而保护货物能够经受多次搬运、装卸及长途运输。中标人应承担由于其包装或其防护措施不妥而引起的货物锈蚀、损坏和丢失的任何损失的责任或费用，承担将货物运抵磋商文件规定的交货地点的一切运输</w:t>
      </w:r>
      <w:r>
        <w:rPr>
          <w:rFonts w:hint="eastAsia" w:ascii="宋体" w:hAnsi="宋体" w:cs="宋体"/>
          <w:iCs/>
          <w:color w:val="auto"/>
          <w:sz w:val="21"/>
          <w:szCs w:val="21"/>
          <w:lang w:eastAsia="zh-CN"/>
        </w:rPr>
        <w:t>责任</w:t>
      </w:r>
      <w:r>
        <w:rPr>
          <w:rFonts w:hint="eastAsia" w:ascii="宋体" w:hAnsi="宋体" w:cs="宋体"/>
          <w:iCs/>
          <w:color w:val="auto"/>
          <w:sz w:val="21"/>
          <w:szCs w:val="21"/>
        </w:rPr>
        <w:t>，相关费用应包括在合同总价中。由于包装、运输、搬运和装卸不当导致货物锈蚀、缺失或损坏，由供应商承担一切责任。</w:t>
      </w:r>
    </w:p>
    <w:p w14:paraId="6D605599">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eastAsia="zh-CN"/>
        </w:rPr>
        <w:t>2</w:t>
      </w:r>
      <w:r>
        <w:rPr>
          <w:rFonts w:hint="eastAsia" w:ascii="宋体" w:hAnsi="宋体" w:cs="宋体"/>
          <w:iCs/>
          <w:color w:val="auto"/>
          <w:sz w:val="21"/>
          <w:szCs w:val="21"/>
          <w:lang w:val="en-US" w:eastAsia="zh-CN"/>
        </w:rPr>
        <w:t>.</w:t>
      </w:r>
      <w:r>
        <w:rPr>
          <w:rFonts w:hint="eastAsia" w:ascii="宋体" w:hAnsi="宋体" w:cs="宋体"/>
          <w:iCs/>
          <w:color w:val="auto"/>
          <w:sz w:val="21"/>
          <w:szCs w:val="21"/>
        </w:rPr>
        <w:t>中标人负责将设备</w:t>
      </w:r>
      <w:r>
        <w:rPr>
          <w:rFonts w:hint="eastAsia" w:ascii="宋体" w:hAnsi="宋体" w:cs="宋体"/>
          <w:iCs/>
          <w:color w:val="auto"/>
          <w:sz w:val="21"/>
          <w:szCs w:val="21"/>
          <w:lang w:eastAsia="zh-CN"/>
        </w:rPr>
        <w:t>运</w:t>
      </w:r>
      <w:r>
        <w:rPr>
          <w:rFonts w:hint="eastAsia" w:ascii="宋体" w:hAnsi="宋体" w:cs="宋体"/>
          <w:iCs/>
          <w:color w:val="auto"/>
          <w:sz w:val="21"/>
          <w:szCs w:val="21"/>
        </w:rPr>
        <w:t>到现场</w:t>
      </w:r>
      <w:r>
        <w:rPr>
          <w:rFonts w:hint="eastAsia" w:ascii="宋体" w:hAnsi="宋体" w:cs="宋体"/>
          <w:iCs/>
          <w:color w:val="auto"/>
          <w:sz w:val="21"/>
          <w:szCs w:val="21"/>
          <w:lang w:eastAsia="zh-CN"/>
        </w:rPr>
        <w:t>后的</w:t>
      </w:r>
      <w:r>
        <w:rPr>
          <w:rFonts w:hint="eastAsia" w:ascii="宋体" w:hAnsi="宋体" w:cs="宋体"/>
          <w:iCs/>
          <w:color w:val="auto"/>
          <w:sz w:val="21"/>
          <w:szCs w:val="21"/>
        </w:rPr>
        <w:t>装卸车、搬运</w:t>
      </w:r>
      <w:r>
        <w:rPr>
          <w:rFonts w:hint="eastAsia" w:ascii="宋体" w:hAnsi="宋体" w:cs="宋体"/>
          <w:iCs/>
          <w:color w:val="auto"/>
          <w:sz w:val="21"/>
          <w:szCs w:val="21"/>
          <w:lang w:eastAsia="zh-CN"/>
        </w:rPr>
        <w:t>至指定地点，并承担保管责任直至</w:t>
      </w:r>
      <w:r>
        <w:rPr>
          <w:rFonts w:hint="eastAsia" w:ascii="宋体" w:hAnsi="宋体" w:cs="宋体"/>
          <w:iCs/>
          <w:color w:val="auto"/>
          <w:sz w:val="21"/>
          <w:szCs w:val="21"/>
        </w:rPr>
        <w:t>安装、</w:t>
      </w:r>
      <w:r>
        <w:rPr>
          <w:rFonts w:hint="eastAsia" w:ascii="宋体" w:hAnsi="宋体" w:cs="宋体"/>
          <w:iCs/>
          <w:color w:val="auto"/>
          <w:sz w:val="21"/>
          <w:szCs w:val="21"/>
          <w:lang w:eastAsia="zh-CN"/>
        </w:rPr>
        <w:t>调试、</w:t>
      </w:r>
      <w:r>
        <w:rPr>
          <w:rFonts w:hint="eastAsia" w:ascii="宋体" w:hAnsi="宋体" w:cs="宋体"/>
          <w:iCs/>
          <w:color w:val="auto"/>
          <w:sz w:val="21"/>
          <w:szCs w:val="21"/>
        </w:rPr>
        <w:t xml:space="preserve">验收完毕。 </w:t>
      </w:r>
    </w:p>
    <w:p w14:paraId="20B475EB">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eastAsia="zh-CN"/>
        </w:rPr>
        <w:t>3</w:t>
      </w:r>
      <w:r>
        <w:rPr>
          <w:rFonts w:hint="eastAsia" w:ascii="宋体" w:hAnsi="宋体" w:cs="宋体"/>
          <w:iCs/>
          <w:color w:val="auto"/>
          <w:sz w:val="21"/>
          <w:szCs w:val="21"/>
          <w:lang w:val="en-US" w:eastAsia="zh-CN"/>
        </w:rPr>
        <w:t>.</w:t>
      </w:r>
      <w:r>
        <w:rPr>
          <w:rFonts w:hint="eastAsia" w:ascii="宋体" w:hAnsi="宋体" w:cs="宋体"/>
          <w:iCs/>
          <w:color w:val="auto"/>
          <w:sz w:val="21"/>
          <w:szCs w:val="21"/>
        </w:rPr>
        <w:t>货物安装调试验收合格前的保险</w:t>
      </w:r>
      <w:r>
        <w:rPr>
          <w:rFonts w:hint="eastAsia" w:ascii="宋体" w:hAnsi="宋体" w:cs="宋体"/>
          <w:iCs/>
          <w:color w:val="auto"/>
          <w:sz w:val="21"/>
          <w:szCs w:val="21"/>
          <w:lang w:eastAsia="zh-CN"/>
        </w:rPr>
        <w:t>及</w:t>
      </w:r>
      <w:r>
        <w:rPr>
          <w:rFonts w:hint="eastAsia" w:ascii="宋体" w:hAnsi="宋体" w:cs="宋体"/>
          <w:iCs/>
          <w:color w:val="auto"/>
          <w:sz w:val="21"/>
          <w:szCs w:val="21"/>
        </w:rPr>
        <w:t>中标人派出的现场服务人员</w:t>
      </w:r>
      <w:r>
        <w:rPr>
          <w:rFonts w:hint="eastAsia" w:ascii="宋体" w:hAnsi="宋体" w:cs="宋体"/>
          <w:iCs/>
          <w:color w:val="auto"/>
          <w:sz w:val="21"/>
          <w:szCs w:val="21"/>
          <w:lang w:eastAsia="zh-CN"/>
        </w:rPr>
        <w:t>的</w:t>
      </w:r>
      <w:r>
        <w:rPr>
          <w:rFonts w:hint="eastAsia" w:ascii="宋体" w:hAnsi="宋体" w:cs="宋体"/>
          <w:iCs/>
          <w:color w:val="auto"/>
          <w:sz w:val="21"/>
          <w:szCs w:val="21"/>
        </w:rPr>
        <w:t>人身意外保险</w:t>
      </w:r>
      <w:r>
        <w:rPr>
          <w:rFonts w:hint="eastAsia" w:ascii="宋体" w:hAnsi="宋体" w:cs="宋体"/>
          <w:iCs/>
          <w:color w:val="auto"/>
          <w:sz w:val="21"/>
          <w:szCs w:val="21"/>
          <w:lang w:eastAsia="zh-CN"/>
        </w:rPr>
        <w:t>费用</w:t>
      </w:r>
      <w:r>
        <w:rPr>
          <w:rFonts w:hint="eastAsia" w:ascii="宋体" w:hAnsi="宋体" w:cs="宋体"/>
          <w:iCs/>
          <w:color w:val="auto"/>
          <w:sz w:val="21"/>
          <w:szCs w:val="21"/>
        </w:rPr>
        <w:t>由中标人</w:t>
      </w:r>
      <w:r>
        <w:rPr>
          <w:rFonts w:hint="eastAsia" w:ascii="宋体" w:hAnsi="宋体" w:cs="宋体"/>
          <w:iCs/>
          <w:color w:val="auto"/>
          <w:sz w:val="21"/>
          <w:szCs w:val="21"/>
          <w:lang w:eastAsia="zh-CN"/>
        </w:rPr>
        <w:t>承担。</w:t>
      </w:r>
      <w:r>
        <w:rPr>
          <w:rFonts w:hint="eastAsia" w:ascii="宋体" w:hAnsi="宋体" w:cs="宋体"/>
          <w:iCs/>
          <w:color w:val="auto"/>
          <w:sz w:val="21"/>
          <w:szCs w:val="21"/>
        </w:rPr>
        <w:t xml:space="preserve"> </w:t>
      </w:r>
    </w:p>
    <w:p w14:paraId="2FABB48D">
      <w:pPr>
        <w:adjustRightInd w:val="0"/>
        <w:snapToGrid w:val="0"/>
        <w:spacing w:line="440" w:lineRule="exact"/>
        <w:ind w:firstLine="422" w:firstLineChars="200"/>
        <w:jc w:val="left"/>
        <w:rPr>
          <w:rFonts w:hint="eastAsia" w:ascii="宋体" w:hAnsi="宋体" w:cs="宋体"/>
          <w:b/>
          <w:bCs/>
          <w:iCs/>
          <w:color w:val="auto"/>
          <w:sz w:val="21"/>
          <w:szCs w:val="21"/>
          <w:lang w:val="en-US" w:eastAsia="zh-CN"/>
        </w:rPr>
      </w:pPr>
      <w:r>
        <w:rPr>
          <w:rFonts w:hint="eastAsia" w:ascii="宋体" w:hAnsi="宋体" w:cs="宋体"/>
          <w:b/>
          <w:bCs/>
          <w:iCs/>
          <w:color w:val="auto"/>
          <w:sz w:val="21"/>
          <w:szCs w:val="21"/>
          <w:lang w:val="en-US" w:eastAsia="zh-CN"/>
        </w:rPr>
        <w:t>（三）安装、调试及验收</w:t>
      </w:r>
    </w:p>
    <w:p w14:paraId="7E9C3A28">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1.</w:t>
      </w:r>
      <w:r>
        <w:rPr>
          <w:rFonts w:hint="eastAsia" w:ascii="宋体" w:hAnsi="宋体" w:cs="宋体"/>
          <w:iCs/>
          <w:color w:val="auto"/>
          <w:sz w:val="21"/>
          <w:szCs w:val="21"/>
        </w:rPr>
        <w:t>供应商技术工程师负责统筹安排现场的免费安装、调试工作；如需特殊安装条件的，供应商应当发货前</w:t>
      </w:r>
      <w:r>
        <w:rPr>
          <w:rFonts w:hint="eastAsia" w:ascii="宋体" w:hAnsi="宋体" w:cs="宋体"/>
          <w:iCs/>
          <w:color w:val="auto"/>
          <w:sz w:val="21"/>
          <w:szCs w:val="21"/>
          <w:lang w:val="en-US" w:eastAsia="zh-CN"/>
        </w:rPr>
        <w:t>7</w:t>
      </w:r>
      <w:r>
        <w:rPr>
          <w:rFonts w:hint="eastAsia" w:ascii="宋体" w:hAnsi="宋体" w:cs="宋体"/>
          <w:iCs/>
          <w:color w:val="auto"/>
          <w:sz w:val="21"/>
          <w:szCs w:val="21"/>
        </w:rPr>
        <w:t>天内与采购人进行场地安装事宜的确认。</w:t>
      </w:r>
    </w:p>
    <w:p w14:paraId="7F6F82CD">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2.</w:t>
      </w:r>
      <w:r>
        <w:rPr>
          <w:rFonts w:hint="eastAsia" w:ascii="宋体" w:hAnsi="宋体" w:cs="宋体"/>
          <w:iCs/>
          <w:color w:val="auto"/>
          <w:sz w:val="21"/>
          <w:szCs w:val="21"/>
        </w:rPr>
        <w:t>货物运抵安装现场后，采购人应当与供应商共同开箱进行初步验收；验收结果以双方签署的验收报告为准，验收时发现短缺、破损,采购人有权要求供应商立即补发和负责更换。</w:t>
      </w:r>
    </w:p>
    <w:p w14:paraId="0092E29C">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3.</w:t>
      </w:r>
      <w:r>
        <w:rPr>
          <w:rFonts w:hint="eastAsia" w:ascii="宋体" w:hAnsi="宋体" w:cs="宋体"/>
          <w:iCs/>
          <w:color w:val="auto"/>
          <w:sz w:val="21"/>
          <w:szCs w:val="21"/>
        </w:rPr>
        <w:t>供应商应提出设备测试的内容、项目、指标和方法,供应商有责任对采购人的技术人员提出的问题做出解答。测试应进行详细记录,仪器设备测试结束后,由供应商技术人员签字后交给采购人验收。</w:t>
      </w:r>
    </w:p>
    <w:p w14:paraId="52738F2A">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4.</w:t>
      </w:r>
      <w:r>
        <w:rPr>
          <w:rFonts w:hint="eastAsia" w:ascii="宋体" w:hAnsi="宋体" w:cs="宋体"/>
          <w:iCs/>
          <w:color w:val="auto"/>
          <w:sz w:val="21"/>
          <w:szCs w:val="21"/>
        </w:rPr>
        <w:t>供应商应提前一周将发货信息提供给采购人。货物到达后，采购人应将到货信息立即通知供应商。供应商应协助采购人于到货后一周（7天）内安装就位，并做好现场安装调试、验收的各项准备工作，包括必要的试件、刀具及检具等。</w:t>
      </w:r>
    </w:p>
    <w:p w14:paraId="0D6EF915">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5.</w:t>
      </w:r>
      <w:r>
        <w:rPr>
          <w:rFonts w:hint="eastAsia" w:ascii="宋体" w:hAnsi="宋体" w:cs="宋体"/>
          <w:iCs/>
          <w:color w:val="auto"/>
          <w:sz w:val="21"/>
          <w:szCs w:val="21"/>
        </w:rPr>
        <w:t>同时满足以下条件，采购人将向供应商签发货物验收报告：</w:t>
      </w:r>
    </w:p>
    <w:p w14:paraId="34997E64">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rPr>
        <w:t>1）供应商已按照合同规定提供了全部产品及完整的技术资料。</w:t>
      </w:r>
    </w:p>
    <w:p w14:paraId="0F543966">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rPr>
        <w:t>2）采购人确定最终验收方案，并根据该验收方案验收所有的配置、功能和技术指标。</w:t>
      </w:r>
    </w:p>
    <w:p w14:paraId="15FC218F">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rPr>
        <w:t>3）最终验收在采购人授权代表在场和供应商授权代表在场的情况下按照现场验收方案逐项进行。验收报告由双方签署后完成设备最终验收。</w:t>
      </w:r>
    </w:p>
    <w:p w14:paraId="1C827C22">
      <w:pPr>
        <w:adjustRightInd w:val="0"/>
        <w:snapToGrid w:val="0"/>
        <w:spacing w:line="440" w:lineRule="exact"/>
        <w:ind w:firstLine="420" w:firstLineChars="200"/>
        <w:jc w:val="left"/>
        <w:rPr>
          <w:rFonts w:hint="eastAsia" w:ascii="宋体" w:hAnsi="宋体" w:cs="宋体"/>
          <w:iCs/>
          <w:color w:val="auto"/>
          <w:sz w:val="21"/>
          <w:szCs w:val="21"/>
        </w:rPr>
      </w:pPr>
      <w:r>
        <w:rPr>
          <w:rFonts w:hint="eastAsia" w:ascii="宋体" w:hAnsi="宋体" w:cs="宋体"/>
          <w:iCs/>
          <w:color w:val="auto"/>
          <w:sz w:val="21"/>
          <w:szCs w:val="21"/>
          <w:lang w:val="en-US" w:eastAsia="zh-CN"/>
        </w:rPr>
        <w:t>6.</w:t>
      </w:r>
      <w:r>
        <w:rPr>
          <w:rFonts w:hint="eastAsia" w:ascii="宋体" w:hAnsi="宋体" w:cs="宋体"/>
          <w:iCs/>
          <w:color w:val="auto"/>
          <w:sz w:val="21"/>
          <w:szCs w:val="21"/>
        </w:rPr>
        <w:t>采购人根据国家有关规定、</w:t>
      </w:r>
      <w:r>
        <w:rPr>
          <w:rFonts w:hint="eastAsia" w:ascii="宋体" w:hAnsi="宋体" w:cs="宋体"/>
          <w:iCs/>
          <w:color w:val="auto"/>
          <w:sz w:val="21"/>
          <w:szCs w:val="21"/>
          <w:lang w:eastAsia="zh-CN"/>
        </w:rPr>
        <w:t>磋商</w:t>
      </w:r>
      <w:r>
        <w:rPr>
          <w:rFonts w:hint="eastAsia" w:ascii="宋体" w:hAnsi="宋体" w:cs="宋体"/>
          <w:iCs/>
          <w:color w:val="auto"/>
          <w:sz w:val="21"/>
          <w:szCs w:val="21"/>
        </w:rPr>
        <w:t>文件、供应商的</w:t>
      </w:r>
      <w:r>
        <w:rPr>
          <w:rFonts w:hint="eastAsia" w:ascii="宋体" w:hAnsi="宋体" w:cs="宋体"/>
          <w:iCs/>
          <w:color w:val="auto"/>
          <w:sz w:val="21"/>
          <w:szCs w:val="21"/>
          <w:lang w:eastAsia="zh-CN"/>
        </w:rPr>
        <w:t>响应</w:t>
      </w:r>
      <w:r>
        <w:rPr>
          <w:rFonts w:hint="eastAsia" w:ascii="宋体" w:hAnsi="宋体" w:cs="宋体"/>
          <w:iCs/>
          <w:color w:val="auto"/>
          <w:sz w:val="21"/>
          <w:szCs w:val="21"/>
        </w:rPr>
        <w:t>文件以及合同约定的内容和验收标准进行验收，采购人可以视项目情况邀请第三方机构或者参加本项目投标的其他供应商参与验收。验收情况作为支付货款的依据。如有异议，以相关质量技术检验检测机构的检验结果为准，如产生检验检测费用，则该费用由过失方承担。</w:t>
      </w:r>
    </w:p>
    <w:p w14:paraId="44887670">
      <w:pPr>
        <w:adjustRightInd w:val="0"/>
        <w:snapToGrid w:val="0"/>
        <w:spacing w:line="440" w:lineRule="exact"/>
        <w:ind w:firstLine="422" w:firstLineChars="200"/>
        <w:jc w:val="left"/>
        <w:rPr>
          <w:rFonts w:hint="eastAsia" w:ascii="宋体" w:hAnsi="宋体" w:eastAsia="宋体" w:cs="宋体"/>
          <w:b/>
          <w:bCs/>
          <w:iCs/>
          <w:color w:val="auto"/>
          <w:sz w:val="21"/>
          <w:szCs w:val="21"/>
          <w:lang w:eastAsia="zh-CN"/>
        </w:rPr>
      </w:pPr>
      <w:r>
        <w:rPr>
          <w:rFonts w:hint="eastAsia" w:ascii="宋体" w:hAnsi="宋体" w:cs="宋体"/>
          <w:b/>
          <w:bCs/>
          <w:iCs/>
          <w:color w:val="auto"/>
          <w:sz w:val="21"/>
          <w:szCs w:val="21"/>
          <w:lang w:eastAsia="zh-CN"/>
        </w:rPr>
        <w:t>（四）培训要求</w:t>
      </w:r>
    </w:p>
    <w:p w14:paraId="4F4C3B6F">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eastAsia" w:ascii="宋体" w:hAnsi="宋体" w:cs="宋体"/>
          <w:iCs/>
          <w:color w:val="auto"/>
          <w:kern w:val="2"/>
          <w:sz w:val="21"/>
          <w:szCs w:val="21"/>
          <w:lang w:val="en-US" w:eastAsia="zh-CN" w:bidi="ar-SA"/>
          <w14:ligatures w14:val="none"/>
        </w:rPr>
        <w:t>1.</w:t>
      </w:r>
      <w:r>
        <w:rPr>
          <w:rFonts w:hint="eastAsia" w:ascii="宋体" w:hAnsi="宋体" w:cs="宋体"/>
          <w:iCs/>
          <w:color w:val="auto"/>
        </w:rPr>
        <w:t>安装培训：提供仪器工程师（≥2人）在用户进行设备全方位的培训。培训内容包括仪器的技术原理、操作、数据处理、基本维护等。</w:t>
      </w:r>
    </w:p>
    <w:p w14:paraId="3A910085">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eastAsia" w:ascii="宋体" w:hAnsi="宋体" w:cs="宋体"/>
          <w:iCs/>
          <w:color w:val="auto"/>
          <w:kern w:val="2"/>
          <w:sz w:val="21"/>
          <w:szCs w:val="21"/>
          <w:lang w:val="en-US" w:eastAsia="zh-CN" w:bidi="ar-SA"/>
          <w14:ligatures w14:val="none"/>
        </w:rPr>
        <w:t>2.</w:t>
      </w:r>
      <w:r>
        <w:rPr>
          <w:rFonts w:hint="eastAsia" w:ascii="宋体" w:hAnsi="宋体" w:cs="宋体"/>
          <w:iCs/>
          <w:color w:val="auto"/>
        </w:rPr>
        <w:t>现场应用培训：安装调试后，安排资深应用工程师提供≥2次现场培训，培训时长≥2天，人数不限，培训时间由采购方决定。</w:t>
      </w:r>
    </w:p>
    <w:p w14:paraId="67CDB712">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eastAsia" w:ascii="宋体" w:hAnsi="宋体" w:cs="宋体"/>
          <w:iCs/>
          <w:color w:val="auto"/>
          <w:kern w:val="2"/>
          <w:sz w:val="21"/>
          <w:szCs w:val="21"/>
          <w:lang w:val="en-US" w:eastAsia="zh-CN" w:bidi="ar-SA"/>
          <w14:ligatures w14:val="none"/>
        </w:rPr>
        <w:t>3.</w:t>
      </w:r>
      <w:r>
        <w:rPr>
          <w:rFonts w:hint="eastAsia" w:ascii="宋体" w:hAnsi="宋体" w:cs="宋体"/>
          <w:iCs/>
          <w:color w:val="auto"/>
        </w:rPr>
        <w:t>不定期地开展国内培训，用户使用半年后，提供≥6人•次的培训班系统培训，每次培训时长≥3天。</w:t>
      </w:r>
    </w:p>
    <w:p w14:paraId="59F515B0">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default" w:ascii="宋体" w:hAnsi="宋体" w:eastAsia="宋体" w:cs="宋体"/>
          <w:iCs/>
          <w:color w:val="auto"/>
          <w:kern w:val="2"/>
          <w:sz w:val="21"/>
          <w:szCs w:val="21"/>
          <w:lang w:val="en-US" w:eastAsia="zh-CN" w:bidi="ar-SA"/>
          <w14:ligatures w14:val="none"/>
        </w:rPr>
        <w:t>(4)</w:t>
      </w:r>
      <w:r>
        <w:rPr>
          <w:rFonts w:hint="eastAsia" w:ascii="宋体" w:hAnsi="宋体" w:cs="宋体"/>
          <w:iCs/>
          <w:color w:val="auto"/>
        </w:rPr>
        <w:t>提供不定期的≥2次的培训，用户根据情况参加。</w:t>
      </w:r>
    </w:p>
    <w:p w14:paraId="2A4DED36">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default" w:ascii="宋体" w:hAnsi="宋体" w:eastAsia="宋体" w:cs="宋体"/>
          <w:iCs/>
          <w:color w:val="auto"/>
          <w:kern w:val="2"/>
          <w:sz w:val="21"/>
          <w:szCs w:val="21"/>
          <w:lang w:val="en-US" w:eastAsia="zh-CN" w:bidi="ar-SA"/>
          <w14:ligatures w14:val="none"/>
        </w:rPr>
        <w:t>(5)</w:t>
      </w:r>
      <w:r>
        <w:rPr>
          <w:rFonts w:hint="eastAsia" w:ascii="宋体" w:hAnsi="宋体" w:cs="宋体"/>
          <w:iCs/>
          <w:color w:val="auto"/>
        </w:rPr>
        <w:t>提供网络培训，用户根据自己的情况可以参加培训，线上解决使用中常见问题。</w:t>
      </w:r>
    </w:p>
    <w:p w14:paraId="0A91F627">
      <w:pPr>
        <w:numPr>
          <w:ilvl w:val="0"/>
          <w:numId w:val="0"/>
        </w:numPr>
        <w:tabs>
          <w:tab w:val="left" w:pos="960"/>
        </w:tabs>
        <w:adjustRightInd w:val="0"/>
        <w:snapToGrid w:val="0"/>
        <w:spacing w:line="440" w:lineRule="exact"/>
        <w:ind w:left="0" w:firstLine="480"/>
        <w:jc w:val="left"/>
        <w:rPr>
          <w:rFonts w:hint="eastAsia" w:ascii="宋体" w:hAnsi="宋体" w:cs="宋体"/>
          <w:iCs/>
          <w:color w:val="auto"/>
        </w:rPr>
      </w:pPr>
      <w:r>
        <w:rPr>
          <w:rFonts w:hint="default" w:ascii="宋体" w:hAnsi="宋体" w:eastAsia="宋体" w:cs="宋体"/>
          <w:iCs/>
          <w:color w:val="auto"/>
          <w:kern w:val="2"/>
          <w:sz w:val="21"/>
          <w:szCs w:val="21"/>
          <w:lang w:val="en-US" w:eastAsia="zh-CN" w:bidi="ar-SA"/>
          <w14:ligatures w14:val="none"/>
        </w:rPr>
        <w:t>(6)</w:t>
      </w:r>
      <w:r>
        <w:rPr>
          <w:rFonts w:hint="eastAsia" w:ascii="宋体" w:hAnsi="宋体" w:cs="宋体"/>
          <w:iCs/>
          <w:color w:val="auto"/>
        </w:rPr>
        <w:t>供应商应提供培训方案，包括：地点、时间、人数、人员等要求，并列出费用清单；使培训人员达到熟练掌握、灵活应用的程度；全部费用由供应商承担。</w:t>
      </w:r>
    </w:p>
    <w:p w14:paraId="43DEE75A">
      <w:pPr>
        <w:adjustRightInd w:val="0"/>
        <w:snapToGrid w:val="0"/>
        <w:spacing w:line="440" w:lineRule="exact"/>
        <w:ind w:firstLine="422" w:firstLineChars="200"/>
        <w:jc w:val="left"/>
        <w:rPr>
          <w:rFonts w:hint="eastAsia" w:ascii="宋体" w:hAnsi="宋体" w:cs="宋体"/>
          <w:b/>
          <w:bCs/>
          <w:iCs/>
          <w:color w:val="auto"/>
        </w:rPr>
      </w:pPr>
      <w:r>
        <w:rPr>
          <w:rFonts w:hint="eastAsia" w:ascii="宋体" w:hAnsi="宋体" w:cs="宋体"/>
          <w:b/>
          <w:bCs/>
          <w:iCs/>
          <w:color w:val="auto"/>
          <w:lang w:eastAsia="zh-CN"/>
        </w:rPr>
        <w:t>（五）</w:t>
      </w:r>
      <w:r>
        <w:rPr>
          <w:rFonts w:hint="eastAsia" w:ascii="宋体" w:hAnsi="宋体" w:cs="宋体"/>
          <w:b/>
          <w:bCs/>
          <w:iCs/>
          <w:color w:val="auto"/>
        </w:rPr>
        <w:t>售后服务要求</w:t>
      </w:r>
    </w:p>
    <w:p w14:paraId="164EB108">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1、成交后提供所投产品供应商或制造商售后服务机构情况，包括地址、技术人员及联系方式，售后技术人员力量、设备实力等。</w:t>
      </w:r>
    </w:p>
    <w:p w14:paraId="1D335EF5">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2、提供质保期内免费上门保修服务。</w:t>
      </w:r>
    </w:p>
    <w:p w14:paraId="2564BD76">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3、质保期内（自验收合格之日起计算）应当为采购人提供以下技术支持和服务：</w:t>
      </w:r>
    </w:p>
    <w:p w14:paraId="45C69097">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（1）电话咨询。供应商或制造商应当为采购人提供技术援助电话，解答采购人在使用中遇到的问题，及时为采购人提出解决问题的建议和办法。</w:t>
      </w:r>
    </w:p>
    <w:p w14:paraId="203AB029">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2）现场响应。质保期内出现设备故障，乙方2小时内电话响应，24小时内抵达现场，在双方协商期限内处理完毕，乙方在协商期限内未安排处理售后服务的，甲方有权委托第三方进行维修，产生的费用全部由乙方承担。</w:t>
      </w:r>
    </w:p>
    <w:p w14:paraId="75AA9592">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（3）供应商应当定期对所供设备系统运行情况进行检测，消除故障隐患，以保证设备的正常运行。</w:t>
      </w:r>
    </w:p>
    <w:p w14:paraId="53B7B451">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（4）技术升级。在质保期内，如果制造商的产品技术升级，供应商应及时通知采购人，如采购人有相应要求，供应商和制造商应对采购人购买的产品进行免费升级服务或优惠价格的有偿升级服务。</w:t>
      </w:r>
    </w:p>
    <w:p w14:paraId="76FB7665">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4、质保期外应当为采购人提供以下技术支持和服务：</w:t>
      </w:r>
    </w:p>
    <w:p w14:paraId="13385DD2">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（1）提供免费电话咨询服务，并提供产品上门维护服务。</w:t>
      </w:r>
    </w:p>
    <w:p w14:paraId="1DC93D8F">
      <w:pPr>
        <w:adjustRightInd w:val="0"/>
        <w:snapToGrid w:val="0"/>
        <w:spacing w:line="440" w:lineRule="exact"/>
        <w:ind w:firstLine="420" w:firstLineChars="200"/>
        <w:jc w:val="left"/>
        <w:rPr>
          <w:rFonts w:hint="eastAsia" w:ascii="宋体" w:hAnsi="宋体" w:cs="宋体"/>
          <w:iCs/>
          <w:color w:val="auto"/>
        </w:rPr>
      </w:pPr>
      <w:r>
        <w:rPr>
          <w:rFonts w:hint="eastAsia" w:ascii="宋体" w:hAnsi="宋体" w:cs="宋体"/>
          <w:iCs/>
          <w:color w:val="auto"/>
        </w:rPr>
        <w:t>（2）以优惠价格继续提供售后服务。</w:t>
      </w:r>
    </w:p>
    <w:p w14:paraId="0C9A2B87">
      <w:pPr>
        <w:adjustRightInd w:val="0"/>
        <w:snapToGrid w:val="0"/>
        <w:spacing w:line="440" w:lineRule="exact"/>
        <w:ind w:firstLine="420" w:firstLineChars="200"/>
        <w:rPr>
          <w:rFonts w:hint="eastAsia" w:ascii="宋体" w:hAnsi="宋体" w:cs="宋体"/>
          <w:color w:val="auto"/>
          <w:sz w:val="21"/>
          <w:szCs w:val="21"/>
        </w:rPr>
      </w:pPr>
      <w:r>
        <w:rPr>
          <w:rFonts w:hint="eastAsia" w:ascii="宋体" w:hAnsi="宋体" w:cs="宋体"/>
          <w:iCs/>
          <w:color w:val="auto"/>
        </w:rPr>
        <w:t>（3）超过免费保修期，乙方提供该设备终身维修服务，服务响应时间与质保期内保持一致，维修费用另行协商。</w:t>
      </w:r>
    </w:p>
    <w:p w14:paraId="1CA70D26">
      <w:pPr>
        <w:adjustRightInd w:val="0"/>
        <w:snapToGrid w:val="0"/>
        <w:spacing w:line="440" w:lineRule="exact"/>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5、</w:t>
      </w:r>
      <w:r>
        <w:rPr>
          <w:rFonts w:hint="eastAsia" w:ascii="宋体" w:hAnsi="宋体" w:cs="宋体"/>
          <w:color w:val="auto"/>
          <w:sz w:val="21"/>
          <w:szCs w:val="21"/>
        </w:rPr>
        <w:t>备品备件及易损件</w:t>
      </w:r>
    </w:p>
    <w:p w14:paraId="11848C66">
      <w:pPr>
        <w:adjustRightInd w:val="0"/>
        <w:snapToGrid w:val="0"/>
        <w:spacing w:line="440" w:lineRule="exact"/>
        <w:ind w:firstLine="420" w:firstLineChars="200"/>
        <w:rPr>
          <w:rFonts w:hint="eastAsia" w:ascii="宋体" w:hAnsi="宋体" w:cs="宋体"/>
          <w:b/>
          <w:bCs/>
          <w:color w:val="auto"/>
        </w:rPr>
      </w:pPr>
      <w:r>
        <w:rPr>
          <w:rFonts w:hint="eastAsia" w:ascii="宋体" w:hAnsi="宋体" w:cs="宋体"/>
          <w:color w:val="auto"/>
          <w:sz w:val="21"/>
          <w:szCs w:val="21"/>
        </w:rPr>
        <w:t>供应商或制造商售后服务过程中，维修使用的备品备件及易损件应为原厂配件，未经采购人同意不得使用非原厂配件。</w:t>
      </w:r>
      <w:r>
        <w:rPr>
          <w:rFonts w:hint="eastAsia" w:ascii="宋体" w:hAnsi="宋体" w:cs="宋体"/>
          <w:color w:val="auto"/>
          <w:sz w:val="24"/>
          <w:szCs w:val="24"/>
        </w:rPr>
        <w:br w:type="page"/>
      </w:r>
    </w:p>
    <w:bookmarkEnd w:id="819"/>
    <w:bookmarkEnd w:id="820"/>
    <w:bookmarkEnd w:id="821"/>
    <w:p w14:paraId="250ADAEE">
      <w:pPr>
        <w:pStyle w:val="2"/>
        <w:spacing w:before="0" w:after="0" w:line="400" w:lineRule="exact"/>
        <w:jc w:val="center"/>
        <w:rPr>
          <w:rFonts w:hint="eastAsia" w:ascii="宋体" w:hAnsi="宋体"/>
          <w:bCs/>
          <w:color w:val="auto"/>
          <w:sz w:val="36"/>
          <w:szCs w:val="36"/>
        </w:rPr>
      </w:pPr>
      <w:bookmarkStart w:id="841" w:name="_Toc490667883"/>
      <w:bookmarkEnd w:id="841"/>
      <w:bookmarkStart w:id="842" w:name="_Toc455080164"/>
      <w:bookmarkEnd w:id="842"/>
      <w:bookmarkStart w:id="843" w:name="_Toc5903"/>
      <w:bookmarkEnd w:id="843"/>
      <w:bookmarkStart w:id="844" w:name="_Toc455867824"/>
      <w:bookmarkEnd w:id="844"/>
      <w:bookmarkStart w:id="845" w:name="_Toc26894"/>
      <w:bookmarkEnd w:id="845"/>
      <w:bookmarkStart w:id="846" w:name="_Toc509667320"/>
      <w:bookmarkEnd w:id="846"/>
      <w:bookmarkStart w:id="847" w:name="_Toc152042575"/>
      <w:bookmarkEnd w:id="847"/>
      <w:bookmarkStart w:id="848" w:name="_Toc22986"/>
      <w:bookmarkEnd w:id="848"/>
      <w:bookmarkStart w:id="849" w:name="_Toc152045786"/>
      <w:bookmarkEnd w:id="849"/>
      <w:bookmarkStart w:id="850" w:name="_Toc144974855"/>
      <w:bookmarkEnd w:id="850"/>
      <w:bookmarkStart w:id="851" w:name="_Toc32183"/>
      <w:bookmarkEnd w:id="851"/>
      <w:bookmarkStart w:id="852" w:name="_Toc281405536"/>
      <w:bookmarkEnd w:id="852"/>
      <w:bookmarkStart w:id="853" w:name="_Toc466298147"/>
      <w:bookmarkEnd w:id="853"/>
      <w:bookmarkStart w:id="854" w:name="_Toc509667314"/>
      <w:bookmarkEnd w:id="854"/>
      <w:bookmarkStart w:id="855" w:name="_Toc19453"/>
      <w:bookmarkEnd w:id="855"/>
      <w:bookmarkStart w:id="856" w:name="_Toc318450730"/>
      <w:bookmarkEnd w:id="856"/>
      <w:bookmarkStart w:id="857" w:name="_Toc29539"/>
      <w:bookmarkStart w:id="858" w:name="_Toc29406"/>
      <w:bookmarkStart w:id="859" w:name="_Toc12303"/>
      <w:bookmarkStart w:id="860" w:name="_Toc14099"/>
      <w:bookmarkStart w:id="861" w:name="_Toc589"/>
      <w:r>
        <w:rPr>
          <w:rFonts w:hint="eastAsia" w:ascii="宋体" w:hAnsi="宋体"/>
          <w:bCs/>
          <w:color w:val="auto"/>
          <w:sz w:val="36"/>
          <w:szCs w:val="36"/>
        </w:rPr>
        <w:t>第六章  响应文件格式</w:t>
      </w:r>
      <w:bookmarkEnd w:id="857"/>
      <w:bookmarkEnd w:id="858"/>
      <w:bookmarkEnd w:id="859"/>
      <w:bookmarkEnd w:id="860"/>
      <w:bookmarkEnd w:id="861"/>
    </w:p>
    <w:p w14:paraId="2C7DA6F1">
      <w:pPr>
        <w:spacing w:line="360" w:lineRule="auto"/>
        <w:jc w:val="right"/>
        <w:rPr>
          <w:rFonts w:hint="eastAsia" w:ascii="宋体" w:hAnsi="宋体"/>
          <w:b/>
          <w:bCs/>
          <w:color w:val="auto"/>
          <w:sz w:val="28"/>
          <w:szCs w:val="28"/>
        </w:rPr>
      </w:pPr>
    </w:p>
    <w:p w14:paraId="6B7A3427">
      <w:pPr>
        <w:jc w:val="center"/>
        <w:rPr>
          <w:rFonts w:hint="eastAsia" w:ascii="宋体" w:hAnsi="宋体" w:cs="宋体"/>
          <w:b/>
          <w:bCs/>
          <w:color w:val="auto"/>
          <w:kern w:val="0"/>
          <w:sz w:val="48"/>
          <w:szCs w:val="48"/>
        </w:rPr>
      </w:pPr>
      <w:r>
        <w:rPr>
          <w:rFonts w:hint="eastAsia" w:ascii="宋体" w:hAnsi="宋体" w:cs="宋体"/>
          <w:b/>
          <w:bCs/>
          <w:color w:val="auto"/>
          <w:kern w:val="0"/>
          <w:sz w:val="48"/>
          <w:szCs w:val="48"/>
        </w:rPr>
        <w:t>中原纯化制程实验室</w:t>
      </w:r>
    </w:p>
    <w:p w14:paraId="4A2FBCBF">
      <w:pPr>
        <w:jc w:val="center"/>
        <w:rPr>
          <w:rFonts w:hint="eastAsia" w:ascii="宋体" w:hAnsi="宋体"/>
          <w:b/>
          <w:bCs/>
          <w:color w:val="auto"/>
          <w:sz w:val="48"/>
          <w:szCs w:val="48"/>
        </w:rPr>
      </w:pPr>
      <w:r>
        <w:rPr>
          <w:rFonts w:hint="eastAsia" w:ascii="宋体" w:hAnsi="宋体" w:cs="宋体"/>
          <w:b/>
          <w:bCs/>
          <w:color w:val="auto"/>
          <w:kern w:val="0"/>
          <w:sz w:val="48"/>
          <w:szCs w:val="48"/>
        </w:rPr>
        <w:t>高纯石墨材料制备技术与产品研发项目</w:t>
      </w:r>
    </w:p>
    <w:p w14:paraId="60A2A7EA">
      <w:pPr>
        <w:jc w:val="center"/>
        <w:rPr>
          <w:rFonts w:hint="eastAsia" w:ascii="宋体" w:hAnsi="宋体"/>
          <w:b/>
          <w:bCs/>
          <w:color w:val="auto"/>
          <w:sz w:val="36"/>
          <w:szCs w:val="36"/>
        </w:rPr>
      </w:pPr>
    </w:p>
    <w:p w14:paraId="5B10B278">
      <w:pPr>
        <w:jc w:val="center"/>
        <w:rPr>
          <w:rFonts w:hint="eastAsia" w:ascii="宋体" w:hAnsi="宋体"/>
          <w:b/>
          <w:bCs/>
          <w:color w:val="auto"/>
          <w:sz w:val="36"/>
          <w:szCs w:val="36"/>
        </w:rPr>
      </w:pPr>
    </w:p>
    <w:p w14:paraId="2A9B861A">
      <w:pPr>
        <w:jc w:val="center"/>
        <w:rPr>
          <w:rFonts w:hint="eastAsia" w:ascii="宋体" w:hAnsi="宋体"/>
          <w:b/>
          <w:bCs/>
          <w:color w:val="auto"/>
          <w:sz w:val="36"/>
          <w:szCs w:val="36"/>
        </w:rPr>
      </w:pPr>
    </w:p>
    <w:p w14:paraId="2B746B7D">
      <w:pPr>
        <w:jc w:val="center"/>
        <w:rPr>
          <w:rFonts w:hint="eastAsia" w:ascii="宋体" w:hAnsi="宋体"/>
          <w:color w:val="auto"/>
          <w:sz w:val="84"/>
          <w:szCs w:val="84"/>
        </w:rPr>
      </w:pPr>
      <w:r>
        <w:rPr>
          <w:rFonts w:hint="eastAsia" w:ascii="宋体" w:hAnsi="宋体"/>
          <w:color w:val="auto"/>
          <w:sz w:val="84"/>
          <w:szCs w:val="84"/>
        </w:rPr>
        <w:t>响 应 文 件</w:t>
      </w:r>
    </w:p>
    <w:p w14:paraId="2C4C5E4C">
      <w:pPr>
        <w:spacing w:line="400" w:lineRule="exact"/>
        <w:rPr>
          <w:rFonts w:hint="eastAsia" w:ascii="宋体" w:hAnsi="宋体"/>
          <w:color w:val="auto"/>
          <w:sz w:val="28"/>
          <w:szCs w:val="28"/>
        </w:rPr>
      </w:pPr>
    </w:p>
    <w:p w14:paraId="08CA52D1">
      <w:pPr>
        <w:spacing w:line="400" w:lineRule="exact"/>
        <w:jc w:val="center"/>
        <w:rPr>
          <w:rFonts w:hint="eastAsia" w:ascii="宋体" w:hAnsi="宋体" w:eastAsia="宋体"/>
          <w:color w:val="auto"/>
          <w:sz w:val="28"/>
          <w:szCs w:val="28"/>
          <w:u w:val="single"/>
          <w:lang w:eastAsia="zh-CN"/>
        </w:rPr>
      </w:pPr>
      <w:r>
        <w:rPr>
          <w:rFonts w:hint="eastAsia" w:ascii="宋体" w:hAnsi="宋体"/>
          <w:color w:val="auto"/>
          <w:sz w:val="28"/>
          <w:szCs w:val="28"/>
        </w:rPr>
        <w:t>项目编号：</w:t>
      </w:r>
      <w:r>
        <w:rPr>
          <w:rFonts w:hint="eastAsia" w:ascii="宋体" w:hAnsi="宋体"/>
          <w:color w:val="auto"/>
          <w:sz w:val="28"/>
          <w:szCs w:val="28"/>
          <w:lang w:eastAsia="zh-CN"/>
        </w:rPr>
        <w:t>豫财磋商采购-2026-690</w:t>
      </w:r>
    </w:p>
    <w:p w14:paraId="54D7E129">
      <w:pPr>
        <w:spacing w:line="400" w:lineRule="exact"/>
        <w:rPr>
          <w:rFonts w:hint="eastAsia" w:ascii="宋体" w:hAnsi="宋体"/>
          <w:color w:val="auto"/>
          <w:sz w:val="28"/>
          <w:szCs w:val="28"/>
        </w:rPr>
      </w:pPr>
    </w:p>
    <w:p w14:paraId="78E5B570">
      <w:pPr>
        <w:spacing w:line="400" w:lineRule="exact"/>
        <w:rPr>
          <w:rFonts w:hint="eastAsia" w:ascii="宋体" w:hAnsi="宋体"/>
          <w:color w:val="auto"/>
          <w:sz w:val="28"/>
          <w:szCs w:val="28"/>
        </w:rPr>
      </w:pPr>
    </w:p>
    <w:p w14:paraId="1F6E77D6">
      <w:pPr>
        <w:spacing w:line="400" w:lineRule="exact"/>
        <w:rPr>
          <w:rFonts w:hint="eastAsia" w:ascii="宋体" w:hAnsi="宋体"/>
          <w:color w:val="auto"/>
          <w:sz w:val="28"/>
          <w:szCs w:val="28"/>
        </w:rPr>
      </w:pPr>
    </w:p>
    <w:p w14:paraId="6BF800AA">
      <w:pPr>
        <w:spacing w:line="400" w:lineRule="exact"/>
        <w:rPr>
          <w:rFonts w:hint="eastAsia" w:ascii="宋体" w:hAnsi="宋体"/>
          <w:color w:val="auto"/>
          <w:sz w:val="28"/>
          <w:szCs w:val="28"/>
        </w:rPr>
      </w:pPr>
    </w:p>
    <w:p w14:paraId="243E753E">
      <w:pPr>
        <w:spacing w:line="400" w:lineRule="exact"/>
        <w:rPr>
          <w:rFonts w:hint="eastAsia" w:ascii="宋体" w:hAnsi="宋体"/>
          <w:color w:val="auto"/>
          <w:sz w:val="28"/>
          <w:szCs w:val="28"/>
        </w:rPr>
      </w:pPr>
    </w:p>
    <w:p w14:paraId="0B248C31">
      <w:pPr>
        <w:spacing w:line="400" w:lineRule="exact"/>
        <w:rPr>
          <w:rFonts w:hint="eastAsia" w:ascii="宋体" w:hAnsi="宋体"/>
          <w:color w:val="auto"/>
          <w:sz w:val="28"/>
          <w:szCs w:val="28"/>
        </w:rPr>
      </w:pPr>
    </w:p>
    <w:p w14:paraId="1422DDEA">
      <w:pPr>
        <w:spacing w:line="400" w:lineRule="exact"/>
        <w:rPr>
          <w:rFonts w:hint="eastAsia" w:ascii="宋体" w:hAnsi="宋体"/>
          <w:color w:val="auto"/>
          <w:sz w:val="28"/>
          <w:szCs w:val="28"/>
        </w:rPr>
      </w:pPr>
    </w:p>
    <w:p w14:paraId="419C426A">
      <w:pPr>
        <w:spacing w:line="400" w:lineRule="exact"/>
        <w:rPr>
          <w:rFonts w:hint="eastAsia" w:ascii="宋体" w:hAnsi="宋体"/>
          <w:color w:val="auto"/>
          <w:sz w:val="28"/>
          <w:szCs w:val="28"/>
        </w:rPr>
      </w:pPr>
    </w:p>
    <w:p w14:paraId="3CFF8AFF">
      <w:pPr>
        <w:spacing w:line="400" w:lineRule="exact"/>
        <w:rPr>
          <w:rFonts w:hint="eastAsia" w:ascii="宋体" w:hAnsi="宋体"/>
          <w:color w:val="auto"/>
          <w:sz w:val="28"/>
          <w:szCs w:val="28"/>
        </w:rPr>
      </w:pPr>
    </w:p>
    <w:p w14:paraId="18A810A2">
      <w:pPr>
        <w:spacing w:line="400" w:lineRule="exact"/>
        <w:rPr>
          <w:rFonts w:hint="eastAsia" w:ascii="宋体" w:hAnsi="宋体"/>
          <w:color w:val="auto"/>
          <w:sz w:val="28"/>
          <w:szCs w:val="28"/>
        </w:rPr>
      </w:pPr>
    </w:p>
    <w:p w14:paraId="0292DA4B">
      <w:pPr>
        <w:pStyle w:val="110"/>
        <w:adjustRightInd/>
        <w:snapToGrid/>
        <w:ind w:firstLine="560"/>
        <w:rPr>
          <w:rFonts w:hint="eastAsia"/>
          <w:color w:val="auto"/>
          <w:sz w:val="28"/>
          <w:szCs w:val="28"/>
        </w:rPr>
      </w:pPr>
    </w:p>
    <w:p w14:paraId="56CD0EA4">
      <w:pPr>
        <w:rPr>
          <w:rFonts w:hint="eastAsia" w:ascii="宋体" w:hAnsi="宋体"/>
          <w:color w:val="auto"/>
        </w:rPr>
      </w:pPr>
    </w:p>
    <w:p w14:paraId="13B7878B">
      <w:pPr>
        <w:spacing w:line="480" w:lineRule="auto"/>
        <w:jc w:val="center"/>
        <w:rPr>
          <w:rFonts w:hint="eastAsia" w:ascii="宋体" w:hAnsi="宋体"/>
          <w:color w:val="auto"/>
          <w:sz w:val="28"/>
          <w:szCs w:val="28"/>
          <w:u w:val="single"/>
        </w:rPr>
      </w:pPr>
      <w:r>
        <w:rPr>
          <w:rFonts w:hint="eastAsia" w:ascii="宋体" w:hAnsi="宋体"/>
          <w:color w:val="auto"/>
          <w:sz w:val="28"/>
          <w:szCs w:val="28"/>
        </w:rPr>
        <w:t>供应商：（盖单位公章）</w:t>
      </w:r>
    </w:p>
    <w:p w14:paraId="02D7A170">
      <w:pPr>
        <w:spacing w:line="480" w:lineRule="auto"/>
        <w:jc w:val="center"/>
        <w:rPr>
          <w:rFonts w:hint="eastAsia" w:ascii="宋体" w:hAnsi="宋体"/>
          <w:color w:val="auto"/>
          <w:sz w:val="28"/>
          <w:szCs w:val="28"/>
        </w:rPr>
      </w:pPr>
      <w:r>
        <w:rPr>
          <w:rFonts w:hint="eastAsia" w:ascii="宋体" w:hAnsi="宋体"/>
          <w:color w:val="auto"/>
          <w:sz w:val="28"/>
          <w:szCs w:val="28"/>
        </w:rPr>
        <w:t>法定代表人或其委托代理人：（签字或盖章）</w:t>
      </w:r>
    </w:p>
    <w:p w14:paraId="2558F32C">
      <w:pPr>
        <w:spacing w:line="480" w:lineRule="auto"/>
        <w:jc w:val="center"/>
        <w:rPr>
          <w:rFonts w:hint="eastAsia" w:ascii="宋体" w:hAnsi="宋体"/>
          <w:color w:val="auto"/>
          <w:sz w:val="20"/>
          <w:szCs w:val="20"/>
        </w:rPr>
      </w:pPr>
      <w:r>
        <w:rPr>
          <w:rFonts w:hint="eastAsia" w:ascii="宋体" w:hAnsi="宋体"/>
          <w:color w:val="auto"/>
          <w:sz w:val="28"/>
          <w:szCs w:val="28"/>
        </w:rPr>
        <w:t>年   月   日</w:t>
      </w:r>
    </w:p>
    <w:p w14:paraId="60759C47">
      <w:pPr>
        <w:spacing w:line="400" w:lineRule="exact"/>
        <w:rPr>
          <w:rFonts w:hint="eastAsia" w:ascii="宋体" w:hAnsi="宋体"/>
          <w:color w:val="auto"/>
        </w:rPr>
      </w:pPr>
      <w:r>
        <w:rPr>
          <w:rFonts w:hint="eastAsia" w:ascii="宋体" w:hAnsi="宋体"/>
          <w:color w:val="auto"/>
        </w:rPr>
        <w:br w:type="page"/>
      </w:r>
    </w:p>
    <w:p w14:paraId="1AF9309A">
      <w:pPr>
        <w:pStyle w:val="114"/>
        <w:spacing w:before="0"/>
        <w:jc w:val="center"/>
        <w:outlineLvl w:val="9"/>
        <w:rPr>
          <w:rFonts w:hint="eastAsia" w:ascii="宋体" w:hAnsi="宋体" w:eastAsia="宋体"/>
          <w:color w:val="auto"/>
        </w:rPr>
      </w:pPr>
      <w:bookmarkStart w:id="862" w:name="_Toc32443"/>
      <w:bookmarkEnd w:id="862"/>
      <w:bookmarkStart w:id="863" w:name="_Toc10473"/>
      <w:bookmarkEnd w:id="863"/>
      <w:bookmarkStart w:id="864" w:name="_Toc509667321"/>
      <w:bookmarkEnd w:id="864"/>
      <w:bookmarkStart w:id="865" w:name="_Toc144974856"/>
      <w:bookmarkEnd w:id="865"/>
      <w:bookmarkStart w:id="866" w:name="_Toc27560"/>
      <w:bookmarkEnd w:id="866"/>
      <w:bookmarkStart w:id="867" w:name="_Toc2645"/>
      <w:bookmarkEnd w:id="867"/>
      <w:bookmarkStart w:id="868" w:name="_Toc14373"/>
      <w:bookmarkEnd w:id="868"/>
      <w:bookmarkStart w:id="869" w:name="_Toc23656"/>
      <w:bookmarkEnd w:id="869"/>
      <w:bookmarkStart w:id="870" w:name="_Toc8413"/>
      <w:bookmarkEnd w:id="870"/>
      <w:bookmarkStart w:id="871" w:name="_Toc466298157"/>
      <w:bookmarkEnd w:id="871"/>
      <w:bookmarkStart w:id="872" w:name="_Toc152045787"/>
      <w:bookmarkEnd w:id="872"/>
      <w:bookmarkStart w:id="873" w:name="_Toc32683"/>
      <w:bookmarkEnd w:id="873"/>
      <w:bookmarkStart w:id="874" w:name="_Toc28226"/>
      <w:bookmarkEnd w:id="874"/>
      <w:bookmarkStart w:id="875" w:name="_Toc9881"/>
      <w:bookmarkStart w:id="876" w:name="_Toc129073525"/>
      <w:bookmarkStart w:id="877" w:name="_Toc30662"/>
      <w:bookmarkStart w:id="878" w:name="_Toc1532"/>
      <w:bookmarkStart w:id="879" w:name="_Toc5039"/>
      <w:bookmarkStart w:id="880" w:name="_Toc152042576"/>
      <w:bookmarkStart w:id="881" w:name="_Toc7391"/>
      <w:r>
        <w:rPr>
          <w:rFonts w:hint="eastAsia" w:ascii="宋体" w:hAnsi="宋体" w:eastAsia="宋体"/>
          <w:color w:val="auto"/>
        </w:rPr>
        <w:t>目    录</w:t>
      </w:r>
      <w:bookmarkEnd w:id="875"/>
      <w:bookmarkEnd w:id="876"/>
      <w:bookmarkEnd w:id="877"/>
      <w:bookmarkEnd w:id="878"/>
      <w:bookmarkEnd w:id="879"/>
      <w:bookmarkEnd w:id="880"/>
      <w:bookmarkEnd w:id="881"/>
    </w:p>
    <w:p w14:paraId="64CA517F">
      <w:pPr>
        <w:spacing w:line="540" w:lineRule="exact"/>
        <w:rPr>
          <w:rFonts w:hint="eastAsia" w:ascii="宋体" w:hAnsi="宋体"/>
          <w:color w:val="auto"/>
        </w:rPr>
      </w:pPr>
      <w:r>
        <w:rPr>
          <w:rFonts w:hint="eastAsia" w:ascii="宋体" w:hAnsi="宋体"/>
          <w:color w:val="auto"/>
        </w:rPr>
        <w:t>一、磋商函及磋商函附录</w:t>
      </w:r>
    </w:p>
    <w:p w14:paraId="40A54EE7">
      <w:pPr>
        <w:spacing w:line="540" w:lineRule="exact"/>
        <w:rPr>
          <w:rFonts w:hint="eastAsia" w:ascii="宋体" w:hAnsi="宋体"/>
          <w:color w:val="auto"/>
        </w:rPr>
      </w:pPr>
      <w:r>
        <w:rPr>
          <w:rFonts w:hint="eastAsia" w:ascii="宋体" w:hAnsi="宋体"/>
          <w:color w:val="auto"/>
        </w:rPr>
        <w:t>二、法定代表身份证明</w:t>
      </w:r>
    </w:p>
    <w:p w14:paraId="20D0BEA0">
      <w:pPr>
        <w:spacing w:line="540" w:lineRule="exact"/>
        <w:rPr>
          <w:rFonts w:hint="eastAsia" w:ascii="宋体" w:hAnsi="宋体"/>
          <w:color w:val="auto"/>
        </w:rPr>
      </w:pPr>
      <w:r>
        <w:rPr>
          <w:rFonts w:hint="eastAsia" w:ascii="宋体" w:hAnsi="宋体"/>
          <w:color w:val="auto"/>
        </w:rPr>
        <w:t>三、授权委托书</w:t>
      </w:r>
    </w:p>
    <w:p w14:paraId="032DB747">
      <w:pPr>
        <w:spacing w:line="540" w:lineRule="exact"/>
        <w:rPr>
          <w:rFonts w:hint="eastAsia" w:ascii="宋体" w:hAnsi="宋体"/>
          <w:color w:val="auto"/>
        </w:rPr>
      </w:pPr>
      <w:r>
        <w:rPr>
          <w:rFonts w:hint="eastAsia" w:ascii="宋体" w:hAnsi="宋体"/>
          <w:color w:val="auto"/>
        </w:rPr>
        <w:t>四、</w:t>
      </w:r>
      <w:r>
        <w:rPr>
          <w:rFonts w:hint="eastAsia" w:ascii="宋体" w:hAnsi="宋体"/>
          <w:color w:val="auto"/>
          <w:lang w:eastAsia="zh-CN"/>
        </w:rPr>
        <w:t>分项报价明细</w:t>
      </w:r>
      <w:r>
        <w:rPr>
          <w:rFonts w:hint="eastAsia" w:ascii="宋体" w:hAnsi="宋体"/>
          <w:color w:val="auto"/>
        </w:rPr>
        <w:t>表</w:t>
      </w:r>
    </w:p>
    <w:p w14:paraId="0BDCC649">
      <w:pPr>
        <w:spacing w:line="540" w:lineRule="exact"/>
        <w:rPr>
          <w:rFonts w:hint="eastAsia" w:ascii="宋体" w:hAnsi="宋体"/>
          <w:color w:val="auto"/>
        </w:rPr>
      </w:pPr>
      <w:r>
        <w:rPr>
          <w:rFonts w:hint="eastAsia" w:ascii="宋体" w:hAnsi="宋体"/>
          <w:color w:val="auto"/>
        </w:rPr>
        <w:t>五、资格审查资料</w:t>
      </w:r>
    </w:p>
    <w:p w14:paraId="2FAF876F">
      <w:pPr>
        <w:spacing w:line="540" w:lineRule="exact"/>
        <w:rPr>
          <w:rFonts w:hint="eastAsia" w:ascii="宋体" w:hAnsi="宋体"/>
          <w:color w:val="auto"/>
        </w:rPr>
      </w:pPr>
      <w:r>
        <w:rPr>
          <w:rFonts w:hint="eastAsia" w:ascii="宋体" w:hAnsi="宋体"/>
          <w:color w:val="auto"/>
        </w:rPr>
        <w:t>六、技术规格偏差表</w:t>
      </w:r>
    </w:p>
    <w:p w14:paraId="7BEB7E89">
      <w:pPr>
        <w:spacing w:line="540" w:lineRule="exact"/>
        <w:rPr>
          <w:rFonts w:hint="eastAsia" w:ascii="宋体" w:hAnsi="宋体"/>
          <w:color w:val="auto"/>
        </w:rPr>
      </w:pPr>
      <w:r>
        <w:rPr>
          <w:rFonts w:hint="eastAsia" w:ascii="宋体" w:hAnsi="宋体"/>
          <w:color w:val="auto"/>
        </w:rPr>
        <w:t>七、商务条款偏离表</w:t>
      </w:r>
    </w:p>
    <w:p w14:paraId="14623AD5">
      <w:pPr>
        <w:spacing w:line="540" w:lineRule="exact"/>
        <w:rPr>
          <w:rFonts w:hint="eastAsia" w:ascii="宋体" w:hAnsi="宋体" w:eastAsia="宋体"/>
          <w:color w:val="auto"/>
          <w:lang w:eastAsia="zh-CN"/>
        </w:rPr>
      </w:pPr>
      <w:r>
        <w:rPr>
          <w:rFonts w:hint="eastAsia" w:ascii="宋体" w:hAnsi="宋体"/>
          <w:color w:val="auto"/>
        </w:rPr>
        <w:t>八、</w:t>
      </w:r>
      <w:r>
        <w:rPr>
          <w:rFonts w:hint="eastAsia" w:ascii="宋体" w:hAnsi="宋体"/>
          <w:color w:val="auto"/>
          <w:lang w:eastAsia="zh-CN"/>
        </w:rPr>
        <w:t>同类项目供货业绩</w:t>
      </w:r>
    </w:p>
    <w:p w14:paraId="65165B3F">
      <w:pPr>
        <w:spacing w:line="540" w:lineRule="exact"/>
        <w:rPr>
          <w:rFonts w:hint="eastAsia" w:ascii="宋体" w:hAnsi="宋体"/>
          <w:color w:val="auto"/>
        </w:rPr>
      </w:pPr>
      <w:r>
        <w:rPr>
          <w:rFonts w:hint="eastAsia" w:ascii="宋体" w:hAnsi="宋体"/>
          <w:color w:val="auto"/>
        </w:rPr>
        <w:t>九、综合部分</w:t>
      </w:r>
      <w:r>
        <w:rPr>
          <w:rFonts w:hint="eastAsia" w:ascii="宋体" w:hAnsi="宋体"/>
          <w:color w:val="auto"/>
          <w:lang w:eastAsia="zh-CN"/>
        </w:rPr>
        <w:t>其他</w:t>
      </w:r>
      <w:r>
        <w:rPr>
          <w:rFonts w:hint="eastAsia" w:ascii="宋体" w:hAnsi="宋体"/>
          <w:color w:val="auto"/>
        </w:rPr>
        <w:t>资料</w:t>
      </w:r>
    </w:p>
    <w:p w14:paraId="25B7729B">
      <w:pPr>
        <w:spacing w:line="540" w:lineRule="exact"/>
        <w:rPr>
          <w:rFonts w:hint="eastAsia" w:ascii="宋体" w:hAnsi="宋体"/>
          <w:color w:val="auto"/>
        </w:rPr>
      </w:pPr>
      <w:r>
        <w:rPr>
          <w:rFonts w:hint="eastAsia" w:ascii="宋体" w:hAnsi="宋体"/>
          <w:color w:val="auto"/>
        </w:rPr>
        <w:t>十、反商业贿赂承诺书</w:t>
      </w:r>
    </w:p>
    <w:p w14:paraId="09B45B4F">
      <w:pPr>
        <w:spacing w:line="540" w:lineRule="exact"/>
        <w:rPr>
          <w:rFonts w:hint="eastAsia" w:ascii="宋体" w:hAnsi="宋体"/>
          <w:color w:val="auto"/>
        </w:rPr>
      </w:pPr>
      <w:r>
        <w:rPr>
          <w:rFonts w:hint="eastAsia" w:ascii="宋体" w:hAnsi="宋体"/>
          <w:color w:val="auto"/>
        </w:rPr>
        <w:t>十</w:t>
      </w:r>
      <w:r>
        <w:rPr>
          <w:rFonts w:hint="eastAsia" w:ascii="宋体" w:hAnsi="宋体"/>
          <w:color w:val="auto"/>
          <w:lang w:eastAsia="zh-CN"/>
        </w:rPr>
        <w:t>一</w:t>
      </w:r>
      <w:r>
        <w:rPr>
          <w:rFonts w:hint="eastAsia" w:ascii="宋体" w:hAnsi="宋体"/>
          <w:color w:val="auto"/>
        </w:rPr>
        <w:t>、投标响应承诺函</w:t>
      </w:r>
    </w:p>
    <w:p w14:paraId="671FA59C">
      <w:pPr>
        <w:spacing w:line="540" w:lineRule="exact"/>
        <w:rPr>
          <w:rFonts w:hint="eastAsia" w:ascii="宋体" w:hAnsi="宋体"/>
          <w:color w:val="auto"/>
        </w:rPr>
      </w:pPr>
      <w:r>
        <w:rPr>
          <w:rFonts w:hint="eastAsia" w:ascii="宋体" w:hAnsi="宋体"/>
          <w:color w:val="auto"/>
        </w:rPr>
        <w:t>十</w:t>
      </w:r>
      <w:r>
        <w:rPr>
          <w:rFonts w:hint="eastAsia" w:ascii="宋体" w:hAnsi="宋体"/>
          <w:color w:val="auto"/>
          <w:lang w:eastAsia="zh-CN"/>
        </w:rPr>
        <w:t>二</w:t>
      </w:r>
      <w:r>
        <w:rPr>
          <w:rFonts w:hint="eastAsia" w:ascii="宋体" w:hAnsi="宋体"/>
          <w:color w:val="auto"/>
        </w:rPr>
        <w:t>、本项目执行的政府采购政策</w:t>
      </w:r>
    </w:p>
    <w:p w14:paraId="44214F8D">
      <w:pPr>
        <w:spacing w:line="540" w:lineRule="exact"/>
        <w:rPr>
          <w:rFonts w:hint="eastAsia" w:ascii="宋体" w:hAnsi="宋体"/>
          <w:color w:val="auto"/>
        </w:rPr>
      </w:pPr>
    </w:p>
    <w:p w14:paraId="2A332748">
      <w:pPr>
        <w:spacing w:line="540" w:lineRule="exact"/>
        <w:rPr>
          <w:rFonts w:hint="eastAsia" w:ascii="宋体" w:hAnsi="宋体"/>
          <w:color w:val="auto"/>
        </w:rPr>
      </w:pPr>
    </w:p>
    <w:p w14:paraId="0776C256">
      <w:pPr>
        <w:spacing w:line="540" w:lineRule="exact"/>
        <w:rPr>
          <w:rFonts w:hint="eastAsia" w:ascii="宋体" w:hAnsi="宋体"/>
          <w:color w:val="auto"/>
        </w:rPr>
      </w:pPr>
    </w:p>
    <w:p w14:paraId="720A1429">
      <w:pPr>
        <w:spacing w:line="540" w:lineRule="exact"/>
        <w:rPr>
          <w:rFonts w:hint="eastAsia" w:ascii="宋体" w:hAnsi="宋体"/>
          <w:color w:val="auto"/>
        </w:rPr>
      </w:pPr>
      <w:r>
        <w:rPr>
          <w:rFonts w:hint="eastAsia" w:ascii="宋体" w:hAnsi="宋体"/>
          <w:color w:val="auto"/>
        </w:rPr>
        <w:t>（仅供参考，为方便评审，建议按评分因素扩展目录并设置超链接或书签）</w:t>
      </w:r>
    </w:p>
    <w:p w14:paraId="07B46E92">
      <w:pPr>
        <w:pStyle w:val="3"/>
        <w:spacing w:before="0" w:after="0"/>
        <w:jc w:val="center"/>
        <w:rPr>
          <w:rFonts w:hint="eastAsia"/>
          <w:color w:val="auto"/>
        </w:rPr>
      </w:pPr>
      <w:r>
        <w:rPr>
          <w:rFonts w:hint="eastAsia" w:ascii="宋体" w:hAnsi="宋体"/>
          <w:color w:val="auto"/>
          <w:sz w:val="20"/>
          <w:szCs w:val="20"/>
        </w:rPr>
        <w:br w:type="page"/>
      </w:r>
      <w:bookmarkStart w:id="882" w:name="_Toc466298158"/>
      <w:bookmarkEnd w:id="882"/>
      <w:bookmarkStart w:id="883" w:name="_Toc144974857"/>
      <w:bookmarkEnd w:id="883"/>
      <w:bookmarkStart w:id="884" w:name="_Toc29077"/>
      <w:bookmarkEnd w:id="884"/>
      <w:bookmarkStart w:id="885" w:name="_Toc152042577"/>
      <w:bookmarkEnd w:id="885"/>
      <w:bookmarkStart w:id="886" w:name="_Toc152045788"/>
      <w:bookmarkEnd w:id="886"/>
      <w:bookmarkStart w:id="887" w:name="_Toc509667322"/>
      <w:bookmarkStart w:id="888" w:name="_Toc31263"/>
      <w:bookmarkStart w:id="889" w:name="_Toc808"/>
      <w:bookmarkStart w:id="890" w:name="_Toc31268"/>
      <w:bookmarkStart w:id="891" w:name="_Toc1592"/>
      <w:bookmarkStart w:id="892" w:name="_Toc24829"/>
      <w:r>
        <w:rPr>
          <w:rStyle w:val="59"/>
          <w:rFonts w:hint="eastAsia" w:ascii="宋体" w:hAnsi="宋体" w:eastAsia="宋体" w:cs="宋体"/>
          <w:color w:val="auto"/>
          <w:sz w:val="28"/>
          <w:szCs w:val="28"/>
        </w:rPr>
        <w:t>一、磋商函及</w:t>
      </w:r>
      <w:bookmarkEnd w:id="887"/>
      <w:r>
        <w:rPr>
          <w:rStyle w:val="59"/>
          <w:rFonts w:hint="eastAsia" w:ascii="宋体" w:hAnsi="宋体" w:eastAsia="宋体" w:cs="宋体"/>
          <w:color w:val="auto"/>
          <w:sz w:val="28"/>
          <w:szCs w:val="28"/>
        </w:rPr>
        <w:t>磋商函附录</w:t>
      </w:r>
      <w:bookmarkEnd w:id="888"/>
      <w:bookmarkEnd w:id="889"/>
      <w:bookmarkEnd w:id="890"/>
      <w:bookmarkEnd w:id="891"/>
      <w:bookmarkEnd w:id="892"/>
    </w:p>
    <w:p w14:paraId="30028C50">
      <w:pPr>
        <w:pStyle w:val="4"/>
        <w:spacing w:before="0" w:after="0"/>
        <w:jc w:val="center"/>
        <w:rPr>
          <w:rFonts w:hint="eastAsia" w:ascii="宋体" w:hAnsi="宋体" w:eastAsia="宋体" w:cs="宋体"/>
          <w:color w:val="auto"/>
          <w:sz w:val="24"/>
          <w:szCs w:val="24"/>
        </w:rPr>
      </w:pPr>
      <w:bookmarkStart w:id="893" w:name="_Toc509667323"/>
      <w:bookmarkEnd w:id="893"/>
      <w:bookmarkStart w:id="894" w:name="_Toc23888"/>
      <w:bookmarkEnd w:id="894"/>
      <w:bookmarkStart w:id="895" w:name="_Toc26262"/>
      <w:bookmarkEnd w:id="895"/>
      <w:bookmarkStart w:id="896" w:name="_Toc455080170"/>
      <w:bookmarkEnd w:id="896"/>
      <w:bookmarkStart w:id="897" w:name="_Toc152045789"/>
      <w:bookmarkEnd w:id="897"/>
      <w:bookmarkStart w:id="898" w:name="_Toc466298159"/>
      <w:bookmarkEnd w:id="898"/>
      <w:bookmarkStart w:id="899" w:name="_Toc18705"/>
      <w:bookmarkEnd w:id="899"/>
      <w:bookmarkStart w:id="900" w:name="_Toc490667892"/>
      <w:bookmarkEnd w:id="900"/>
      <w:bookmarkStart w:id="901" w:name="_Toc144974858"/>
      <w:bookmarkEnd w:id="901"/>
      <w:bookmarkStart w:id="902" w:name="_Toc30581"/>
      <w:bookmarkEnd w:id="902"/>
      <w:bookmarkStart w:id="903" w:name="_Toc8915"/>
      <w:bookmarkEnd w:id="903"/>
      <w:bookmarkStart w:id="904" w:name="_Toc11855"/>
      <w:bookmarkEnd w:id="904"/>
      <w:bookmarkStart w:id="905" w:name="_Toc318450744"/>
      <w:bookmarkEnd w:id="905"/>
      <w:bookmarkStart w:id="906" w:name="_Toc152042578"/>
      <w:bookmarkEnd w:id="906"/>
      <w:bookmarkStart w:id="907" w:name="_Toc11475"/>
      <w:bookmarkStart w:id="908" w:name="_Toc455867830"/>
      <w:bookmarkStart w:id="909" w:name="_Toc129073527"/>
      <w:r>
        <w:rPr>
          <w:rFonts w:hint="eastAsia" w:ascii="宋体" w:hAnsi="宋体" w:eastAsia="宋体" w:cs="宋体"/>
          <w:color w:val="auto"/>
          <w:sz w:val="24"/>
          <w:szCs w:val="24"/>
        </w:rPr>
        <w:t>（一）磋商函</w:t>
      </w:r>
      <w:bookmarkEnd w:id="907"/>
      <w:bookmarkEnd w:id="908"/>
      <w:bookmarkEnd w:id="909"/>
    </w:p>
    <w:p w14:paraId="6CCDB885">
      <w:pPr>
        <w:spacing w:line="360" w:lineRule="auto"/>
        <w:rPr>
          <w:rFonts w:hint="eastAsia" w:ascii="宋体" w:hAnsi="宋体"/>
          <w:color w:val="auto"/>
          <w:sz w:val="24"/>
          <w:szCs w:val="24"/>
        </w:rPr>
      </w:pPr>
      <w:r>
        <w:rPr>
          <w:rFonts w:hint="eastAsia" w:ascii="宋体" w:hAnsi="宋体" w:cs="宋体"/>
          <w:b/>
          <w:bCs/>
          <w:color w:val="auto"/>
          <w:kern w:val="0"/>
          <w:sz w:val="24"/>
          <w:szCs w:val="24"/>
          <w:u w:val="single"/>
        </w:rPr>
        <w:t>中原纯化制程实验室</w:t>
      </w:r>
      <w:r>
        <w:rPr>
          <w:rFonts w:hint="eastAsia" w:ascii="宋体" w:hAnsi="宋体"/>
          <w:color w:val="auto"/>
          <w:sz w:val="24"/>
          <w:szCs w:val="24"/>
          <w:u w:val="single"/>
        </w:rPr>
        <w:t>（采购人名称）</w:t>
      </w:r>
      <w:r>
        <w:rPr>
          <w:rFonts w:hint="eastAsia" w:ascii="宋体" w:hAnsi="宋体"/>
          <w:color w:val="auto"/>
          <w:sz w:val="24"/>
          <w:szCs w:val="24"/>
        </w:rPr>
        <w:t>：</w:t>
      </w:r>
    </w:p>
    <w:p w14:paraId="2B2CAFE4">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1．我方已仔细研究了</w:t>
      </w:r>
      <w:r>
        <w:rPr>
          <w:rFonts w:hint="eastAsia" w:ascii="宋体" w:hAnsi="宋体"/>
          <w:color w:val="auto"/>
          <w:sz w:val="24"/>
          <w:szCs w:val="24"/>
          <w:u w:val="single"/>
        </w:rPr>
        <w:t xml:space="preserve"> </w:t>
      </w:r>
      <w:r>
        <w:rPr>
          <w:rFonts w:hint="eastAsia" w:ascii="宋体" w:hAnsi="宋体" w:cs="宋体"/>
          <w:color w:val="auto"/>
          <w:kern w:val="0"/>
          <w:sz w:val="24"/>
          <w:szCs w:val="24"/>
          <w:u w:val="single"/>
        </w:rPr>
        <w:t>中原纯化制程实验室高纯石墨材料制备技术与产品研发项目</w:t>
      </w:r>
      <w:r>
        <w:rPr>
          <w:rFonts w:hint="eastAsia" w:ascii="宋体" w:hAnsi="宋体"/>
          <w:color w:val="auto"/>
          <w:sz w:val="24"/>
          <w:szCs w:val="24"/>
          <w:u w:val="single"/>
        </w:rPr>
        <w:t>（项目名称）</w:t>
      </w:r>
      <w:r>
        <w:rPr>
          <w:rFonts w:hint="eastAsia" w:ascii="宋体" w:hAnsi="宋体"/>
          <w:color w:val="auto"/>
          <w:sz w:val="24"/>
          <w:szCs w:val="24"/>
        </w:rPr>
        <w:t>磋商文件的全部内容，愿意以人民币大写</w:t>
      </w:r>
      <w:r>
        <w:rPr>
          <w:rFonts w:hint="eastAsia" w:ascii="宋体" w:hAnsi="宋体"/>
          <w:color w:val="auto"/>
          <w:sz w:val="24"/>
          <w:szCs w:val="24"/>
          <w:u w:val="single"/>
        </w:rPr>
        <w:t xml:space="preserve">     </w:t>
      </w:r>
      <w:r>
        <w:rPr>
          <w:rFonts w:hint="eastAsia" w:ascii="宋体" w:hAnsi="宋体"/>
          <w:color w:val="auto"/>
          <w:sz w:val="24"/>
          <w:szCs w:val="24"/>
        </w:rPr>
        <w:t>（小写：</w:t>
      </w:r>
      <w:r>
        <w:rPr>
          <w:rFonts w:hint="eastAsia" w:ascii="宋体" w:hAnsi="宋体"/>
          <w:color w:val="auto"/>
          <w:sz w:val="24"/>
          <w:szCs w:val="24"/>
          <w:u w:val="single"/>
        </w:rPr>
        <w:t xml:space="preserve">     </w:t>
      </w:r>
      <w:r>
        <w:rPr>
          <w:rFonts w:hint="eastAsia" w:ascii="宋体" w:hAnsi="宋体"/>
          <w:color w:val="auto"/>
          <w:sz w:val="24"/>
          <w:szCs w:val="24"/>
        </w:rPr>
        <w:t>）的首次报价，交货期：</w:t>
      </w:r>
      <w:r>
        <w:rPr>
          <w:rFonts w:hint="eastAsia" w:ascii="宋体" w:hAnsi="宋体"/>
          <w:color w:val="auto"/>
          <w:sz w:val="24"/>
          <w:szCs w:val="24"/>
          <w:u w:val="single"/>
        </w:rPr>
        <w:t xml:space="preserve">     </w:t>
      </w:r>
      <w:r>
        <w:rPr>
          <w:rFonts w:hint="eastAsia" w:ascii="宋体" w:hAnsi="宋体"/>
          <w:color w:val="auto"/>
          <w:sz w:val="24"/>
          <w:szCs w:val="24"/>
        </w:rPr>
        <w:t>，按合同约定实施和完成本项目，质量要求达到：</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6C64951E">
      <w:pPr>
        <w:spacing w:line="360" w:lineRule="auto"/>
        <w:ind w:firstLine="480" w:firstLineChars="200"/>
        <w:rPr>
          <w:rFonts w:hint="eastAsia" w:ascii="宋体" w:hAnsi="宋体"/>
          <w:color w:val="auto"/>
          <w:sz w:val="24"/>
          <w:szCs w:val="24"/>
        </w:rPr>
      </w:pPr>
      <w:bookmarkStart w:id="910" w:name="_Toc466298160"/>
      <w:bookmarkEnd w:id="910"/>
      <w:bookmarkStart w:id="911" w:name="_Toc447888814"/>
      <w:r>
        <w:rPr>
          <w:rFonts w:hint="eastAsia" w:ascii="宋体" w:hAnsi="宋体"/>
          <w:color w:val="auto"/>
          <w:sz w:val="24"/>
          <w:szCs w:val="24"/>
        </w:rPr>
        <w:t>2．我方承诺在磋商有效期</w:t>
      </w:r>
      <w:bookmarkEnd w:id="911"/>
      <w:r>
        <w:rPr>
          <w:rFonts w:hint="eastAsia" w:ascii="宋体" w:hAnsi="宋体"/>
          <w:color w:val="auto"/>
          <w:sz w:val="24"/>
          <w:szCs w:val="24"/>
          <w:u w:val="single"/>
        </w:rPr>
        <w:t xml:space="preserve"> 递交响应文件截止时间起60日历天 </w:t>
      </w:r>
      <w:r>
        <w:rPr>
          <w:rFonts w:hint="eastAsia" w:ascii="宋体" w:hAnsi="宋体"/>
          <w:color w:val="auto"/>
          <w:sz w:val="24"/>
          <w:szCs w:val="24"/>
        </w:rPr>
        <w:t>内不修改、撤销响应文件。</w:t>
      </w:r>
    </w:p>
    <w:p w14:paraId="69B99130">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3．如我方中标：</w:t>
      </w:r>
    </w:p>
    <w:p w14:paraId="0F03D0DB">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(l）我方承诺在收到成交通知书后，在成交通知书规定的期限内与你方签订合同。</w:t>
      </w:r>
    </w:p>
    <w:p w14:paraId="2070230C">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(2）随同本磋商函递交的磋商函附录属于合同文件的组成部分。</w:t>
      </w:r>
    </w:p>
    <w:p w14:paraId="08FD53C3">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(3）我方承诺按照磋商文件规定向你方递交履约担保。</w:t>
      </w:r>
    </w:p>
    <w:p w14:paraId="79830F7E">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(4）我方承诺在合同约定的期限内完成本项目。</w:t>
      </w:r>
    </w:p>
    <w:p w14:paraId="33F642B2">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4．我方在此声明，所递交的响应文件及有关资料内容完整、真实和准确。</w:t>
      </w:r>
    </w:p>
    <w:p w14:paraId="09696C20">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 xml:space="preserve">5. </w:t>
      </w:r>
      <w:r>
        <w:rPr>
          <w:rFonts w:hint="eastAsia" w:ascii="宋体" w:hAnsi="宋体"/>
          <w:color w:val="auto"/>
          <w:sz w:val="24"/>
          <w:szCs w:val="24"/>
          <w:u w:val="single"/>
        </w:rPr>
        <w:t>（其他补充说明）</w:t>
      </w:r>
      <w:r>
        <w:rPr>
          <w:rFonts w:hint="eastAsia" w:ascii="宋体" w:hAnsi="宋体"/>
          <w:color w:val="auto"/>
          <w:sz w:val="24"/>
          <w:szCs w:val="24"/>
        </w:rPr>
        <w:t>。</w:t>
      </w:r>
    </w:p>
    <w:p w14:paraId="2C65C9B7">
      <w:pPr>
        <w:spacing w:line="360" w:lineRule="auto"/>
        <w:ind w:firstLine="480" w:firstLineChars="200"/>
        <w:rPr>
          <w:rFonts w:hint="eastAsia" w:ascii="宋体" w:hAnsi="宋体"/>
          <w:color w:val="auto"/>
          <w:sz w:val="24"/>
          <w:szCs w:val="24"/>
        </w:rPr>
      </w:pPr>
    </w:p>
    <w:p w14:paraId="57F82CE6">
      <w:pPr>
        <w:spacing w:line="360" w:lineRule="auto"/>
        <w:ind w:firstLine="600" w:firstLineChars="250"/>
        <w:rPr>
          <w:rFonts w:hint="eastAsia" w:ascii="宋体" w:hAnsi="宋体"/>
          <w:color w:val="auto"/>
          <w:sz w:val="24"/>
          <w:szCs w:val="24"/>
        </w:rPr>
      </w:pPr>
    </w:p>
    <w:p w14:paraId="66DF4EF7">
      <w:pPr>
        <w:spacing w:line="360" w:lineRule="auto"/>
        <w:ind w:firstLine="3360" w:firstLineChars="1400"/>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（盖单位章）</w:t>
      </w:r>
    </w:p>
    <w:p w14:paraId="1FE54AA6">
      <w:pPr>
        <w:spacing w:line="360" w:lineRule="auto"/>
        <w:ind w:firstLine="3360" w:firstLineChars="1400"/>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3A6D91E1">
      <w:pPr>
        <w:spacing w:line="360" w:lineRule="auto"/>
        <w:ind w:firstLine="3400" w:firstLineChars="1417"/>
        <w:rPr>
          <w:rFonts w:hint="eastAsia" w:ascii="宋体" w:hAnsi="宋体"/>
          <w:color w:val="auto"/>
          <w:sz w:val="24"/>
          <w:szCs w:val="24"/>
          <w:u w:val="single"/>
        </w:rPr>
      </w:pPr>
      <w:r>
        <w:rPr>
          <w:rFonts w:hint="eastAsia" w:ascii="宋体" w:hAnsi="宋体"/>
          <w:color w:val="auto"/>
          <w:sz w:val="24"/>
          <w:szCs w:val="24"/>
        </w:rPr>
        <w:t>地址：</w:t>
      </w:r>
      <w:r>
        <w:rPr>
          <w:rFonts w:hint="eastAsia" w:ascii="宋体" w:hAnsi="宋体"/>
          <w:color w:val="auto"/>
          <w:sz w:val="24"/>
          <w:szCs w:val="24"/>
          <w:u w:val="single"/>
        </w:rPr>
        <w:t xml:space="preserve">                               </w:t>
      </w:r>
    </w:p>
    <w:p w14:paraId="18823AD5">
      <w:pPr>
        <w:spacing w:line="360" w:lineRule="auto"/>
        <w:ind w:firstLine="3400" w:firstLineChars="1417"/>
        <w:rPr>
          <w:rFonts w:hint="eastAsia" w:ascii="宋体" w:hAnsi="宋体"/>
          <w:color w:val="auto"/>
          <w:sz w:val="24"/>
          <w:szCs w:val="24"/>
          <w:u w:val="single"/>
        </w:rPr>
      </w:pPr>
      <w:r>
        <w:rPr>
          <w:rFonts w:hint="eastAsia" w:ascii="宋体" w:hAnsi="宋体"/>
          <w:color w:val="auto"/>
          <w:sz w:val="24"/>
          <w:szCs w:val="24"/>
        </w:rPr>
        <w:t>网址：</w:t>
      </w:r>
      <w:r>
        <w:rPr>
          <w:rFonts w:hint="eastAsia" w:ascii="宋体" w:hAnsi="宋体"/>
          <w:color w:val="auto"/>
          <w:sz w:val="24"/>
          <w:szCs w:val="24"/>
          <w:u w:val="single"/>
        </w:rPr>
        <w:t xml:space="preserve">                               </w:t>
      </w:r>
    </w:p>
    <w:p w14:paraId="5717CBE7">
      <w:pPr>
        <w:spacing w:line="360" w:lineRule="auto"/>
        <w:ind w:firstLine="3400" w:firstLineChars="1417"/>
        <w:rPr>
          <w:rFonts w:hint="eastAsia" w:ascii="宋体" w:hAnsi="宋体"/>
          <w:color w:val="auto"/>
          <w:sz w:val="24"/>
          <w:szCs w:val="24"/>
        </w:rPr>
      </w:pPr>
      <w:r>
        <w:rPr>
          <w:rFonts w:hint="eastAsia" w:ascii="宋体" w:hAnsi="宋体"/>
          <w:color w:val="auto"/>
          <w:sz w:val="24"/>
          <w:szCs w:val="24"/>
        </w:rPr>
        <w:t>电话：</w:t>
      </w:r>
      <w:r>
        <w:rPr>
          <w:rFonts w:hint="eastAsia" w:ascii="宋体" w:hAnsi="宋体"/>
          <w:color w:val="auto"/>
          <w:sz w:val="24"/>
          <w:szCs w:val="24"/>
          <w:u w:val="single"/>
        </w:rPr>
        <w:t xml:space="preserve">                               </w:t>
      </w:r>
    </w:p>
    <w:p w14:paraId="46F6448B">
      <w:pPr>
        <w:spacing w:line="360" w:lineRule="auto"/>
        <w:ind w:firstLine="3400" w:firstLineChars="1417"/>
        <w:rPr>
          <w:rFonts w:hint="eastAsia" w:ascii="宋体" w:hAnsi="宋体"/>
          <w:color w:val="auto"/>
          <w:sz w:val="24"/>
          <w:szCs w:val="24"/>
        </w:rPr>
      </w:pPr>
      <w:r>
        <w:rPr>
          <w:rFonts w:hint="eastAsia" w:ascii="宋体" w:hAnsi="宋体"/>
          <w:color w:val="auto"/>
          <w:sz w:val="24"/>
          <w:szCs w:val="24"/>
        </w:rPr>
        <w:t>传真：</w:t>
      </w:r>
      <w:r>
        <w:rPr>
          <w:rFonts w:hint="eastAsia" w:ascii="宋体" w:hAnsi="宋体"/>
          <w:color w:val="auto"/>
          <w:sz w:val="24"/>
          <w:szCs w:val="24"/>
          <w:u w:val="single"/>
        </w:rPr>
        <w:t xml:space="preserve">                               </w:t>
      </w:r>
    </w:p>
    <w:p w14:paraId="70B06A5A">
      <w:pPr>
        <w:spacing w:line="360" w:lineRule="auto"/>
        <w:ind w:firstLine="3400" w:firstLineChars="1417"/>
        <w:rPr>
          <w:rFonts w:hint="eastAsia" w:ascii="宋体" w:hAnsi="宋体"/>
          <w:color w:val="auto"/>
          <w:sz w:val="24"/>
          <w:szCs w:val="24"/>
        </w:rPr>
      </w:pPr>
      <w:r>
        <w:rPr>
          <w:rFonts w:hint="eastAsia" w:ascii="宋体" w:hAnsi="宋体"/>
          <w:color w:val="auto"/>
          <w:sz w:val="24"/>
          <w:szCs w:val="24"/>
        </w:rPr>
        <w:t>邮政编码：</w:t>
      </w:r>
      <w:r>
        <w:rPr>
          <w:rFonts w:hint="eastAsia" w:ascii="宋体" w:hAnsi="宋体"/>
          <w:color w:val="auto"/>
          <w:sz w:val="24"/>
          <w:szCs w:val="24"/>
          <w:u w:val="single"/>
        </w:rPr>
        <w:t xml:space="preserve">                           </w:t>
      </w:r>
    </w:p>
    <w:p w14:paraId="3AECE114">
      <w:pPr>
        <w:spacing w:line="360" w:lineRule="auto"/>
        <w:ind w:firstLine="3400" w:firstLineChars="1417"/>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2C8382C6">
      <w:pPr>
        <w:pStyle w:val="4"/>
        <w:spacing w:before="0" w:after="0"/>
        <w:jc w:val="center"/>
        <w:rPr>
          <w:rFonts w:hint="eastAsia" w:ascii="宋体" w:hAnsi="宋体" w:eastAsia="宋体"/>
          <w:color w:val="auto"/>
          <w:sz w:val="28"/>
          <w:szCs w:val="28"/>
        </w:rPr>
      </w:pPr>
      <w:bookmarkStart w:id="912" w:name="_Toc490667893"/>
      <w:bookmarkEnd w:id="912"/>
      <w:bookmarkStart w:id="913" w:name="_Toc509667324"/>
      <w:r>
        <w:rPr>
          <w:rFonts w:hint="eastAsia" w:ascii="宋体" w:hAnsi="宋体" w:eastAsia="宋体"/>
          <w:color w:val="auto"/>
          <w:sz w:val="28"/>
          <w:szCs w:val="28"/>
        </w:rPr>
        <w:br w:type="page"/>
      </w:r>
      <w:bookmarkEnd w:id="913"/>
      <w:bookmarkStart w:id="914" w:name="_Toc12849"/>
      <w:bookmarkStart w:id="915" w:name="_Toc129073528"/>
      <w:r>
        <w:rPr>
          <w:rFonts w:hint="eastAsia" w:ascii="宋体" w:hAnsi="宋体" w:eastAsia="宋体" w:cs="宋体"/>
          <w:color w:val="auto"/>
          <w:sz w:val="24"/>
          <w:szCs w:val="24"/>
        </w:rPr>
        <w:t>（二）磋商函附录</w:t>
      </w:r>
      <w:bookmarkEnd w:id="914"/>
      <w:bookmarkEnd w:id="915"/>
    </w:p>
    <w:tbl>
      <w:tblPr>
        <w:tblStyle w:val="41"/>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2"/>
        <w:gridCol w:w="6587"/>
      </w:tblGrid>
      <w:tr w14:paraId="2B5C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4C3CBCD9">
            <w:pPr>
              <w:jc w:val="center"/>
              <w:rPr>
                <w:rFonts w:hint="eastAsia" w:ascii="宋体" w:hAnsi="宋体"/>
                <w:color w:val="auto"/>
                <w:sz w:val="24"/>
                <w:szCs w:val="24"/>
              </w:rPr>
            </w:pPr>
            <w:r>
              <w:rPr>
                <w:rFonts w:hint="eastAsia" w:ascii="宋体" w:hAnsi="宋体"/>
                <w:color w:val="auto"/>
                <w:sz w:val="24"/>
                <w:szCs w:val="24"/>
              </w:rPr>
              <w:t>项目名称</w:t>
            </w:r>
          </w:p>
        </w:tc>
        <w:tc>
          <w:tcPr>
            <w:tcW w:w="6587" w:type="dxa"/>
            <w:tcBorders>
              <w:top w:val="single" w:color="auto" w:sz="4" w:space="0"/>
              <w:left w:val="nil"/>
              <w:bottom w:val="single" w:color="auto" w:sz="4" w:space="0"/>
              <w:right w:val="single" w:color="auto" w:sz="4" w:space="0"/>
            </w:tcBorders>
            <w:vAlign w:val="center"/>
          </w:tcPr>
          <w:p w14:paraId="51259F48">
            <w:pPr>
              <w:spacing w:line="360" w:lineRule="auto"/>
              <w:rPr>
                <w:rFonts w:hint="eastAsia" w:ascii="宋体" w:hAnsi="宋体"/>
                <w:color w:val="auto"/>
                <w:sz w:val="24"/>
                <w:szCs w:val="24"/>
              </w:rPr>
            </w:pPr>
            <w:r>
              <w:rPr>
                <w:rFonts w:hint="eastAsia" w:ascii="宋体" w:hAnsi="宋体" w:cs="宋体"/>
                <w:color w:val="auto"/>
                <w:kern w:val="0"/>
                <w:sz w:val="24"/>
                <w:szCs w:val="24"/>
              </w:rPr>
              <w:t>中原纯化制程实验室高纯石墨材料制备技术与产品研发项目</w:t>
            </w:r>
          </w:p>
        </w:tc>
      </w:tr>
      <w:tr w14:paraId="63BF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13EDAA8B">
            <w:pPr>
              <w:jc w:val="center"/>
              <w:rPr>
                <w:rFonts w:hint="eastAsia" w:ascii="宋体" w:hAnsi="宋体"/>
                <w:color w:val="auto"/>
                <w:sz w:val="24"/>
                <w:szCs w:val="24"/>
              </w:rPr>
            </w:pPr>
            <w:r>
              <w:rPr>
                <w:rFonts w:hint="eastAsia" w:ascii="宋体" w:hAnsi="宋体"/>
                <w:color w:val="auto"/>
                <w:sz w:val="24"/>
                <w:szCs w:val="24"/>
              </w:rPr>
              <w:t>供应商名称</w:t>
            </w:r>
          </w:p>
        </w:tc>
        <w:tc>
          <w:tcPr>
            <w:tcW w:w="6587" w:type="dxa"/>
            <w:tcBorders>
              <w:top w:val="single" w:color="auto" w:sz="4" w:space="0"/>
              <w:left w:val="nil"/>
              <w:bottom w:val="single" w:color="auto" w:sz="4" w:space="0"/>
              <w:right w:val="single" w:color="auto" w:sz="4" w:space="0"/>
            </w:tcBorders>
            <w:vAlign w:val="center"/>
          </w:tcPr>
          <w:p w14:paraId="1FB45224">
            <w:pPr>
              <w:rPr>
                <w:rFonts w:hint="eastAsia" w:ascii="宋体" w:hAnsi="宋体"/>
                <w:color w:val="auto"/>
                <w:sz w:val="24"/>
                <w:szCs w:val="24"/>
              </w:rPr>
            </w:pPr>
          </w:p>
        </w:tc>
      </w:tr>
      <w:tr w14:paraId="7263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56C18C75">
            <w:pPr>
              <w:jc w:val="center"/>
              <w:rPr>
                <w:rFonts w:hint="eastAsia" w:ascii="宋体" w:hAnsi="宋体"/>
                <w:color w:val="auto"/>
                <w:sz w:val="24"/>
                <w:szCs w:val="24"/>
              </w:rPr>
            </w:pPr>
            <w:r>
              <w:rPr>
                <w:rFonts w:hint="eastAsia" w:ascii="宋体" w:hAnsi="宋体"/>
                <w:color w:val="auto"/>
                <w:sz w:val="24"/>
                <w:szCs w:val="24"/>
              </w:rPr>
              <w:t>磋商内容</w:t>
            </w:r>
          </w:p>
        </w:tc>
        <w:tc>
          <w:tcPr>
            <w:tcW w:w="6587" w:type="dxa"/>
            <w:tcBorders>
              <w:top w:val="single" w:color="auto" w:sz="4" w:space="0"/>
              <w:left w:val="nil"/>
              <w:bottom w:val="single" w:color="auto" w:sz="4" w:space="0"/>
              <w:right w:val="single" w:color="auto" w:sz="4" w:space="0"/>
            </w:tcBorders>
            <w:vAlign w:val="center"/>
          </w:tcPr>
          <w:p w14:paraId="5A365B90">
            <w:pPr>
              <w:spacing w:line="360" w:lineRule="auto"/>
              <w:rPr>
                <w:rFonts w:hint="eastAsia" w:ascii="宋体" w:hAnsi="宋体"/>
                <w:color w:val="auto"/>
                <w:sz w:val="24"/>
                <w:szCs w:val="24"/>
              </w:rPr>
            </w:pPr>
          </w:p>
        </w:tc>
      </w:tr>
      <w:tr w14:paraId="293F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715FC953">
            <w:pPr>
              <w:spacing w:line="360" w:lineRule="exact"/>
              <w:jc w:val="center"/>
              <w:rPr>
                <w:rFonts w:hint="eastAsia" w:ascii="宋体" w:hAnsi="宋体"/>
                <w:color w:val="auto"/>
                <w:sz w:val="24"/>
                <w:szCs w:val="24"/>
              </w:rPr>
            </w:pPr>
            <w:r>
              <w:rPr>
                <w:rFonts w:hint="eastAsia" w:ascii="宋体" w:hAnsi="宋体"/>
                <w:color w:val="auto"/>
                <w:sz w:val="24"/>
                <w:szCs w:val="24"/>
              </w:rPr>
              <w:t>首次报价（元）</w:t>
            </w:r>
          </w:p>
        </w:tc>
        <w:tc>
          <w:tcPr>
            <w:tcW w:w="6587" w:type="dxa"/>
            <w:tcBorders>
              <w:top w:val="single" w:color="auto" w:sz="4" w:space="0"/>
              <w:left w:val="nil"/>
              <w:bottom w:val="single" w:color="auto" w:sz="4" w:space="0"/>
              <w:right w:val="single" w:color="auto" w:sz="4" w:space="0"/>
            </w:tcBorders>
            <w:vAlign w:val="center"/>
          </w:tcPr>
          <w:p w14:paraId="02BB627A">
            <w:pPr>
              <w:rPr>
                <w:rFonts w:hint="eastAsia" w:ascii="宋体" w:hAnsi="宋体"/>
                <w:color w:val="auto"/>
                <w:sz w:val="24"/>
                <w:szCs w:val="24"/>
              </w:rPr>
            </w:pPr>
            <w:r>
              <w:rPr>
                <w:rFonts w:hint="eastAsia" w:ascii="宋体" w:hAnsi="宋体"/>
                <w:color w:val="auto"/>
                <w:sz w:val="24"/>
                <w:szCs w:val="24"/>
              </w:rPr>
              <w:t>（大写）</w:t>
            </w:r>
          </w:p>
          <w:p w14:paraId="69BD9665">
            <w:pPr>
              <w:rPr>
                <w:rFonts w:hint="eastAsia" w:ascii="宋体" w:hAnsi="宋体"/>
                <w:color w:val="auto"/>
                <w:sz w:val="24"/>
                <w:szCs w:val="24"/>
              </w:rPr>
            </w:pPr>
            <w:r>
              <w:rPr>
                <w:rFonts w:hint="eastAsia" w:ascii="宋体" w:hAnsi="宋体"/>
                <w:color w:val="auto"/>
                <w:sz w:val="24"/>
                <w:szCs w:val="24"/>
              </w:rPr>
              <w:t>（小写）</w:t>
            </w:r>
          </w:p>
        </w:tc>
      </w:tr>
      <w:tr w14:paraId="6E58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04AE2C2E">
            <w:pPr>
              <w:jc w:val="center"/>
              <w:rPr>
                <w:rFonts w:hint="eastAsia" w:ascii="宋体" w:hAnsi="宋体"/>
                <w:color w:val="auto"/>
                <w:sz w:val="24"/>
                <w:szCs w:val="24"/>
              </w:rPr>
            </w:pPr>
            <w:r>
              <w:rPr>
                <w:rFonts w:hint="eastAsia" w:ascii="宋体" w:hAnsi="宋体"/>
                <w:color w:val="auto"/>
                <w:sz w:val="24"/>
                <w:szCs w:val="24"/>
              </w:rPr>
              <w:t>交货地点</w:t>
            </w:r>
          </w:p>
        </w:tc>
        <w:tc>
          <w:tcPr>
            <w:tcW w:w="6587" w:type="dxa"/>
            <w:tcBorders>
              <w:top w:val="single" w:color="auto" w:sz="4" w:space="0"/>
              <w:left w:val="nil"/>
              <w:bottom w:val="single" w:color="auto" w:sz="4" w:space="0"/>
              <w:right w:val="single" w:color="auto" w:sz="4" w:space="0"/>
            </w:tcBorders>
            <w:vAlign w:val="center"/>
          </w:tcPr>
          <w:p w14:paraId="28E18281">
            <w:pPr>
              <w:rPr>
                <w:rFonts w:hint="eastAsia" w:ascii="宋体" w:hAnsi="宋体"/>
                <w:color w:val="auto"/>
                <w:sz w:val="24"/>
                <w:szCs w:val="24"/>
              </w:rPr>
            </w:pPr>
            <w:r>
              <w:rPr>
                <w:rFonts w:hint="eastAsia" w:ascii="宋体" w:hAnsi="宋体"/>
                <w:color w:val="auto"/>
                <w:sz w:val="24"/>
                <w:szCs w:val="24"/>
              </w:rPr>
              <w:t>郑州大学北校区</w:t>
            </w:r>
          </w:p>
        </w:tc>
      </w:tr>
      <w:tr w14:paraId="44D9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503FB85D">
            <w:pPr>
              <w:jc w:val="center"/>
              <w:rPr>
                <w:rFonts w:hint="eastAsia" w:ascii="宋体" w:hAnsi="宋体"/>
                <w:color w:val="auto"/>
                <w:sz w:val="24"/>
                <w:szCs w:val="24"/>
              </w:rPr>
            </w:pPr>
            <w:r>
              <w:rPr>
                <w:rFonts w:hint="eastAsia" w:ascii="宋体" w:hAnsi="宋体"/>
                <w:color w:val="auto"/>
                <w:sz w:val="24"/>
                <w:szCs w:val="24"/>
              </w:rPr>
              <w:t>交货期</w:t>
            </w:r>
          </w:p>
        </w:tc>
        <w:tc>
          <w:tcPr>
            <w:tcW w:w="6587" w:type="dxa"/>
            <w:tcBorders>
              <w:top w:val="single" w:color="auto" w:sz="4" w:space="0"/>
              <w:left w:val="nil"/>
              <w:bottom w:val="single" w:color="auto" w:sz="4" w:space="0"/>
              <w:right w:val="single" w:color="auto" w:sz="4" w:space="0"/>
            </w:tcBorders>
            <w:vAlign w:val="center"/>
          </w:tcPr>
          <w:p w14:paraId="3790B0C3">
            <w:pPr>
              <w:jc w:val="left"/>
              <w:rPr>
                <w:rFonts w:hint="eastAsia" w:ascii="宋体" w:hAnsi="宋体"/>
                <w:color w:val="auto"/>
                <w:sz w:val="24"/>
                <w:szCs w:val="24"/>
              </w:rPr>
            </w:pPr>
            <w:r>
              <w:rPr>
                <w:rFonts w:hint="eastAsia" w:ascii="宋体" w:hAnsi="宋体" w:cs="宋体"/>
                <w:color w:val="auto"/>
                <w:kern w:val="0"/>
                <w:sz w:val="24"/>
                <w:szCs w:val="24"/>
              </w:rPr>
              <w:t>自合同生效之日起</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个月内供货安装调试完成</w:t>
            </w:r>
          </w:p>
        </w:tc>
      </w:tr>
      <w:tr w14:paraId="6D59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77A62169">
            <w:pPr>
              <w:jc w:val="center"/>
              <w:rPr>
                <w:rFonts w:hint="eastAsia" w:ascii="宋体" w:hAnsi="宋体"/>
                <w:color w:val="auto"/>
                <w:sz w:val="24"/>
                <w:szCs w:val="24"/>
              </w:rPr>
            </w:pPr>
            <w:r>
              <w:rPr>
                <w:rFonts w:hint="eastAsia" w:ascii="宋体" w:hAnsi="宋体"/>
                <w:color w:val="auto"/>
                <w:sz w:val="24"/>
                <w:szCs w:val="24"/>
              </w:rPr>
              <w:t>质量标准</w:t>
            </w:r>
          </w:p>
        </w:tc>
        <w:tc>
          <w:tcPr>
            <w:tcW w:w="6587" w:type="dxa"/>
            <w:tcBorders>
              <w:top w:val="single" w:color="auto" w:sz="4" w:space="0"/>
              <w:left w:val="nil"/>
              <w:bottom w:val="single" w:color="auto" w:sz="4" w:space="0"/>
              <w:right w:val="single" w:color="auto" w:sz="4" w:space="0"/>
            </w:tcBorders>
            <w:vAlign w:val="center"/>
          </w:tcPr>
          <w:p w14:paraId="3B5CACAF">
            <w:pPr>
              <w:rPr>
                <w:rFonts w:hint="eastAsia" w:ascii="宋体" w:hAnsi="宋体"/>
                <w:color w:val="auto"/>
                <w:sz w:val="24"/>
                <w:szCs w:val="24"/>
              </w:rPr>
            </w:pPr>
            <w:r>
              <w:rPr>
                <w:rFonts w:hint="eastAsia" w:ascii="宋体" w:hAnsi="宋体"/>
                <w:color w:val="auto"/>
                <w:sz w:val="24"/>
                <w:szCs w:val="24"/>
              </w:rPr>
              <w:t>符合国家、行业现行验收规范和标准，满足采购人的相关要求</w:t>
            </w:r>
          </w:p>
        </w:tc>
      </w:tr>
      <w:tr w14:paraId="350C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2063E13C">
            <w:pPr>
              <w:jc w:val="center"/>
              <w:rPr>
                <w:rFonts w:hint="eastAsia" w:ascii="宋体" w:hAnsi="宋体"/>
                <w:color w:val="auto"/>
                <w:sz w:val="24"/>
                <w:szCs w:val="24"/>
              </w:rPr>
            </w:pPr>
            <w:r>
              <w:rPr>
                <w:rFonts w:hint="eastAsia" w:ascii="宋体" w:hAnsi="宋体"/>
                <w:color w:val="auto"/>
                <w:sz w:val="24"/>
                <w:szCs w:val="24"/>
              </w:rPr>
              <w:t>质保期</w:t>
            </w:r>
          </w:p>
        </w:tc>
        <w:tc>
          <w:tcPr>
            <w:tcW w:w="6587" w:type="dxa"/>
            <w:tcBorders>
              <w:top w:val="single" w:color="auto" w:sz="4" w:space="0"/>
              <w:left w:val="nil"/>
              <w:bottom w:val="single" w:color="auto" w:sz="4" w:space="0"/>
              <w:right w:val="single" w:color="auto" w:sz="4" w:space="0"/>
            </w:tcBorders>
            <w:vAlign w:val="center"/>
          </w:tcPr>
          <w:p w14:paraId="32C47012">
            <w:pPr>
              <w:jc w:val="left"/>
              <w:rPr>
                <w:rFonts w:hint="eastAsia" w:ascii="宋体" w:hAnsi="宋体"/>
                <w:color w:val="auto"/>
                <w:sz w:val="24"/>
                <w:szCs w:val="24"/>
              </w:rPr>
            </w:pPr>
            <w:r>
              <w:rPr>
                <w:rFonts w:hint="eastAsia" w:ascii="宋体" w:hAnsi="宋体"/>
                <w:color w:val="auto"/>
                <w:sz w:val="24"/>
                <w:szCs w:val="24"/>
              </w:rPr>
              <w:t>验收合格</w:t>
            </w:r>
            <w:r>
              <w:rPr>
                <w:rFonts w:hint="eastAsia" w:ascii="宋体" w:hAnsi="宋体"/>
                <w:color w:val="auto"/>
                <w:sz w:val="24"/>
                <w:szCs w:val="24"/>
                <w:lang w:eastAsia="zh-CN"/>
              </w:rPr>
              <w:t>之日起</w:t>
            </w:r>
            <w:r>
              <w:rPr>
                <w:rFonts w:hint="eastAsia" w:ascii="宋体" w:hAnsi="宋体"/>
                <w:color w:val="auto"/>
                <w:sz w:val="24"/>
                <w:szCs w:val="24"/>
              </w:rPr>
              <w:t>质保</w:t>
            </w:r>
            <w:r>
              <w:rPr>
                <w:rFonts w:hint="eastAsia" w:ascii="宋体" w:hAnsi="宋体"/>
                <w:color w:val="auto"/>
                <w:sz w:val="24"/>
                <w:szCs w:val="24"/>
                <w:lang w:val="en-US" w:eastAsia="zh-CN"/>
              </w:rPr>
              <w:t xml:space="preserve">    </w:t>
            </w:r>
            <w:r>
              <w:rPr>
                <w:rFonts w:hint="eastAsia" w:ascii="宋体" w:hAnsi="宋体"/>
                <w:color w:val="auto"/>
                <w:sz w:val="24"/>
                <w:szCs w:val="24"/>
              </w:rPr>
              <w:t>年</w:t>
            </w:r>
          </w:p>
        </w:tc>
      </w:tr>
      <w:tr w14:paraId="35E4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324CBD36">
            <w:pPr>
              <w:jc w:val="center"/>
              <w:rPr>
                <w:rFonts w:hint="eastAsia" w:ascii="宋体" w:hAnsi="宋体"/>
                <w:color w:val="auto"/>
                <w:sz w:val="24"/>
                <w:szCs w:val="24"/>
              </w:rPr>
            </w:pPr>
            <w:r>
              <w:rPr>
                <w:rFonts w:hint="eastAsia" w:ascii="宋体" w:hAnsi="宋体"/>
                <w:color w:val="auto"/>
                <w:sz w:val="24"/>
                <w:szCs w:val="24"/>
              </w:rPr>
              <w:t>磋商有效期</w:t>
            </w:r>
          </w:p>
        </w:tc>
        <w:tc>
          <w:tcPr>
            <w:tcW w:w="6587" w:type="dxa"/>
            <w:tcBorders>
              <w:top w:val="single" w:color="auto" w:sz="4" w:space="0"/>
              <w:left w:val="nil"/>
              <w:bottom w:val="single" w:color="auto" w:sz="4" w:space="0"/>
              <w:right w:val="single" w:color="auto" w:sz="4" w:space="0"/>
            </w:tcBorders>
            <w:vAlign w:val="center"/>
          </w:tcPr>
          <w:p w14:paraId="450397D5">
            <w:pPr>
              <w:jc w:val="left"/>
              <w:rPr>
                <w:rFonts w:hint="eastAsia" w:ascii="宋体" w:hAnsi="宋体"/>
                <w:color w:val="auto"/>
                <w:sz w:val="24"/>
                <w:szCs w:val="24"/>
              </w:rPr>
            </w:pPr>
            <w:r>
              <w:rPr>
                <w:rFonts w:hint="eastAsia" w:ascii="宋体" w:hAnsi="宋体"/>
                <w:color w:val="auto"/>
                <w:sz w:val="24"/>
                <w:szCs w:val="24"/>
              </w:rPr>
              <w:t>递交响应文件截止时间起60日历天</w:t>
            </w:r>
          </w:p>
        </w:tc>
      </w:tr>
      <w:tr w14:paraId="048D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215BB991">
            <w:pPr>
              <w:jc w:val="center"/>
              <w:rPr>
                <w:rFonts w:hint="eastAsia" w:ascii="宋体" w:hAnsi="宋体"/>
                <w:color w:val="auto"/>
                <w:sz w:val="24"/>
                <w:szCs w:val="24"/>
              </w:rPr>
            </w:pPr>
            <w:r>
              <w:rPr>
                <w:rFonts w:hint="eastAsia" w:ascii="宋体" w:hAnsi="宋体"/>
                <w:color w:val="auto"/>
                <w:sz w:val="24"/>
                <w:szCs w:val="24"/>
              </w:rPr>
              <w:t>付款方式</w:t>
            </w:r>
          </w:p>
        </w:tc>
        <w:tc>
          <w:tcPr>
            <w:tcW w:w="6587" w:type="dxa"/>
            <w:tcBorders>
              <w:top w:val="single" w:color="auto" w:sz="4" w:space="0"/>
              <w:left w:val="nil"/>
              <w:bottom w:val="single" w:color="auto" w:sz="4" w:space="0"/>
              <w:right w:val="single" w:color="auto" w:sz="4" w:space="0"/>
            </w:tcBorders>
            <w:vAlign w:val="center"/>
          </w:tcPr>
          <w:p w14:paraId="56EAB0CA">
            <w:pPr>
              <w:jc w:val="left"/>
              <w:rPr>
                <w:rFonts w:hint="eastAsia" w:ascii="宋体" w:hAnsi="宋体"/>
                <w:color w:val="auto"/>
                <w:sz w:val="24"/>
                <w:szCs w:val="24"/>
              </w:rPr>
            </w:pPr>
            <w:r>
              <w:rPr>
                <w:rFonts w:hint="eastAsia" w:ascii="宋体" w:hAnsi="宋体"/>
                <w:color w:val="auto"/>
                <w:sz w:val="24"/>
                <w:szCs w:val="24"/>
              </w:rPr>
              <w:t>符合竞争性磋商文件要求</w:t>
            </w:r>
          </w:p>
        </w:tc>
      </w:tr>
      <w:tr w14:paraId="5441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072" w:type="dxa"/>
            <w:tcBorders>
              <w:top w:val="single" w:color="auto" w:sz="4" w:space="0"/>
              <w:left w:val="single" w:color="auto" w:sz="4" w:space="0"/>
              <w:bottom w:val="single" w:color="auto" w:sz="4" w:space="0"/>
              <w:right w:val="single" w:color="auto" w:sz="4" w:space="0"/>
            </w:tcBorders>
            <w:vAlign w:val="center"/>
          </w:tcPr>
          <w:p w14:paraId="31AAB999">
            <w:pPr>
              <w:jc w:val="center"/>
              <w:rPr>
                <w:rFonts w:hint="eastAsia" w:ascii="宋体" w:hAnsi="宋体"/>
                <w:color w:val="auto"/>
                <w:sz w:val="24"/>
                <w:szCs w:val="24"/>
              </w:rPr>
            </w:pPr>
            <w:r>
              <w:rPr>
                <w:rFonts w:hint="eastAsia" w:ascii="宋体" w:hAnsi="宋体"/>
                <w:color w:val="auto"/>
                <w:sz w:val="24"/>
                <w:szCs w:val="24"/>
              </w:rPr>
              <w:t>备注</w:t>
            </w:r>
          </w:p>
        </w:tc>
        <w:tc>
          <w:tcPr>
            <w:tcW w:w="6587" w:type="dxa"/>
            <w:tcBorders>
              <w:top w:val="single" w:color="auto" w:sz="4" w:space="0"/>
              <w:left w:val="nil"/>
              <w:bottom w:val="single" w:color="auto" w:sz="4" w:space="0"/>
              <w:right w:val="single" w:color="auto" w:sz="4" w:space="0"/>
            </w:tcBorders>
            <w:vAlign w:val="center"/>
          </w:tcPr>
          <w:p w14:paraId="7D9EE843">
            <w:pPr>
              <w:jc w:val="center"/>
              <w:rPr>
                <w:rFonts w:hint="eastAsia" w:ascii="宋体" w:hAnsi="宋体"/>
                <w:color w:val="auto"/>
                <w:sz w:val="24"/>
                <w:szCs w:val="24"/>
              </w:rPr>
            </w:pPr>
          </w:p>
        </w:tc>
      </w:tr>
      <w:tr w14:paraId="2553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659" w:type="dxa"/>
            <w:gridSpan w:val="2"/>
            <w:tcBorders>
              <w:top w:val="single" w:color="auto" w:sz="4" w:space="0"/>
              <w:left w:val="single" w:color="auto" w:sz="4" w:space="0"/>
              <w:bottom w:val="single" w:color="auto" w:sz="4" w:space="0"/>
              <w:right w:val="single" w:color="auto" w:sz="4" w:space="0"/>
            </w:tcBorders>
          </w:tcPr>
          <w:p w14:paraId="689B3528">
            <w:pPr>
              <w:rPr>
                <w:rFonts w:hint="eastAsia" w:ascii="宋体" w:hAnsi="宋体"/>
                <w:color w:val="auto"/>
                <w:sz w:val="24"/>
                <w:szCs w:val="24"/>
              </w:rPr>
            </w:pPr>
            <w:r>
              <w:rPr>
                <w:rFonts w:hint="eastAsia" w:ascii="宋体" w:hAnsi="宋体"/>
                <w:b/>
                <w:color w:val="auto"/>
                <w:sz w:val="24"/>
                <w:szCs w:val="24"/>
              </w:rPr>
              <w:t>备注：供应商在竞争性磋商文件中规定的实质性要求和条件的基础上，可做出其他有利于采购人的承诺。此类承诺可在本表中予以补充填写，可另附页。</w:t>
            </w:r>
          </w:p>
        </w:tc>
      </w:tr>
    </w:tbl>
    <w:p w14:paraId="0173F281">
      <w:pPr>
        <w:rPr>
          <w:rFonts w:hint="eastAsia" w:ascii="宋体" w:hAnsi="宋体"/>
          <w:color w:val="auto"/>
          <w:sz w:val="24"/>
          <w:szCs w:val="24"/>
        </w:rPr>
      </w:pPr>
    </w:p>
    <w:p w14:paraId="582AF75C">
      <w:pPr>
        <w:pStyle w:val="15"/>
        <w:spacing w:before="0" w:beforeAutospacing="0" w:after="0" w:line="360" w:lineRule="auto"/>
        <w:jc w:val="left"/>
        <w:rPr>
          <w:rFonts w:hint="eastAsia" w:ascii="宋体" w:hAnsi="宋体"/>
          <w:color w:val="auto"/>
          <w:sz w:val="24"/>
          <w:szCs w:val="24"/>
        </w:rPr>
      </w:pPr>
      <w:bookmarkStart w:id="916" w:name="_Toc152042580"/>
      <w:bookmarkEnd w:id="916"/>
      <w:bookmarkStart w:id="917" w:name="_Toc144974860"/>
      <w:bookmarkEnd w:id="917"/>
      <w:bookmarkStart w:id="918" w:name="_Toc152045791"/>
      <w:bookmarkEnd w:id="918"/>
      <w:bookmarkStart w:id="919" w:name="_Toc287367268"/>
      <w:bookmarkEnd w:id="919"/>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03605C9E">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22CDD053">
      <w:pPr>
        <w:spacing w:line="360" w:lineRule="auto"/>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4CBDB919">
      <w:pPr>
        <w:spacing w:line="360" w:lineRule="auto"/>
        <w:jc w:val="left"/>
        <w:rPr>
          <w:rFonts w:hint="eastAsia" w:ascii="宋体" w:hAnsi="宋体"/>
          <w:color w:val="auto"/>
          <w:sz w:val="24"/>
          <w:szCs w:val="24"/>
        </w:rPr>
      </w:pPr>
    </w:p>
    <w:p w14:paraId="2572CFB9">
      <w:pPr>
        <w:spacing w:line="360" w:lineRule="auto"/>
        <w:jc w:val="left"/>
        <w:rPr>
          <w:rFonts w:hint="eastAsia" w:ascii="宋体" w:hAnsi="宋体"/>
          <w:color w:val="auto"/>
          <w:sz w:val="24"/>
          <w:szCs w:val="24"/>
        </w:rPr>
      </w:pPr>
    </w:p>
    <w:p w14:paraId="4097A54D">
      <w:pPr>
        <w:spacing w:line="360" w:lineRule="auto"/>
        <w:jc w:val="left"/>
        <w:rPr>
          <w:rFonts w:hint="eastAsia" w:ascii="宋体" w:hAnsi="宋体"/>
          <w:color w:val="auto"/>
          <w:sz w:val="24"/>
          <w:szCs w:val="24"/>
        </w:rPr>
      </w:pPr>
    </w:p>
    <w:p w14:paraId="14AD648D">
      <w:pPr>
        <w:pStyle w:val="3"/>
        <w:spacing w:before="0" w:after="0"/>
        <w:jc w:val="center"/>
        <w:rPr>
          <w:rFonts w:hint="eastAsia" w:ascii="宋体" w:hAnsi="宋体" w:eastAsia="宋体"/>
          <w:color w:val="auto"/>
          <w:sz w:val="24"/>
          <w:szCs w:val="24"/>
        </w:rPr>
      </w:pPr>
      <w:bookmarkStart w:id="920" w:name="_Toc31815"/>
      <w:bookmarkEnd w:id="920"/>
      <w:bookmarkStart w:id="921" w:name="_Toc509667325"/>
      <w:bookmarkEnd w:id="921"/>
      <w:bookmarkStart w:id="922" w:name="_Toc7236"/>
      <w:bookmarkStart w:id="923" w:name="_Toc23911"/>
      <w:bookmarkStart w:id="924" w:name="_Toc16305"/>
      <w:bookmarkStart w:id="925" w:name="_Toc4904"/>
      <w:r>
        <w:rPr>
          <w:rStyle w:val="59"/>
          <w:rFonts w:hint="eastAsia" w:ascii="宋体" w:hAnsi="宋体" w:eastAsia="宋体" w:cs="宋体"/>
          <w:color w:val="auto"/>
          <w:sz w:val="28"/>
          <w:szCs w:val="28"/>
        </w:rPr>
        <w:br w:type="page"/>
      </w:r>
      <w:bookmarkStart w:id="926" w:name="_Toc11544"/>
      <w:r>
        <w:rPr>
          <w:rStyle w:val="59"/>
          <w:rFonts w:hint="eastAsia" w:ascii="宋体" w:hAnsi="宋体" w:eastAsia="宋体" w:cs="宋体"/>
          <w:color w:val="auto"/>
          <w:sz w:val="28"/>
          <w:szCs w:val="28"/>
        </w:rPr>
        <w:t>二、法定代表身份证明</w:t>
      </w:r>
      <w:bookmarkEnd w:id="922"/>
      <w:bookmarkEnd w:id="923"/>
      <w:bookmarkEnd w:id="924"/>
      <w:bookmarkEnd w:id="925"/>
      <w:bookmarkEnd w:id="926"/>
    </w:p>
    <w:p w14:paraId="5AF72613">
      <w:pPr>
        <w:spacing w:line="440" w:lineRule="exact"/>
        <w:jc w:val="center"/>
        <w:rPr>
          <w:rFonts w:hint="eastAsia" w:ascii="宋体" w:hAnsi="宋体"/>
          <w:color w:val="auto"/>
        </w:rPr>
      </w:pPr>
    </w:p>
    <w:p w14:paraId="567C9139">
      <w:pPr>
        <w:spacing w:line="440" w:lineRule="exact"/>
        <w:rPr>
          <w:rFonts w:hint="eastAsia" w:ascii="宋体" w:hAnsi="宋体"/>
          <w:color w:val="auto"/>
          <w:sz w:val="24"/>
          <w:szCs w:val="24"/>
          <w:u w:val="single"/>
        </w:rPr>
      </w:pPr>
      <w:r>
        <w:rPr>
          <w:rFonts w:hint="eastAsia" w:ascii="宋体" w:hAnsi="宋体"/>
          <w:color w:val="auto"/>
          <w:sz w:val="24"/>
          <w:szCs w:val="24"/>
        </w:rPr>
        <w:t>供应商名称：</w:t>
      </w:r>
      <w:r>
        <w:rPr>
          <w:rFonts w:hint="eastAsia" w:ascii="宋体" w:hAnsi="宋体"/>
          <w:color w:val="auto"/>
          <w:sz w:val="24"/>
          <w:szCs w:val="24"/>
          <w:u w:val="single"/>
        </w:rPr>
        <w:t xml:space="preserve">                   </w:t>
      </w:r>
    </w:p>
    <w:p w14:paraId="03DC2E3F">
      <w:pPr>
        <w:spacing w:line="440" w:lineRule="exact"/>
        <w:rPr>
          <w:rFonts w:hint="eastAsia" w:ascii="宋体" w:hAnsi="宋体"/>
          <w:color w:val="auto"/>
          <w:sz w:val="24"/>
          <w:szCs w:val="24"/>
          <w:u w:val="single"/>
        </w:rPr>
      </w:pPr>
      <w:r>
        <w:rPr>
          <w:rFonts w:hint="eastAsia" w:ascii="宋体" w:hAnsi="宋体"/>
          <w:color w:val="auto"/>
          <w:sz w:val="24"/>
          <w:szCs w:val="24"/>
        </w:rPr>
        <w:t>单位性质：</w:t>
      </w:r>
      <w:r>
        <w:rPr>
          <w:rFonts w:hint="eastAsia" w:ascii="宋体" w:hAnsi="宋体"/>
          <w:color w:val="auto"/>
          <w:sz w:val="24"/>
          <w:szCs w:val="24"/>
          <w:u w:val="single"/>
        </w:rPr>
        <w:t xml:space="preserve">                      </w:t>
      </w:r>
    </w:p>
    <w:p w14:paraId="30E6E800">
      <w:pPr>
        <w:spacing w:line="440" w:lineRule="exact"/>
        <w:rPr>
          <w:rFonts w:hint="eastAsia" w:ascii="宋体" w:hAnsi="宋体"/>
          <w:color w:val="auto"/>
          <w:sz w:val="24"/>
          <w:szCs w:val="24"/>
        </w:rPr>
      </w:pPr>
      <w:r>
        <w:rPr>
          <w:rFonts w:hint="eastAsia" w:ascii="宋体" w:hAnsi="宋体"/>
          <w:color w:val="auto"/>
          <w:sz w:val="24"/>
          <w:szCs w:val="24"/>
        </w:rPr>
        <w:t>地址：</w:t>
      </w:r>
      <w:r>
        <w:rPr>
          <w:rFonts w:hint="eastAsia" w:ascii="宋体" w:hAnsi="宋体"/>
          <w:color w:val="auto"/>
          <w:sz w:val="24"/>
          <w:szCs w:val="24"/>
          <w:u w:val="single"/>
        </w:rPr>
        <w:t xml:space="preserve">                      </w:t>
      </w:r>
    </w:p>
    <w:p w14:paraId="255F1BEC">
      <w:pPr>
        <w:spacing w:line="440" w:lineRule="exact"/>
        <w:rPr>
          <w:rFonts w:hint="eastAsia" w:ascii="宋体" w:hAnsi="宋体"/>
          <w:color w:val="auto"/>
          <w:sz w:val="24"/>
          <w:szCs w:val="24"/>
        </w:rPr>
      </w:pPr>
      <w:r>
        <w:rPr>
          <w:rFonts w:hint="eastAsia" w:ascii="宋体" w:hAnsi="宋体"/>
          <w:color w:val="auto"/>
          <w:sz w:val="24"/>
          <w:szCs w:val="24"/>
        </w:rPr>
        <w:t>成立时间：</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4CBEF0FE">
      <w:pPr>
        <w:spacing w:line="440" w:lineRule="exact"/>
        <w:rPr>
          <w:rFonts w:hint="eastAsia" w:ascii="宋体" w:hAnsi="宋体"/>
          <w:color w:val="auto"/>
          <w:sz w:val="24"/>
          <w:szCs w:val="24"/>
        </w:rPr>
      </w:pPr>
      <w:r>
        <w:rPr>
          <w:rFonts w:hint="eastAsia" w:ascii="宋体" w:hAnsi="宋体"/>
          <w:color w:val="auto"/>
          <w:sz w:val="24"/>
          <w:szCs w:val="24"/>
        </w:rPr>
        <w:t>经营期限：</w:t>
      </w:r>
      <w:r>
        <w:rPr>
          <w:rFonts w:hint="eastAsia" w:ascii="宋体" w:hAnsi="宋体"/>
          <w:color w:val="auto"/>
          <w:sz w:val="24"/>
          <w:szCs w:val="24"/>
          <w:u w:val="single"/>
        </w:rPr>
        <w:t xml:space="preserve">                      </w:t>
      </w:r>
    </w:p>
    <w:p w14:paraId="54302C52">
      <w:pPr>
        <w:spacing w:line="440" w:lineRule="exact"/>
        <w:rPr>
          <w:rFonts w:hint="eastAsia" w:ascii="宋体" w:hAnsi="宋体"/>
          <w:color w:val="auto"/>
          <w:sz w:val="24"/>
          <w:szCs w:val="24"/>
        </w:rPr>
      </w:pPr>
      <w:r>
        <w:rPr>
          <w:rFonts w:hint="eastAsia" w:ascii="宋体" w:hAnsi="宋体"/>
          <w:color w:val="auto"/>
          <w:sz w:val="24"/>
          <w:szCs w:val="24"/>
        </w:rPr>
        <w:t>姓名：</w:t>
      </w:r>
      <w:r>
        <w:rPr>
          <w:rFonts w:hint="eastAsia" w:ascii="宋体" w:hAnsi="宋体"/>
          <w:color w:val="auto"/>
          <w:sz w:val="24"/>
          <w:szCs w:val="24"/>
          <w:u w:val="single"/>
        </w:rPr>
        <w:t xml:space="preserve">      </w:t>
      </w:r>
      <w:r>
        <w:rPr>
          <w:rFonts w:hint="eastAsia" w:ascii="宋体" w:hAnsi="宋体"/>
          <w:color w:val="auto"/>
          <w:sz w:val="24"/>
          <w:szCs w:val="24"/>
        </w:rPr>
        <w:t xml:space="preserve">  性别：</w:t>
      </w:r>
      <w:r>
        <w:rPr>
          <w:rFonts w:hint="eastAsia" w:ascii="宋体" w:hAnsi="宋体"/>
          <w:color w:val="auto"/>
          <w:sz w:val="24"/>
          <w:szCs w:val="24"/>
          <w:u w:val="single"/>
        </w:rPr>
        <w:t xml:space="preserve">      </w:t>
      </w:r>
      <w:r>
        <w:rPr>
          <w:rFonts w:hint="eastAsia" w:ascii="宋体" w:hAnsi="宋体"/>
          <w:color w:val="auto"/>
          <w:sz w:val="24"/>
          <w:szCs w:val="24"/>
        </w:rPr>
        <w:t xml:space="preserve">   年龄：</w:t>
      </w:r>
      <w:r>
        <w:rPr>
          <w:rFonts w:hint="eastAsia" w:ascii="宋体" w:hAnsi="宋体"/>
          <w:color w:val="auto"/>
          <w:sz w:val="24"/>
          <w:szCs w:val="24"/>
          <w:u w:val="single"/>
        </w:rPr>
        <w:t xml:space="preserve">      </w:t>
      </w:r>
      <w:r>
        <w:rPr>
          <w:rFonts w:hint="eastAsia" w:ascii="宋体" w:hAnsi="宋体"/>
          <w:color w:val="auto"/>
          <w:sz w:val="24"/>
          <w:szCs w:val="24"/>
        </w:rPr>
        <w:t xml:space="preserve">    职务：</w:t>
      </w:r>
      <w:r>
        <w:rPr>
          <w:rFonts w:hint="eastAsia" w:ascii="宋体" w:hAnsi="宋体"/>
          <w:color w:val="auto"/>
          <w:sz w:val="24"/>
          <w:szCs w:val="24"/>
          <w:u w:val="single"/>
        </w:rPr>
        <w:t xml:space="preserve">      </w:t>
      </w:r>
    </w:p>
    <w:p w14:paraId="57211CC8">
      <w:pPr>
        <w:spacing w:line="440" w:lineRule="exact"/>
        <w:rPr>
          <w:rFonts w:hint="eastAsia" w:ascii="宋体" w:hAnsi="宋体"/>
          <w:color w:val="auto"/>
          <w:sz w:val="24"/>
          <w:szCs w:val="24"/>
        </w:rPr>
      </w:pPr>
      <w:r>
        <w:rPr>
          <w:rFonts w:hint="eastAsia" w:ascii="宋体" w:hAnsi="宋体"/>
          <w:color w:val="auto"/>
          <w:sz w:val="24"/>
          <w:szCs w:val="24"/>
        </w:rPr>
        <w:t>系</w:t>
      </w:r>
      <w:r>
        <w:rPr>
          <w:rFonts w:hint="eastAsia" w:ascii="宋体" w:hAnsi="宋体"/>
          <w:color w:val="auto"/>
          <w:sz w:val="24"/>
          <w:szCs w:val="24"/>
          <w:u w:val="single"/>
        </w:rPr>
        <w:t xml:space="preserve"> （供应商名称） </w:t>
      </w:r>
      <w:r>
        <w:rPr>
          <w:rFonts w:hint="eastAsia" w:ascii="宋体" w:hAnsi="宋体"/>
          <w:color w:val="auto"/>
          <w:sz w:val="24"/>
          <w:szCs w:val="24"/>
        </w:rPr>
        <w:t>的法定代表人。</w:t>
      </w:r>
    </w:p>
    <w:p w14:paraId="2C59FA13">
      <w:pPr>
        <w:spacing w:line="440" w:lineRule="exact"/>
        <w:ind w:firstLine="480" w:firstLineChars="200"/>
        <w:rPr>
          <w:rFonts w:hint="eastAsia" w:ascii="宋体" w:hAnsi="宋体"/>
          <w:color w:val="auto"/>
          <w:sz w:val="24"/>
          <w:szCs w:val="24"/>
        </w:rPr>
      </w:pPr>
      <w:r>
        <w:rPr>
          <w:rFonts w:hint="eastAsia" w:ascii="宋体" w:hAnsi="宋体"/>
          <w:color w:val="auto"/>
          <w:sz w:val="24"/>
          <w:szCs w:val="24"/>
        </w:rPr>
        <w:t>特此证明。</w:t>
      </w:r>
    </w:p>
    <w:p w14:paraId="12DB8771">
      <w:pPr>
        <w:spacing w:line="440" w:lineRule="exact"/>
        <w:rPr>
          <w:rFonts w:hint="eastAsia" w:ascii="宋体" w:hAnsi="宋体"/>
          <w:color w:val="auto"/>
          <w:sz w:val="24"/>
          <w:szCs w:val="24"/>
        </w:rPr>
      </w:pPr>
    </w:p>
    <w:p w14:paraId="0AE7BA0B">
      <w:pPr>
        <w:spacing w:line="440" w:lineRule="exact"/>
        <w:rPr>
          <w:rFonts w:hint="eastAsia" w:ascii="宋体" w:hAnsi="宋体"/>
          <w:color w:val="auto"/>
          <w:sz w:val="24"/>
          <w:szCs w:val="24"/>
        </w:rPr>
      </w:pPr>
    </w:p>
    <w:p w14:paraId="76D8F01D">
      <w:pPr>
        <w:spacing w:line="440" w:lineRule="exact"/>
        <w:jc w:val="center"/>
        <w:rPr>
          <w:rFonts w:hint="eastAsia" w:ascii="宋体" w:hAnsi="宋体"/>
          <w:color w:val="auto"/>
          <w:sz w:val="24"/>
          <w:szCs w:val="24"/>
        </w:rPr>
      </w:pPr>
      <w:r>
        <w:rPr>
          <w:rFonts w:hint="eastAsia" w:ascii="宋体" w:hAnsi="宋体"/>
          <w:color w:val="auto"/>
          <w:sz w:val="24"/>
          <w:szCs w:val="24"/>
        </w:rPr>
        <w:t xml:space="preserve">                               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7B808A9B">
      <w:pPr>
        <w:spacing w:line="440" w:lineRule="exact"/>
        <w:jc w:val="center"/>
        <w:rPr>
          <w:rFonts w:hint="eastAsia" w:ascii="宋体" w:hAnsi="宋体"/>
          <w:color w:val="auto"/>
          <w:sz w:val="24"/>
          <w:szCs w:val="24"/>
        </w:rPr>
      </w:pPr>
      <w:r>
        <w:rPr>
          <w:rFonts w:hint="eastAsia" w:ascii="宋体" w:hAnsi="宋体"/>
          <w:color w:val="auto"/>
          <w:sz w:val="24"/>
          <w:szCs w:val="24"/>
        </w:rPr>
        <w:t xml:space="preserve">                                   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 xml:space="preserve">日 </w:t>
      </w:r>
    </w:p>
    <w:p w14:paraId="0D52691A">
      <w:pPr>
        <w:spacing w:line="440" w:lineRule="exact"/>
        <w:rPr>
          <w:rFonts w:hint="eastAsia" w:ascii="宋体" w:hAnsi="宋体"/>
          <w:color w:val="auto"/>
        </w:rPr>
      </w:pPr>
    </w:p>
    <w:p w14:paraId="2D96C99C">
      <w:pPr>
        <w:spacing w:line="440" w:lineRule="exact"/>
        <w:rPr>
          <w:rFonts w:hint="eastAsia" w:ascii="宋体" w:hAnsi="宋体"/>
          <w:color w:val="auto"/>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1A84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8540" w:type="dxa"/>
            <w:tcBorders>
              <w:top w:val="single" w:color="auto" w:sz="4" w:space="0"/>
              <w:left w:val="single" w:color="auto" w:sz="4" w:space="0"/>
              <w:bottom w:val="single" w:color="auto" w:sz="4" w:space="0"/>
              <w:right w:val="single" w:color="auto" w:sz="4" w:space="0"/>
            </w:tcBorders>
            <w:vAlign w:val="center"/>
          </w:tcPr>
          <w:p w14:paraId="0CC1443C">
            <w:pPr>
              <w:spacing w:line="440" w:lineRule="exact"/>
              <w:jc w:val="center"/>
              <w:rPr>
                <w:rFonts w:hint="eastAsia" w:ascii="宋体" w:hAnsi="宋体"/>
                <w:color w:val="auto"/>
                <w:sz w:val="24"/>
                <w:szCs w:val="24"/>
              </w:rPr>
            </w:pPr>
            <w:r>
              <w:rPr>
                <w:rFonts w:hint="eastAsia" w:ascii="宋体" w:hAnsi="宋体"/>
                <w:color w:val="auto"/>
                <w:sz w:val="24"/>
                <w:szCs w:val="24"/>
              </w:rPr>
              <w:t>法定代表人身份证原件扫描件</w:t>
            </w:r>
          </w:p>
          <w:p w14:paraId="6D636E1D">
            <w:pPr>
              <w:spacing w:line="440" w:lineRule="exact"/>
              <w:jc w:val="center"/>
              <w:rPr>
                <w:rFonts w:hint="eastAsia" w:ascii="宋体" w:hAnsi="宋体"/>
                <w:color w:val="auto"/>
              </w:rPr>
            </w:pPr>
          </w:p>
        </w:tc>
      </w:tr>
    </w:tbl>
    <w:p w14:paraId="5C528DEE">
      <w:pPr>
        <w:spacing w:line="440" w:lineRule="exact"/>
        <w:rPr>
          <w:rFonts w:hint="eastAsia" w:ascii="宋体" w:hAnsi="宋体"/>
          <w:color w:val="auto"/>
        </w:rPr>
      </w:pPr>
    </w:p>
    <w:p w14:paraId="661BDDE4">
      <w:pPr>
        <w:spacing w:line="440" w:lineRule="exact"/>
        <w:rPr>
          <w:rFonts w:hint="eastAsia" w:ascii="宋体" w:hAnsi="宋体"/>
          <w:color w:val="auto"/>
        </w:rPr>
      </w:pPr>
    </w:p>
    <w:p w14:paraId="561C6C63">
      <w:pPr>
        <w:spacing w:line="440" w:lineRule="exact"/>
        <w:rPr>
          <w:rFonts w:hint="eastAsia" w:ascii="宋体" w:hAnsi="宋体"/>
          <w:color w:val="auto"/>
          <w:sz w:val="20"/>
          <w:szCs w:val="20"/>
        </w:rPr>
      </w:pPr>
    </w:p>
    <w:p w14:paraId="1B76F5C6">
      <w:pPr>
        <w:spacing w:line="440" w:lineRule="exact"/>
        <w:rPr>
          <w:rFonts w:hint="eastAsia" w:ascii="宋体" w:hAnsi="宋体"/>
          <w:color w:val="auto"/>
          <w:sz w:val="20"/>
          <w:szCs w:val="20"/>
        </w:rPr>
      </w:pPr>
    </w:p>
    <w:p w14:paraId="3DBF5E4F">
      <w:pPr>
        <w:pStyle w:val="3"/>
        <w:spacing w:before="0" w:after="0"/>
        <w:jc w:val="center"/>
        <w:rPr>
          <w:rStyle w:val="59"/>
          <w:rFonts w:hint="eastAsia" w:ascii="宋体" w:hAnsi="宋体" w:eastAsia="宋体" w:cs="宋体"/>
          <w:color w:val="auto"/>
          <w:sz w:val="28"/>
          <w:szCs w:val="28"/>
        </w:rPr>
      </w:pPr>
      <w:r>
        <w:rPr>
          <w:rFonts w:ascii="宋体" w:hAnsi="宋体"/>
          <w:color w:val="auto"/>
          <w:sz w:val="20"/>
          <w:szCs w:val="20"/>
        </w:rPr>
        <w:br w:type="page"/>
      </w:r>
      <w:bookmarkStart w:id="927" w:name="_Toc24861"/>
      <w:bookmarkEnd w:id="927"/>
      <w:bookmarkStart w:id="928" w:name="_Toc202941490"/>
      <w:bookmarkEnd w:id="928"/>
      <w:bookmarkStart w:id="929" w:name="_Toc318989765"/>
      <w:bookmarkEnd w:id="929"/>
      <w:bookmarkStart w:id="930" w:name="_Toc441791190"/>
      <w:bookmarkEnd w:id="930"/>
      <w:bookmarkStart w:id="931" w:name="_Toc466298162"/>
      <w:bookmarkEnd w:id="931"/>
      <w:bookmarkStart w:id="932" w:name="_Toc29829"/>
      <w:bookmarkStart w:id="933" w:name="_Toc29482"/>
      <w:bookmarkStart w:id="934" w:name="_Toc6524"/>
      <w:bookmarkStart w:id="935" w:name="_Toc509667326"/>
      <w:bookmarkStart w:id="936" w:name="_Toc27103"/>
      <w:bookmarkStart w:id="937" w:name="_Toc16684"/>
      <w:r>
        <w:rPr>
          <w:rStyle w:val="59"/>
          <w:rFonts w:hint="eastAsia" w:ascii="宋体" w:hAnsi="宋体" w:eastAsia="宋体" w:cs="宋体"/>
          <w:color w:val="auto"/>
          <w:sz w:val="28"/>
          <w:szCs w:val="28"/>
        </w:rPr>
        <w:t>三、授权委托书</w:t>
      </w:r>
      <w:bookmarkEnd w:id="932"/>
      <w:bookmarkEnd w:id="933"/>
      <w:bookmarkEnd w:id="934"/>
      <w:bookmarkEnd w:id="935"/>
      <w:bookmarkEnd w:id="936"/>
      <w:bookmarkEnd w:id="937"/>
    </w:p>
    <w:p w14:paraId="7191CB12">
      <w:pPr>
        <w:topLinePunct/>
        <w:spacing w:line="440" w:lineRule="exact"/>
        <w:ind w:firstLine="480" w:firstLineChars="200"/>
        <w:rPr>
          <w:rFonts w:hint="eastAsia" w:ascii="宋体" w:hAnsi="宋体"/>
          <w:color w:val="auto"/>
          <w:sz w:val="24"/>
          <w:szCs w:val="24"/>
        </w:rPr>
      </w:pPr>
      <w:r>
        <w:rPr>
          <w:rFonts w:hint="eastAsia" w:ascii="宋体" w:hAnsi="宋体"/>
          <w:color w:val="auto"/>
          <w:sz w:val="24"/>
          <w:szCs w:val="24"/>
        </w:rPr>
        <w:t>本人</w:t>
      </w:r>
      <w:r>
        <w:rPr>
          <w:rFonts w:hint="eastAsia" w:ascii="宋体" w:hAnsi="宋体"/>
          <w:color w:val="auto"/>
          <w:sz w:val="24"/>
          <w:szCs w:val="24"/>
          <w:u w:val="single"/>
        </w:rPr>
        <w:t>（姓名）</w:t>
      </w:r>
      <w:r>
        <w:rPr>
          <w:rFonts w:hint="eastAsia" w:ascii="宋体" w:hAnsi="宋体"/>
          <w:color w:val="auto"/>
          <w:sz w:val="24"/>
          <w:szCs w:val="24"/>
        </w:rPr>
        <w:t>系</w:t>
      </w:r>
      <w:r>
        <w:rPr>
          <w:rFonts w:hint="eastAsia" w:ascii="宋体" w:hAnsi="宋体"/>
          <w:color w:val="auto"/>
          <w:sz w:val="24"/>
          <w:szCs w:val="24"/>
          <w:u w:val="single"/>
        </w:rPr>
        <w:t>（供应商名称）</w:t>
      </w:r>
      <w:r>
        <w:rPr>
          <w:rFonts w:hint="eastAsia" w:ascii="宋体" w:hAnsi="宋体"/>
          <w:color w:val="auto"/>
          <w:sz w:val="24"/>
          <w:szCs w:val="24"/>
        </w:rPr>
        <w:t>的法定代表人，现委托</w:t>
      </w:r>
      <w:r>
        <w:rPr>
          <w:rFonts w:hint="eastAsia" w:ascii="宋体" w:hAnsi="宋体"/>
          <w:color w:val="auto"/>
          <w:sz w:val="24"/>
          <w:szCs w:val="24"/>
          <w:u w:val="single"/>
        </w:rPr>
        <w:t>（姓名）</w:t>
      </w:r>
      <w:r>
        <w:rPr>
          <w:rFonts w:hint="eastAsia" w:ascii="宋体" w:hAnsi="宋体"/>
          <w:color w:val="auto"/>
          <w:sz w:val="24"/>
          <w:szCs w:val="24"/>
        </w:rPr>
        <w:t>为我方代理人。代理人根据授权，以我方名义签署、澄清、说明、补正、递交、撤回、修改</w:t>
      </w:r>
      <w:r>
        <w:rPr>
          <w:rFonts w:hint="eastAsia" w:ascii="宋体" w:hAnsi="宋体"/>
          <w:color w:val="auto"/>
          <w:sz w:val="24"/>
          <w:szCs w:val="24"/>
          <w:u w:val="single"/>
        </w:rPr>
        <w:t xml:space="preserve"> </w:t>
      </w:r>
      <w:r>
        <w:rPr>
          <w:rFonts w:hint="eastAsia" w:ascii="宋体" w:hAnsi="宋体" w:cs="宋体"/>
          <w:color w:val="auto"/>
          <w:kern w:val="0"/>
          <w:sz w:val="24"/>
          <w:szCs w:val="24"/>
          <w:u w:val="single"/>
        </w:rPr>
        <w:t>中原纯化制程实验室高纯石墨材料制备技术与产品研发项目</w:t>
      </w:r>
      <w:r>
        <w:rPr>
          <w:rFonts w:hint="eastAsia" w:ascii="宋体" w:hAnsi="宋体"/>
          <w:color w:val="auto"/>
          <w:sz w:val="24"/>
          <w:szCs w:val="24"/>
          <w:u w:val="single"/>
        </w:rPr>
        <w:t xml:space="preserve"> </w:t>
      </w:r>
      <w:r>
        <w:rPr>
          <w:rFonts w:hint="eastAsia" w:ascii="宋体" w:hAnsi="宋体"/>
          <w:color w:val="auto"/>
          <w:sz w:val="24"/>
          <w:szCs w:val="24"/>
        </w:rPr>
        <w:t>响应文件、签订合同和处理有关事宜，其法律后果由我方承担。</w:t>
      </w:r>
    </w:p>
    <w:p w14:paraId="01287198">
      <w:pPr>
        <w:spacing w:line="440" w:lineRule="exact"/>
        <w:rPr>
          <w:rFonts w:hint="eastAsia" w:ascii="宋体" w:hAnsi="宋体"/>
          <w:color w:val="auto"/>
          <w:sz w:val="24"/>
          <w:szCs w:val="24"/>
        </w:rPr>
      </w:pPr>
      <w:r>
        <w:rPr>
          <w:rFonts w:hint="eastAsia" w:ascii="宋体" w:hAnsi="宋体"/>
          <w:color w:val="auto"/>
          <w:sz w:val="24"/>
          <w:szCs w:val="24"/>
        </w:rPr>
        <w:t xml:space="preserve">    委托期限：</w:t>
      </w:r>
      <w:r>
        <w:rPr>
          <w:rFonts w:hint="eastAsia" w:ascii="宋体" w:hAnsi="宋体"/>
          <w:color w:val="auto"/>
          <w:sz w:val="24"/>
          <w:szCs w:val="24"/>
          <w:u w:val="single"/>
        </w:rPr>
        <w:t xml:space="preserve"> 同磋商有效期  </w:t>
      </w:r>
      <w:r>
        <w:rPr>
          <w:rFonts w:hint="eastAsia" w:ascii="宋体" w:hAnsi="宋体"/>
          <w:color w:val="auto"/>
          <w:sz w:val="24"/>
          <w:szCs w:val="24"/>
        </w:rPr>
        <w:t>。</w:t>
      </w:r>
    </w:p>
    <w:p w14:paraId="079A9808">
      <w:pPr>
        <w:spacing w:line="440" w:lineRule="exact"/>
        <w:ind w:firstLine="480" w:firstLineChars="200"/>
        <w:rPr>
          <w:rFonts w:hint="eastAsia" w:ascii="宋体" w:hAnsi="宋体"/>
          <w:color w:val="auto"/>
          <w:sz w:val="24"/>
          <w:szCs w:val="24"/>
        </w:rPr>
      </w:pPr>
      <w:r>
        <w:rPr>
          <w:rFonts w:hint="eastAsia" w:ascii="宋体" w:hAnsi="宋体"/>
          <w:color w:val="auto"/>
          <w:sz w:val="24"/>
          <w:szCs w:val="24"/>
        </w:rPr>
        <w:t>代理人无转委托权。</w:t>
      </w:r>
    </w:p>
    <w:p w14:paraId="50C72D25">
      <w:pPr>
        <w:spacing w:line="440" w:lineRule="exact"/>
        <w:ind w:firstLine="480" w:firstLineChars="200"/>
        <w:rPr>
          <w:rFonts w:hint="eastAsia" w:ascii="宋体" w:hAnsi="宋体"/>
          <w:color w:val="auto"/>
          <w:sz w:val="24"/>
          <w:szCs w:val="24"/>
        </w:rPr>
      </w:pPr>
      <w:r>
        <w:rPr>
          <w:rFonts w:hint="eastAsia" w:ascii="宋体" w:hAnsi="宋体"/>
          <w:color w:val="auto"/>
          <w:sz w:val="24"/>
          <w:szCs w:val="24"/>
        </w:rPr>
        <w:t>附：法定代表人身份证及委托代理人身份证原件扫描件</w:t>
      </w:r>
    </w:p>
    <w:p w14:paraId="041BB94D">
      <w:pPr>
        <w:spacing w:line="440" w:lineRule="exact"/>
        <w:rPr>
          <w:rFonts w:hint="eastAsia" w:ascii="宋体" w:hAnsi="宋体"/>
          <w:color w:val="auto"/>
          <w:sz w:val="24"/>
          <w:szCs w:val="24"/>
        </w:rPr>
      </w:pPr>
    </w:p>
    <w:p w14:paraId="36A07A77">
      <w:pPr>
        <w:spacing w:line="440" w:lineRule="exact"/>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4587099C">
      <w:pPr>
        <w:spacing w:line="440" w:lineRule="exact"/>
        <w:jc w:val="left"/>
        <w:rPr>
          <w:rFonts w:hint="eastAsia" w:ascii="宋体" w:hAnsi="宋体"/>
          <w:color w:val="auto"/>
          <w:sz w:val="24"/>
          <w:szCs w:val="24"/>
        </w:rPr>
      </w:pPr>
      <w:r>
        <w:rPr>
          <w:rFonts w:hint="eastAsia" w:ascii="宋体" w:hAnsi="宋体"/>
          <w:color w:val="auto"/>
          <w:sz w:val="24"/>
          <w:szCs w:val="24"/>
        </w:rPr>
        <w:t>法定代表人：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68889277">
      <w:pPr>
        <w:spacing w:line="440" w:lineRule="exact"/>
        <w:jc w:val="left"/>
        <w:rPr>
          <w:rFonts w:hint="eastAsia" w:ascii="宋体" w:hAnsi="宋体"/>
          <w:color w:val="auto"/>
          <w:sz w:val="24"/>
          <w:szCs w:val="24"/>
          <w:u w:val="single"/>
        </w:rPr>
      </w:pPr>
      <w:r>
        <w:rPr>
          <w:rFonts w:hint="eastAsia" w:ascii="宋体" w:hAnsi="宋体"/>
          <w:color w:val="auto"/>
          <w:sz w:val="24"/>
          <w:szCs w:val="24"/>
        </w:rPr>
        <w:t>身份证号码：</w:t>
      </w:r>
      <w:r>
        <w:rPr>
          <w:rFonts w:hint="eastAsia" w:ascii="宋体" w:hAnsi="宋体"/>
          <w:color w:val="auto"/>
          <w:sz w:val="24"/>
          <w:szCs w:val="24"/>
          <w:u w:val="single"/>
        </w:rPr>
        <w:t xml:space="preserve">                      </w:t>
      </w:r>
    </w:p>
    <w:p w14:paraId="5A67D58A">
      <w:pPr>
        <w:spacing w:line="440" w:lineRule="exact"/>
        <w:jc w:val="left"/>
        <w:rPr>
          <w:rFonts w:hint="eastAsia" w:ascii="宋体" w:hAnsi="宋体"/>
          <w:color w:val="auto"/>
          <w:sz w:val="24"/>
          <w:szCs w:val="24"/>
        </w:rPr>
      </w:pPr>
      <w:r>
        <w:rPr>
          <w:rFonts w:hint="eastAsia" w:ascii="宋体" w:hAnsi="宋体"/>
          <w:color w:val="auto"/>
          <w:sz w:val="24"/>
          <w:szCs w:val="24"/>
        </w:rPr>
        <w:t>委托代理人：</w:t>
      </w:r>
      <w:r>
        <w:rPr>
          <w:rFonts w:hint="eastAsia" w:ascii="宋体" w:hAnsi="宋体"/>
          <w:color w:val="auto"/>
          <w:sz w:val="24"/>
          <w:szCs w:val="24"/>
          <w:u w:val="single"/>
        </w:rPr>
        <w:t xml:space="preserve">                      </w:t>
      </w:r>
      <w:r>
        <w:rPr>
          <w:rFonts w:hint="eastAsia" w:ascii="宋体" w:hAnsi="宋体"/>
          <w:color w:val="auto"/>
          <w:sz w:val="24"/>
          <w:szCs w:val="24"/>
        </w:rPr>
        <w:t>（签字）</w:t>
      </w:r>
    </w:p>
    <w:p w14:paraId="5C780811">
      <w:pPr>
        <w:spacing w:line="440" w:lineRule="exact"/>
        <w:jc w:val="left"/>
        <w:rPr>
          <w:rFonts w:hint="eastAsia" w:ascii="宋体" w:hAnsi="宋体"/>
          <w:color w:val="auto"/>
          <w:sz w:val="24"/>
          <w:szCs w:val="24"/>
          <w:u w:val="single"/>
        </w:rPr>
      </w:pPr>
      <w:r>
        <w:rPr>
          <w:rFonts w:hint="eastAsia" w:ascii="宋体" w:hAnsi="宋体"/>
          <w:color w:val="auto"/>
          <w:sz w:val="24"/>
          <w:szCs w:val="24"/>
        </w:rPr>
        <w:t>身份证号码：</w:t>
      </w:r>
      <w:r>
        <w:rPr>
          <w:rFonts w:hint="eastAsia" w:ascii="宋体" w:hAnsi="宋体"/>
          <w:color w:val="auto"/>
          <w:sz w:val="24"/>
          <w:szCs w:val="24"/>
          <w:u w:val="single"/>
        </w:rPr>
        <w:t xml:space="preserve">                      </w:t>
      </w:r>
    </w:p>
    <w:p w14:paraId="03DA5476">
      <w:pPr>
        <w:spacing w:line="440" w:lineRule="exact"/>
        <w:jc w:val="left"/>
        <w:rPr>
          <w:rFonts w:hint="eastAsia" w:ascii="宋体" w:hAnsi="宋体"/>
          <w:color w:val="auto"/>
          <w:sz w:val="24"/>
          <w:szCs w:val="24"/>
          <w:u w:val="single"/>
        </w:rPr>
      </w:pPr>
      <w:r>
        <w:rPr>
          <w:rFonts w:hint="eastAsia" w:ascii="宋体" w:hAnsi="宋体"/>
          <w:color w:val="auto"/>
          <w:sz w:val="24"/>
          <w:szCs w:val="24"/>
        </w:rPr>
        <w:t>联系电话：</w:t>
      </w:r>
      <w:r>
        <w:rPr>
          <w:rFonts w:hint="eastAsia" w:ascii="宋体" w:hAnsi="宋体"/>
          <w:color w:val="auto"/>
          <w:sz w:val="24"/>
          <w:szCs w:val="24"/>
          <w:u w:val="single"/>
        </w:rPr>
        <w:t xml:space="preserve">                        </w:t>
      </w:r>
    </w:p>
    <w:p w14:paraId="69E6F600">
      <w:pPr>
        <w:spacing w:line="440" w:lineRule="exact"/>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5C78549C">
      <w:pPr>
        <w:spacing w:line="440" w:lineRule="exact"/>
        <w:rPr>
          <w:rFonts w:hint="eastAsia" w:ascii="宋体" w:hAnsi="宋体"/>
          <w:color w:val="auto"/>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0"/>
      </w:tblGrid>
      <w:tr w14:paraId="7779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8600" w:type="dxa"/>
            <w:tcBorders>
              <w:top w:val="single" w:color="auto" w:sz="4" w:space="0"/>
              <w:left w:val="single" w:color="auto" w:sz="4" w:space="0"/>
              <w:bottom w:val="single" w:color="auto" w:sz="4" w:space="0"/>
              <w:right w:val="single" w:color="auto" w:sz="4" w:space="0"/>
            </w:tcBorders>
            <w:vAlign w:val="center"/>
          </w:tcPr>
          <w:p w14:paraId="0F52D31F">
            <w:pPr>
              <w:spacing w:line="440" w:lineRule="exact"/>
              <w:jc w:val="center"/>
              <w:rPr>
                <w:rFonts w:hint="eastAsia" w:ascii="宋体" w:hAnsi="宋体"/>
                <w:color w:val="auto"/>
                <w:sz w:val="24"/>
                <w:szCs w:val="24"/>
              </w:rPr>
            </w:pPr>
            <w:r>
              <w:rPr>
                <w:rFonts w:hint="eastAsia" w:ascii="宋体" w:hAnsi="宋体"/>
                <w:color w:val="auto"/>
                <w:sz w:val="24"/>
                <w:szCs w:val="24"/>
              </w:rPr>
              <w:t>法定代表人身份证原件扫描件</w:t>
            </w:r>
          </w:p>
        </w:tc>
      </w:tr>
      <w:tr w14:paraId="662F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8600" w:type="dxa"/>
            <w:tcBorders>
              <w:top w:val="single" w:color="auto" w:sz="4" w:space="0"/>
              <w:left w:val="single" w:color="auto" w:sz="4" w:space="0"/>
              <w:bottom w:val="single" w:color="auto" w:sz="4" w:space="0"/>
              <w:right w:val="single" w:color="auto" w:sz="4" w:space="0"/>
            </w:tcBorders>
            <w:vAlign w:val="center"/>
          </w:tcPr>
          <w:p w14:paraId="1CD398AA">
            <w:pPr>
              <w:spacing w:line="440" w:lineRule="exact"/>
              <w:jc w:val="center"/>
              <w:rPr>
                <w:rFonts w:hint="eastAsia" w:ascii="宋体" w:hAnsi="宋体"/>
                <w:color w:val="auto"/>
                <w:sz w:val="24"/>
                <w:szCs w:val="24"/>
              </w:rPr>
            </w:pPr>
            <w:r>
              <w:rPr>
                <w:rFonts w:hint="eastAsia" w:ascii="宋体" w:hAnsi="宋体"/>
                <w:color w:val="auto"/>
                <w:sz w:val="24"/>
                <w:szCs w:val="24"/>
              </w:rPr>
              <w:t>委托代理人身份证原件扫描件</w:t>
            </w:r>
          </w:p>
          <w:p w14:paraId="7C9473EB">
            <w:pPr>
              <w:spacing w:line="440" w:lineRule="exact"/>
              <w:jc w:val="center"/>
              <w:rPr>
                <w:rFonts w:hint="eastAsia" w:ascii="宋体" w:hAnsi="宋体"/>
                <w:color w:val="auto"/>
                <w:sz w:val="24"/>
                <w:szCs w:val="24"/>
              </w:rPr>
            </w:pPr>
          </w:p>
        </w:tc>
      </w:tr>
    </w:tbl>
    <w:p w14:paraId="56C2678D">
      <w:pPr>
        <w:pStyle w:val="3"/>
        <w:numPr>
          <w:ilvl w:val="0"/>
          <w:numId w:val="13"/>
        </w:numPr>
        <w:spacing w:before="0" w:after="0"/>
        <w:jc w:val="center"/>
        <w:rPr>
          <w:rStyle w:val="59"/>
          <w:rFonts w:hint="eastAsia" w:ascii="宋体" w:hAnsi="宋体" w:eastAsia="宋体" w:cs="宋体"/>
          <w:color w:val="auto"/>
          <w:sz w:val="28"/>
          <w:szCs w:val="28"/>
        </w:rPr>
      </w:pPr>
      <w:r>
        <w:rPr>
          <w:rFonts w:hint="eastAsia"/>
          <w:color w:val="auto"/>
        </w:rPr>
        <w:br w:type="page"/>
      </w:r>
      <w:bookmarkStart w:id="938" w:name="_Toc30807"/>
      <w:bookmarkEnd w:id="938"/>
      <w:bookmarkStart w:id="939" w:name="_Toc5126"/>
      <w:bookmarkStart w:id="940" w:name="_Toc6005"/>
      <w:r>
        <w:rPr>
          <w:rStyle w:val="59"/>
          <w:rFonts w:hint="eastAsia" w:ascii="宋体" w:hAnsi="宋体" w:eastAsia="宋体" w:cs="宋体"/>
          <w:color w:val="auto"/>
          <w:sz w:val="28"/>
          <w:szCs w:val="28"/>
        </w:rPr>
        <w:t>分项报价明细表</w:t>
      </w:r>
      <w:bookmarkEnd w:id="939"/>
      <w:bookmarkEnd w:id="940"/>
    </w:p>
    <w:p w14:paraId="7B0B7D83">
      <w:pPr>
        <w:rPr>
          <w:rFonts w:ascii="宋体" w:hAnsi="宋体" w:cs="宋体"/>
          <w:b/>
          <w:bCs/>
          <w:color w:val="auto"/>
          <w:spacing w:val="5"/>
          <w:sz w:val="24"/>
          <w:szCs w:val="24"/>
        </w:rPr>
      </w:pPr>
      <w:r>
        <w:rPr>
          <w:rFonts w:hint="eastAsia" w:ascii="宋体" w:hAnsi="宋体" w:cs="宋体"/>
          <w:b/>
          <w:bCs/>
          <w:color w:val="auto"/>
          <w:spacing w:val="5"/>
          <w:sz w:val="24"/>
          <w:szCs w:val="24"/>
        </w:rPr>
        <w:t>4.1响应货物分项报价明细表</w:t>
      </w:r>
    </w:p>
    <w:p w14:paraId="02DAFD02">
      <w:pPr>
        <w:jc w:val="right"/>
        <w:rPr>
          <w:rFonts w:hint="eastAsia" w:ascii="宋体" w:hAnsi="宋体"/>
          <w:b/>
          <w:bCs/>
          <w:color w:val="auto"/>
          <w:sz w:val="28"/>
          <w:szCs w:val="28"/>
        </w:rPr>
      </w:pPr>
      <w:r>
        <w:rPr>
          <w:rFonts w:hint="eastAsia" w:ascii="宋体" w:hAnsi="宋体"/>
          <w:b/>
          <w:bCs/>
          <w:color w:val="auto"/>
        </w:rPr>
        <w:t>单位：元</w:t>
      </w:r>
    </w:p>
    <w:tbl>
      <w:tblPr>
        <w:tblStyle w:val="41"/>
        <w:tblW w:w="87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
        <w:gridCol w:w="1516"/>
        <w:gridCol w:w="813"/>
        <w:gridCol w:w="821"/>
        <w:gridCol w:w="821"/>
        <w:gridCol w:w="554"/>
        <w:gridCol w:w="605"/>
        <w:gridCol w:w="596"/>
        <w:gridCol w:w="566"/>
        <w:gridCol w:w="664"/>
        <w:gridCol w:w="664"/>
        <w:gridCol w:w="664"/>
      </w:tblGrid>
      <w:tr w14:paraId="00750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456" w:type="dxa"/>
            <w:vAlign w:val="center"/>
          </w:tcPr>
          <w:p w14:paraId="2628F74A">
            <w:pPr>
              <w:pStyle w:val="119"/>
              <w:jc w:val="center"/>
              <w:rPr>
                <w:rFonts w:hint="eastAsia"/>
                <w:b/>
                <w:bCs/>
                <w:color w:val="auto"/>
                <w:sz w:val="24"/>
                <w:szCs w:val="24"/>
              </w:rPr>
            </w:pPr>
            <w:bookmarkStart w:id="941" w:name="_Toc509667331"/>
            <w:bookmarkEnd w:id="941"/>
            <w:bookmarkStart w:id="942" w:name="_Toc13920"/>
            <w:bookmarkEnd w:id="942"/>
            <w:bookmarkStart w:id="943" w:name="_Toc475624458"/>
            <w:bookmarkEnd w:id="943"/>
            <w:bookmarkStart w:id="944" w:name="_Toc18821"/>
            <w:bookmarkEnd w:id="944"/>
            <w:bookmarkStart w:id="945" w:name="_Toc22766"/>
            <w:r>
              <w:rPr>
                <w:rFonts w:hint="eastAsia"/>
                <w:b/>
                <w:bCs/>
                <w:color w:val="auto"/>
                <w:spacing w:val="5"/>
                <w:sz w:val="24"/>
                <w:szCs w:val="24"/>
              </w:rPr>
              <w:t>序号</w:t>
            </w:r>
          </w:p>
        </w:tc>
        <w:tc>
          <w:tcPr>
            <w:tcW w:w="1516" w:type="dxa"/>
            <w:tcBorders>
              <w:right w:val="single" w:color="auto" w:sz="4" w:space="0"/>
            </w:tcBorders>
            <w:vAlign w:val="center"/>
          </w:tcPr>
          <w:p w14:paraId="0CA3A941">
            <w:pPr>
              <w:pStyle w:val="119"/>
              <w:jc w:val="center"/>
              <w:rPr>
                <w:rFonts w:hint="eastAsia"/>
                <w:b/>
                <w:bCs/>
                <w:color w:val="auto"/>
                <w:spacing w:val="5"/>
                <w:sz w:val="24"/>
                <w:szCs w:val="24"/>
                <w:lang w:eastAsia="zh-CN"/>
              </w:rPr>
            </w:pPr>
            <w:r>
              <w:rPr>
                <w:rFonts w:hint="eastAsia"/>
                <w:b/>
                <w:bCs/>
                <w:color w:val="auto"/>
                <w:spacing w:val="5"/>
                <w:sz w:val="24"/>
                <w:szCs w:val="24"/>
                <w:lang w:eastAsia="zh-CN"/>
              </w:rPr>
              <w:t>货物</w:t>
            </w:r>
            <w:r>
              <w:rPr>
                <w:rFonts w:hint="eastAsia"/>
                <w:b/>
                <w:bCs/>
                <w:color w:val="auto"/>
                <w:spacing w:val="5"/>
                <w:sz w:val="24"/>
                <w:szCs w:val="24"/>
              </w:rPr>
              <w:t>名称</w:t>
            </w:r>
          </w:p>
        </w:tc>
        <w:tc>
          <w:tcPr>
            <w:tcW w:w="813" w:type="dxa"/>
            <w:tcBorders>
              <w:right w:val="single" w:color="auto" w:sz="4" w:space="0"/>
            </w:tcBorders>
            <w:vAlign w:val="center"/>
          </w:tcPr>
          <w:p w14:paraId="7DA0E525">
            <w:pPr>
              <w:pStyle w:val="119"/>
              <w:jc w:val="center"/>
              <w:rPr>
                <w:rFonts w:hint="eastAsia"/>
                <w:b/>
                <w:bCs/>
                <w:color w:val="auto"/>
                <w:spacing w:val="5"/>
                <w:sz w:val="24"/>
                <w:szCs w:val="24"/>
                <w:lang w:eastAsia="zh-CN"/>
              </w:rPr>
            </w:pPr>
            <w:r>
              <w:rPr>
                <w:rFonts w:hint="eastAsia"/>
                <w:b/>
                <w:bCs/>
                <w:color w:val="auto"/>
                <w:spacing w:val="5"/>
                <w:sz w:val="24"/>
                <w:szCs w:val="24"/>
                <w:lang w:eastAsia="zh-CN"/>
              </w:rPr>
              <w:t>制造商名称</w:t>
            </w:r>
          </w:p>
        </w:tc>
        <w:tc>
          <w:tcPr>
            <w:tcW w:w="821" w:type="dxa"/>
            <w:tcBorders>
              <w:left w:val="single" w:color="auto" w:sz="4" w:space="0"/>
            </w:tcBorders>
            <w:vAlign w:val="center"/>
          </w:tcPr>
          <w:p w14:paraId="2083C809">
            <w:pPr>
              <w:pStyle w:val="119"/>
              <w:jc w:val="center"/>
              <w:rPr>
                <w:rFonts w:hint="eastAsia"/>
                <w:b/>
                <w:bCs/>
                <w:color w:val="auto"/>
                <w:spacing w:val="5"/>
                <w:sz w:val="24"/>
                <w:szCs w:val="24"/>
                <w:lang w:eastAsia="zh-CN"/>
              </w:rPr>
            </w:pPr>
            <w:r>
              <w:rPr>
                <w:rFonts w:hint="eastAsia"/>
                <w:b/>
                <w:bCs/>
                <w:color w:val="auto"/>
                <w:spacing w:val="5"/>
                <w:sz w:val="24"/>
                <w:szCs w:val="24"/>
                <w:lang w:eastAsia="zh-CN"/>
              </w:rPr>
              <w:t>品牌</w:t>
            </w:r>
          </w:p>
        </w:tc>
        <w:tc>
          <w:tcPr>
            <w:tcW w:w="821" w:type="dxa"/>
            <w:tcBorders>
              <w:left w:val="single" w:color="auto" w:sz="4" w:space="0"/>
            </w:tcBorders>
            <w:vAlign w:val="center"/>
          </w:tcPr>
          <w:p w14:paraId="7A9DC407">
            <w:pPr>
              <w:pStyle w:val="119"/>
              <w:jc w:val="center"/>
              <w:rPr>
                <w:rFonts w:hint="eastAsia"/>
                <w:b/>
                <w:bCs/>
                <w:color w:val="auto"/>
                <w:spacing w:val="5"/>
                <w:sz w:val="24"/>
                <w:szCs w:val="24"/>
              </w:rPr>
            </w:pPr>
            <w:r>
              <w:rPr>
                <w:rFonts w:hint="eastAsia"/>
                <w:b/>
                <w:bCs/>
                <w:color w:val="auto"/>
                <w:spacing w:val="5"/>
                <w:sz w:val="24"/>
                <w:szCs w:val="24"/>
                <w:lang w:eastAsia="zh-CN"/>
              </w:rPr>
              <w:t>规格</w:t>
            </w:r>
            <w:r>
              <w:rPr>
                <w:rFonts w:hint="eastAsia"/>
                <w:b/>
                <w:bCs/>
                <w:color w:val="auto"/>
                <w:spacing w:val="5"/>
                <w:sz w:val="24"/>
                <w:szCs w:val="24"/>
              </w:rPr>
              <w:t>型号</w:t>
            </w:r>
          </w:p>
        </w:tc>
        <w:tc>
          <w:tcPr>
            <w:tcW w:w="554" w:type="dxa"/>
            <w:vAlign w:val="center"/>
          </w:tcPr>
          <w:p w14:paraId="11763AAE">
            <w:pPr>
              <w:pStyle w:val="119"/>
              <w:jc w:val="center"/>
              <w:rPr>
                <w:rFonts w:hint="eastAsia"/>
                <w:b/>
                <w:bCs/>
                <w:color w:val="auto"/>
                <w:spacing w:val="5"/>
                <w:sz w:val="24"/>
                <w:szCs w:val="24"/>
              </w:rPr>
            </w:pPr>
            <w:r>
              <w:rPr>
                <w:rFonts w:hint="eastAsia"/>
                <w:b/>
                <w:bCs/>
                <w:color w:val="auto"/>
                <w:spacing w:val="5"/>
                <w:sz w:val="24"/>
                <w:szCs w:val="24"/>
              </w:rPr>
              <w:t>单位</w:t>
            </w:r>
          </w:p>
        </w:tc>
        <w:tc>
          <w:tcPr>
            <w:tcW w:w="605" w:type="dxa"/>
            <w:vAlign w:val="center"/>
          </w:tcPr>
          <w:p w14:paraId="7FB5DB88">
            <w:pPr>
              <w:pStyle w:val="119"/>
              <w:jc w:val="center"/>
              <w:rPr>
                <w:rFonts w:hint="eastAsia"/>
                <w:b/>
                <w:bCs/>
                <w:color w:val="auto"/>
                <w:spacing w:val="5"/>
                <w:sz w:val="24"/>
                <w:szCs w:val="24"/>
              </w:rPr>
            </w:pPr>
            <w:r>
              <w:rPr>
                <w:rFonts w:hint="eastAsia"/>
                <w:b/>
                <w:bCs/>
                <w:color w:val="auto"/>
                <w:spacing w:val="5"/>
                <w:sz w:val="24"/>
                <w:szCs w:val="24"/>
              </w:rPr>
              <w:t>数量</w:t>
            </w:r>
          </w:p>
        </w:tc>
        <w:tc>
          <w:tcPr>
            <w:tcW w:w="596" w:type="dxa"/>
            <w:vAlign w:val="center"/>
          </w:tcPr>
          <w:p w14:paraId="7EB3E4B1">
            <w:pPr>
              <w:pStyle w:val="119"/>
              <w:jc w:val="center"/>
              <w:rPr>
                <w:rFonts w:hint="eastAsia"/>
                <w:b/>
                <w:bCs/>
                <w:color w:val="auto"/>
                <w:spacing w:val="5"/>
                <w:sz w:val="24"/>
                <w:szCs w:val="24"/>
                <w:lang w:eastAsia="zh-CN"/>
              </w:rPr>
            </w:pPr>
            <w:r>
              <w:rPr>
                <w:rFonts w:hint="eastAsia"/>
                <w:b/>
                <w:bCs/>
                <w:color w:val="auto"/>
                <w:spacing w:val="5"/>
                <w:sz w:val="24"/>
                <w:szCs w:val="24"/>
              </w:rPr>
              <w:t>单价</w:t>
            </w:r>
          </w:p>
        </w:tc>
        <w:tc>
          <w:tcPr>
            <w:tcW w:w="566" w:type="dxa"/>
            <w:vAlign w:val="center"/>
          </w:tcPr>
          <w:p w14:paraId="565956E8">
            <w:pPr>
              <w:pStyle w:val="119"/>
              <w:jc w:val="center"/>
              <w:rPr>
                <w:rFonts w:hint="eastAsia"/>
                <w:b/>
                <w:bCs/>
                <w:color w:val="auto"/>
                <w:spacing w:val="5"/>
                <w:sz w:val="24"/>
                <w:szCs w:val="24"/>
                <w:lang w:eastAsia="zh-CN"/>
              </w:rPr>
            </w:pPr>
            <w:r>
              <w:rPr>
                <w:rFonts w:hint="eastAsia"/>
                <w:b/>
                <w:bCs/>
                <w:color w:val="auto"/>
                <w:spacing w:val="5"/>
                <w:sz w:val="24"/>
                <w:szCs w:val="24"/>
              </w:rPr>
              <w:t>合价</w:t>
            </w:r>
          </w:p>
        </w:tc>
        <w:tc>
          <w:tcPr>
            <w:tcW w:w="664" w:type="dxa"/>
            <w:vAlign w:val="center"/>
          </w:tcPr>
          <w:p w14:paraId="3C67DED1">
            <w:pPr>
              <w:pStyle w:val="119"/>
              <w:jc w:val="center"/>
              <w:rPr>
                <w:rFonts w:hint="eastAsia"/>
                <w:b/>
                <w:bCs/>
                <w:color w:val="auto"/>
                <w:spacing w:val="5"/>
                <w:sz w:val="24"/>
                <w:szCs w:val="24"/>
                <w:lang w:eastAsia="zh-CN"/>
              </w:rPr>
            </w:pPr>
            <w:r>
              <w:rPr>
                <w:rFonts w:hint="eastAsia"/>
                <w:b/>
                <w:bCs/>
                <w:color w:val="auto"/>
                <w:spacing w:val="5"/>
                <w:sz w:val="24"/>
                <w:szCs w:val="24"/>
                <w:lang w:eastAsia="zh-CN"/>
              </w:rPr>
              <w:t>产地</w:t>
            </w:r>
          </w:p>
        </w:tc>
        <w:tc>
          <w:tcPr>
            <w:tcW w:w="664" w:type="dxa"/>
            <w:vAlign w:val="center"/>
          </w:tcPr>
          <w:p w14:paraId="77DBDE46">
            <w:pPr>
              <w:pStyle w:val="119"/>
              <w:jc w:val="center"/>
              <w:rPr>
                <w:b/>
                <w:bCs/>
                <w:color w:val="auto"/>
                <w:spacing w:val="5"/>
                <w:sz w:val="24"/>
                <w:szCs w:val="24"/>
                <w:lang w:eastAsia="zh-CN"/>
              </w:rPr>
            </w:pPr>
            <w:r>
              <w:rPr>
                <w:rFonts w:hint="eastAsia"/>
                <w:b/>
                <w:bCs/>
                <w:color w:val="auto"/>
                <w:spacing w:val="5"/>
                <w:sz w:val="24"/>
                <w:szCs w:val="24"/>
                <w:lang w:eastAsia="zh-CN"/>
              </w:rPr>
              <w:t>质保期</w:t>
            </w:r>
          </w:p>
        </w:tc>
        <w:tc>
          <w:tcPr>
            <w:tcW w:w="664" w:type="dxa"/>
            <w:vAlign w:val="center"/>
          </w:tcPr>
          <w:p w14:paraId="48EB2847">
            <w:pPr>
              <w:pStyle w:val="119"/>
              <w:jc w:val="center"/>
              <w:rPr>
                <w:b/>
                <w:bCs/>
                <w:color w:val="auto"/>
                <w:spacing w:val="5"/>
                <w:sz w:val="24"/>
                <w:szCs w:val="24"/>
                <w:lang w:eastAsia="zh-CN"/>
              </w:rPr>
            </w:pPr>
            <w:r>
              <w:rPr>
                <w:rFonts w:hint="eastAsia"/>
                <w:b/>
                <w:bCs/>
                <w:color w:val="auto"/>
                <w:spacing w:val="5"/>
                <w:sz w:val="24"/>
                <w:szCs w:val="24"/>
                <w:lang w:eastAsia="zh-CN"/>
              </w:rPr>
              <w:t>备注</w:t>
            </w:r>
          </w:p>
        </w:tc>
      </w:tr>
      <w:tr w14:paraId="03F83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456" w:type="dxa"/>
          </w:tcPr>
          <w:p w14:paraId="24B0A62A">
            <w:pPr>
              <w:rPr>
                <w:rFonts w:hint="eastAsia" w:ascii="宋体" w:hAnsi="宋体" w:cs="宋体"/>
                <w:color w:val="auto"/>
                <w:sz w:val="24"/>
                <w:szCs w:val="24"/>
              </w:rPr>
            </w:pPr>
          </w:p>
        </w:tc>
        <w:tc>
          <w:tcPr>
            <w:tcW w:w="1516" w:type="dxa"/>
            <w:tcBorders>
              <w:right w:val="single" w:color="auto" w:sz="4" w:space="0"/>
            </w:tcBorders>
          </w:tcPr>
          <w:p w14:paraId="27E3543B">
            <w:pPr>
              <w:rPr>
                <w:rFonts w:hint="eastAsia" w:ascii="宋体" w:hAnsi="宋体" w:cs="宋体"/>
                <w:color w:val="auto"/>
                <w:sz w:val="24"/>
                <w:szCs w:val="24"/>
              </w:rPr>
            </w:pPr>
          </w:p>
        </w:tc>
        <w:tc>
          <w:tcPr>
            <w:tcW w:w="813" w:type="dxa"/>
            <w:tcBorders>
              <w:right w:val="single" w:color="auto" w:sz="4" w:space="0"/>
            </w:tcBorders>
          </w:tcPr>
          <w:p w14:paraId="57231889">
            <w:pPr>
              <w:rPr>
                <w:rFonts w:hint="eastAsia" w:ascii="宋体" w:hAnsi="宋体" w:cs="宋体"/>
                <w:color w:val="auto"/>
                <w:sz w:val="24"/>
                <w:szCs w:val="24"/>
              </w:rPr>
            </w:pPr>
          </w:p>
        </w:tc>
        <w:tc>
          <w:tcPr>
            <w:tcW w:w="821" w:type="dxa"/>
            <w:tcBorders>
              <w:left w:val="single" w:color="auto" w:sz="4" w:space="0"/>
            </w:tcBorders>
          </w:tcPr>
          <w:p w14:paraId="787131B2">
            <w:pPr>
              <w:rPr>
                <w:rFonts w:hint="eastAsia" w:ascii="宋体" w:hAnsi="宋体" w:cs="宋体"/>
                <w:color w:val="auto"/>
                <w:sz w:val="24"/>
                <w:szCs w:val="24"/>
              </w:rPr>
            </w:pPr>
          </w:p>
        </w:tc>
        <w:tc>
          <w:tcPr>
            <w:tcW w:w="821" w:type="dxa"/>
            <w:tcBorders>
              <w:left w:val="single" w:color="auto" w:sz="4" w:space="0"/>
            </w:tcBorders>
          </w:tcPr>
          <w:p w14:paraId="298C6DCE">
            <w:pPr>
              <w:rPr>
                <w:rFonts w:hint="eastAsia" w:ascii="宋体" w:hAnsi="宋体" w:cs="宋体"/>
                <w:color w:val="auto"/>
                <w:sz w:val="24"/>
                <w:szCs w:val="24"/>
              </w:rPr>
            </w:pPr>
          </w:p>
        </w:tc>
        <w:tc>
          <w:tcPr>
            <w:tcW w:w="554" w:type="dxa"/>
          </w:tcPr>
          <w:p w14:paraId="0B5D4025">
            <w:pPr>
              <w:rPr>
                <w:rFonts w:hint="eastAsia" w:ascii="宋体" w:hAnsi="宋体" w:cs="宋体"/>
                <w:color w:val="auto"/>
                <w:sz w:val="24"/>
                <w:szCs w:val="24"/>
              </w:rPr>
            </w:pPr>
          </w:p>
        </w:tc>
        <w:tc>
          <w:tcPr>
            <w:tcW w:w="605" w:type="dxa"/>
          </w:tcPr>
          <w:p w14:paraId="137289C9">
            <w:pPr>
              <w:rPr>
                <w:rFonts w:hint="eastAsia" w:ascii="宋体" w:hAnsi="宋体" w:cs="宋体"/>
                <w:color w:val="auto"/>
                <w:sz w:val="24"/>
                <w:szCs w:val="24"/>
              </w:rPr>
            </w:pPr>
          </w:p>
        </w:tc>
        <w:tc>
          <w:tcPr>
            <w:tcW w:w="596" w:type="dxa"/>
          </w:tcPr>
          <w:p w14:paraId="2C1C9C4B">
            <w:pPr>
              <w:rPr>
                <w:rFonts w:hint="eastAsia" w:ascii="宋体" w:hAnsi="宋体" w:cs="宋体"/>
                <w:color w:val="auto"/>
                <w:sz w:val="24"/>
                <w:szCs w:val="24"/>
              </w:rPr>
            </w:pPr>
          </w:p>
        </w:tc>
        <w:tc>
          <w:tcPr>
            <w:tcW w:w="566" w:type="dxa"/>
          </w:tcPr>
          <w:p w14:paraId="60A4AC88">
            <w:pPr>
              <w:rPr>
                <w:rFonts w:hint="eastAsia" w:ascii="宋体" w:hAnsi="宋体" w:cs="宋体"/>
                <w:color w:val="auto"/>
                <w:sz w:val="24"/>
                <w:szCs w:val="24"/>
              </w:rPr>
            </w:pPr>
          </w:p>
        </w:tc>
        <w:tc>
          <w:tcPr>
            <w:tcW w:w="664" w:type="dxa"/>
          </w:tcPr>
          <w:p w14:paraId="287BBB98">
            <w:pPr>
              <w:rPr>
                <w:rFonts w:hint="eastAsia" w:ascii="宋体" w:hAnsi="宋体" w:cs="宋体"/>
                <w:color w:val="auto"/>
                <w:sz w:val="24"/>
                <w:szCs w:val="24"/>
              </w:rPr>
            </w:pPr>
          </w:p>
        </w:tc>
        <w:tc>
          <w:tcPr>
            <w:tcW w:w="664" w:type="dxa"/>
          </w:tcPr>
          <w:p w14:paraId="2DD8760F">
            <w:pPr>
              <w:rPr>
                <w:rFonts w:hint="eastAsia" w:ascii="宋体" w:hAnsi="宋体" w:cs="宋体"/>
                <w:color w:val="auto"/>
                <w:sz w:val="24"/>
                <w:szCs w:val="24"/>
              </w:rPr>
            </w:pPr>
          </w:p>
        </w:tc>
        <w:tc>
          <w:tcPr>
            <w:tcW w:w="664" w:type="dxa"/>
          </w:tcPr>
          <w:p w14:paraId="6435EDFF">
            <w:pPr>
              <w:rPr>
                <w:rFonts w:hint="eastAsia" w:ascii="宋体" w:hAnsi="宋体" w:cs="宋体"/>
                <w:color w:val="auto"/>
                <w:sz w:val="24"/>
                <w:szCs w:val="24"/>
              </w:rPr>
            </w:pPr>
          </w:p>
        </w:tc>
      </w:tr>
      <w:tr w14:paraId="066A3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456" w:type="dxa"/>
          </w:tcPr>
          <w:p w14:paraId="63E00D88">
            <w:pPr>
              <w:rPr>
                <w:rFonts w:hint="eastAsia" w:ascii="宋体" w:hAnsi="宋体" w:cs="宋体"/>
                <w:color w:val="auto"/>
                <w:sz w:val="24"/>
                <w:szCs w:val="24"/>
              </w:rPr>
            </w:pPr>
          </w:p>
        </w:tc>
        <w:tc>
          <w:tcPr>
            <w:tcW w:w="1516" w:type="dxa"/>
            <w:tcBorders>
              <w:right w:val="single" w:color="auto" w:sz="4" w:space="0"/>
            </w:tcBorders>
          </w:tcPr>
          <w:p w14:paraId="257406E8">
            <w:pPr>
              <w:rPr>
                <w:rFonts w:hint="eastAsia" w:ascii="宋体" w:hAnsi="宋体" w:cs="宋体"/>
                <w:color w:val="auto"/>
                <w:sz w:val="24"/>
                <w:szCs w:val="24"/>
              </w:rPr>
            </w:pPr>
          </w:p>
        </w:tc>
        <w:tc>
          <w:tcPr>
            <w:tcW w:w="813" w:type="dxa"/>
            <w:tcBorders>
              <w:right w:val="single" w:color="auto" w:sz="4" w:space="0"/>
            </w:tcBorders>
          </w:tcPr>
          <w:p w14:paraId="6F39A65B">
            <w:pPr>
              <w:rPr>
                <w:rFonts w:hint="eastAsia" w:ascii="宋体" w:hAnsi="宋体" w:cs="宋体"/>
                <w:color w:val="auto"/>
                <w:sz w:val="24"/>
                <w:szCs w:val="24"/>
              </w:rPr>
            </w:pPr>
          </w:p>
        </w:tc>
        <w:tc>
          <w:tcPr>
            <w:tcW w:w="821" w:type="dxa"/>
            <w:tcBorders>
              <w:left w:val="single" w:color="auto" w:sz="4" w:space="0"/>
            </w:tcBorders>
          </w:tcPr>
          <w:p w14:paraId="11AFD41E">
            <w:pPr>
              <w:rPr>
                <w:rFonts w:hint="eastAsia" w:ascii="宋体" w:hAnsi="宋体" w:cs="宋体"/>
                <w:color w:val="auto"/>
                <w:sz w:val="24"/>
                <w:szCs w:val="24"/>
              </w:rPr>
            </w:pPr>
          </w:p>
        </w:tc>
        <w:tc>
          <w:tcPr>
            <w:tcW w:w="821" w:type="dxa"/>
            <w:tcBorders>
              <w:left w:val="single" w:color="auto" w:sz="4" w:space="0"/>
            </w:tcBorders>
          </w:tcPr>
          <w:p w14:paraId="21693B52">
            <w:pPr>
              <w:rPr>
                <w:rFonts w:hint="eastAsia" w:ascii="宋体" w:hAnsi="宋体" w:cs="宋体"/>
                <w:color w:val="auto"/>
                <w:sz w:val="24"/>
                <w:szCs w:val="24"/>
              </w:rPr>
            </w:pPr>
          </w:p>
        </w:tc>
        <w:tc>
          <w:tcPr>
            <w:tcW w:w="554" w:type="dxa"/>
          </w:tcPr>
          <w:p w14:paraId="5D158A03">
            <w:pPr>
              <w:rPr>
                <w:rFonts w:hint="eastAsia" w:ascii="宋体" w:hAnsi="宋体" w:cs="宋体"/>
                <w:color w:val="auto"/>
                <w:sz w:val="24"/>
                <w:szCs w:val="24"/>
              </w:rPr>
            </w:pPr>
          </w:p>
        </w:tc>
        <w:tc>
          <w:tcPr>
            <w:tcW w:w="605" w:type="dxa"/>
          </w:tcPr>
          <w:p w14:paraId="1E5C6B09">
            <w:pPr>
              <w:rPr>
                <w:rFonts w:hint="eastAsia" w:ascii="宋体" w:hAnsi="宋体" w:cs="宋体"/>
                <w:color w:val="auto"/>
                <w:sz w:val="24"/>
                <w:szCs w:val="24"/>
              </w:rPr>
            </w:pPr>
          </w:p>
        </w:tc>
        <w:tc>
          <w:tcPr>
            <w:tcW w:w="596" w:type="dxa"/>
          </w:tcPr>
          <w:p w14:paraId="5A82F8DB">
            <w:pPr>
              <w:rPr>
                <w:rFonts w:hint="eastAsia" w:ascii="宋体" w:hAnsi="宋体" w:cs="宋体"/>
                <w:color w:val="auto"/>
                <w:sz w:val="24"/>
                <w:szCs w:val="24"/>
              </w:rPr>
            </w:pPr>
          </w:p>
        </w:tc>
        <w:tc>
          <w:tcPr>
            <w:tcW w:w="566" w:type="dxa"/>
          </w:tcPr>
          <w:p w14:paraId="6D91D96D">
            <w:pPr>
              <w:rPr>
                <w:rFonts w:hint="eastAsia" w:ascii="宋体" w:hAnsi="宋体" w:cs="宋体"/>
                <w:color w:val="auto"/>
                <w:sz w:val="24"/>
                <w:szCs w:val="24"/>
              </w:rPr>
            </w:pPr>
          </w:p>
        </w:tc>
        <w:tc>
          <w:tcPr>
            <w:tcW w:w="664" w:type="dxa"/>
          </w:tcPr>
          <w:p w14:paraId="0F4F0BB5">
            <w:pPr>
              <w:rPr>
                <w:rFonts w:hint="eastAsia" w:ascii="宋体" w:hAnsi="宋体" w:cs="宋体"/>
                <w:color w:val="auto"/>
                <w:sz w:val="24"/>
                <w:szCs w:val="24"/>
              </w:rPr>
            </w:pPr>
          </w:p>
        </w:tc>
        <w:tc>
          <w:tcPr>
            <w:tcW w:w="664" w:type="dxa"/>
          </w:tcPr>
          <w:p w14:paraId="6680E1D0">
            <w:pPr>
              <w:rPr>
                <w:rFonts w:hint="eastAsia" w:ascii="宋体" w:hAnsi="宋体" w:cs="宋体"/>
                <w:color w:val="auto"/>
                <w:sz w:val="24"/>
                <w:szCs w:val="24"/>
              </w:rPr>
            </w:pPr>
          </w:p>
        </w:tc>
        <w:tc>
          <w:tcPr>
            <w:tcW w:w="664" w:type="dxa"/>
          </w:tcPr>
          <w:p w14:paraId="7963D834">
            <w:pPr>
              <w:rPr>
                <w:rFonts w:hint="eastAsia" w:ascii="宋体" w:hAnsi="宋体" w:cs="宋体"/>
                <w:color w:val="auto"/>
                <w:sz w:val="24"/>
                <w:szCs w:val="24"/>
              </w:rPr>
            </w:pPr>
          </w:p>
        </w:tc>
      </w:tr>
      <w:tr w14:paraId="000F8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456" w:type="dxa"/>
          </w:tcPr>
          <w:p w14:paraId="33919901">
            <w:pPr>
              <w:rPr>
                <w:rFonts w:hint="eastAsia" w:ascii="宋体" w:hAnsi="宋体" w:cs="宋体"/>
                <w:color w:val="auto"/>
                <w:sz w:val="24"/>
                <w:szCs w:val="24"/>
              </w:rPr>
            </w:pPr>
          </w:p>
        </w:tc>
        <w:tc>
          <w:tcPr>
            <w:tcW w:w="1516" w:type="dxa"/>
            <w:tcBorders>
              <w:right w:val="single" w:color="auto" w:sz="4" w:space="0"/>
            </w:tcBorders>
          </w:tcPr>
          <w:p w14:paraId="73A78A7C">
            <w:pPr>
              <w:rPr>
                <w:rFonts w:hint="eastAsia" w:ascii="宋体" w:hAnsi="宋体" w:cs="宋体"/>
                <w:color w:val="auto"/>
                <w:sz w:val="24"/>
                <w:szCs w:val="24"/>
              </w:rPr>
            </w:pPr>
          </w:p>
        </w:tc>
        <w:tc>
          <w:tcPr>
            <w:tcW w:w="813" w:type="dxa"/>
            <w:tcBorders>
              <w:right w:val="single" w:color="auto" w:sz="4" w:space="0"/>
            </w:tcBorders>
          </w:tcPr>
          <w:p w14:paraId="7D78B00D">
            <w:pPr>
              <w:rPr>
                <w:rFonts w:hint="eastAsia" w:ascii="宋体" w:hAnsi="宋体" w:cs="宋体"/>
                <w:color w:val="auto"/>
                <w:sz w:val="24"/>
                <w:szCs w:val="24"/>
              </w:rPr>
            </w:pPr>
          </w:p>
        </w:tc>
        <w:tc>
          <w:tcPr>
            <w:tcW w:w="821" w:type="dxa"/>
            <w:tcBorders>
              <w:left w:val="single" w:color="auto" w:sz="4" w:space="0"/>
            </w:tcBorders>
          </w:tcPr>
          <w:p w14:paraId="1A06F06A">
            <w:pPr>
              <w:rPr>
                <w:rFonts w:hint="eastAsia" w:ascii="宋体" w:hAnsi="宋体" w:cs="宋体"/>
                <w:color w:val="auto"/>
                <w:sz w:val="24"/>
                <w:szCs w:val="24"/>
              </w:rPr>
            </w:pPr>
          </w:p>
        </w:tc>
        <w:tc>
          <w:tcPr>
            <w:tcW w:w="821" w:type="dxa"/>
            <w:tcBorders>
              <w:left w:val="single" w:color="auto" w:sz="4" w:space="0"/>
            </w:tcBorders>
          </w:tcPr>
          <w:p w14:paraId="1741D892">
            <w:pPr>
              <w:rPr>
                <w:rFonts w:hint="eastAsia" w:ascii="宋体" w:hAnsi="宋体" w:cs="宋体"/>
                <w:color w:val="auto"/>
                <w:sz w:val="24"/>
                <w:szCs w:val="24"/>
              </w:rPr>
            </w:pPr>
          </w:p>
        </w:tc>
        <w:tc>
          <w:tcPr>
            <w:tcW w:w="554" w:type="dxa"/>
          </w:tcPr>
          <w:p w14:paraId="541E0625">
            <w:pPr>
              <w:rPr>
                <w:rFonts w:hint="eastAsia" w:ascii="宋体" w:hAnsi="宋体" w:cs="宋体"/>
                <w:color w:val="auto"/>
                <w:sz w:val="24"/>
                <w:szCs w:val="24"/>
              </w:rPr>
            </w:pPr>
          </w:p>
        </w:tc>
        <w:tc>
          <w:tcPr>
            <w:tcW w:w="605" w:type="dxa"/>
          </w:tcPr>
          <w:p w14:paraId="1EDEA09F">
            <w:pPr>
              <w:rPr>
                <w:rFonts w:hint="eastAsia" w:ascii="宋体" w:hAnsi="宋体" w:cs="宋体"/>
                <w:color w:val="auto"/>
                <w:sz w:val="24"/>
                <w:szCs w:val="24"/>
              </w:rPr>
            </w:pPr>
          </w:p>
        </w:tc>
        <w:tc>
          <w:tcPr>
            <w:tcW w:w="596" w:type="dxa"/>
          </w:tcPr>
          <w:p w14:paraId="5DC4ABCE">
            <w:pPr>
              <w:rPr>
                <w:rFonts w:hint="eastAsia" w:ascii="宋体" w:hAnsi="宋体" w:cs="宋体"/>
                <w:color w:val="auto"/>
                <w:sz w:val="24"/>
                <w:szCs w:val="24"/>
              </w:rPr>
            </w:pPr>
          </w:p>
        </w:tc>
        <w:tc>
          <w:tcPr>
            <w:tcW w:w="566" w:type="dxa"/>
          </w:tcPr>
          <w:p w14:paraId="5CFFF8F1">
            <w:pPr>
              <w:rPr>
                <w:rFonts w:hint="eastAsia" w:ascii="宋体" w:hAnsi="宋体" w:cs="宋体"/>
                <w:color w:val="auto"/>
                <w:sz w:val="24"/>
                <w:szCs w:val="24"/>
              </w:rPr>
            </w:pPr>
          </w:p>
        </w:tc>
        <w:tc>
          <w:tcPr>
            <w:tcW w:w="664" w:type="dxa"/>
          </w:tcPr>
          <w:p w14:paraId="62FE2019">
            <w:pPr>
              <w:rPr>
                <w:rFonts w:hint="eastAsia" w:ascii="宋体" w:hAnsi="宋体" w:cs="宋体"/>
                <w:color w:val="auto"/>
                <w:sz w:val="24"/>
                <w:szCs w:val="24"/>
              </w:rPr>
            </w:pPr>
          </w:p>
        </w:tc>
        <w:tc>
          <w:tcPr>
            <w:tcW w:w="664" w:type="dxa"/>
          </w:tcPr>
          <w:p w14:paraId="4A224429">
            <w:pPr>
              <w:rPr>
                <w:rFonts w:hint="eastAsia" w:ascii="宋体" w:hAnsi="宋体" w:cs="宋体"/>
                <w:color w:val="auto"/>
                <w:sz w:val="24"/>
                <w:szCs w:val="24"/>
              </w:rPr>
            </w:pPr>
          </w:p>
        </w:tc>
        <w:tc>
          <w:tcPr>
            <w:tcW w:w="664" w:type="dxa"/>
          </w:tcPr>
          <w:p w14:paraId="1F9DB402">
            <w:pPr>
              <w:rPr>
                <w:rFonts w:hint="eastAsia" w:ascii="宋体" w:hAnsi="宋体" w:cs="宋体"/>
                <w:color w:val="auto"/>
                <w:sz w:val="24"/>
                <w:szCs w:val="24"/>
              </w:rPr>
            </w:pPr>
          </w:p>
        </w:tc>
      </w:tr>
      <w:tr w14:paraId="5E298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456" w:type="dxa"/>
          </w:tcPr>
          <w:p w14:paraId="6E8BB69F">
            <w:pPr>
              <w:rPr>
                <w:rFonts w:hint="eastAsia" w:ascii="宋体" w:hAnsi="宋体" w:cs="宋体"/>
                <w:color w:val="auto"/>
                <w:sz w:val="24"/>
                <w:szCs w:val="24"/>
              </w:rPr>
            </w:pPr>
          </w:p>
        </w:tc>
        <w:tc>
          <w:tcPr>
            <w:tcW w:w="1516" w:type="dxa"/>
            <w:tcBorders>
              <w:right w:val="single" w:color="auto" w:sz="4" w:space="0"/>
            </w:tcBorders>
          </w:tcPr>
          <w:p w14:paraId="00E9ECBA">
            <w:pPr>
              <w:rPr>
                <w:rFonts w:hint="eastAsia" w:ascii="宋体" w:hAnsi="宋体" w:cs="宋体"/>
                <w:color w:val="auto"/>
                <w:sz w:val="24"/>
                <w:szCs w:val="24"/>
              </w:rPr>
            </w:pPr>
          </w:p>
        </w:tc>
        <w:tc>
          <w:tcPr>
            <w:tcW w:w="813" w:type="dxa"/>
            <w:tcBorders>
              <w:right w:val="single" w:color="auto" w:sz="4" w:space="0"/>
            </w:tcBorders>
          </w:tcPr>
          <w:p w14:paraId="292B392B">
            <w:pPr>
              <w:rPr>
                <w:rFonts w:hint="eastAsia" w:ascii="宋体" w:hAnsi="宋体" w:cs="宋体"/>
                <w:color w:val="auto"/>
                <w:sz w:val="24"/>
                <w:szCs w:val="24"/>
              </w:rPr>
            </w:pPr>
          </w:p>
        </w:tc>
        <w:tc>
          <w:tcPr>
            <w:tcW w:w="821" w:type="dxa"/>
            <w:tcBorders>
              <w:left w:val="single" w:color="auto" w:sz="4" w:space="0"/>
            </w:tcBorders>
          </w:tcPr>
          <w:p w14:paraId="7A3CF6CB">
            <w:pPr>
              <w:rPr>
                <w:rFonts w:hint="eastAsia" w:ascii="宋体" w:hAnsi="宋体" w:cs="宋体"/>
                <w:color w:val="auto"/>
                <w:sz w:val="24"/>
                <w:szCs w:val="24"/>
              </w:rPr>
            </w:pPr>
          </w:p>
        </w:tc>
        <w:tc>
          <w:tcPr>
            <w:tcW w:w="821" w:type="dxa"/>
            <w:tcBorders>
              <w:left w:val="single" w:color="auto" w:sz="4" w:space="0"/>
            </w:tcBorders>
          </w:tcPr>
          <w:p w14:paraId="0FD4BCBA">
            <w:pPr>
              <w:rPr>
                <w:rFonts w:hint="eastAsia" w:ascii="宋体" w:hAnsi="宋体" w:cs="宋体"/>
                <w:color w:val="auto"/>
                <w:sz w:val="24"/>
                <w:szCs w:val="24"/>
              </w:rPr>
            </w:pPr>
          </w:p>
        </w:tc>
        <w:tc>
          <w:tcPr>
            <w:tcW w:w="554" w:type="dxa"/>
          </w:tcPr>
          <w:p w14:paraId="6F58E7BC">
            <w:pPr>
              <w:rPr>
                <w:rFonts w:hint="eastAsia" w:ascii="宋体" w:hAnsi="宋体" w:cs="宋体"/>
                <w:color w:val="auto"/>
                <w:sz w:val="24"/>
                <w:szCs w:val="24"/>
              </w:rPr>
            </w:pPr>
          </w:p>
        </w:tc>
        <w:tc>
          <w:tcPr>
            <w:tcW w:w="605" w:type="dxa"/>
          </w:tcPr>
          <w:p w14:paraId="40BF1208">
            <w:pPr>
              <w:rPr>
                <w:rFonts w:hint="eastAsia" w:ascii="宋体" w:hAnsi="宋体" w:cs="宋体"/>
                <w:color w:val="auto"/>
                <w:sz w:val="24"/>
                <w:szCs w:val="24"/>
              </w:rPr>
            </w:pPr>
          </w:p>
        </w:tc>
        <w:tc>
          <w:tcPr>
            <w:tcW w:w="596" w:type="dxa"/>
          </w:tcPr>
          <w:p w14:paraId="7D23849C">
            <w:pPr>
              <w:rPr>
                <w:rFonts w:hint="eastAsia" w:ascii="宋体" w:hAnsi="宋体" w:cs="宋体"/>
                <w:color w:val="auto"/>
                <w:sz w:val="24"/>
                <w:szCs w:val="24"/>
              </w:rPr>
            </w:pPr>
          </w:p>
        </w:tc>
        <w:tc>
          <w:tcPr>
            <w:tcW w:w="566" w:type="dxa"/>
          </w:tcPr>
          <w:p w14:paraId="56A34E5B">
            <w:pPr>
              <w:rPr>
                <w:rFonts w:hint="eastAsia" w:ascii="宋体" w:hAnsi="宋体" w:cs="宋体"/>
                <w:color w:val="auto"/>
                <w:sz w:val="24"/>
                <w:szCs w:val="24"/>
              </w:rPr>
            </w:pPr>
          </w:p>
        </w:tc>
        <w:tc>
          <w:tcPr>
            <w:tcW w:w="664" w:type="dxa"/>
          </w:tcPr>
          <w:p w14:paraId="5201D24C">
            <w:pPr>
              <w:rPr>
                <w:rFonts w:hint="eastAsia" w:ascii="宋体" w:hAnsi="宋体" w:cs="宋体"/>
                <w:color w:val="auto"/>
                <w:sz w:val="24"/>
                <w:szCs w:val="24"/>
              </w:rPr>
            </w:pPr>
          </w:p>
        </w:tc>
        <w:tc>
          <w:tcPr>
            <w:tcW w:w="664" w:type="dxa"/>
          </w:tcPr>
          <w:p w14:paraId="2AED9443">
            <w:pPr>
              <w:rPr>
                <w:rFonts w:hint="eastAsia" w:ascii="宋体" w:hAnsi="宋体" w:cs="宋体"/>
                <w:color w:val="auto"/>
                <w:sz w:val="24"/>
                <w:szCs w:val="24"/>
              </w:rPr>
            </w:pPr>
          </w:p>
        </w:tc>
        <w:tc>
          <w:tcPr>
            <w:tcW w:w="664" w:type="dxa"/>
          </w:tcPr>
          <w:p w14:paraId="775DA255">
            <w:pPr>
              <w:rPr>
                <w:rFonts w:hint="eastAsia" w:ascii="宋体" w:hAnsi="宋体" w:cs="宋体"/>
                <w:color w:val="auto"/>
                <w:sz w:val="24"/>
                <w:szCs w:val="24"/>
              </w:rPr>
            </w:pPr>
          </w:p>
        </w:tc>
      </w:tr>
      <w:tr w14:paraId="14AE0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1972" w:type="dxa"/>
            <w:gridSpan w:val="2"/>
            <w:tcBorders>
              <w:right w:val="single" w:color="auto" w:sz="4" w:space="0"/>
            </w:tcBorders>
            <w:vAlign w:val="center"/>
          </w:tcPr>
          <w:p w14:paraId="7A654B84">
            <w:pPr>
              <w:rPr>
                <w:rFonts w:hint="eastAsia" w:ascii="宋体" w:hAnsi="宋体" w:cs="宋体"/>
                <w:color w:val="auto"/>
                <w:sz w:val="24"/>
                <w:szCs w:val="24"/>
              </w:rPr>
            </w:pPr>
            <w:r>
              <w:rPr>
                <w:rFonts w:hint="eastAsia"/>
                <w:color w:val="auto"/>
                <w:spacing w:val="7"/>
                <w:sz w:val="24"/>
                <w:szCs w:val="24"/>
              </w:rPr>
              <w:t>合计（元）</w:t>
            </w:r>
          </w:p>
        </w:tc>
        <w:tc>
          <w:tcPr>
            <w:tcW w:w="6768" w:type="dxa"/>
            <w:gridSpan w:val="10"/>
            <w:tcBorders>
              <w:left w:val="single" w:color="auto" w:sz="4" w:space="0"/>
            </w:tcBorders>
          </w:tcPr>
          <w:p w14:paraId="1B0F04AF">
            <w:pPr>
              <w:pStyle w:val="119"/>
              <w:spacing w:line="229" w:lineRule="auto"/>
              <w:rPr>
                <w:rFonts w:hint="eastAsia"/>
                <w:color w:val="auto"/>
                <w:sz w:val="24"/>
                <w:szCs w:val="24"/>
                <w:u w:val="single"/>
                <w:lang w:eastAsia="zh-CN"/>
              </w:rPr>
            </w:pPr>
            <w:r>
              <w:rPr>
                <w:rFonts w:hint="eastAsia"/>
                <w:color w:val="auto"/>
                <w:spacing w:val="2"/>
                <w:sz w:val="24"/>
                <w:szCs w:val="24"/>
              </w:rPr>
              <w:t>大写：</w:t>
            </w:r>
            <w:r>
              <w:rPr>
                <w:rFonts w:hint="eastAsia"/>
                <w:color w:val="auto"/>
                <w:spacing w:val="2"/>
                <w:sz w:val="24"/>
                <w:szCs w:val="24"/>
                <w:u w:val="single"/>
                <w:lang w:eastAsia="zh-CN"/>
              </w:rPr>
              <w:t xml:space="preserve">               </w:t>
            </w:r>
          </w:p>
          <w:p w14:paraId="2A337F79">
            <w:pPr>
              <w:rPr>
                <w:rFonts w:hint="eastAsia"/>
                <w:color w:val="auto"/>
                <w:spacing w:val="-3"/>
                <w:sz w:val="24"/>
                <w:szCs w:val="24"/>
              </w:rPr>
            </w:pPr>
            <w:r>
              <w:rPr>
                <w:rFonts w:hint="eastAsia"/>
                <w:color w:val="auto"/>
                <w:spacing w:val="-3"/>
                <w:sz w:val="24"/>
                <w:szCs w:val="24"/>
              </w:rPr>
              <w:t>小写：</w:t>
            </w:r>
            <w:r>
              <w:rPr>
                <w:rFonts w:hint="eastAsia"/>
                <w:color w:val="auto"/>
                <w:spacing w:val="30"/>
                <w:sz w:val="24"/>
                <w:szCs w:val="24"/>
              </w:rPr>
              <w:t xml:space="preserve"> </w:t>
            </w:r>
            <w:r>
              <w:rPr>
                <w:rFonts w:hint="eastAsia"/>
                <w:color w:val="auto"/>
                <w:spacing w:val="-3"/>
                <w:sz w:val="24"/>
                <w:szCs w:val="24"/>
              </w:rPr>
              <w:t>(¥</w:t>
            </w:r>
            <w:r>
              <w:rPr>
                <w:rFonts w:hint="eastAsia"/>
                <w:color w:val="auto"/>
                <w:sz w:val="24"/>
                <w:szCs w:val="24"/>
              </w:rPr>
              <w:t xml:space="preserve"> </w:t>
            </w:r>
            <w:r>
              <w:rPr>
                <w:rFonts w:hint="eastAsia"/>
                <w:color w:val="auto"/>
                <w:sz w:val="24"/>
                <w:szCs w:val="24"/>
                <w:u w:val="single"/>
              </w:rPr>
              <w:t xml:space="preserve">           </w:t>
            </w:r>
            <w:r>
              <w:rPr>
                <w:rFonts w:hint="eastAsia"/>
                <w:color w:val="auto"/>
                <w:spacing w:val="-3"/>
                <w:sz w:val="24"/>
                <w:szCs w:val="24"/>
              </w:rPr>
              <w:t>)</w:t>
            </w:r>
          </w:p>
        </w:tc>
      </w:tr>
    </w:tbl>
    <w:p w14:paraId="743148B0">
      <w:pPr>
        <w:jc w:val="left"/>
        <w:rPr>
          <w:rFonts w:hint="eastAsia" w:ascii="宋体" w:hAnsi="宋体"/>
          <w:color w:val="auto"/>
        </w:rPr>
      </w:pPr>
    </w:p>
    <w:p w14:paraId="21BE7B2E">
      <w:pPr>
        <w:jc w:val="left"/>
        <w:rPr>
          <w:rFonts w:hint="eastAsia" w:ascii="宋体" w:hAnsi="宋体"/>
          <w:color w:val="auto"/>
          <w:sz w:val="24"/>
          <w:szCs w:val="24"/>
        </w:rPr>
      </w:pPr>
      <w:r>
        <w:rPr>
          <w:rFonts w:hint="eastAsia" w:ascii="宋体" w:hAnsi="宋体"/>
          <w:color w:val="auto"/>
          <w:sz w:val="24"/>
          <w:szCs w:val="24"/>
        </w:rPr>
        <w:t>说明：</w:t>
      </w:r>
    </w:p>
    <w:p w14:paraId="23885520">
      <w:pPr>
        <w:jc w:val="left"/>
        <w:rPr>
          <w:rFonts w:hint="eastAsia" w:ascii="宋体" w:hAnsi="宋体"/>
          <w:color w:val="auto"/>
          <w:sz w:val="24"/>
          <w:szCs w:val="24"/>
        </w:rPr>
      </w:pPr>
      <w:r>
        <w:rPr>
          <w:rFonts w:hint="eastAsia" w:ascii="宋体" w:hAnsi="宋体"/>
          <w:color w:val="auto"/>
          <w:sz w:val="24"/>
          <w:szCs w:val="24"/>
        </w:rPr>
        <w:t>1、产品名称需与第五章“采购需求”相对应。</w:t>
      </w:r>
    </w:p>
    <w:p w14:paraId="4036760E">
      <w:pPr>
        <w:jc w:val="left"/>
        <w:rPr>
          <w:rFonts w:hint="eastAsia" w:ascii="宋体" w:hAnsi="宋体"/>
          <w:color w:val="auto"/>
          <w:sz w:val="24"/>
          <w:szCs w:val="24"/>
        </w:rPr>
      </w:pPr>
      <w:r>
        <w:rPr>
          <w:rFonts w:hint="eastAsia" w:ascii="宋体" w:hAnsi="宋体"/>
          <w:color w:val="auto"/>
          <w:sz w:val="24"/>
          <w:szCs w:val="24"/>
        </w:rPr>
        <w:t>2、供应商可根据实际情况对表格进行修改。</w:t>
      </w:r>
    </w:p>
    <w:p w14:paraId="045BD13B">
      <w:pPr>
        <w:jc w:val="left"/>
        <w:rPr>
          <w:rFonts w:hint="eastAsia" w:ascii="宋体" w:hAnsi="宋体"/>
          <w:color w:val="auto"/>
          <w:sz w:val="24"/>
          <w:szCs w:val="24"/>
        </w:rPr>
      </w:pPr>
      <w:r>
        <w:rPr>
          <w:rFonts w:hint="eastAsia" w:ascii="宋体" w:hAnsi="宋体"/>
          <w:color w:val="auto"/>
          <w:sz w:val="24"/>
          <w:szCs w:val="24"/>
        </w:rPr>
        <w:t>3、产品品牌、规格型号、制造商等信息必须详细如实填写，若为定制产品，可不填写品牌、规格型号，但其他信息应填写完整，否则视为无效投标。</w:t>
      </w:r>
    </w:p>
    <w:p w14:paraId="51766540">
      <w:pPr>
        <w:rPr>
          <w:rFonts w:hint="eastAsia" w:ascii="宋体" w:hAnsi="宋体"/>
          <w:color w:val="auto"/>
          <w:sz w:val="24"/>
          <w:szCs w:val="24"/>
        </w:rPr>
      </w:pPr>
    </w:p>
    <w:p w14:paraId="46173785">
      <w:pPr>
        <w:rPr>
          <w:rFonts w:hint="eastAsia" w:ascii="宋体" w:hAnsi="宋体"/>
          <w:color w:val="auto"/>
          <w:sz w:val="24"/>
          <w:szCs w:val="24"/>
        </w:rPr>
      </w:pPr>
    </w:p>
    <w:p w14:paraId="03B9B90B">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06FC98AA">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2379780B">
      <w:pPr>
        <w:spacing w:line="360" w:lineRule="auto"/>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05FF0003">
      <w:pPr>
        <w:spacing w:line="360" w:lineRule="auto"/>
        <w:jc w:val="left"/>
        <w:rPr>
          <w:rFonts w:hint="eastAsia" w:ascii="宋体" w:hAnsi="宋体" w:cs="宋体"/>
          <w:b/>
          <w:bCs/>
          <w:color w:val="auto"/>
          <w:spacing w:val="5"/>
          <w:sz w:val="24"/>
          <w:szCs w:val="24"/>
        </w:rPr>
      </w:pPr>
      <w:r>
        <w:rPr>
          <w:rFonts w:hint="eastAsia" w:ascii="宋体" w:hAnsi="宋体" w:cs="宋体"/>
          <w:b/>
          <w:bCs/>
          <w:color w:val="auto"/>
          <w:spacing w:val="5"/>
          <w:sz w:val="24"/>
          <w:szCs w:val="24"/>
        </w:rPr>
        <w:br w:type="page"/>
      </w:r>
      <w:r>
        <w:rPr>
          <w:rFonts w:hint="eastAsia" w:ascii="宋体" w:hAnsi="宋体" w:cs="宋体"/>
          <w:b/>
          <w:bCs/>
          <w:color w:val="auto"/>
          <w:spacing w:val="5"/>
          <w:sz w:val="24"/>
          <w:szCs w:val="24"/>
        </w:rPr>
        <w:t>4.2随机配件、附件、耗材明细表</w:t>
      </w:r>
    </w:p>
    <w:p w14:paraId="22B0278B">
      <w:pPr>
        <w:jc w:val="right"/>
        <w:rPr>
          <w:color w:val="auto"/>
        </w:rPr>
      </w:pPr>
      <w:r>
        <w:rPr>
          <w:rFonts w:hint="eastAsia" w:ascii="宋体" w:hAnsi="宋体"/>
          <w:b/>
          <w:bCs/>
          <w:color w:val="auto"/>
        </w:rPr>
        <w:t>单位：元</w:t>
      </w:r>
    </w:p>
    <w:tbl>
      <w:tblPr>
        <w:tblStyle w:val="41"/>
        <w:tblW w:w="81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4"/>
        <w:gridCol w:w="1543"/>
        <w:gridCol w:w="845"/>
        <w:gridCol w:w="858"/>
        <w:gridCol w:w="858"/>
        <w:gridCol w:w="596"/>
        <w:gridCol w:w="610"/>
        <w:gridCol w:w="596"/>
        <w:gridCol w:w="596"/>
        <w:gridCol w:w="671"/>
        <w:gridCol w:w="609"/>
      </w:tblGrid>
      <w:tr w14:paraId="1943C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jc w:val="center"/>
        </w:trPr>
        <w:tc>
          <w:tcPr>
            <w:tcW w:w="394" w:type="dxa"/>
            <w:vAlign w:val="center"/>
          </w:tcPr>
          <w:p w14:paraId="5AE9B8AA">
            <w:pPr>
              <w:pStyle w:val="119"/>
              <w:jc w:val="center"/>
              <w:rPr>
                <w:rFonts w:hint="eastAsia"/>
                <w:color w:val="auto"/>
                <w:sz w:val="24"/>
                <w:szCs w:val="24"/>
              </w:rPr>
            </w:pPr>
            <w:r>
              <w:rPr>
                <w:rFonts w:hint="eastAsia"/>
                <w:b/>
                <w:bCs/>
                <w:color w:val="auto"/>
                <w:spacing w:val="5"/>
                <w:sz w:val="24"/>
                <w:szCs w:val="24"/>
              </w:rPr>
              <w:t>序号</w:t>
            </w:r>
          </w:p>
        </w:tc>
        <w:tc>
          <w:tcPr>
            <w:tcW w:w="1543" w:type="dxa"/>
            <w:vAlign w:val="center"/>
          </w:tcPr>
          <w:p w14:paraId="535E424D">
            <w:pPr>
              <w:pStyle w:val="119"/>
              <w:jc w:val="center"/>
              <w:rPr>
                <w:rFonts w:hint="eastAsia"/>
                <w:color w:val="auto"/>
                <w:szCs w:val="24"/>
              </w:rPr>
            </w:pPr>
            <w:r>
              <w:rPr>
                <w:rFonts w:hint="eastAsia"/>
                <w:b/>
                <w:bCs/>
                <w:color w:val="auto"/>
                <w:spacing w:val="5"/>
                <w:sz w:val="24"/>
                <w:szCs w:val="24"/>
              </w:rPr>
              <w:t>名称</w:t>
            </w:r>
          </w:p>
        </w:tc>
        <w:tc>
          <w:tcPr>
            <w:tcW w:w="845" w:type="dxa"/>
            <w:tcBorders>
              <w:right w:val="single" w:color="auto" w:sz="4" w:space="0"/>
            </w:tcBorders>
            <w:vAlign w:val="center"/>
          </w:tcPr>
          <w:p w14:paraId="62225711">
            <w:pPr>
              <w:pStyle w:val="119"/>
              <w:jc w:val="center"/>
              <w:rPr>
                <w:rFonts w:hint="eastAsia"/>
                <w:b/>
                <w:bCs/>
                <w:color w:val="auto"/>
                <w:spacing w:val="5"/>
                <w:sz w:val="24"/>
                <w:szCs w:val="24"/>
                <w:lang w:eastAsia="zh-CN"/>
              </w:rPr>
            </w:pPr>
            <w:r>
              <w:rPr>
                <w:rFonts w:hint="eastAsia"/>
                <w:b/>
                <w:bCs/>
                <w:color w:val="auto"/>
                <w:spacing w:val="5"/>
                <w:sz w:val="24"/>
                <w:szCs w:val="24"/>
                <w:lang w:eastAsia="zh-CN"/>
              </w:rPr>
              <w:t>制造商名称</w:t>
            </w:r>
          </w:p>
        </w:tc>
        <w:tc>
          <w:tcPr>
            <w:tcW w:w="858" w:type="dxa"/>
            <w:tcBorders>
              <w:right w:val="single" w:color="auto" w:sz="4" w:space="0"/>
            </w:tcBorders>
            <w:vAlign w:val="center"/>
          </w:tcPr>
          <w:p w14:paraId="5A7311DF">
            <w:pPr>
              <w:pStyle w:val="119"/>
              <w:jc w:val="center"/>
              <w:rPr>
                <w:rFonts w:hint="eastAsia"/>
                <w:color w:val="auto"/>
                <w:sz w:val="24"/>
                <w:szCs w:val="24"/>
              </w:rPr>
            </w:pPr>
            <w:r>
              <w:rPr>
                <w:rFonts w:hint="eastAsia"/>
                <w:b/>
                <w:bCs/>
                <w:color w:val="auto"/>
                <w:spacing w:val="5"/>
                <w:sz w:val="24"/>
                <w:szCs w:val="24"/>
                <w:lang w:eastAsia="zh-CN"/>
              </w:rPr>
              <w:t>品牌</w:t>
            </w:r>
          </w:p>
        </w:tc>
        <w:tc>
          <w:tcPr>
            <w:tcW w:w="858" w:type="dxa"/>
            <w:tcBorders>
              <w:left w:val="single" w:color="auto" w:sz="4" w:space="0"/>
            </w:tcBorders>
            <w:vAlign w:val="center"/>
          </w:tcPr>
          <w:p w14:paraId="0B818B08">
            <w:pPr>
              <w:pStyle w:val="119"/>
              <w:jc w:val="center"/>
              <w:rPr>
                <w:rFonts w:hint="eastAsia"/>
                <w:color w:val="auto"/>
                <w:sz w:val="24"/>
                <w:szCs w:val="24"/>
              </w:rPr>
            </w:pPr>
            <w:r>
              <w:rPr>
                <w:rFonts w:hint="eastAsia"/>
                <w:b/>
                <w:bCs/>
                <w:color w:val="auto"/>
                <w:spacing w:val="5"/>
                <w:sz w:val="24"/>
                <w:szCs w:val="24"/>
              </w:rPr>
              <w:t>型号</w:t>
            </w:r>
          </w:p>
        </w:tc>
        <w:tc>
          <w:tcPr>
            <w:tcW w:w="596" w:type="dxa"/>
            <w:vAlign w:val="center"/>
          </w:tcPr>
          <w:p w14:paraId="03BF5E6B">
            <w:pPr>
              <w:pStyle w:val="119"/>
              <w:jc w:val="center"/>
              <w:rPr>
                <w:rFonts w:hint="eastAsia"/>
                <w:color w:val="auto"/>
                <w:sz w:val="24"/>
                <w:szCs w:val="24"/>
              </w:rPr>
            </w:pPr>
            <w:r>
              <w:rPr>
                <w:rFonts w:hint="eastAsia"/>
                <w:b/>
                <w:bCs/>
                <w:color w:val="auto"/>
                <w:spacing w:val="5"/>
                <w:sz w:val="24"/>
                <w:szCs w:val="24"/>
              </w:rPr>
              <w:t>单位</w:t>
            </w:r>
          </w:p>
        </w:tc>
        <w:tc>
          <w:tcPr>
            <w:tcW w:w="610" w:type="dxa"/>
            <w:vAlign w:val="center"/>
          </w:tcPr>
          <w:p w14:paraId="5F95DE4D">
            <w:pPr>
              <w:pStyle w:val="119"/>
              <w:jc w:val="center"/>
              <w:rPr>
                <w:rFonts w:hint="eastAsia"/>
                <w:color w:val="auto"/>
                <w:sz w:val="24"/>
                <w:szCs w:val="24"/>
              </w:rPr>
            </w:pPr>
            <w:r>
              <w:rPr>
                <w:rFonts w:hint="eastAsia"/>
                <w:b/>
                <w:bCs/>
                <w:color w:val="auto"/>
                <w:spacing w:val="5"/>
                <w:sz w:val="24"/>
                <w:szCs w:val="24"/>
              </w:rPr>
              <w:t>数量</w:t>
            </w:r>
          </w:p>
        </w:tc>
        <w:tc>
          <w:tcPr>
            <w:tcW w:w="596" w:type="dxa"/>
            <w:vAlign w:val="center"/>
          </w:tcPr>
          <w:p w14:paraId="137E08FE">
            <w:pPr>
              <w:pStyle w:val="119"/>
              <w:jc w:val="center"/>
              <w:rPr>
                <w:rFonts w:hint="eastAsia"/>
                <w:color w:val="auto"/>
                <w:sz w:val="24"/>
                <w:szCs w:val="24"/>
              </w:rPr>
            </w:pPr>
            <w:r>
              <w:rPr>
                <w:rFonts w:hint="eastAsia"/>
                <w:b/>
                <w:bCs/>
                <w:color w:val="auto"/>
                <w:spacing w:val="5"/>
                <w:sz w:val="24"/>
                <w:szCs w:val="24"/>
              </w:rPr>
              <w:t>单价</w:t>
            </w:r>
          </w:p>
        </w:tc>
        <w:tc>
          <w:tcPr>
            <w:tcW w:w="596" w:type="dxa"/>
            <w:vAlign w:val="center"/>
          </w:tcPr>
          <w:p w14:paraId="652BA3A8">
            <w:pPr>
              <w:pStyle w:val="119"/>
              <w:jc w:val="center"/>
              <w:rPr>
                <w:rFonts w:hint="eastAsia"/>
                <w:color w:val="auto"/>
                <w:sz w:val="24"/>
                <w:szCs w:val="24"/>
                <w:lang w:eastAsia="zh-CN"/>
              </w:rPr>
            </w:pPr>
            <w:r>
              <w:rPr>
                <w:rFonts w:hint="eastAsia"/>
                <w:b/>
                <w:bCs/>
                <w:color w:val="auto"/>
                <w:spacing w:val="5"/>
                <w:sz w:val="24"/>
                <w:szCs w:val="24"/>
                <w:lang w:eastAsia="zh-CN"/>
              </w:rPr>
              <w:t>合计</w:t>
            </w:r>
          </w:p>
        </w:tc>
        <w:tc>
          <w:tcPr>
            <w:tcW w:w="671" w:type="dxa"/>
            <w:vAlign w:val="center"/>
          </w:tcPr>
          <w:p w14:paraId="56324463">
            <w:pPr>
              <w:pStyle w:val="119"/>
              <w:jc w:val="center"/>
              <w:rPr>
                <w:rFonts w:hint="eastAsia"/>
                <w:color w:val="auto"/>
                <w:sz w:val="24"/>
                <w:szCs w:val="24"/>
              </w:rPr>
            </w:pPr>
            <w:r>
              <w:rPr>
                <w:rFonts w:hint="eastAsia"/>
                <w:b/>
                <w:bCs/>
                <w:color w:val="auto"/>
                <w:spacing w:val="5"/>
                <w:sz w:val="24"/>
                <w:szCs w:val="24"/>
                <w:lang w:eastAsia="zh-CN"/>
              </w:rPr>
              <w:t>产地</w:t>
            </w:r>
          </w:p>
        </w:tc>
        <w:tc>
          <w:tcPr>
            <w:tcW w:w="609" w:type="dxa"/>
            <w:vAlign w:val="center"/>
          </w:tcPr>
          <w:p w14:paraId="61767A6E">
            <w:pPr>
              <w:pStyle w:val="119"/>
              <w:jc w:val="center"/>
              <w:rPr>
                <w:rFonts w:hint="eastAsia"/>
                <w:color w:val="auto"/>
                <w:sz w:val="24"/>
                <w:szCs w:val="24"/>
                <w:lang w:eastAsia="zh-CN"/>
              </w:rPr>
            </w:pPr>
            <w:r>
              <w:rPr>
                <w:rFonts w:hint="eastAsia"/>
                <w:b/>
                <w:bCs/>
                <w:color w:val="auto"/>
                <w:spacing w:val="5"/>
                <w:sz w:val="24"/>
                <w:szCs w:val="24"/>
                <w:lang w:eastAsia="zh-CN"/>
              </w:rPr>
              <w:t>备注</w:t>
            </w:r>
          </w:p>
        </w:tc>
      </w:tr>
      <w:tr w14:paraId="59AF7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394" w:type="dxa"/>
          </w:tcPr>
          <w:p w14:paraId="573AEA98">
            <w:pPr>
              <w:rPr>
                <w:rFonts w:hint="eastAsia" w:ascii="宋体" w:hAnsi="宋体" w:cs="宋体"/>
                <w:color w:val="auto"/>
                <w:sz w:val="24"/>
                <w:szCs w:val="24"/>
              </w:rPr>
            </w:pPr>
          </w:p>
        </w:tc>
        <w:tc>
          <w:tcPr>
            <w:tcW w:w="1543" w:type="dxa"/>
          </w:tcPr>
          <w:p w14:paraId="0A46BBDD">
            <w:pPr>
              <w:rPr>
                <w:rFonts w:hint="eastAsia"/>
                <w:color w:val="auto"/>
              </w:rPr>
            </w:pPr>
          </w:p>
        </w:tc>
        <w:tc>
          <w:tcPr>
            <w:tcW w:w="845" w:type="dxa"/>
            <w:tcBorders>
              <w:right w:val="single" w:color="auto" w:sz="4" w:space="0"/>
            </w:tcBorders>
          </w:tcPr>
          <w:p w14:paraId="56A1BD50">
            <w:pPr>
              <w:rPr>
                <w:rFonts w:hint="eastAsia" w:ascii="宋体" w:hAnsi="宋体" w:cs="宋体"/>
                <w:color w:val="auto"/>
                <w:sz w:val="24"/>
                <w:szCs w:val="24"/>
              </w:rPr>
            </w:pPr>
          </w:p>
        </w:tc>
        <w:tc>
          <w:tcPr>
            <w:tcW w:w="858" w:type="dxa"/>
            <w:tcBorders>
              <w:right w:val="single" w:color="auto" w:sz="4" w:space="0"/>
            </w:tcBorders>
          </w:tcPr>
          <w:p w14:paraId="15E89077">
            <w:pPr>
              <w:rPr>
                <w:rFonts w:hint="eastAsia" w:ascii="宋体" w:hAnsi="宋体" w:cs="宋体"/>
                <w:color w:val="auto"/>
                <w:sz w:val="24"/>
                <w:szCs w:val="24"/>
              </w:rPr>
            </w:pPr>
          </w:p>
        </w:tc>
        <w:tc>
          <w:tcPr>
            <w:tcW w:w="858" w:type="dxa"/>
            <w:tcBorders>
              <w:left w:val="single" w:color="auto" w:sz="4" w:space="0"/>
            </w:tcBorders>
          </w:tcPr>
          <w:p w14:paraId="15FAD603">
            <w:pPr>
              <w:rPr>
                <w:rFonts w:hint="eastAsia" w:ascii="宋体" w:hAnsi="宋体" w:cs="宋体"/>
                <w:color w:val="auto"/>
                <w:sz w:val="24"/>
                <w:szCs w:val="24"/>
              </w:rPr>
            </w:pPr>
          </w:p>
        </w:tc>
        <w:tc>
          <w:tcPr>
            <w:tcW w:w="596" w:type="dxa"/>
          </w:tcPr>
          <w:p w14:paraId="52F0EE15">
            <w:pPr>
              <w:rPr>
                <w:rFonts w:hint="eastAsia" w:ascii="宋体" w:hAnsi="宋体" w:cs="宋体"/>
                <w:color w:val="auto"/>
                <w:sz w:val="24"/>
                <w:szCs w:val="24"/>
              </w:rPr>
            </w:pPr>
          </w:p>
        </w:tc>
        <w:tc>
          <w:tcPr>
            <w:tcW w:w="610" w:type="dxa"/>
          </w:tcPr>
          <w:p w14:paraId="7FEA6FEB">
            <w:pPr>
              <w:rPr>
                <w:rFonts w:hint="eastAsia" w:ascii="宋体" w:hAnsi="宋体" w:cs="宋体"/>
                <w:color w:val="auto"/>
                <w:sz w:val="24"/>
                <w:szCs w:val="24"/>
              </w:rPr>
            </w:pPr>
          </w:p>
        </w:tc>
        <w:tc>
          <w:tcPr>
            <w:tcW w:w="596" w:type="dxa"/>
          </w:tcPr>
          <w:p w14:paraId="5FD497D6">
            <w:pPr>
              <w:rPr>
                <w:rFonts w:hint="eastAsia" w:ascii="宋体" w:hAnsi="宋体" w:cs="宋体"/>
                <w:color w:val="auto"/>
                <w:sz w:val="24"/>
                <w:szCs w:val="24"/>
              </w:rPr>
            </w:pPr>
          </w:p>
        </w:tc>
        <w:tc>
          <w:tcPr>
            <w:tcW w:w="596" w:type="dxa"/>
          </w:tcPr>
          <w:p w14:paraId="79D1C42E">
            <w:pPr>
              <w:rPr>
                <w:rFonts w:hint="eastAsia" w:ascii="宋体" w:hAnsi="宋体" w:cs="宋体"/>
                <w:color w:val="auto"/>
                <w:sz w:val="24"/>
                <w:szCs w:val="24"/>
              </w:rPr>
            </w:pPr>
          </w:p>
        </w:tc>
        <w:tc>
          <w:tcPr>
            <w:tcW w:w="671" w:type="dxa"/>
          </w:tcPr>
          <w:p w14:paraId="7F6017F0">
            <w:pPr>
              <w:rPr>
                <w:rFonts w:hint="eastAsia" w:ascii="宋体" w:hAnsi="宋体" w:cs="宋体"/>
                <w:color w:val="auto"/>
                <w:sz w:val="24"/>
                <w:szCs w:val="24"/>
              </w:rPr>
            </w:pPr>
          </w:p>
        </w:tc>
        <w:tc>
          <w:tcPr>
            <w:tcW w:w="609" w:type="dxa"/>
          </w:tcPr>
          <w:p w14:paraId="24833C5D">
            <w:pPr>
              <w:rPr>
                <w:rFonts w:hint="eastAsia" w:ascii="宋体" w:hAnsi="宋体" w:cs="宋体"/>
                <w:color w:val="auto"/>
                <w:sz w:val="24"/>
                <w:szCs w:val="24"/>
              </w:rPr>
            </w:pPr>
          </w:p>
        </w:tc>
      </w:tr>
      <w:tr w14:paraId="450B3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394" w:type="dxa"/>
          </w:tcPr>
          <w:p w14:paraId="3C855568">
            <w:pPr>
              <w:rPr>
                <w:rFonts w:hint="eastAsia" w:ascii="宋体" w:hAnsi="宋体" w:cs="宋体"/>
                <w:color w:val="auto"/>
                <w:sz w:val="24"/>
                <w:szCs w:val="24"/>
              </w:rPr>
            </w:pPr>
          </w:p>
        </w:tc>
        <w:tc>
          <w:tcPr>
            <w:tcW w:w="1543" w:type="dxa"/>
          </w:tcPr>
          <w:p w14:paraId="622A45D4">
            <w:pPr>
              <w:rPr>
                <w:rFonts w:hint="eastAsia"/>
                <w:color w:val="auto"/>
              </w:rPr>
            </w:pPr>
          </w:p>
        </w:tc>
        <w:tc>
          <w:tcPr>
            <w:tcW w:w="845" w:type="dxa"/>
            <w:tcBorders>
              <w:right w:val="single" w:color="auto" w:sz="4" w:space="0"/>
            </w:tcBorders>
          </w:tcPr>
          <w:p w14:paraId="0AC5C80F">
            <w:pPr>
              <w:rPr>
                <w:rFonts w:hint="eastAsia" w:ascii="宋体" w:hAnsi="宋体" w:cs="宋体"/>
                <w:color w:val="auto"/>
                <w:sz w:val="24"/>
                <w:szCs w:val="24"/>
              </w:rPr>
            </w:pPr>
          </w:p>
        </w:tc>
        <w:tc>
          <w:tcPr>
            <w:tcW w:w="858" w:type="dxa"/>
            <w:tcBorders>
              <w:right w:val="single" w:color="auto" w:sz="4" w:space="0"/>
            </w:tcBorders>
          </w:tcPr>
          <w:p w14:paraId="6098AC75">
            <w:pPr>
              <w:rPr>
                <w:rFonts w:hint="eastAsia" w:ascii="宋体" w:hAnsi="宋体" w:cs="宋体"/>
                <w:color w:val="auto"/>
                <w:sz w:val="24"/>
                <w:szCs w:val="24"/>
              </w:rPr>
            </w:pPr>
          </w:p>
        </w:tc>
        <w:tc>
          <w:tcPr>
            <w:tcW w:w="858" w:type="dxa"/>
            <w:tcBorders>
              <w:left w:val="single" w:color="auto" w:sz="4" w:space="0"/>
            </w:tcBorders>
          </w:tcPr>
          <w:p w14:paraId="5C1CE981">
            <w:pPr>
              <w:rPr>
                <w:rFonts w:hint="eastAsia" w:ascii="宋体" w:hAnsi="宋体" w:cs="宋体"/>
                <w:color w:val="auto"/>
                <w:sz w:val="24"/>
                <w:szCs w:val="24"/>
              </w:rPr>
            </w:pPr>
          </w:p>
        </w:tc>
        <w:tc>
          <w:tcPr>
            <w:tcW w:w="596" w:type="dxa"/>
          </w:tcPr>
          <w:p w14:paraId="5C36F45F">
            <w:pPr>
              <w:rPr>
                <w:rFonts w:hint="eastAsia" w:ascii="宋体" w:hAnsi="宋体" w:cs="宋体"/>
                <w:color w:val="auto"/>
                <w:sz w:val="24"/>
                <w:szCs w:val="24"/>
              </w:rPr>
            </w:pPr>
          </w:p>
        </w:tc>
        <w:tc>
          <w:tcPr>
            <w:tcW w:w="610" w:type="dxa"/>
          </w:tcPr>
          <w:p w14:paraId="4349B9AD">
            <w:pPr>
              <w:rPr>
                <w:rFonts w:hint="eastAsia" w:ascii="宋体" w:hAnsi="宋体" w:cs="宋体"/>
                <w:color w:val="auto"/>
                <w:sz w:val="24"/>
                <w:szCs w:val="24"/>
              </w:rPr>
            </w:pPr>
          </w:p>
        </w:tc>
        <w:tc>
          <w:tcPr>
            <w:tcW w:w="596" w:type="dxa"/>
          </w:tcPr>
          <w:p w14:paraId="7E650187">
            <w:pPr>
              <w:rPr>
                <w:rFonts w:hint="eastAsia" w:ascii="宋体" w:hAnsi="宋体" w:cs="宋体"/>
                <w:color w:val="auto"/>
                <w:sz w:val="24"/>
                <w:szCs w:val="24"/>
              </w:rPr>
            </w:pPr>
          </w:p>
        </w:tc>
        <w:tc>
          <w:tcPr>
            <w:tcW w:w="596" w:type="dxa"/>
          </w:tcPr>
          <w:p w14:paraId="03F89687">
            <w:pPr>
              <w:rPr>
                <w:rFonts w:hint="eastAsia" w:ascii="宋体" w:hAnsi="宋体" w:cs="宋体"/>
                <w:color w:val="auto"/>
                <w:sz w:val="24"/>
                <w:szCs w:val="24"/>
              </w:rPr>
            </w:pPr>
          </w:p>
        </w:tc>
        <w:tc>
          <w:tcPr>
            <w:tcW w:w="671" w:type="dxa"/>
          </w:tcPr>
          <w:p w14:paraId="72B35D88">
            <w:pPr>
              <w:rPr>
                <w:rFonts w:hint="eastAsia" w:ascii="宋体" w:hAnsi="宋体" w:cs="宋体"/>
                <w:color w:val="auto"/>
                <w:sz w:val="24"/>
                <w:szCs w:val="24"/>
              </w:rPr>
            </w:pPr>
          </w:p>
        </w:tc>
        <w:tc>
          <w:tcPr>
            <w:tcW w:w="609" w:type="dxa"/>
          </w:tcPr>
          <w:p w14:paraId="661815DA">
            <w:pPr>
              <w:rPr>
                <w:rFonts w:hint="eastAsia" w:ascii="宋体" w:hAnsi="宋体" w:cs="宋体"/>
                <w:color w:val="auto"/>
                <w:sz w:val="24"/>
                <w:szCs w:val="24"/>
              </w:rPr>
            </w:pPr>
          </w:p>
        </w:tc>
      </w:tr>
      <w:tr w14:paraId="1D357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jc w:val="center"/>
        </w:trPr>
        <w:tc>
          <w:tcPr>
            <w:tcW w:w="394" w:type="dxa"/>
          </w:tcPr>
          <w:p w14:paraId="5A7699A5">
            <w:pPr>
              <w:rPr>
                <w:rFonts w:hint="eastAsia" w:ascii="宋体" w:hAnsi="宋体" w:cs="宋体"/>
                <w:color w:val="auto"/>
                <w:sz w:val="24"/>
                <w:szCs w:val="24"/>
              </w:rPr>
            </w:pPr>
          </w:p>
        </w:tc>
        <w:tc>
          <w:tcPr>
            <w:tcW w:w="1543" w:type="dxa"/>
          </w:tcPr>
          <w:p w14:paraId="12F1287C">
            <w:pPr>
              <w:rPr>
                <w:rFonts w:hint="eastAsia"/>
                <w:color w:val="auto"/>
              </w:rPr>
            </w:pPr>
          </w:p>
        </w:tc>
        <w:tc>
          <w:tcPr>
            <w:tcW w:w="845" w:type="dxa"/>
            <w:tcBorders>
              <w:right w:val="single" w:color="auto" w:sz="4" w:space="0"/>
            </w:tcBorders>
          </w:tcPr>
          <w:p w14:paraId="48AAD2D8">
            <w:pPr>
              <w:rPr>
                <w:rFonts w:hint="eastAsia" w:ascii="宋体" w:hAnsi="宋体" w:cs="宋体"/>
                <w:color w:val="auto"/>
                <w:sz w:val="24"/>
                <w:szCs w:val="24"/>
              </w:rPr>
            </w:pPr>
          </w:p>
        </w:tc>
        <w:tc>
          <w:tcPr>
            <w:tcW w:w="858" w:type="dxa"/>
            <w:tcBorders>
              <w:right w:val="single" w:color="auto" w:sz="4" w:space="0"/>
            </w:tcBorders>
          </w:tcPr>
          <w:p w14:paraId="5C679257">
            <w:pPr>
              <w:rPr>
                <w:rFonts w:hint="eastAsia" w:ascii="宋体" w:hAnsi="宋体" w:cs="宋体"/>
                <w:color w:val="auto"/>
                <w:sz w:val="24"/>
                <w:szCs w:val="24"/>
              </w:rPr>
            </w:pPr>
          </w:p>
        </w:tc>
        <w:tc>
          <w:tcPr>
            <w:tcW w:w="858" w:type="dxa"/>
            <w:tcBorders>
              <w:left w:val="single" w:color="auto" w:sz="4" w:space="0"/>
            </w:tcBorders>
          </w:tcPr>
          <w:p w14:paraId="0C6606B3">
            <w:pPr>
              <w:rPr>
                <w:rFonts w:hint="eastAsia" w:ascii="宋体" w:hAnsi="宋体" w:cs="宋体"/>
                <w:color w:val="auto"/>
                <w:sz w:val="24"/>
                <w:szCs w:val="24"/>
              </w:rPr>
            </w:pPr>
          </w:p>
        </w:tc>
        <w:tc>
          <w:tcPr>
            <w:tcW w:w="596" w:type="dxa"/>
          </w:tcPr>
          <w:p w14:paraId="411BB481">
            <w:pPr>
              <w:rPr>
                <w:rFonts w:hint="eastAsia" w:ascii="宋体" w:hAnsi="宋体" w:cs="宋体"/>
                <w:color w:val="auto"/>
                <w:sz w:val="24"/>
                <w:szCs w:val="24"/>
              </w:rPr>
            </w:pPr>
          </w:p>
        </w:tc>
        <w:tc>
          <w:tcPr>
            <w:tcW w:w="610" w:type="dxa"/>
          </w:tcPr>
          <w:p w14:paraId="5EE88A89">
            <w:pPr>
              <w:rPr>
                <w:rFonts w:hint="eastAsia" w:ascii="宋体" w:hAnsi="宋体" w:cs="宋体"/>
                <w:color w:val="auto"/>
                <w:sz w:val="24"/>
                <w:szCs w:val="24"/>
              </w:rPr>
            </w:pPr>
          </w:p>
        </w:tc>
        <w:tc>
          <w:tcPr>
            <w:tcW w:w="596" w:type="dxa"/>
          </w:tcPr>
          <w:p w14:paraId="1A178329">
            <w:pPr>
              <w:rPr>
                <w:rFonts w:hint="eastAsia" w:ascii="宋体" w:hAnsi="宋体" w:cs="宋体"/>
                <w:color w:val="auto"/>
                <w:sz w:val="24"/>
                <w:szCs w:val="24"/>
              </w:rPr>
            </w:pPr>
          </w:p>
        </w:tc>
        <w:tc>
          <w:tcPr>
            <w:tcW w:w="596" w:type="dxa"/>
          </w:tcPr>
          <w:p w14:paraId="130F8A1F">
            <w:pPr>
              <w:rPr>
                <w:rFonts w:hint="eastAsia" w:ascii="宋体" w:hAnsi="宋体" w:cs="宋体"/>
                <w:color w:val="auto"/>
                <w:sz w:val="24"/>
                <w:szCs w:val="24"/>
              </w:rPr>
            </w:pPr>
          </w:p>
        </w:tc>
        <w:tc>
          <w:tcPr>
            <w:tcW w:w="671" w:type="dxa"/>
          </w:tcPr>
          <w:p w14:paraId="56329303">
            <w:pPr>
              <w:rPr>
                <w:rFonts w:hint="eastAsia" w:ascii="宋体" w:hAnsi="宋体" w:cs="宋体"/>
                <w:color w:val="auto"/>
                <w:sz w:val="24"/>
                <w:szCs w:val="24"/>
              </w:rPr>
            </w:pPr>
          </w:p>
        </w:tc>
        <w:tc>
          <w:tcPr>
            <w:tcW w:w="609" w:type="dxa"/>
          </w:tcPr>
          <w:p w14:paraId="6D3ECC6E">
            <w:pPr>
              <w:rPr>
                <w:rFonts w:hint="eastAsia" w:ascii="宋体" w:hAnsi="宋体" w:cs="宋体"/>
                <w:color w:val="auto"/>
                <w:sz w:val="24"/>
                <w:szCs w:val="24"/>
              </w:rPr>
            </w:pPr>
          </w:p>
        </w:tc>
      </w:tr>
    </w:tbl>
    <w:p w14:paraId="2769CB11">
      <w:pPr>
        <w:pStyle w:val="14"/>
        <w:rPr>
          <w:rFonts w:hint="eastAsia" w:ascii="宋体" w:eastAsia="宋体"/>
          <w:color w:val="auto"/>
          <w:szCs w:val="24"/>
        </w:rPr>
      </w:pPr>
    </w:p>
    <w:p w14:paraId="20A0016D">
      <w:pPr>
        <w:jc w:val="left"/>
        <w:rPr>
          <w:rFonts w:hint="eastAsia" w:ascii="宋体" w:hAnsi="宋体"/>
          <w:color w:val="auto"/>
          <w:sz w:val="24"/>
          <w:szCs w:val="24"/>
        </w:rPr>
      </w:pPr>
      <w:r>
        <w:rPr>
          <w:rFonts w:hint="eastAsia" w:ascii="宋体" w:hAnsi="宋体"/>
          <w:color w:val="auto"/>
          <w:sz w:val="24"/>
          <w:szCs w:val="24"/>
        </w:rPr>
        <w:t>说明：配件、附件、耗材如为免费提供，需在备注项注明免费时间。</w:t>
      </w:r>
    </w:p>
    <w:p w14:paraId="3563798E">
      <w:pPr>
        <w:rPr>
          <w:rFonts w:hint="eastAsia" w:ascii="宋体" w:hAnsi="宋体"/>
          <w:color w:val="auto"/>
          <w:sz w:val="24"/>
          <w:szCs w:val="24"/>
        </w:rPr>
      </w:pPr>
    </w:p>
    <w:p w14:paraId="443B16F3">
      <w:pPr>
        <w:rPr>
          <w:rFonts w:hint="eastAsia" w:ascii="宋体" w:hAnsi="宋体"/>
          <w:color w:val="auto"/>
          <w:sz w:val="24"/>
          <w:szCs w:val="24"/>
        </w:rPr>
      </w:pPr>
    </w:p>
    <w:p w14:paraId="29EC445E">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680786B0">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03C70527">
      <w:pPr>
        <w:spacing w:line="360" w:lineRule="auto"/>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051D5C46">
      <w:pPr>
        <w:jc w:val="left"/>
        <w:rPr>
          <w:rFonts w:hint="eastAsia" w:ascii="宋体" w:hAnsi="宋体"/>
          <w:b/>
          <w:bCs/>
          <w:color w:val="auto"/>
          <w:sz w:val="28"/>
          <w:szCs w:val="28"/>
        </w:rPr>
      </w:pPr>
      <w:bookmarkStart w:id="946" w:name="_Toc11149"/>
      <w:bookmarkStart w:id="947" w:name="_Toc7433"/>
      <w:bookmarkStart w:id="948" w:name="_Toc28448"/>
    </w:p>
    <w:p w14:paraId="52699842">
      <w:pPr>
        <w:pStyle w:val="3"/>
        <w:spacing w:before="0" w:after="0"/>
        <w:jc w:val="center"/>
        <w:rPr>
          <w:rFonts w:hint="eastAsia" w:ascii="宋体" w:hAnsi="宋体" w:eastAsia="宋体" w:cs="宋体"/>
          <w:color w:val="auto"/>
          <w:sz w:val="28"/>
          <w:szCs w:val="28"/>
        </w:rPr>
      </w:pPr>
      <w:bookmarkStart w:id="949" w:name="_Toc4074"/>
      <w:r>
        <w:rPr>
          <w:rFonts w:hint="eastAsia" w:ascii="宋体" w:hAnsi="宋体" w:eastAsia="宋体" w:cs="宋体"/>
          <w:color w:val="auto"/>
          <w:sz w:val="28"/>
          <w:szCs w:val="28"/>
        </w:rPr>
        <w:br w:type="page"/>
      </w:r>
      <w:bookmarkStart w:id="950" w:name="_Toc24972"/>
      <w:r>
        <w:rPr>
          <w:rFonts w:hint="eastAsia" w:ascii="宋体" w:hAnsi="宋体" w:eastAsia="宋体" w:cs="宋体"/>
          <w:color w:val="auto"/>
          <w:sz w:val="28"/>
          <w:szCs w:val="28"/>
        </w:rPr>
        <w:t>五、</w:t>
      </w:r>
      <w:bookmarkEnd w:id="945"/>
      <w:r>
        <w:rPr>
          <w:rFonts w:hint="eastAsia" w:ascii="宋体" w:hAnsi="宋体" w:eastAsia="宋体" w:cs="宋体"/>
          <w:color w:val="auto"/>
          <w:sz w:val="28"/>
          <w:szCs w:val="28"/>
        </w:rPr>
        <w:t>资格审查资料</w:t>
      </w:r>
      <w:bookmarkEnd w:id="949"/>
      <w:bookmarkEnd w:id="950"/>
    </w:p>
    <w:p w14:paraId="380309F9">
      <w:pPr>
        <w:spacing w:line="440" w:lineRule="exact"/>
        <w:jc w:val="center"/>
        <w:rPr>
          <w:rFonts w:hint="eastAsia" w:ascii="宋体" w:hAnsi="宋体"/>
          <w:color w:val="auto"/>
          <w:sz w:val="24"/>
          <w:szCs w:val="24"/>
        </w:rPr>
      </w:pPr>
      <w:bookmarkStart w:id="951" w:name="_Toc32147"/>
      <w:bookmarkStart w:id="952" w:name="_Toc129073537"/>
      <w:r>
        <w:rPr>
          <w:rFonts w:hint="eastAsia" w:ascii="宋体" w:hAnsi="宋体"/>
          <w:color w:val="auto"/>
          <w:sz w:val="24"/>
          <w:szCs w:val="24"/>
        </w:rPr>
        <w:t>供应商基本情况表</w:t>
      </w:r>
      <w:bookmarkEnd w:id="951"/>
      <w:bookmarkEnd w:id="952"/>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1023"/>
        <w:gridCol w:w="895"/>
        <w:gridCol w:w="1276"/>
        <w:gridCol w:w="1701"/>
        <w:gridCol w:w="709"/>
        <w:gridCol w:w="1416"/>
      </w:tblGrid>
      <w:tr w14:paraId="1CBA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7A261CF">
            <w:pPr>
              <w:jc w:val="center"/>
              <w:rPr>
                <w:rFonts w:hint="eastAsia" w:ascii="宋体" w:hAnsi="宋体"/>
                <w:color w:val="auto"/>
                <w:sz w:val="24"/>
                <w:szCs w:val="24"/>
              </w:rPr>
            </w:pPr>
            <w:r>
              <w:rPr>
                <w:rFonts w:hint="eastAsia" w:ascii="宋体" w:hAnsi="宋体"/>
                <w:color w:val="auto"/>
                <w:sz w:val="24"/>
                <w:szCs w:val="24"/>
              </w:rPr>
              <w:t>供应商名称</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5B8F1F8F">
            <w:pPr>
              <w:jc w:val="center"/>
              <w:rPr>
                <w:rFonts w:hint="eastAsia" w:ascii="宋体" w:hAnsi="宋体"/>
                <w:color w:val="auto"/>
                <w:sz w:val="24"/>
                <w:szCs w:val="24"/>
              </w:rPr>
            </w:pPr>
          </w:p>
        </w:tc>
      </w:tr>
      <w:tr w14:paraId="0596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D486396">
            <w:pPr>
              <w:jc w:val="center"/>
              <w:rPr>
                <w:rFonts w:hint="eastAsia" w:ascii="宋体" w:hAnsi="宋体"/>
                <w:color w:val="auto"/>
                <w:sz w:val="24"/>
                <w:szCs w:val="24"/>
              </w:rPr>
            </w:pPr>
            <w:r>
              <w:rPr>
                <w:rFonts w:hint="eastAsia" w:ascii="宋体" w:hAnsi="宋体"/>
                <w:color w:val="auto"/>
                <w:sz w:val="24"/>
                <w:szCs w:val="24"/>
              </w:rPr>
              <w:t>注册地址</w:t>
            </w:r>
          </w:p>
        </w:tc>
        <w:tc>
          <w:tcPr>
            <w:tcW w:w="3194" w:type="dxa"/>
            <w:gridSpan w:val="3"/>
            <w:tcBorders>
              <w:top w:val="single" w:color="auto" w:sz="4" w:space="0"/>
              <w:left w:val="single" w:color="auto" w:sz="4" w:space="0"/>
              <w:bottom w:val="single" w:color="auto" w:sz="4" w:space="0"/>
              <w:right w:val="single" w:color="auto" w:sz="4" w:space="0"/>
            </w:tcBorders>
            <w:vAlign w:val="center"/>
          </w:tcPr>
          <w:p w14:paraId="1D215154">
            <w:pPr>
              <w:jc w:val="center"/>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239C335">
            <w:pPr>
              <w:jc w:val="center"/>
              <w:rPr>
                <w:rFonts w:hint="eastAsia" w:ascii="宋体" w:hAnsi="宋体"/>
                <w:color w:val="auto"/>
                <w:sz w:val="24"/>
                <w:szCs w:val="24"/>
              </w:rPr>
            </w:pPr>
            <w:r>
              <w:rPr>
                <w:rFonts w:hint="eastAsia" w:ascii="宋体" w:hAnsi="宋体"/>
                <w:color w:val="auto"/>
                <w:sz w:val="24"/>
                <w:szCs w:val="24"/>
              </w:rPr>
              <w:t>邮政编码</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1D028ADE">
            <w:pPr>
              <w:jc w:val="center"/>
              <w:rPr>
                <w:rFonts w:hint="eastAsia" w:ascii="宋体" w:hAnsi="宋体"/>
                <w:color w:val="auto"/>
                <w:sz w:val="24"/>
                <w:szCs w:val="24"/>
              </w:rPr>
            </w:pPr>
          </w:p>
        </w:tc>
      </w:tr>
      <w:tr w14:paraId="0A31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6D354F9C">
            <w:pPr>
              <w:jc w:val="center"/>
              <w:rPr>
                <w:rFonts w:hint="eastAsia" w:ascii="宋体" w:hAnsi="宋体"/>
                <w:color w:val="auto"/>
                <w:sz w:val="24"/>
                <w:szCs w:val="24"/>
              </w:rPr>
            </w:pPr>
            <w:r>
              <w:rPr>
                <w:rFonts w:hint="eastAsia" w:ascii="宋体" w:hAnsi="宋体"/>
                <w:color w:val="auto"/>
                <w:sz w:val="24"/>
                <w:szCs w:val="24"/>
              </w:rPr>
              <w:t>联系方式</w:t>
            </w:r>
          </w:p>
        </w:tc>
        <w:tc>
          <w:tcPr>
            <w:tcW w:w="1023" w:type="dxa"/>
            <w:tcBorders>
              <w:top w:val="single" w:color="auto" w:sz="4" w:space="0"/>
              <w:left w:val="single" w:color="auto" w:sz="4" w:space="0"/>
              <w:bottom w:val="single" w:color="auto" w:sz="4" w:space="0"/>
              <w:right w:val="single" w:color="auto" w:sz="4" w:space="0"/>
            </w:tcBorders>
            <w:vAlign w:val="center"/>
          </w:tcPr>
          <w:p w14:paraId="313C0736">
            <w:pPr>
              <w:jc w:val="center"/>
              <w:rPr>
                <w:rFonts w:hint="eastAsia" w:ascii="宋体" w:hAnsi="宋体"/>
                <w:color w:val="auto"/>
                <w:sz w:val="24"/>
                <w:szCs w:val="24"/>
              </w:rPr>
            </w:pPr>
            <w:r>
              <w:rPr>
                <w:rFonts w:hint="eastAsia" w:ascii="宋体" w:hAnsi="宋体"/>
                <w:color w:val="auto"/>
                <w:sz w:val="24"/>
                <w:szCs w:val="24"/>
              </w:rPr>
              <w:t>联系人</w:t>
            </w:r>
          </w:p>
        </w:tc>
        <w:tc>
          <w:tcPr>
            <w:tcW w:w="2171" w:type="dxa"/>
            <w:gridSpan w:val="2"/>
            <w:tcBorders>
              <w:top w:val="single" w:color="auto" w:sz="4" w:space="0"/>
              <w:left w:val="single" w:color="auto" w:sz="4" w:space="0"/>
              <w:bottom w:val="single" w:color="auto" w:sz="4" w:space="0"/>
              <w:right w:val="single" w:color="auto" w:sz="4" w:space="0"/>
            </w:tcBorders>
            <w:vAlign w:val="center"/>
          </w:tcPr>
          <w:p w14:paraId="66ED7FE7">
            <w:pPr>
              <w:jc w:val="center"/>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050A03A">
            <w:pPr>
              <w:jc w:val="center"/>
              <w:rPr>
                <w:rFonts w:hint="eastAsia" w:ascii="宋体" w:hAnsi="宋体"/>
                <w:color w:val="auto"/>
                <w:sz w:val="24"/>
                <w:szCs w:val="24"/>
              </w:rPr>
            </w:pPr>
            <w:r>
              <w:rPr>
                <w:rFonts w:hint="eastAsia" w:ascii="宋体" w:hAnsi="宋体"/>
                <w:color w:val="auto"/>
                <w:sz w:val="24"/>
                <w:szCs w:val="24"/>
              </w:rPr>
              <w:t>电  话</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701FACB4">
            <w:pPr>
              <w:jc w:val="center"/>
              <w:rPr>
                <w:rFonts w:hint="eastAsia" w:ascii="宋体" w:hAnsi="宋体"/>
                <w:color w:val="auto"/>
                <w:sz w:val="24"/>
                <w:szCs w:val="24"/>
              </w:rPr>
            </w:pPr>
          </w:p>
        </w:tc>
      </w:tr>
      <w:tr w14:paraId="213F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750B031">
            <w:pPr>
              <w:widowControl/>
              <w:jc w:val="left"/>
              <w:rPr>
                <w:rFonts w:hint="eastAsia" w:ascii="宋体" w:hAnsi="宋体"/>
                <w:color w:val="auto"/>
                <w:sz w:val="24"/>
                <w:szCs w:val="24"/>
              </w:rPr>
            </w:pPr>
          </w:p>
        </w:tc>
        <w:tc>
          <w:tcPr>
            <w:tcW w:w="1023" w:type="dxa"/>
            <w:tcBorders>
              <w:top w:val="single" w:color="auto" w:sz="4" w:space="0"/>
              <w:left w:val="single" w:color="auto" w:sz="4" w:space="0"/>
              <w:bottom w:val="single" w:color="auto" w:sz="4" w:space="0"/>
              <w:right w:val="single" w:color="auto" w:sz="4" w:space="0"/>
            </w:tcBorders>
            <w:vAlign w:val="center"/>
          </w:tcPr>
          <w:p w14:paraId="5D841F04">
            <w:pPr>
              <w:jc w:val="center"/>
              <w:rPr>
                <w:rFonts w:hint="eastAsia" w:ascii="宋体" w:hAnsi="宋体"/>
                <w:color w:val="auto"/>
                <w:sz w:val="24"/>
                <w:szCs w:val="24"/>
              </w:rPr>
            </w:pPr>
            <w:r>
              <w:rPr>
                <w:rFonts w:hint="eastAsia" w:ascii="宋体" w:hAnsi="宋体"/>
                <w:color w:val="auto"/>
                <w:sz w:val="24"/>
                <w:szCs w:val="24"/>
              </w:rPr>
              <w:t>传  真</w:t>
            </w:r>
          </w:p>
        </w:tc>
        <w:tc>
          <w:tcPr>
            <w:tcW w:w="2171" w:type="dxa"/>
            <w:gridSpan w:val="2"/>
            <w:tcBorders>
              <w:top w:val="single" w:color="auto" w:sz="4" w:space="0"/>
              <w:left w:val="single" w:color="auto" w:sz="4" w:space="0"/>
              <w:bottom w:val="single" w:color="auto" w:sz="4" w:space="0"/>
              <w:right w:val="single" w:color="auto" w:sz="4" w:space="0"/>
            </w:tcBorders>
            <w:vAlign w:val="center"/>
          </w:tcPr>
          <w:p w14:paraId="30A6C6C7">
            <w:pPr>
              <w:jc w:val="center"/>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09249078">
            <w:pPr>
              <w:jc w:val="center"/>
              <w:rPr>
                <w:rFonts w:hint="eastAsia" w:ascii="宋体" w:hAnsi="宋体"/>
                <w:color w:val="auto"/>
                <w:sz w:val="24"/>
                <w:szCs w:val="24"/>
              </w:rPr>
            </w:pPr>
            <w:r>
              <w:rPr>
                <w:rFonts w:hint="eastAsia" w:ascii="宋体" w:hAnsi="宋体"/>
                <w:color w:val="auto"/>
                <w:sz w:val="24"/>
                <w:szCs w:val="24"/>
              </w:rPr>
              <w:t>网  址</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5AC70CB5">
            <w:pPr>
              <w:jc w:val="center"/>
              <w:rPr>
                <w:rFonts w:hint="eastAsia" w:ascii="宋体" w:hAnsi="宋体"/>
                <w:color w:val="auto"/>
                <w:sz w:val="24"/>
                <w:szCs w:val="24"/>
              </w:rPr>
            </w:pPr>
          </w:p>
        </w:tc>
      </w:tr>
      <w:tr w14:paraId="1F03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4E0641C">
            <w:pPr>
              <w:jc w:val="center"/>
              <w:rPr>
                <w:rFonts w:hint="eastAsia" w:ascii="宋体" w:hAnsi="宋体"/>
                <w:color w:val="auto"/>
                <w:sz w:val="24"/>
                <w:szCs w:val="24"/>
              </w:rPr>
            </w:pPr>
            <w:r>
              <w:rPr>
                <w:rFonts w:hint="eastAsia" w:ascii="宋体" w:hAnsi="宋体"/>
                <w:color w:val="auto"/>
                <w:sz w:val="24"/>
                <w:szCs w:val="24"/>
              </w:rPr>
              <w:t>组织结构</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7F6D4BDA">
            <w:pPr>
              <w:jc w:val="center"/>
              <w:rPr>
                <w:rFonts w:hint="eastAsia" w:ascii="宋体" w:hAnsi="宋体"/>
                <w:color w:val="auto"/>
                <w:sz w:val="24"/>
                <w:szCs w:val="24"/>
              </w:rPr>
            </w:pPr>
          </w:p>
        </w:tc>
      </w:tr>
      <w:tr w14:paraId="4202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3D6E1B7">
            <w:pPr>
              <w:jc w:val="center"/>
              <w:rPr>
                <w:rFonts w:hint="eastAsia" w:ascii="宋体" w:hAnsi="宋体"/>
                <w:color w:val="auto"/>
                <w:sz w:val="24"/>
                <w:szCs w:val="24"/>
              </w:rPr>
            </w:pPr>
            <w:r>
              <w:rPr>
                <w:rFonts w:hint="eastAsia" w:ascii="宋体" w:hAnsi="宋体"/>
                <w:color w:val="auto"/>
                <w:sz w:val="24"/>
                <w:szCs w:val="24"/>
              </w:rPr>
              <w:t>法定代表人</w:t>
            </w:r>
          </w:p>
        </w:tc>
        <w:tc>
          <w:tcPr>
            <w:tcW w:w="1023" w:type="dxa"/>
            <w:tcBorders>
              <w:top w:val="single" w:color="auto" w:sz="4" w:space="0"/>
              <w:left w:val="single" w:color="auto" w:sz="4" w:space="0"/>
              <w:bottom w:val="single" w:color="auto" w:sz="4" w:space="0"/>
              <w:right w:val="single" w:color="auto" w:sz="4" w:space="0"/>
            </w:tcBorders>
            <w:vAlign w:val="center"/>
          </w:tcPr>
          <w:p w14:paraId="159E0CFD">
            <w:pPr>
              <w:jc w:val="center"/>
              <w:rPr>
                <w:rFonts w:hint="eastAsia" w:ascii="宋体" w:hAnsi="宋体"/>
                <w:color w:val="auto"/>
                <w:sz w:val="24"/>
                <w:szCs w:val="24"/>
              </w:rPr>
            </w:pPr>
            <w:r>
              <w:rPr>
                <w:rFonts w:hint="eastAsia" w:ascii="宋体" w:hAnsi="宋体"/>
                <w:color w:val="auto"/>
                <w:sz w:val="24"/>
                <w:szCs w:val="24"/>
              </w:rPr>
              <w:t>姓名</w:t>
            </w:r>
          </w:p>
        </w:tc>
        <w:tc>
          <w:tcPr>
            <w:tcW w:w="895" w:type="dxa"/>
            <w:tcBorders>
              <w:top w:val="single" w:color="auto" w:sz="4" w:space="0"/>
              <w:left w:val="single" w:color="auto" w:sz="4" w:space="0"/>
              <w:bottom w:val="single" w:color="auto" w:sz="4" w:space="0"/>
              <w:right w:val="single" w:color="auto" w:sz="4" w:space="0"/>
            </w:tcBorders>
            <w:vAlign w:val="center"/>
          </w:tcPr>
          <w:p w14:paraId="6B6501C7">
            <w:pPr>
              <w:jc w:val="center"/>
              <w:rPr>
                <w:rFonts w:hint="eastAsia" w:ascii="宋体" w:hAnsi="宋体"/>
                <w:color w:val="auto"/>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D020E28">
            <w:pPr>
              <w:jc w:val="center"/>
              <w:rPr>
                <w:rFonts w:hint="eastAsia" w:ascii="宋体" w:hAnsi="宋体"/>
                <w:color w:val="auto"/>
                <w:sz w:val="24"/>
                <w:szCs w:val="24"/>
              </w:rPr>
            </w:pPr>
            <w:r>
              <w:rPr>
                <w:rFonts w:hint="eastAsia" w:ascii="宋体" w:hAnsi="宋体"/>
                <w:color w:val="auto"/>
                <w:sz w:val="24"/>
                <w:szCs w:val="24"/>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14:paraId="72E5C65B">
            <w:pPr>
              <w:jc w:val="center"/>
              <w:rPr>
                <w:rFonts w:hint="eastAsia" w:ascii="宋体" w:hAnsi="宋体"/>
                <w:color w:val="auto"/>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73F7893E">
            <w:pPr>
              <w:jc w:val="center"/>
              <w:rPr>
                <w:rFonts w:hint="eastAsia" w:ascii="宋体" w:hAnsi="宋体"/>
                <w:color w:val="auto"/>
                <w:sz w:val="24"/>
                <w:szCs w:val="24"/>
              </w:rPr>
            </w:pPr>
            <w:r>
              <w:rPr>
                <w:rFonts w:hint="eastAsia" w:ascii="宋体" w:hAnsi="宋体"/>
                <w:color w:val="auto"/>
                <w:sz w:val="24"/>
                <w:szCs w:val="24"/>
              </w:rPr>
              <w:t>电话</w:t>
            </w:r>
          </w:p>
        </w:tc>
        <w:tc>
          <w:tcPr>
            <w:tcW w:w="1416" w:type="dxa"/>
            <w:tcBorders>
              <w:top w:val="single" w:color="auto" w:sz="4" w:space="0"/>
              <w:left w:val="single" w:color="auto" w:sz="4" w:space="0"/>
              <w:bottom w:val="single" w:color="auto" w:sz="4" w:space="0"/>
              <w:right w:val="single" w:color="auto" w:sz="4" w:space="0"/>
            </w:tcBorders>
            <w:vAlign w:val="center"/>
          </w:tcPr>
          <w:p w14:paraId="7A58F6D9">
            <w:pPr>
              <w:jc w:val="center"/>
              <w:rPr>
                <w:rFonts w:hint="eastAsia" w:ascii="宋体" w:hAnsi="宋体"/>
                <w:color w:val="auto"/>
                <w:sz w:val="24"/>
                <w:szCs w:val="24"/>
              </w:rPr>
            </w:pPr>
          </w:p>
        </w:tc>
      </w:tr>
      <w:tr w14:paraId="4CE6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0D5C42A">
            <w:pPr>
              <w:jc w:val="center"/>
              <w:rPr>
                <w:rFonts w:hint="eastAsia" w:ascii="宋体" w:hAnsi="宋体"/>
                <w:color w:val="auto"/>
                <w:sz w:val="24"/>
                <w:szCs w:val="24"/>
              </w:rPr>
            </w:pPr>
            <w:r>
              <w:rPr>
                <w:rFonts w:hint="eastAsia" w:ascii="宋体" w:hAnsi="宋体"/>
                <w:color w:val="auto"/>
                <w:sz w:val="24"/>
                <w:szCs w:val="24"/>
              </w:rPr>
              <w:t>技术负责人</w:t>
            </w:r>
          </w:p>
        </w:tc>
        <w:tc>
          <w:tcPr>
            <w:tcW w:w="1023" w:type="dxa"/>
            <w:tcBorders>
              <w:top w:val="single" w:color="auto" w:sz="4" w:space="0"/>
              <w:left w:val="single" w:color="auto" w:sz="4" w:space="0"/>
              <w:bottom w:val="single" w:color="auto" w:sz="4" w:space="0"/>
              <w:right w:val="single" w:color="auto" w:sz="4" w:space="0"/>
            </w:tcBorders>
            <w:vAlign w:val="center"/>
          </w:tcPr>
          <w:p w14:paraId="23D320AE">
            <w:pPr>
              <w:jc w:val="center"/>
              <w:rPr>
                <w:rFonts w:hint="eastAsia" w:ascii="宋体" w:hAnsi="宋体"/>
                <w:color w:val="auto"/>
                <w:sz w:val="24"/>
                <w:szCs w:val="24"/>
              </w:rPr>
            </w:pPr>
            <w:r>
              <w:rPr>
                <w:rFonts w:hint="eastAsia" w:ascii="宋体" w:hAnsi="宋体"/>
                <w:color w:val="auto"/>
                <w:sz w:val="24"/>
                <w:szCs w:val="24"/>
              </w:rPr>
              <w:t>姓名</w:t>
            </w:r>
          </w:p>
        </w:tc>
        <w:tc>
          <w:tcPr>
            <w:tcW w:w="895" w:type="dxa"/>
            <w:tcBorders>
              <w:top w:val="single" w:color="auto" w:sz="4" w:space="0"/>
              <w:left w:val="single" w:color="auto" w:sz="4" w:space="0"/>
              <w:bottom w:val="single" w:color="auto" w:sz="4" w:space="0"/>
              <w:right w:val="single" w:color="auto" w:sz="4" w:space="0"/>
            </w:tcBorders>
            <w:vAlign w:val="center"/>
          </w:tcPr>
          <w:p w14:paraId="75996722">
            <w:pPr>
              <w:jc w:val="center"/>
              <w:rPr>
                <w:rFonts w:hint="eastAsia" w:ascii="宋体" w:hAnsi="宋体"/>
                <w:color w:val="auto"/>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9168A56">
            <w:pPr>
              <w:jc w:val="center"/>
              <w:rPr>
                <w:rFonts w:hint="eastAsia" w:ascii="宋体" w:hAnsi="宋体"/>
                <w:color w:val="auto"/>
                <w:sz w:val="24"/>
                <w:szCs w:val="24"/>
              </w:rPr>
            </w:pPr>
            <w:r>
              <w:rPr>
                <w:rFonts w:hint="eastAsia" w:ascii="宋体" w:hAnsi="宋体"/>
                <w:color w:val="auto"/>
                <w:sz w:val="24"/>
                <w:szCs w:val="24"/>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14:paraId="10C5D498">
            <w:pPr>
              <w:jc w:val="center"/>
              <w:rPr>
                <w:rFonts w:hint="eastAsia" w:ascii="宋体" w:hAnsi="宋体"/>
                <w:color w:val="auto"/>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0798C69">
            <w:pPr>
              <w:jc w:val="center"/>
              <w:rPr>
                <w:rFonts w:hint="eastAsia" w:ascii="宋体" w:hAnsi="宋体"/>
                <w:color w:val="auto"/>
                <w:sz w:val="24"/>
                <w:szCs w:val="24"/>
              </w:rPr>
            </w:pPr>
            <w:r>
              <w:rPr>
                <w:rFonts w:hint="eastAsia" w:ascii="宋体" w:hAnsi="宋体"/>
                <w:color w:val="auto"/>
                <w:sz w:val="24"/>
                <w:szCs w:val="24"/>
              </w:rPr>
              <w:t>电话</w:t>
            </w:r>
          </w:p>
        </w:tc>
        <w:tc>
          <w:tcPr>
            <w:tcW w:w="1416" w:type="dxa"/>
            <w:tcBorders>
              <w:top w:val="single" w:color="auto" w:sz="4" w:space="0"/>
              <w:left w:val="single" w:color="auto" w:sz="4" w:space="0"/>
              <w:bottom w:val="single" w:color="auto" w:sz="4" w:space="0"/>
              <w:right w:val="single" w:color="auto" w:sz="4" w:space="0"/>
            </w:tcBorders>
            <w:vAlign w:val="center"/>
          </w:tcPr>
          <w:p w14:paraId="220C4CAC">
            <w:pPr>
              <w:jc w:val="center"/>
              <w:rPr>
                <w:rFonts w:hint="eastAsia" w:ascii="宋体" w:hAnsi="宋体"/>
                <w:color w:val="auto"/>
                <w:sz w:val="24"/>
                <w:szCs w:val="24"/>
              </w:rPr>
            </w:pPr>
          </w:p>
        </w:tc>
      </w:tr>
      <w:tr w14:paraId="24F0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CB1A2F">
            <w:pPr>
              <w:jc w:val="center"/>
              <w:rPr>
                <w:rFonts w:hint="eastAsia" w:ascii="宋体" w:hAnsi="宋体"/>
                <w:color w:val="auto"/>
                <w:sz w:val="24"/>
                <w:szCs w:val="24"/>
              </w:rPr>
            </w:pPr>
            <w:r>
              <w:rPr>
                <w:rFonts w:hint="eastAsia" w:ascii="宋体" w:hAnsi="宋体"/>
                <w:color w:val="auto"/>
                <w:sz w:val="24"/>
                <w:szCs w:val="24"/>
              </w:rPr>
              <w:t>成立时间</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11B8508C">
            <w:pPr>
              <w:jc w:val="center"/>
              <w:rPr>
                <w:rFonts w:hint="eastAsia" w:ascii="宋体" w:hAnsi="宋体"/>
                <w:color w:val="auto"/>
                <w:sz w:val="24"/>
                <w:szCs w:val="24"/>
              </w:rPr>
            </w:pPr>
          </w:p>
        </w:tc>
        <w:tc>
          <w:tcPr>
            <w:tcW w:w="5102" w:type="dxa"/>
            <w:gridSpan w:val="4"/>
            <w:tcBorders>
              <w:top w:val="single" w:color="auto" w:sz="4" w:space="0"/>
              <w:left w:val="single" w:color="auto" w:sz="4" w:space="0"/>
              <w:bottom w:val="single" w:color="auto" w:sz="4" w:space="0"/>
              <w:right w:val="single" w:color="auto" w:sz="4" w:space="0"/>
            </w:tcBorders>
            <w:vAlign w:val="center"/>
          </w:tcPr>
          <w:p w14:paraId="66F6CBAC">
            <w:pPr>
              <w:jc w:val="center"/>
              <w:rPr>
                <w:rFonts w:hint="eastAsia" w:ascii="宋体" w:hAnsi="宋体"/>
                <w:color w:val="auto"/>
                <w:sz w:val="24"/>
                <w:szCs w:val="24"/>
              </w:rPr>
            </w:pPr>
            <w:r>
              <w:rPr>
                <w:rFonts w:hint="eastAsia" w:ascii="宋体" w:hAnsi="宋体"/>
                <w:color w:val="auto"/>
                <w:sz w:val="24"/>
                <w:szCs w:val="24"/>
              </w:rPr>
              <w:t>员工总人数：</w:t>
            </w:r>
          </w:p>
        </w:tc>
      </w:tr>
      <w:tr w14:paraId="12D0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5351CF0">
            <w:pPr>
              <w:jc w:val="center"/>
              <w:rPr>
                <w:rFonts w:hint="eastAsia" w:ascii="宋体" w:hAnsi="宋体"/>
                <w:color w:val="auto"/>
                <w:sz w:val="24"/>
                <w:szCs w:val="24"/>
              </w:rPr>
            </w:pPr>
            <w:r>
              <w:rPr>
                <w:rFonts w:hint="eastAsia" w:ascii="宋体" w:hAnsi="宋体"/>
                <w:color w:val="auto"/>
                <w:sz w:val="24"/>
                <w:szCs w:val="24"/>
              </w:rPr>
              <w:t>营业执照号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51A3E75F">
            <w:pPr>
              <w:jc w:val="center"/>
              <w:rPr>
                <w:rFonts w:hint="eastAsia" w:ascii="宋体" w:hAnsi="宋体"/>
                <w:color w:val="auto"/>
                <w:sz w:val="24"/>
                <w:szCs w:val="24"/>
              </w:rPr>
            </w:pPr>
          </w:p>
        </w:tc>
        <w:tc>
          <w:tcPr>
            <w:tcW w:w="1276" w:type="dxa"/>
            <w:vMerge w:val="restart"/>
            <w:tcBorders>
              <w:top w:val="nil"/>
              <w:left w:val="single" w:color="auto" w:sz="4" w:space="0"/>
              <w:bottom w:val="single" w:color="auto" w:sz="4" w:space="0"/>
              <w:right w:val="single" w:color="auto" w:sz="4" w:space="0"/>
            </w:tcBorders>
            <w:vAlign w:val="center"/>
          </w:tcPr>
          <w:p w14:paraId="17F00C98">
            <w:pPr>
              <w:jc w:val="center"/>
              <w:rPr>
                <w:rFonts w:hint="eastAsia" w:ascii="宋体" w:hAnsi="宋体"/>
                <w:color w:val="auto"/>
                <w:sz w:val="24"/>
                <w:szCs w:val="24"/>
              </w:rPr>
            </w:pPr>
            <w:r>
              <w:rPr>
                <w:rFonts w:hint="eastAsia" w:ascii="宋体" w:hAnsi="宋体"/>
                <w:color w:val="auto"/>
                <w:sz w:val="24"/>
                <w:szCs w:val="24"/>
              </w:rPr>
              <w:t>其中</w:t>
            </w:r>
          </w:p>
        </w:tc>
        <w:tc>
          <w:tcPr>
            <w:tcW w:w="1701" w:type="dxa"/>
            <w:tcBorders>
              <w:top w:val="single" w:color="auto" w:sz="4" w:space="0"/>
              <w:left w:val="single" w:color="auto" w:sz="4" w:space="0"/>
              <w:bottom w:val="single" w:color="auto" w:sz="4" w:space="0"/>
              <w:right w:val="single" w:color="auto" w:sz="4" w:space="0"/>
            </w:tcBorders>
            <w:vAlign w:val="center"/>
          </w:tcPr>
          <w:p w14:paraId="6F1FD7F7">
            <w:pPr>
              <w:jc w:val="center"/>
              <w:rPr>
                <w:rFonts w:hint="eastAsia" w:ascii="宋体" w:hAnsi="宋体"/>
                <w:color w:val="auto"/>
                <w:sz w:val="24"/>
                <w:szCs w:val="24"/>
              </w:rPr>
            </w:pPr>
            <w:r>
              <w:rPr>
                <w:rFonts w:hint="eastAsia" w:ascii="宋体" w:hAnsi="宋体"/>
                <w:color w:val="auto"/>
                <w:sz w:val="24"/>
                <w:szCs w:val="24"/>
              </w:rPr>
              <w:t>高级职称人员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33AD1A23">
            <w:pPr>
              <w:jc w:val="center"/>
              <w:rPr>
                <w:rFonts w:hint="eastAsia" w:ascii="宋体" w:hAnsi="宋体"/>
                <w:color w:val="auto"/>
                <w:sz w:val="24"/>
                <w:szCs w:val="24"/>
              </w:rPr>
            </w:pPr>
          </w:p>
        </w:tc>
      </w:tr>
      <w:tr w14:paraId="7958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51B064">
            <w:pPr>
              <w:jc w:val="center"/>
              <w:rPr>
                <w:rFonts w:hint="eastAsia" w:ascii="宋体" w:hAnsi="宋体"/>
                <w:color w:val="auto"/>
                <w:sz w:val="24"/>
                <w:szCs w:val="24"/>
              </w:rPr>
            </w:pPr>
            <w:r>
              <w:rPr>
                <w:rFonts w:hint="eastAsia" w:ascii="宋体" w:hAnsi="宋体"/>
                <w:color w:val="auto"/>
                <w:sz w:val="24"/>
                <w:szCs w:val="24"/>
              </w:rPr>
              <w:t>注册资金</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66E8EB2E">
            <w:pPr>
              <w:jc w:val="center"/>
              <w:rPr>
                <w:rFonts w:hint="eastAsia" w:ascii="宋体" w:hAnsi="宋体"/>
                <w:color w:val="auto"/>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10933169">
            <w:pPr>
              <w:widowControl/>
              <w:jc w:val="left"/>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9DB399F">
            <w:pPr>
              <w:jc w:val="center"/>
              <w:rPr>
                <w:rFonts w:hint="eastAsia" w:ascii="宋体" w:hAnsi="宋体"/>
                <w:color w:val="auto"/>
                <w:sz w:val="24"/>
                <w:szCs w:val="24"/>
              </w:rPr>
            </w:pPr>
            <w:r>
              <w:rPr>
                <w:rFonts w:hint="eastAsia" w:ascii="宋体" w:hAnsi="宋体"/>
                <w:color w:val="auto"/>
                <w:sz w:val="24"/>
                <w:szCs w:val="24"/>
              </w:rPr>
              <w:t>中级职称人员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6A3E769B">
            <w:pPr>
              <w:jc w:val="center"/>
              <w:rPr>
                <w:rFonts w:hint="eastAsia" w:ascii="宋体" w:hAnsi="宋体"/>
                <w:color w:val="auto"/>
                <w:sz w:val="24"/>
                <w:szCs w:val="24"/>
              </w:rPr>
            </w:pPr>
          </w:p>
        </w:tc>
      </w:tr>
      <w:tr w14:paraId="11D8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5F21A98">
            <w:pPr>
              <w:jc w:val="center"/>
              <w:rPr>
                <w:rFonts w:hint="eastAsia" w:ascii="宋体" w:hAnsi="宋体"/>
                <w:color w:val="auto"/>
                <w:sz w:val="24"/>
                <w:szCs w:val="24"/>
              </w:rPr>
            </w:pPr>
            <w:r>
              <w:rPr>
                <w:rFonts w:hint="eastAsia" w:ascii="宋体" w:hAnsi="宋体"/>
                <w:color w:val="auto"/>
                <w:sz w:val="24"/>
                <w:szCs w:val="24"/>
              </w:rPr>
              <w:t>开户银行</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13F31EC0">
            <w:pPr>
              <w:jc w:val="center"/>
              <w:rPr>
                <w:rFonts w:hint="eastAsia" w:ascii="宋体" w:hAnsi="宋体"/>
                <w:color w:val="auto"/>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70EF63F2">
            <w:pPr>
              <w:widowControl/>
              <w:jc w:val="left"/>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ADA1D99">
            <w:pPr>
              <w:jc w:val="center"/>
              <w:rPr>
                <w:rFonts w:hint="eastAsia" w:ascii="宋体" w:hAnsi="宋体"/>
                <w:color w:val="auto"/>
                <w:sz w:val="24"/>
                <w:szCs w:val="24"/>
              </w:rPr>
            </w:pPr>
            <w:r>
              <w:rPr>
                <w:rFonts w:hint="eastAsia" w:ascii="宋体" w:hAnsi="宋体"/>
                <w:color w:val="auto"/>
                <w:sz w:val="24"/>
                <w:szCs w:val="24"/>
              </w:rPr>
              <w:t>初级职称人员</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0CAE329A">
            <w:pPr>
              <w:jc w:val="center"/>
              <w:rPr>
                <w:rFonts w:hint="eastAsia" w:ascii="宋体" w:hAnsi="宋体"/>
                <w:color w:val="auto"/>
                <w:sz w:val="24"/>
                <w:szCs w:val="24"/>
              </w:rPr>
            </w:pPr>
          </w:p>
        </w:tc>
      </w:tr>
      <w:tr w14:paraId="6CF5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72CCD30">
            <w:pPr>
              <w:jc w:val="center"/>
              <w:rPr>
                <w:rFonts w:hint="eastAsia" w:ascii="宋体" w:hAnsi="宋体"/>
                <w:color w:val="auto"/>
                <w:sz w:val="24"/>
                <w:szCs w:val="24"/>
              </w:rPr>
            </w:pPr>
            <w:r>
              <w:rPr>
                <w:rFonts w:hint="eastAsia" w:ascii="宋体" w:hAnsi="宋体"/>
                <w:color w:val="auto"/>
                <w:sz w:val="24"/>
                <w:szCs w:val="24"/>
              </w:rPr>
              <w:t>账号</w:t>
            </w:r>
          </w:p>
        </w:tc>
        <w:tc>
          <w:tcPr>
            <w:tcW w:w="1918" w:type="dxa"/>
            <w:gridSpan w:val="2"/>
            <w:tcBorders>
              <w:top w:val="single" w:color="auto" w:sz="4" w:space="0"/>
              <w:left w:val="single" w:color="auto" w:sz="4" w:space="0"/>
              <w:bottom w:val="single" w:color="auto" w:sz="4" w:space="0"/>
              <w:right w:val="single" w:color="auto" w:sz="4" w:space="0"/>
            </w:tcBorders>
            <w:vAlign w:val="center"/>
          </w:tcPr>
          <w:p w14:paraId="7CC87D01">
            <w:pPr>
              <w:jc w:val="center"/>
              <w:rPr>
                <w:rFonts w:hint="eastAsia" w:ascii="宋体" w:hAnsi="宋体"/>
                <w:color w:val="auto"/>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32709603">
            <w:pPr>
              <w:widowControl/>
              <w:jc w:val="left"/>
              <w:rPr>
                <w:rFonts w:hint="eastAsia" w:ascii="宋体" w:hAnsi="宋体"/>
                <w:color w:val="auto"/>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437B44D">
            <w:pPr>
              <w:jc w:val="center"/>
              <w:rPr>
                <w:rFonts w:hint="eastAsia" w:ascii="宋体" w:hAnsi="宋体"/>
                <w:color w:val="auto"/>
                <w:sz w:val="24"/>
                <w:szCs w:val="24"/>
              </w:rPr>
            </w:pPr>
            <w:r>
              <w:rPr>
                <w:rFonts w:hint="eastAsia" w:ascii="宋体" w:hAnsi="宋体"/>
                <w:color w:val="auto"/>
                <w:sz w:val="24"/>
                <w:szCs w:val="24"/>
              </w:rPr>
              <w:t>技  工</w:t>
            </w:r>
          </w:p>
        </w:tc>
        <w:tc>
          <w:tcPr>
            <w:tcW w:w="2125" w:type="dxa"/>
            <w:gridSpan w:val="2"/>
            <w:tcBorders>
              <w:top w:val="single" w:color="auto" w:sz="4" w:space="0"/>
              <w:left w:val="single" w:color="auto" w:sz="4" w:space="0"/>
              <w:bottom w:val="single" w:color="auto" w:sz="4" w:space="0"/>
              <w:right w:val="single" w:color="auto" w:sz="4" w:space="0"/>
            </w:tcBorders>
            <w:vAlign w:val="center"/>
          </w:tcPr>
          <w:p w14:paraId="080CC531">
            <w:pPr>
              <w:jc w:val="center"/>
              <w:rPr>
                <w:rFonts w:hint="eastAsia" w:ascii="宋体" w:hAnsi="宋体"/>
                <w:color w:val="auto"/>
                <w:sz w:val="24"/>
                <w:szCs w:val="24"/>
              </w:rPr>
            </w:pPr>
          </w:p>
        </w:tc>
      </w:tr>
      <w:tr w14:paraId="512A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7F18504">
            <w:pPr>
              <w:jc w:val="center"/>
              <w:rPr>
                <w:rFonts w:hint="eastAsia" w:ascii="宋体" w:hAnsi="宋体"/>
                <w:color w:val="auto"/>
                <w:sz w:val="24"/>
                <w:szCs w:val="24"/>
              </w:rPr>
            </w:pPr>
            <w:r>
              <w:rPr>
                <w:rFonts w:hint="eastAsia" w:ascii="宋体" w:hAnsi="宋体"/>
                <w:color w:val="auto"/>
                <w:sz w:val="24"/>
                <w:szCs w:val="24"/>
              </w:rPr>
              <w:t>经营范围</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7788AB90">
            <w:pPr>
              <w:jc w:val="center"/>
              <w:rPr>
                <w:rFonts w:hint="eastAsia" w:ascii="宋体" w:hAnsi="宋体"/>
                <w:color w:val="auto"/>
                <w:sz w:val="24"/>
                <w:szCs w:val="24"/>
              </w:rPr>
            </w:pPr>
          </w:p>
        </w:tc>
      </w:tr>
      <w:tr w14:paraId="6981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D528AD7">
            <w:pPr>
              <w:jc w:val="center"/>
              <w:rPr>
                <w:rFonts w:hint="eastAsia" w:ascii="宋体" w:hAnsi="宋体"/>
                <w:color w:val="auto"/>
                <w:sz w:val="24"/>
                <w:szCs w:val="24"/>
              </w:rPr>
            </w:pPr>
            <w:r>
              <w:rPr>
                <w:rFonts w:hint="eastAsia" w:ascii="宋体" w:hAnsi="宋体"/>
                <w:color w:val="auto"/>
                <w:sz w:val="24"/>
                <w:szCs w:val="24"/>
              </w:rPr>
              <w:t>备注</w:t>
            </w:r>
          </w:p>
        </w:tc>
        <w:tc>
          <w:tcPr>
            <w:tcW w:w="7020" w:type="dxa"/>
            <w:gridSpan w:val="6"/>
            <w:tcBorders>
              <w:top w:val="single" w:color="auto" w:sz="4" w:space="0"/>
              <w:left w:val="single" w:color="auto" w:sz="4" w:space="0"/>
              <w:bottom w:val="single" w:color="auto" w:sz="4" w:space="0"/>
              <w:right w:val="single" w:color="auto" w:sz="4" w:space="0"/>
            </w:tcBorders>
            <w:vAlign w:val="center"/>
          </w:tcPr>
          <w:p w14:paraId="12A54628">
            <w:pPr>
              <w:jc w:val="center"/>
              <w:rPr>
                <w:rFonts w:hint="eastAsia" w:ascii="宋体" w:hAnsi="宋体"/>
                <w:color w:val="auto"/>
                <w:sz w:val="24"/>
                <w:szCs w:val="24"/>
              </w:rPr>
            </w:pPr>
          </w:p>
        </w:tc>
      </w:tr>
    </w:tbl>
    <w:p w14:paraId="19488351">
      <w:pPr>
        <w:jc w:val="center"/>
        <w:rPr>
          <w:rFonts w:hint="eastAsia" w:ascii="宋体" w:hAnsi="宋体" w:cs="宋体"/>
          <w:color w:val="auto"/>
          <w:sz w:val="28"/>
          <w:szCs w:val="28"/>
        </w:rPr>
      </w:pPr>
      <w:r>
        <w:rPr>
          <w:rFonts w:hint="eastAsia" w:ascii="宋体" w:hAnsi="宋体" w:cs="宋体"/>
          <w:color w:val="auto"/>
          <w:sz w:val="28"/>
          <w:szCs w:val="28"/>
        </w:rPr>
        <w:br w:type="page"/>
      </w:r>
      <w:r>
        <w:rPr>
          <w:rFonts w:hint="eastAsia" w:ascii="宋体" w:hAnsi="宋体" w:cs="宋体"/>
          <w:color w:val="auto"/>
          <w:sz w:val="28"/>
          <w:szCs w:val="28"/>
        </w:rPr>
        <w:t>1、具有独立承担民事责任的能力</w:t>
      </w:r>
    </w:p>
    <w:p w14:paraId="430683EF">
      <w:pPr>
        <w:spacing w:line="360" w:lineRule="auto"/>
        <w:jc w:val="center"/>
        <w:rPr>
          <w:rFonts w:hint="eastAsia" w:ascii="宋体" w:hAnsi="宋体" w:cs="宋体"/>
          <w:color w:val="auto"/>
        </w:rPr>
      </w:pPr>
      <w:r>
        <w:rPr>
          <w:rFonts w:hint="eastAsia" w:ascii="宋体" w:hAnsi="宋体" w:cs="宋体"/>
          <w:color w:val="auto"/>
        </w:rPr>
        <w:t>（附法人或者其他组织的营业执照等证明文件）</w:t>
      </w:r>
    </w:p>
    <w:p w14:paraId="6C00464E">
      <w:pPr>
        <w:spacing w:line="360" w:lineRule="auto"/>
        <w:jc w:val="center"/>
        <w:rPr>
          <w:rFonts w:hint="eastAsia" w:ascii="宋体" w:hAnsi="宋体" w:cs="宋体"/>
          <w:color w:val="auto"/>
          <w:sz w:val="28"/>
          <w:szCs w:val="28"/>
        </w:rPr>
      </w:pPr>
    </w:p>
    <w:p w14:paraId="61962069">
      <w:pPr>
        <w:spacing w:line="360" w:lineRule="auto"/>
        <w:jc w:val="center"/>
        <w:rPr>
          <w:rFonts w:hint="eastAsia" w:ascii="宋体" w:hAnsi="宋体" w:cs="宋体"/>
          <w:color w:val="auto"/>
          <w:sz w:val="28"/>
          <w:szCs w:val="28"/>
        </w:rPr>
      </w:pPr>
      <w:bookmarkStart w:id="953" w:name="_Toc134452826"/>
    </w:p>
    <w:p w14:paraId="57664292">
      <w:pPr>
        <w:spacing w:line="360" w:lineRule="auto"/>
        <w:jc w:val="center"/>
        <w:rPr>
          <w:rFonts w:hint="eastAsia" w:ascii="宋体" w:hAnsi="宋体" w:cs="宋体"/>
          <w:color w:val="auto"/>
          <w:sz w:val="28"/>
          <w:szCs w:val="28"/>
        </w:rPr>
      </w:pPr>
      <w:r>
        <w:rPr>
          <w:rFonts w:hint="eastAsia"/>
          <w:color w:val="auto"/>
          <w:sz w:val="28"/>
          <w:szCs w:val="28"/>
        </w:rPr>
        <w:br w:type="page"/>
      </w:r>
      <w:r>
        <w:rPr>
          <w:rFonts w:hint="eastAsia" w:ascii="宋体" w:hAnsi="宋体" w:cs="宋体"/>
          <w:color w:val="auto"/>
          <w:sz w:val="28"/>
          <w:szCs w:val="28"/>
        </w:rPr>
        <w:t>2、具有良好的商业信誉和健全的财务会计制度</w:t>
      </w:r>
      <w:bookmarkEnd w:id="953"/>
    </w:p>
    <w:p w14:paraId="0914C07F">
      <w:pPr>
        <w:spacing w:line="360" w:lineRule="auto"/>
        <w:jc w:val="center"/>
        <w:rPr>
          <w:rFonts w:hint="eastAsia" w:ascii="宋体" w:hAnsi="宋体" w:cs="宋体"/>
          <w:color w:val="auto"/>
          <w:sz w:val="28"/>
          <w:szCs w:val="28"/>
        </w:rPr>
      </w:pPr>
    </w:p>
    <w:p w14:paraId="7C29795C">
      <w:pPr>
        <w:spacing w:line="360" w:lineRule="auto"/>
        <w:jc w:val="center"/>
        <w:rPr>
          <w:rFonts w:hint="eastAsia" w:ascii="宋体" w:hAnsi="宋体" w:cs="宋体"/>
          <w:color w:val="auto"/>
          <w:sz w:val="28"/>
          <w:szCs w:val="28"/>
        </w:rPr>
      </w:pPr>
      <w:r>
        <w:rPr>
          <w:rFonts w:hint="eastAsia" w:ascii="宋体" w:hAnsi="宋体"/>
          <w:color w:val="auto"/>
        </w:rPr>
        <w:t>提供2025年度经第三方审计机构出具的财务报告，成立时间不足1年的，提供近三个月内其基本开户银行出具的资信证明。</w:t>
      </w:r>
    </w:p>
    <w:p w14:paraId="5E21CB96">
      <w:pPr>
        <w:spacing w:line="360" w:lineRule="auto"/>
        <w:jc w:val="center"/>
        <w:rPr>
          <w:rFonts w:hint="eastAsia" w:ascii="宋体" w:hAnsi="宋体" w:cs="宋体"/>
          <w:color w:val="auto"/>
          <w:sz w:val="28"/>
          <w:szCs w:val="28"/>
        </w:rPr>
      </w:pPr>
      <w:bookmarkStart w:id="954" w:name="_Toc134452827"/>
    </w:p>
    <w:p w14:paraId="518C1B6C">
      <w:pPr>
        <w:spacing w:line="360" w:lineRule="auto"/>
        <w:jc w:val="center"/>
        <w:rPr>
          <w:rFonts w:hint="eastAsia" w:ascii="宋体" w:hAnsi="宋体" w:cs="宋体"/>
          <w:color w:val="auto"/>
          <w:sz w:val="28"/>
          <w:szCs w:val="28"/>
        </w:rPr>
      </w:pPr>
      <w:r>
        <w:rPr>
          <w:rFonts w:hint="eastAsia"/>
          <w:color w:val="auto"/>
          <w:sz w:val="28"/>
          <w:szCs w:val="28"/>
        </w:rPr>
        <w:br w:type="page"/>
      </w:r>
      <w:r>
        <w:rPr>
          <w:rFonts w:hint="eastAsia" w:ascii="宋体" w:hAnsi="宋体" w:cs="宋体"/>
          <w:color w:val="auto"/>
          <w:sz w:val="28"/>
          <w:szCs w:val="28"/>
        </w:rPr>
        <w:t>3、具有履行合同所必需的设备和专业技术能力</w:t>
      </w:r>
      <w:bookmarkEnd w:id="954"/>
    </w:p>
    <w:p w14:paraId="623527CD">
      <w:pPr>
        <w:spacing w:line="360" w:lineRule="auto"/>
        <w:jc w:val="center"/>
        <w:rPr>
          <w:rFonts w:hint="eastAsia" w:ascii="宋体" w:hAnsi="宋体" w:cs="宋体"/>
          <w:color w:val="auto"/>
        </w:rPr>
      </w:pPr>
      <w:r>
        <w:rPr>
          <w:rFonts w:hint="eastAsia" w:ascii="宋体" w:hAnsi="宋体"/>
          <w:color w:val="auto"/>
          <w:kern w:val="0"/>
        </w:rPr>
        <w:t>自行承诺，格式自拟，</w:t>
      </w:r>
      <w:r>
        <w:rPr>
          <w:rFonts w:hint="eastAsia" w:ascii="宋体" w:hAnsi="宋体" w:cs="宋体"/>
          <w:color w:val="auto"/>
        </w:rPr>
        <w:t>加盖单位公章</w:t>
      </w:r>
    </w:p>
    <w:p w14:paraId="2C44DA29">
      <w:pPr>
        <w:spacing w:line="360" w:lineRule="auto"/>
        <w:jc w:val="center"/>
        <w:rPr>
          <w:rFonts w:hint="eastAsia" w:ascii="宋体" w:hAnsi="宋体" w:cs="宋体"/>
          <w:color w:val="auto"/>
          <w:sz w:val="28"/>
          <w:szCs w:val="28"/>
        </w:rPr>
      </w:pPr>
    </w:p>
    <w:p w14:paraId="687225F1">
      <w:pPr>
        <w:spacing w:line="360" w:lineRule="auto"/>
        <w:jc w:val="center"/>
        <w:rPr>
          <w:rFonts w:hint="eastAsia" w:ascii="宋体" w:hAnsi="宋体" w:cs="宋体"/>
          <w:color w:val="auto"/>
          <w:sz w:val="28"/>
          <w:szCs w:val="28"/>
        </w:rPr>
      </w:pPr>
      <w:bookmarkStart w:id="955" w:name="_Toc134452828"/>
    </w:p>
    <w:p w14:paraId="7E268097">
      <w:pPr>
        <w:spacing w:line="360" w:lineRule="auto"/>
        <w:jc w:val="center"/>
        <w:rPr>
          <w:rFonts w:hint="eastAsia" w:ascii="宋体" w:hAnsi="宋体" w:cs="宋体"/>
          <w:color w:val="auto"/>
          <w:sz w:val="28"/>
          <w:szCs w:val="28"/>
        </w:rPr>
      </w:pPr>
      <w:r>
        <w:rPr>
          <w:rFonts w:hint="eastAsia"/>
          <w:color w:val="auto"/>
          <w:sz w:val="28"/>
          <w:szCs w:val="28"/>
        </w:rPr>
        <w:br w:type="page"/>
      </w:r>
      <w:r>
        <w:rPr>
          <w:rFonts w:hint="eastAsia" w:ascii="宋体" w:hAnsi="宋体" w:cs="宋体"/>
          <w:color w:val="auto"/>
          <w:sz w:val="28"/>
          <w:szCs w:val="28"/>
        </w:rPr>
        <w:t>4、有依法缴纳税收和社会保障资金的良好记录</w:t>
      </w:r>
      <w:bookmarkEnd w:id="955"/>
    </w:p>
    <w:p w14:paraId="26200C3B">
      <w:pPr>
        <w:spacing w:line="360" w:lineRule="auto"/>
        <w:jc w:val="center"/>
        <w:rPr>
          <w:rFonts w:hint="eastAsia" w:ascii="宋体" w:hAnsi="宋体" w:cs="宋体"/>
          <w:color w:val="auto"/>
          <w:sz w:val="28"/>
          <w:szCs w:val="28"/>
        </w:rPr>
      </w:pPr>
    </w:p>
    <w:p w14:paraId="3681F226">
      <w:pPr>
        <w:spacing w:line="360" w:lineRule="auto"/>
        <w:rPr>
          <w:rFonts w:hint="eastAsia" w:ascii="宋体" w:hAnsi="宋体" w:cs="宋体"/>
          <w:color w:val="auto"/>
        </w:rPr>
      </w:pPr>
      <w:r>
        <w:rPr>
          <w:rFonts w:hint="eastAsia" w:ascii="宋体" w:hAnsi="宋体" w:cs="宋体"/>
          <w:color w:val="auto"/>
        </w:rPr>
        <w:t>提供2026年1月1日以来任意1个月依法缴纳税收和社会保障资金的证明资料，依法免税或免缴社会保障资金的供应商，应提供相应文件证明其依法免税或免缴社会保障资金。</w:t>
      </w:r>
    </w:p>
    <w:p w14:paraId="323376EB">
      <w:pPr>
        <w:widowControl/>
        <w:spacing w:line="360" w:lineRule="auto"/>
        <w:jc w:val="center"/>
        <w:rPr>
          <w:rFonts w:hint="eastAsia" w:ascii="宋体" w:hAnsi="宋体" w:cs="宋体"/>
          <w:color w:val="auto"/>
          <w:sz w:val="28"/>
          <w:szCs w:val="28"/>
        </w:rPr>
      </w:pPr>
      <w:r>
        <w:rPr>
          <w:color w:val="auto"/>
          <w:sz w:val="24"/>
          <w:szCs w:val="24"/>
        </w:rPr>
        <w:br w:type="page"/>
      </w:r>
      <w:bookmarkStart w:id="956" w:name="_Toc134452829"/>
      <w:r>
        <w:rPr>
          <w:rFonts w:hint="eastAsia" w:ascii="宋体" w:hAnsi="宋体" w:cs="宋体"/>
          <w:color w:val="auto"/>
          <w:sz w:val="28"/>
          <w:szCs w:val="28"/>
        </w:rPr>
        <w:t>5、参加政府采购活动前三年内，在经营活动中没有重大违法记录声明</w:t>
      </w:r>
      <w:bookmarkEnd w:id="956"/>
    </w:p>
    <w:p w14:paraId="0FDEC492">
      <w:pPr>
        <w:spacing w:line="360" w:lineRule="auto"/>
        <w:jc w:val="center"/>
        <w:rPr>
          <w:rFonts w:hint="eastAsia" w:ascii="宋体" w:hAnsi="宋体" w:cs="宋体"/>
          <w:color w:val="auto"/>
        </w:rPr>
      </w:pPr>
      <w:r>
        <w:rPr>
          <w:rFonts w:hint="eastAsia" w:ascii="宋体" w:hAnsi="宋体" w:cs="宋体"/>
          <w:color w:val="auto"/>
        </w:rPr>
        <w:t>参加政府采购活动前三年内，在经营活动中没有重大违法记录声明（</w:t>
      </w:r>
      <w:r>
        <w:rPr>
          <w:rFonts w:hint="eastAsia" w:ascii="宋体" w:hAnsi="宋体"/>
          <w:color w:val="auto"/>
        </w:rPr>
        <w:t>自行承诺，</w:t>
      </w:r>
      <w:r>
        <w:rPr>
          <w:rFonts w:hint="eastAsia" w:ascii="宋体" w:hAnsi="宋体"/>
          <w:color w:val="auto"/>
          <w:kern w:val="0"/>
        </w:rPr>
        <w:t>格式自拟</w:t>
      </w:r>
      <w:r>
        <w:rPr>
          <w:rFonts w:hint="eastAsia" w:ascii="宋体" w:hAnsi="宋体" w:cs="宋体"/>
          <w:color w:val="auto"/>
        </w:rPr>
        <w:t>）</w:t>
      </w:r>
    </w:p>
    <w:p w14:paraId="7027C344">
      <w:pPr>
        <w:spacing w:line="360" w:lineRule="auto"/>
        <w:jc w:val="center"/>
        <w:rPr>
          <w:rFonts w:hint="eastAsia" w:ascii="宋体" w:hAnsi="宋体" w:cs="宋体"/>
          <w:color w:val="auto"/>
          <w:sz w:val="28"/>
          <w:szCs w:val="28"/>
        </w:rPr>
      </w:pPr>
    </w:p>
    <w:p w14:paraId="407B0AAE">
      <w:pPr>
        <w:spacing w:line="360" w:lineRule="auto"/>
        <w:jc w:val="center"/>
        <w:rPr>
          <w:rFonts w:hint="eastAsia" w:ascii="宋体" w:hAnsi="宋体" w:cs="宋体"/>
          <w:color w:val="auto"/>
          <w:sz w:val="28"/>
          <w:szCs w:val="28"/>
        </w:rPr>
      </w:pPr>
      <w:bookmarkStart w:id="957" w:name="_Toc134452830"/>
      <w:r>
        <w:rPr>
          <w:rFonts w:hint="eastAsia"/>
          <w:color w:val="auto"/>
          <w:sz w:val="28"/>
          <w:szCs w:val="28"/>
        </w:rPr>
        <w:br w:type="page"/>
      </w:r>
      <w:bookmarkEnd w:id="957"/>
      <w:bookmarkStart w:id="958" w:name="_Toc134452831"/>
      <w:r>
        <w:rPr>
          <w:rFonts w:hint="eastAsia" w:ascii="宋体" w:hAnsi="宋体" w:cs="宋体"/>
          <w:color w:val="auto"/>
          <w:sz w:val="28"/>
          <w:szCs w:val="28"/>
        </w:rPr>
        <w:t>6、信用记录查询</w:t>
      </w:r>
      <w:bookmarkEnd w:id="958"/>
    </w:p>
    <w:p w14:paraId="4B557C2B">
      <w:pPr>
        <w:spacing w:line="360" w:lineRule="auto"/>
        <w:ind w:firstLine="420" w:firstLineChars="200"/>
        <w:rPr>
          <w:color w:val="auto"/>
        </w:rPr>
      </w:pPr>
      <w:r>
        <w:rPr>
          <w:rFonts w:hint="eastAsia"/>
          <w:color w:val="auto"/>
        </w:rPr>
        <w:t>查询渠道：</w:t>
      </w:r>
    </w:p>
    <w:p w14:paraId="298957FC">
      <w:pPr>
        <w:spacing w:line="360" w:lineRule="auto"/>
        <w:ind w:firstLine="420" w:firstLineChars="200"/>
        <w:rPr>
          <w:color w:val="auto"/>
        </w:rPr>
      </w:pPr>
      <w:r>
        <w:rPr>
          <w:rFonts w:hint="eastAsia"/>
          <w:color w:val="auto"/>
        </w:rPr>
        <w:t>“中国执行信息公开网”网站：查询失信被执行人；</w:t>
      </w:r>
    </w:p>
    <w:p w14:paraId="15013AA3">
      <w:pPr>
        <w:spacing w:line="360" w:lineRule="auto"/>
        <w:ind w:firstLine="420" w:firstLineChars="200"/>
        <w:rPr>
          <w:color w:val="auto"/>
        </w:rPr>
      </w:pPr>
      <w:r>
        <w:rPr>
          <w:rFonts w:hint="eastAsia"/>
          <w:color w:val="auto"/>
        </w:rPr>
        <w:t>“信用中国”网站：查询重大税收违法失信主体；</w:t>
      </w:r>
    </w:p>
    <w:p w14:paraId="6B333BC1">
      <w:pPr>
        <w:spacing w:line="360" w:lineRule="auto"/>
        <w:ind w:firstLine="420" w:firstLineChars="200"/>
        <w:rPr>
          <w:color w:val="auto"/>
        </w:rPr>
      </w:pPr>
      <w:r>
        <w:rPr>
          <w:rFonts w:hint="eastAsia"/>
          <w:color w:val="auto"/>
        </w:rPr>
        <w:t>“中国政府采购网”网站：查询政府采购严重违法失信行为记录名单。</w:t>
      </w:r>
    </w:p>
    <w:p w14:paraId="27885253">
      <w:pPr>
        <w:spacing w:line="360" w:lineRule="auto"/>
        <w:ind w:firstLine="420" w:firstLineChars="200"/>
        <w:rPr>
          <w:color w:val="auto"/>
        </w:rPr>
      </w:pPr>
      <w:r>
        <w:rPr>
          <w:rFonts w:hint="eastAsia"/>
          <w:color w:val="auto"/>
        </w:rPr>
        <w:t>查询时间：本项目开标结束后至评标结束之前。</w:t>
      </w:r>
    </w:p>
    <w:p w14:paraId="33CB13B1">
      <w:pPr>
        <w:spacing w:line="360" w:lineRule="auto"/>
        <w:ind w:firstLine="420" w:firstLineChars="200"/>
        <w:rPr>
          <w:color w:val="auto"/>
        </w:rPr>
      </w:pPr>
    </w:p>
    <w:p w14:paraId="10BF4977">
      <w:pPr>
        <w:spacing w:line="360" w:lineRule="auto"/>
        <w:ind w:firstLine="420" w:firstLineChars="200"/>
        <w:rPr>
          <w:color w:val="auto"/>
        </w:rPr>
      </w:pPr>
      <w:r>
        <w:rPr>
          <w:rFonts w:hint="eastAsia"/>
          <w:color w:val="auto"/>
        </w:rPr>
        <w:t>响应文件内未附入查询记录的不作为无效响应处理。采购人或采购代理机构开标后对所有供应商信用记录进行查询，以开标后查询结果为准，经查询之后，网站信息发生的任何变更均不再作为评审依据，以采购代理机构开标当日查询结果作为评审依据。</w:t>
      </w:r>
    </w:p>
    <w:p w14:paraId="15721DBE">
      <w:pPr>
        <w:widowControl/>
        <w:spacing w:line="360" w:lineRule="auto"/>
        <w:jc w:val="left"/>
        <w:rPr>
          <w:color w:val="auto"/>
          <w:sz w:val="24"/>
          <w:szCs w:val="24"/>
        </w:rPr>
      </w:pPr>
    </w:p>
    <w:p w14:paraId="55EBCEC0">
      <w:pPr>
        <w:spacing w:line="360" w:lineRule="auto"/>
        <w:jc w:val="center"/>
        <w:rPr>
          <w:color w:val="auto"/>
          <w:sz w:val="28"/>
          <w:szCs w:val="28"/>
        </w:rPr>
      </w:pPr>
      <w:bookmarkStart w:id="959" w:name="_Toc134452832"/>
      <w:r>
        <w:rPr>
          <w:rFonts w:hint="eastAsia"/>
          <w:color w:val="auto"/>
          <w:sz w:val="28"/>
          <w:szCs w:val="28"/>
        </w:rPr>
        <w:br w:type="page"/>
      </w:r>
      <w:r>
        <w:rPr>
          <w:rFonts w:hint="eastAsia"/>
          <w:color w:val="auto"/>
          <w:sz w:val="28"/>
          <w:szCs w:val="28"/>
        </w:rPr>
        <w:t>7、单位负责人为同一人或者存在直接控股、管理关系的不同供应商，不得参加同一合同项下的政府采购活动声明函</w:t>
      </w:r>
      <w:bookmarkEnd w:id="959"/>
    </w:p>
    <w:p w14:paraId="52677597">
      <w:pPr>
        <w:spacing w:line="360" w:lineRule="auto"/>
        <w:rPr>
          <w:color w:val="auto"/>
        </w:rPr>
      </w:pPr>
    </w:p>
    <w:p w14:paraId="6616F386">
      <w:pPr>
        <w:jc w:val="center"/>
        <w:rPr>
          <w:rFonts w:hint="eastAsia"/>
          <w:color w:val="auto"/>
        </w:rPr>
      </w:pPr>
      <w:r>
        <w:rPr>
          <w:rFonts w:hint="eastAsia"/>
          <w:color w:val="auto"/>
        </w:rPr>
        <w:t>针对是否存在“单位负责人为同一人或者存在直接控股、管理关系的不同供应商，同时参加本项目同一合同项下的政府采购活动”情形的声明函。</w:t>
      </w:r>
    </w:p>
    <w:p w14:paraId="19895B6F">
      <w:pPr>
        <w:jc w:val="left"/>
        <w:rPr>
          <w:color w:val="auto"/>
        </w:rPr>
      </w:pPr>
    </w:p>
    <w:p w14:paraId="45857F8D">
      <w:pPr>
        <w:pStyle w:val="3"/>
        <w:spacing w:before="0" w:after="0"/>
        <w:jc w:val="center"/>
        <w:rPr>
          <w:rFonts w:hint="eastAsia" w:ascii="宋体" w:hAnsi="宋体" w:eastAsia="宋体" w:cs="宋体"/>
          <w:color w:val="auto"/>
          <w:sz w:val="28"/>
          <w:szCs w:val="28"/>
        </w:rPr>
      </w:pPr>
      <w:r>
        <w:rPr>
          <w:rFonts w:hint="eastAsia"/>
          <w:color w:val="auto"/>
          <w:sz w:val="28"/>
          <w:szCs w:val="28"/>
        </w:rPr>
        <w:br w:type="page"/>
      </w:r>
      <w:bookmarkStart w:id="960" w:name="_Toc4068"/>
      <w:bookmarkStart w:id="961" w:name="_Toc20207"/>
      <w:r>
        <w:rPr>
          <w:rFonts w:hint="eastAsia" w:ascii="宋体" w:hAnsi="宋体" w:eastAsia="宋体" w:cs="宋体"/>
          <w:color w:val="auto"/>
          <w:sz w:val="28"/>
          <w:szCs w:val="28"/>
        </w:rPr>
        <w:t>六、技术规格偏差表</w:t>
      </w:r>
      <w:bookmarkEnd w:id="946"/>
      <w:bookmarkEnd w:id="947"/>
      <w:bookmarkEnd w:id="948"/>
      <w:bookmarkEnd w:id="960"/>
      <w:bookmarkEnd w:id="961"/>
    </w:p>
    <w:tbl>
      <w:tblPr>
        <w:tblStyle w:val="41"/>
        <w:tblW w:w="8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908"/>
        <w:gridCol w:w="1204"/>
        <w:gridCol w:w="1304"/>
        <w:gridCol w:w="1243"/>
        <w:gridCol w:w="744"/>
        <w:gridCol w:w="1556"/>
        <w:gridCol w:w="1207"/>
      </w:tblGrid>
      <w:tr w14:paraId="0E5B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610" w:type="dxa"/>
            <w:vAlign w:val="center"/>
          </w:tcPr>
          <w:p w14:paraId="2D7B0FFA">
            <w:pPr>
              <w:jc w:val="center"/>
              <w:rPr>
                <w:rFonts w:hint="eastAsia" w:ascii="宋体" w:hAnsi="宋体" w:cs="宋体"/>
                <w:color w:val="auto"/>
                <w:sz w:val="24"/>
                <w:szCs w:val="24"/>
              </w:rPr>
            </w:pPr>
            <w:r>
              <w:rPr>
                <w:rFonts w:hint="eastAsia" w:ascii="宋体" w:hAnsi="宋体" w:cs="宋体"/>
                <w:color w:val="auto"/>
                <w:sz w:val="24"/>
                <w:szCs w:val="24"/>
              </w:rPr>
              <w:t>序号</w:t>
            </w:r>
          </w:p>
        </w:tc>
        <w:tc>
          <w:tcPr>
            <w:tcW w:w="908" w:type="dxa"/>
            <w:vAlign w:val="center"/>
          </w:tcPr>
          <w:p w14:paraId="6520B5CC">
            <w:pPr>
              <w:jc w:val="center"/>
              <w:rPr>
                <w:rFonts w:ascii="宋体" w:hAnsi="宋体" w:cs="宋体"/>
                <w:color w:val="auto"/>
                <w:sz w:val="24"/>
                <w:szCs w:val="24"/>
              </w:rPr>
            </w:pPr>
            <w:r>
              <w:rPr>
                <w:rFonts w:hint="eastAsia" w:ascii="宋体" w:hAnsi="宋体" w:cs="宋体"/>
                <w:color w:val="auto"/>
                <w:sz w:val="24"/>
                <w:szCs w:val="24"/>
              </w:rPr>
              <w:t>设备名称</w:t>
            </w:r>
          </w:p>
        </w:tc>
        <w:tc>
          <w:tcPr>
            <w:tcW w:w="1204" w:type="dxa"/>
            <w:vAlign w:val="center"/>
          </w:tcPr>
          <w:p w14:paraId="32EB33FE">
            <w:pPr>
              <w:jc w:val="center"/>
              <w:rPr>
                <w:rFonts w:hint="eastAsia" w:ascii="宋体" w:hAnsi="宋体" w:cs="宋体"/>
                <w:color w:val="auto"/>
                <w:sz w:val="24"/>
                <w:szCs w:val="24"/>
              </w:rPr>
            </w:pPr>
            <w:r>
              <w:rPr>
                <w:rFonts w:hint="eastAsia" w:ascii="宋体" w:hAnsi="宋体" w:cs="宋体"/>
                <w:color w:val="auto"/>
                <w:sz w:val="24"/>
                <w:szCs w:val="24"/>
              </w:rPr>
              <w:t>参数名称及重要性（如有）</w:t>
            </w:r>
          </w:p>
        </w:tc>
        <w:tc>
          <w:tcPr>
            <w:tcW w:w="1304" w:type="dxa"/>
            <w:vAlign w:val="center"/>
          </w:tcPr>
          <w:p w14:paraId="04366BCC">
            <w:pPr>
              <w:jc w:val="center"/>
              <w:rPr>
                <w:rFonts w:hint="eastAsia" w:ascii="宋体" w:hAnsi="宋体" w:cs="宋体"/>
                <w:color w:val="auto"/>
                <w:sz w:val="24"/>
                <w:szCs w:val="24"/>
              </w:rPr>
            </w:pPr>
            <w:r>
              <w:rPr>
                <w:rFonts w:hint="eastAsia" w:ascii="宋体" w:hAnsi="宋体" w:cs="宋体"/>
                <w:color w:val="auto"/>
                <w:sz w:val="24"/>
                <w:szCs w:val="24"/>
              </w:rPr>
              <w:t>磋商文件技术参数要求</w:t>
            </w:r>
          </w:p>
        </w:tc>
        <w:tc>
          <w:tcPr>
            <w:tcW w:w="1243" w:type="dxa"/>
            <w:vAlign w:val="center"/>
          </w:tcPr>
          <w:p w14:paraId="36D22064">
            <w:pPr>
              <w:jc w:val="center"/>
              <w:rPr>
                <w:rFonts w:hint="eastAsia" w:ascii="宋体" w:hAnsi="宋体" w:cs="宋体"/>
                <w:color w:val="auto"/>
                <w:sz w:val="24"/>
                <w:szCs w:val="24"/>
              </w:rPr>
            </w:pPr>
            <w:r>
              <w:rPr>
                <w:rFonts w:hint="eastAsia" w:ascii="宋体" w:hAnsi="宋体" w:cs="宋体"/>
                <w:color w:val="auto"/>
                <w:sz w:val="24"/>
                <w:szCs w:val="24"/>
              </w:rPr>
              <w:t>响应文件响应技术参数</w:t>
            </w:r>
          </w:p>
        </w:tc>
        <w:tc>
          <w:tcPr>
            <w:tcW w:w="744" w:type="dxa"/>
            <w:vAlign w:val="center"/>
          </w:tcPr>
          <w:p w14:paraId="36316768">
            <w:pPr>
              <w:jc w:val="center"/>
              <w:rPr>
                <w:rFonts w:hint="eastAsia" w:ascii="宋体" w:hAnsi="宋体" w:cs="宋体"/>
                <w:color w:val="auto"/>
                <w:sz w:val="24"/>
                <w:szCs w:val="24"/>
              </w:rPr>
            </w:pPr>
            <w:r>
              <w:rPr>
                <w:rFonts w:hint="eastAsia" w:ascii="宋体" w:hAnsi="宋体" w:cs="宋体"/>
                <w:color w:val="auto"/>
                <w:sz w:val="24"/>
                <w:szCs w:val="24"/>
                <w:lang w:val="zh-CN"/>
              </w:rPr>
              <w:t>偏离</w:t>
            </w:r>
            <w:r>
              <w:rPr>
                <w:rFonts w:hint="eastAsia" w:ascii="宋体" w:hAnsi="宋体" w:cs="宋体"/>
                <w:color w:val="auto"/>
                <w:sz w:val="24"/>
                <w:szCs w:val="24"/>
              </w:rPr>
              <w:t>描述</w:t>
            </w:r>
          </w:p>
        </w:tc>
        <w:tc>
          <w:tcPr>
            <w:tcW w:w="1556" w:type="dxa"/>
            <w:vAlign w:val="center"/>
          </w:tcPr>
          <w:p w14:paraId="2058DAC6">
            <w:pPr>
              <w:jc w:val="center"/>
              <w:rPr>
                <w:rFonts w:hint="eastAsia" w:ascii="宋体" w:hAnsi="宋体" w:cs="宋体"/>
                <w:color w:val="auto"/>
                <w:sz w:val="24"/>
                <w:szCs w:val="24"/>
              </w:rPr>
            </w:pPr>
            <w:r>
              <w:rPr>
                <w:rFonts w:hint="eastAsia" w:ascii="宋体" w:hAnsi="宋体" w:cs="宋体"/>
                <w:color w:val="auto"/>
                <w:sz w:val="24"/>
                <w:szCs w:val="24"/>
              </w:rPr>
              <w:t>结论</w:t>
            </w:r>
          </w:p>
          <w:p w14:paraId="0BCD972E">
            <w:pPr>
              <w:jc w:val="center"/>
              <w:rPr>
                <w:rFonts w:hint="eastAsia" w:ascii="宋体" w:hAnsi="宋体" w:cs="宋体"/>
                <w:color w:val="auto"/>
                <w:sz w:val="24"/>
                <w:szCs w:val="24"/>
              </w:rPr>
            </w:pPr>
            <w:r>
              <w:rPr>
                <w:rFonts w:hint="eastAsia" w:ascii="宋体" w:hAnsi="宋体" w:cs="宋体"/>
                <w:color w:val="auto"/>
                <w:sz w:val="24"/>
                <w:szCs w:val="24"/>
              </w:rPr>
              <w:t>（正偏离/负偏离/无偏离）</w:t>
            </w:r>
          </w:p>
        </w:tc>
        <w:tc>
          <w:tcPr>
            <w:tcW w:w="1207" w:type="dxa"/>
            <w:vAlign w:val="center"/>
          </w:tcPr>
          <w:p w14:paraId="692D6A7E">
            <w:pPr>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备注</w:t>
            </w:r>
          </w:p>
        </w:tc>
      </w:tr>
      <w:tr w14:paraId="15D9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10" w:type="dxa"/>
            <w:vAlign w:val="center"/>
          </w:tcPr>
          <w:p w14:paraId="6176723E">
            <w:pPr>
              <w:jc w:val="center"/>
              <w:rPr>
                <w:rFonts w:hint="eastAsia" w:ascii="宋体" w:hAnsi="宋体" w:cs="宋体"/>
                <w:color w:val="auto"/>
                <w:sz w:val="24"/>
                <w:szCs w:val="24"/>
              </w:rPr>
            </w:pPr>
            <w:r>
              <w:rPr>
                <w:rFonts w:hint="eastAsia" w:ascii="宋体" w:hAnsi="宋体" w:cs="宋体"/>
                <w:color w:val="auto"/>
                <w:sz w:val="24"/>
                <w:szCs w:val="24"/>
              </w:rPr>
              <w:t>1</w:t>
            </w:r>
          </w:p>
        </w:tc>
        <w:tc>
          <w:tcPr>
            <w:tcW w:w="908" w:type="dxa"/>
            <w:vAlign w:val="center"/>
          </w:tcPr>
          <w:p w14:paraId="1809A405">
            <w:pPr>
              <w:jc w:val="center"/>
              <w:rPr>
                <w:rFonts w:hint="eastAsia" w:ascii="宋体" w:hAnsi="宋体" w:cs="宋体"/>
                <w:color w:val="auto"/>
                <w:sz w:val="24"/>
                <w:szCs w:val="24"/>
              </w:rPr>
            </w:pPr>
          </w:p>
        </w:tc>
        <w:tc>
          <w:tcPr>
            <w:tcW w:w="1204" w:type="dxa"/>
            <w:vAlign w:val="center"/>
          </w:tcPr>
          <w:p w14:paraId="44E61215">
            <w:pPr>
              <w:jc w:val="center"/>
              <w:rPr>
                <w:rFonts w:hint="eastAsia" w:ascii="宋体" w:hAnsi="宋体" w:cs="宋体"/>
                <w:color w:val="auto"/>
                <w:sz w:val="24"/>
                <w:szCs w:val="24"/>
              </w:rPr>
            </w:pPr>
          </w:p>
        </w:tc>
        <w:tc>
          <w:tcPr>
            <w:tcW w:w="1304" w:type="dxa"/>
            <w:vAlign w:val="center"/>
          </w:tcPr>
          <w:p w14:paraId="4950874B">
            <w:pPr>
              <w:jc w:val="center"/>
              <w:rPr>
                <w:rFonts w:hint="eastAsia" w:ascii="宋体" w:hAnsi="宋体" w:cs="宋体"/>
                <w:color w:val="auto"/>
                <w:sz w:val="24"/>
                <w:szCs w:val="24"/>
              </w:rPr>
            </w:pPr>
          </w:p>
        </w:tc>
        <w:tc>
          <w:tcPr>
            <w:tcW w:w="1243" w:type="dxa"/>
            <w:vAlign w:val="center"/>
          </w:tcPr>
          <w:p w14:paraId="31633604">
            <w:pPr>
              <w:jc w:val="center"/>
              <w:rPr>
                <w:rFonts w:hint="eastAsia" w:ascii="宋体" w:hAnsi="宋体" w:cs="宋体"/>
                <w:color w:val="auto"/>
                <w:sz w:val="24"/>
                <w:szCs w:val="24"/>
              </w:rPr>
            </w:pPr>
          </w:p>
        </w:tc>
        <w:tc>
          <w:tcPr>
            <w:tcW w:w="744" w:type="dxa"/>
            <w:vAlign w:val="center"/>
          </w:tcPr>
          <w:p w14:paraId="461C1543">
            <w:pPr>
              <w:jc w:val="center"/>
              <w:rPr>
                <w:rFonts w:hint="eastAsia" w:ascii="宋体" w:hAnsi="宋体" w:cs="宋体"/>
                <w:color w:val="auto"/>
                <w:sz w:val="24"/>
                <w:szCs w:val="24"/>
              </w:rPr>
            </w:pPr>
          </w:p>
        </w:tc>
        <w:tc>
          <w:tcPr>
            <w:tcW w:w="1556" w:type="dxa"/>
            <w:vAlign w:val="center"/>
          </w:tcPr>
          <w:p w14:paraId="3E689510">
            <w:pPr>
              <w:jc w:val="center"/>
              <w:rPr>
                <w:rFonts w:hint="eastAsia" w:ascii="宋体" w:hAnsi="宋体" w:cs="宋体"/>
                <w:color w:val="auto"/>
                <w:sz w:val="24"/>
                <w:szCs w:val="24"/>
              </w:rPr>
            </w:pPr>
          </w:p>
        </w:tc>
        <w:tc>
          <w:tcPr>
            <w:tcW w:w="1207" w:type="dxa"/>
            <w:vAlign w:val="center"/>
          </w:tcPr>
          <w:p w14:paraId="4D2B6BF7">
            <w:pPr>
              <w:jc w:val="center"/>
              <w:rPr>
                <w:rFonts w:hint="eastAsia" w:ascii="宋体" w:hAnsi="宋体" w:cs="宋体"/>
                <w:color w:val="auto"/>
                <w:sz w:val="24"/>
                <w:szCs w:val="24"/>
              </w:rPr>
            </w:pPr>
          </w:p>
        </w:tc>
      </w:tr>
      <w:tr w14:paraId="139D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10" w:type="dxa"/>
            <w:vAlign w:val="center"/>
          </w:tcPr>
          <w:p w14:paraId="5E60307C">
            <w:pPr>
              <w:jc w:val="center"/>
              <w:rPr>
                <w:rFonts w:hint="eastAsia" w:ascii="宋体" w:hAnsi="宋体" w:cs="宋体"/>
                <w:color w:val="auto"/>
                <w:sz w:val="24"/>
                <w:szCs w:val="24"/>
              </w:rPr>
            </w:pPr>
            <w:r>
              <w:rPr>
                <w:rFonts w:hint="eastAsia" w:ascii="宋体" w:hAnsi="宋体" w:cs="宋体"/>
                <w:color w:val="auto"/>
                <w:sz w:val="24"/>
                <w:szCs w:val="24"/>
              </w:rPr>
              <w:t>2</w:t>
            </w:r>
          </w:p>
        </w:tc>
        <w:tc>
          <w:tcPr>
            <w:tcW w:w="908" w:type="dxa"/>
            <w:vAlign w:val="center"/>
          </w:tcPr>
          <w:p w14:paraId="2B30E57B">
            <w:pPr>
              <w:jc w:val="center"/>
              <w:rPr>
                <w:rFonts w:hint="eastAsia" w:ascii="宋体" w:hAnsi="宋体" w:cs="宋体"/>
                <w:color w:val="auto"/>
                <w:sz w:val="24"/>
                <w:szCs w:val="24"/>
              </w:rPr>
            </w:pPr>
          </w:p>
        </w:tc>
        <w:tc>
          <w:tcPr>
            <w:tcW w:w="1204" w:type="dxa"/>
            <w:vAlign w:val="center"/>
          </w:tcPr>
          <w:p w14:paraId="0DE070C2">
            <w:pPr>
              <w:jc w:val="center"/>
              <w:rPr>
                <w:rFonts w:hint="eastAsia" w:ascii="宋体" w:hAnsi="宋体" w:cs="宋体"/>
                <w:color w:val="auto"/>
                <w:sz w:val="24"/>
                <w:szCs w:val="24"/>
              </w:rPr>
            </w:pPr>
          </w:p>
        </w:tc>
        <w:tc>
          <w:tcPr>
            <w:tcW w:w="1304" w:type="dxa"/>
            <w:vAlign w:val="center"/>
          </w:tcPr>
          <w:p w14:paraId="76528A7B">
            <w:pPr>
              <w:jc w:val="center"/>
              <w:rPr>
                <w:rFonts w:hint="eastAsia" w:ascii="宋体" w:hAnsi="宋体" w:cs="宋体"/>
                <w:color w:val="auto"/>
                <w:sz w:val="24"/>
                <w:szCs w:val="24"/>
              </w:rPr>
            </w:pPr>
          </w:p>
        </w:tc>
        <w:tc>
          <w:tcPr>
            <w:tcW w:w="1243" w:type="dxa"/>
            <w:vAlign w:val="center"/>
          </w:tcPr>
          <w:p w14:paraId="57977FE0">
            <w:pPr>
              <w:jc w:val="center"/>
              <w:rPr>
                <w:rFonts w:hint="eastAsia" w:ascii="宋体" w:hAnsi="宋体" w:cs="宋体"/>
                <w:color w:val="auto"/>
                <w:sz w:val="24"/>
                <w:szCs w:val="24"/>
              </w:rPr>
            </w:pPr>
          </w:p>
        </w:tc>
        <w:tc>
          <w:tcPr>
            <w:tcW w:w="744" w:type="dxa"/>
            <w:vAlign w:val="center"/>
          </w:tcPr>
          <w:p w14:paraId="6A11A37E">
            <w:pPr>
              <w:jc w:val="center"/>
              <w:rPr>
                <w:rFonts w:hint="eastAsia" w:ascii="宋体" w:hAnsi="宋体" w:cs="宋体"/>
                <w:color w:val="auto"/>
                <w:sz w:val="24"/>
                <w:szCs w:val="24"/>
              </w:rPr>
            </w:pPr>
          </w:p>
        </w:tc>
        <w:tc>
          <w:tcPr>
            <w:tcW w:w="1556" w:type="dxa"/>
            <w:vAlign w:val="center"/>
          </w:tcPr>
          <w:p w14:paraId="41BA00ED">
            <w:pPr>
              <w:jc w:val="center"/>
              <w:rPr>
                <w:rFonts w:hint="eastAsia" w:ascii="宋体" w:hAnsi="宋体" w:cs="宋体"/>
                <w:color w:val="auto"/>
                <w:sz w:val="24"/>
                <w:szCs w:val="24"/>
              </w:rPr>
            </w:pPr>
          </w:p>
        </w:tc>
        <w:tc>
          <w:tcPr>
            <w:tcW w:w="1207" w:type="dxa"/>
            <w:vAlign w:val="center"/>
          </w:tcPr>
          <w:p w14:paraId="17C24A02">
            <w:pPr>
              <w:jc w:val="center"/>
              <w:rPr>
                <w:rFonts w:hint="eastAsia" w:ascii="宋体" w:hAnsi="宋体" w:cs="宋体"/>
                <w:color w:val="auto"/>
                <w:sz w:val="24"/>
                <w:szCs w:val="24"/>
              </w:rPr>
            </w:pPr>
          </w:p>
        </w:tc>
      </w:tr>
      <w:tr w14:paraId="35AC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10" w:type="dxa"/>
            <w:vAlign w:val="center"/>
          </w:tcPr>
          <w:p w14:paraId="2DB07765">
            <w:pPr>
              <w:jc w:val="center"/>
              <w:rPr>
                <w:rFonts w:hint="eastAsia" w:ascii="宋体" w:hAnsi="宋体" w:cs="宋体"/>
                <w:color w:val="auto"/>
                <w:sz w:val="24"/>
                <w:szCs w:val="24"/>
              </w:rPr>
            </w:pPr>
            <w:r>
              <w:rPr>
                <w:rFonts w:hint="eastAsia" w:ascii="宋体" w:hAnsi="宋体" w:cs="宋体"/>
                <w:color w:val="auto"/>
                <w:sz w:val="24"/>
                <w:szCs w:val="24"/>
              </w:rPr>
              <w:t>3</w:t>
            </w:r>
          </w:p>
        </w:tc>
        <w:tc>
          <w:tcPr>
            <w:tcW w:w="908" w:type="dxa"/>
            <w:vAlign w:val="center"/>
          </w:tcPr>
          <w:p w14:paraId="65E13B5A">
            <w:pPr>
              <w:jc w:val="center"/>
              <w:rPr>
                <w:rFonts w:hint="eastAsia" w:ascii="宋体" w:hAnsi="宋体" w:cs="宋体"/>
                <w:color w:val="auto"/>
                <w:sz w:val="24"/>
                <w:szCs w:val="24"/>
              </w:rPr>
            </w:pPr>
          </w:p>
        </w:tc>
        <w:tc>
          <w:tcPr>
            <w:tcW w:w="1204" w:type="dxa"/>
            <w:vAlign w:val="center"/>
          </w:tcPr>
          <w:p w14:paraId="0CAEC77C">
            <w:pPr>
              <w:jc w:val="center"/>
              <w:rPr>
                <w:rFonts w:hint="eastAsia" w:ascii="宋体" w:hAnsi="宋体" w:cs="宋体"/>
                <w:color w:val="auto"/>
                <w:sz w:val="24"/>
                <w:szCs w:val="24"/>
              </w:rPr>
            </w:pPr>
          </w:p>
        </w:tc>
        <w:tc>
          <w:tcPr>
            <w:tcW w:w="1304" w:type="dxa"/>
            <w:vAlign w:val="center"/>
          </w:tcPr>
          <w:p w14:paraId="2827A715">
            <w:pPr>
              <w:jc w:val="center"/>
              <w:rPr>
                <w:rFonts w:hint="eastAsia" w:ascii="宋体" w:hAnsi="宋体" w:cs="宋体"/>
                <w:color w:val="auto"/>
                <w:sz w:val="24"/>
                <w:szCs w:val="24"/>
              </w:rPr>
            </w:pPr>
          </w:p>
        </w:tc>
        <w:tc>
          <w:tcPr>
            <w:tcW w:w="1243" w:type="dxa"/>
            <w:vAlign w:val="center"/>
          </w:tcPr>
          <w:p w14:paraId="14418B9A">
            <w:pPr>
              <w:jc w:val="center"/>
              <w:rPr>
                <w:rFonts w:hint="eastAsia" w:ascii="宋体" w:hAnsi="宋体" w:cs="宋体"/>
                <w:color w:val="auto"/>
                <w:sz w:val="24"/>
                <w:szCs w:val="24"/>
              </w:rPr>
            </w:pPr>
          </w:p>
        </w:tc>
        <w:tc>
          <w:tcPr>
            <w:tcW w:w="744" w:type="dxa"/>
            <w:vAlign w:val="center"/>
          </w:tcPr>
          <w:p w14:paraId="3195448D">
            <w:pPr>
              <w:jc w:val="center"/>
              <w:rPr>
                <w:rFonts w:hint="eastAsia" w:ascii="宋体" w:hAnsi="宋体" w:cs="宋体"/>
                <w:color w:val="auto"/>
                <w:sz w:val="24"/>
                <w:szCs w:val="24"/>
              </w:rPr>
            </w:pPr>
          </w:p>
        </w:tc>
        <w:tc>
          <w:tcPr>
            <w:tcW w:w="1556" w:type="dxa"/>
            <w:vAlign w:val="center"/>
          </w:tcPr>
          <w:p w14:paraId="46739224">
            <w:pPr>
              <w:jc w:val="center"/>
              <w:rPr>
                <w:rFonts w:hint="eastAsia" w:ascii="宋体" w:hAnsi="宋体" w:cs="宋体"/>
                <w:color w:val="auto"/>
                <w:sz w:val="24"/>
                <w:szCs w:val="24"/>
              </w:rPr>
            </w:pPr>
          </w:p>
        </w:tc>
        <w:tc>
          <w:tcPr>
            <w:tcW w:w="1207" w:type="dxa"/>
            <w:vAlign w:val="center"/>
          </w:tcPr>
          <w:p w14:paraId="5ABA3C67">
            <w:pPr>
              <w:jc w:val="center"/>
              <w:rPr>
                <w:rFonts w:hint="eastAsia" w:ascii="宋体" w:hAnsi="宋体" w:cs="宋体"/>
                <w:color w:val="auto"/>
                <w:sz w:val="24"/>
                <w:szCs w:val="24"/>
              </w:rPr>
            </w:pPr>
          </w:p>
        </w:tc>
      </w:tr>
      <w:tr w14:paraId="22EC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10" w:type="dxa"/>
            <w:vAlign w:val="center"/>
          </w:tcPr>
          <w:p w14:paraId="285338A6">
            <w:pPr>
              <w:jc w:val="center"/>
              <w:rPr>
                <w:rFonts w:hint="eastAsia" w:ascii="宋体" w:hAnsi="宋体" w:cs="宋体"/>
                <w:color w:val="auto"/>
                <w:sz w:val="24"/>
                <w:szCs w:val="24"/>
              </w:rPr>
            </w:pPr>
            <w:r>
              <w:rPr>
                <w:rFonts w:hint="eastAsia" w:ascii="宋体" w:hAnsi="宋体" w:cs="宋体"/>
                <w:color w:val="auto"/>
                <w:sz w:val="24"/>
                <w:szCs w:val="24"/>
              </w:rPr>
              <w:t>4</w:t>
            </w:r>
          </w:p>
        </w:tc>
        <w:tc>
          <w:tcPr>
            <w:tcW w:w="908" w:type="dxa"/>
            <w:vAlign w:val="center"/>
          </w:tcPr>
          <w:p w14:paraId="1BB0EE55">
            <w:pPr>
              <w:jc w:val="center"/>
              <w:rPr>
                <w:rFonts w:hint="eastAsia" w:ascii="宋体" w:hAnsi="宋体" w:cs="宋体"/>
                <w:color w:val="auto"/>
                <w:sz w:val="24"/>
                <w:szCs w:val="24"/>
              </w:rPr>
            </w:pPr>
          </w:p>
        </w:tc>
        <w:tc>
          <w:tcPr>
            <w:tcW w:w="1204" w:type="dxa"/>
            <w:vAlign w:val="center"/>
          </w:tcPr>
          <w:p w14:paraId="6DB3E4EE">
            <w:pPr>
              <w:jc w:val="center"/>
              <w:rPr>
                <w:rFonts w:hint="eastAsia" w:ascii="宋体" w:hAnsi="宋体" w:cs="宋体"/>
                <w:color w:val="auto"/>
                <w:sz w:val="24"/>
                <w:szCs w:val="24"/>
              </w:rPr>
            </w:pPr>
          </w:p>
        </w:tc>
        <w:tc>
          <w:tcPr>
            <w:tcW w:w="1304" w:type="dxa"/>
            <w:vAlign w:val="center"/>
          </w:tcPr>
          <w:p w14:paraId="29626530">
            <w:pPr>
              <w:jc w:val="center"/>
              <w:rPr>
                <w:rFonts w:hint="eastAsia" w:ascii="宋体" w:hAnsi="宋体" w:cs="宋体"/>
                <w:color w:val="auto"/>
                <w:sz w:val="24"/>
                <w:szCs w:val="24"/>
              </w:rPr>
            </w:pPr>
          </w:p>
        </w:tc>
        <w:tc>
          <w:tcPr>
            <w:tcW w:w="1243" w:type="dxa"/>
            <w:vAlign w:val="center"/>
          </w:tcPr>
          <w:p w14:paraId="3ED0BD7A">
            <w:pPr>
              <w:jc w:val="center"/>
              <w:rPr>
                <w:rFonts w:hint="eastAsia" w:ascii="宋体" w:hAnsi="宋体" w:cs="宋体"/>
                <w:color w:val="auto"/>
                <w:sz w:val="24"/>
                <w:szCs w:val="24"/>
              </w:rPr>
            </w:pPr>
          </w:p>
        </w:tc>
        <w:tc>
          <w:tcPr>
            <w:tcW w:w="744" w:type="dxa"/>
            <w:vAlign w:val="center"/>
          </w:tcPr>
          <w:p w14:paraId="6901BF65">
            <w:pPr>
              <w:jc w:val="center"/>
              <w:rPr>
                <w:rFonts w:hint="eastAsia" w:ascii="宋体" w:hAnsi="宋体" w:cs="宋体"/>
                <w:color w:val="auto"/>
                <w:sz w:val="24"/>
                <w:szCs w:val="24"/>
              </w:rPr>
            </w:pPr>
          </w:p>
        </w:tc>
        <w:tc>
          <w:tcPr>
            <w:tcW w:w="1556" w:type="dxa"/>
            <w:vAlign w:val="center"/>
          </w:tcPr>
          <w:p w14:paraId="031869E0">
            <w:pPr>
              <w:jc w:val="center"/>
              <w:rPr>
                <w:rFonts w:hint="eastAsia" w:ascii="宋体" w:hAnsi="宋体" w:cs="宋体"/>
                <w:color w:val="auto"/>
                <w:sz w:val="24"/>
                <w:szCs w:val="24"/>
              </w:rPr>
            </w:pPr>
          </w:p>
        </w:tc>
        <w:tc>
          <w:tcPr>
            <w:tcW w:w="1207" w:type="dxa"/>
            <w:vAlign w:val="center"/>
          </w:tcPr>
          <w:p w14:paraId="5AA2643B">
            <w:pPr>
              <w:jc w:val="center"/>
              <w:rPr>
                <w:rFonts w:hint="eastAsia" w:ascii="宋体" w:hAnsi="宋体" w:cs="宋体"/>
                <w:color w:val="auto"/>
                <w:sz w:val="24"/>
                <w:szCs w:val="24"/>
              </w:rPr>
            </w:pPr>
          </w:p>
        </w:tc>
      </w:tr>
      <w:tr w14:paraId="14A7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10" w:type="dxa"/>
            <w:vAlign w:val="center"/>
          </w:tcPr>
          <w:p w14:paraId="5484AC3D">
            <w:pPr>
              <w:jc w:val="center"/>
              <w:rPr>
                <w:rFonts w:hint="eastAsia" w:ascii="宋体" w:hAnsi="宋体" w:cs="宋体"/>
                <w:color w:val="auto"/>
                <w:sz w:val="24"/>
                <w:szCs w:val="24"/>
              </w:rPr>
            </w:pPr>
            <w:r>
              <w:rPr>
                <w:rFonts w:hint="eastAsia" w:ascii="宋体" w:hAnsi="宋体" w:cs="宋体"/>
                <w:color w:val="auto"/>
                <w:sz w:val="24"/>
                <w:szCs w:val="24"/>
              </w:rPr>
              <w:t>.....</w:t>
            </w:r>
          </w:p>
        </w:tc>
        <w:tc>
          <w:tcPr>
            <w:tcW w:w="908" w:type="dxa"/>
            <w:vAlign w:val="center"/>
          </w:tcPr>
          <w:p w14:paraId="00D095F4">
            <w:pPr>
              <w:jc w:val="center"/>
              <w:rPr>
                <w:rFonts w:hint="eastAsia" w:ascii="宋体" w:hAnsi="宋体" w:cs="宋体"/>
                <w:color w:val="auto"/>
                <w:sz w:val="24"/>
                <w:szCs w:val="24"/>
              </w:rPr>
            </w:pPr>
          </w:p>
        </w:tc>
        <w:tc>
          <w:tcPr>
            <w:tcW w:w="1204" w:type="dxa"/>
            <w:vAlign w:val="center"/>
          </w:tcPr>
          <w:p w14:paraId="5D15536F">
            <w:pPr>
              <w:jc w:val="center"/>
              <w:rPr>
                <w:rFonts w:hint="eastAsia" w:ascii="宋体" w:hAnsi="宋体" w:cs="宋体"/>
                <w:color w:val="auto"/>
                <w:sz w:val="24"/>
                <w:szCs w:val="24"/>
              </w:rPr>
            </w:pPr>
          </w:p>
        </w:tc>
        <w:tc>
          <w:tcPr>
            <w:tcW w:w="1304" w:type="dxa"/>
            <w:vAlign w:val="center"/>
          </w:tcPr>
          <w:p w14:paraId="162EA018">
            <w:pPr>
              <w:jc w:val="center"/>
              <w:rPr>
                <w:rFonts w:hint="eastAsia" w:ascii="宋体" w:hAnsi="宋体" w:cs="宋体"/>
                <w:color w:val="auto"/>
                <w:sz w:val="24"/>
                <w:szCs w:val="24"/>
              </w:rPr>
            </w:pPr>
          </w:p>
        </w:tc>
        <w:tc>
          <w:tcPr>
            <w:tcW w:w="1243" w:type="dxa"/>
            <w:vAlign w:val="center"/>
          </w:tcPr>
          <w:p w14:paraId="15C084B3">
            <w:pPr>
              <w:jc w:val="center"/>
              <w:rPr>
                <w:rFonts w:hint="eastAsia" w:ascii="宋体" w:hAnsi="宋体" w:cs="宋体"/>
                <w:color w:val="auto"/>
                <w:sz w:val="24"/>
                <w:szCs w:val="24"/>
              </w:rPr>
            </w:pPr>
          </w:p>
        </w:tc>
        <w:tc>
          <w:tcPr>
            <w:tcW w:w="744" w:type="dxa"/>
            <w:vAlign w:val="center"/>
          </w:tcPr>
          <w:p w14:paraId="15AF818D">
            <w:pPr>
              <w:jc w:val="center"/>
              <w:rPr>
                <w:rFonts w:hint="eastAsia" w:ascii="宋体" w:hAnsi="宋体" w:cs="宋体"/>
                <w:color w:val="auto"/>
                <w:sz w:val="24"/>
                <w:szCs w:val="24"/>
              </w:rPr>
            </w:pPr>
          </w:p>
        </w:tc>
        <w:tc>
          <w:tcPr>
            <w:tcW w:w="1556" w:type="dxa"/>
            <w:vAlign w:val="center"/>
          </w:tcPr>
          <w:p w14:paraId="0909AC62">
            <w:pPr>
              <w:jc w:val="center"/>
              <w:rPr>
                <w:rFonts w:hint="eastAsia" w:ascii="宋体" w:hAnsi="宋体" w:cs="宋体"/>
                <w:color w:val="auto"/>
                <w:sz w:val="24"/>
                <w:szCs w:val="24"/>
              </w:rPr>
            </w:pPr>
          </w:p>
        </w:tc>
        <w:tc>
          <w:tcPr>
            <w:tcW w:w="1207" w:type="dxa"/>
            <w:vAlign w:val="center"/>
          </w:tcPr>
          <w:p w14:paraId="5326DAE1">
            <w:pPr>
              <w:jc w:val="center"/>
              <w:rPr>
                <w:rFonts w:hint="eastAsia" w:ascii="宋体" w:hAnsi="宋体" w:cs="宋体"/>
                <w:color w:val="auto"/>
                <w:sz w:val="24"/>
                <w:szCs w:val="24"/>
              </w:rPr>
            </w:pPr>
          </w:p>
        </w:tc>
      </w:tr>
    </w:tbl>
    <w:p w14:paraId="06904DB4">
      <w:pPr>
        <w:spacing w:line="312" w:lineRule="auto"/>
        <w:ind w:firstLine="442" w:firstLineChars="200"/>
        <w:rPr>
          <w:rFonts w:ascii="宋体" w:hAnsi="宋体"/>
          <w:b/>
          <w:bCs/>
          <w:color w:val="auto"/>
          <w:sz w:val="22"/>
          <w:szCs w:val="22"/>
        </w:rPr>
      </w:pPr>
      <w:r>
        <w:rPr>
          <w:rFonts w:hint="eastAsia" w:ascii="宋体" w:hAnsi="宋体"/>
          <w:b/>
          <w:bCs/>
          <w:color w:val="auto"/>
          <w:sz w:val="22"/>
          <w:szCs w:val="22"/>
        </w:rPr>
        <w:t>注意：</w:t>
      </w:r>
      <w:r>
        <w:rPr>
          <w:rFonts w:ascii="宋体" w:hAnsi="宋体"/>
          <w:b/>
          <w:bCs/>
          <w:color w:val="auto"/>
          <w:sz w:val="22"/>
          <w:szCs w:val="22"/>
        </w:rPr>
        <w:t>供应商对竞争性磋商文件采购需求中列明的技术要求内容作出一对一应答，要求真实、准确，应答要有具体内容，并在响应文件格式“技术规格偏离表”中的“结论”处填写“正偏离/负偏离/无偏离”。</w:t>
      </w:r>
    </w:p>
    <w:p w14:paraId="6901ABA2">
      <w:pPr>
        <w:pStyle w:val="15"/>
        <w:spacing w:before="0" w:beforeAutospacing="0" w:after="0" w:line="360" w:lineRule="auto"/>
        <w:jc w:val="left"/>
        <w:rPr>
          <w:rFonts w:hint="eastAsia" w:ascii="宋体" w:hAnsi="宋体"/>
          <w:color w:val="auto"/>
          <w:sz w:val="24"/>
          <w:szCs w:val="24"/>
        </w:rPr>
      </w:pPr>
    </w:p>
    <w:p w14:paraId="00225D5E">
      <w:pPr>
        <w:pStyle w:val="15"/>
        <w:spacing w:before="0" w:beforeAutospacing="0" w:after="0" w:line="360" w:lineRule="auto"/>
        <w:jc w:val="left"/>
        <w:rPr>
          <w:rFonts w:hint="eastAsia" w:ascii="宋体" w:hAnsi="宋体"/>
          <w:color w:val="auto"/>
          <w:sz w:val="24"/>
          <w:szCs w:val="24"/>
        </w:rPr>
      </w:pPr>
    </w:p>
    <w:p w14:paraId="416487C3">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48B9088D">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7D89E0BC">
      <w:pPr>
        <w:spacing w:line="360" w:lineRule="auto"/>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2D7F927F">
      <w:pPr>
        <w:pStyle w:val="3"/>
        <w:spacing w:before="0" w:after="0"/>
        <w:jc w:val="center"/>
        <w:rPr>
          <w:rFonts w:hint="eastAsia" w:ascii="宋体" w:hAnsi="宋体" w:eastAsia="宋体" w:cs="宋体"/>
          <w:color w:val="auto"/>
          <w:sz w:val="28"/>
          <w:szCs w:val="28"/>
        </w:rPr>
      </w:pPr>
      <w:bookmarkStart w:id="962" w:name="_Toc31665"/>
      <w:bookmarkEnd w:id="962"/>
      <w:bookmarkStart w:id="963" w:name="_Toc19703"/>
      <w:r>
        <w:rPr>
          <w:rFonts w:hint="eastAsia" w:ascii="宋体" w:hAnsi="宋体" w:eastAsia="宋体" w:cs="宋体"/>
          <w:color w:val="auto"/>
          <w:sz w:val="28"/>
          <w:szCs w:val="28"/>
        </w:rPr>
        <w:br w:type="page"/>
      </w:r>
      <w:bookmarkStart w:id="964" w:name="_Toc7354"/>
      <w:r>
        <w:rPr>
          <w:rFonts w:hint="eastAsia" w:ascii="宋体" w:hAnsi="宋体" w:eastAsia="宋体" w:cs="宋体"/>
          <w:color w:val="auto"/>
          <w:sz w:val="28"/>
          <w:szCs w:val="28"/>
        </w:rPr>
        <w:t>七、商务条款偏离表</w:t>
      </w:r>
      <w:bookmarkEnd w:id="963"/>
      <w:bookmarkEnd w:id="964"/>
    </w:p>
    <w:tbl>
      <w:tblPr>
        <w:tblStyle w:val="41"/>
        <w:tblW w:w="8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36"/>
        <w:gridCol w:w="1622"/>
        <w:gridCol w:w="1311"/>
        <w:gridCol w:w="2129"/>
        <w:gridCol w:w="829"/>
      </w:tblGrid>
      <w:tr w14:paraId="602D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1223D1E7">
            <w:pPr>
              <w:jc w:val="center"/>
              <w:rPr>
                <w:rFonts w:hint="eastAsia" w:ascii="宋体" w:hAnsi="宋体" w:cs="宋体"/>
                <w:b/>
                <w:bCs/>
                <w:color w:val="auto"/>
                <w:sz w:val="24"/>
                <w:szCs w:val="24"/>
              </w:rPr>
            </w:pPr>
            <w:r>
              <w:rPr>
                <w:rFonts w:hint="eastAsia" w:ascii="宋体" w:hAnsi="宋体" w:cs="宋体"/>
                <w:b/>
                <w:bCs/>
                <w:color w:val="auto"/>
                <w:sz w:val="24"/>
                <w:szCs w:val="24"/>
              </w:rPr>
              <w:t>序号</w:t>
            </w:r>
          </w:p>
        </w:tc>
        <w:tc>
          <w:tcPr>
            <w:tcW w:w="1436" w:type="dxa"/>
            <w:vAlign w:val="center"/>
          </w:tcPr>
          <w:p w14:paraId="03385480">
            <w:pPr>
              <w:jc w:val="center"/>
              <w:rPr>
                <w:rFonts w:hint="eastAsia" w:ascii="宋体" w:hAnsi="宋体" w:cs="宋体"/>
                <w:b/>
                <w:bCs/>
                <w:color w:val="auto"/>
                <w:sz w:val="24"/>
                <w:szCs w:val="24"/>
              </w:rPr>
            </w:pPr>
            <w:r>
              <w:rPr>
                <w:rFonts w:hint="eastAsia" w:ascii="宋体" w:hAnsi="宋体" w:cs="宋体"/>
                <w:b/>
                <w:bCs/>
                <w:color w:val="auto"/>
                <w:sz w:val="24"/>
                <w:szCs w:val="24"/>
              </w:rPr>
              <w:t>项 目</w:t>
            </w:r>
          </w:p>
        </w:tc>
        <w:tc>
          <w:tcPr>
            <w:tcW w:w="1622" w:type="dxa"/>
            <w:vAlign w:val="center"/>
          </w:tcPr>
          <w:p w14:paraId="230E7437">
            <w:pPr>
              <w:jc w:val="center"/>
              <w:rPr>
                <w:rFonts w:hint="eastAsia" w:ascii="宋体" w:hAnsi="宋体" w:cs="宋体"/>
                <w:b/>
                <w:bCs/>
                <w:color w:val="auto"/>
                <w:sz w:val="24"/>
                <w:szCs w:val="24"/>
              </w:rPr>
            </w:pPr>
            <w:r>
              <w:rPr>
                <w:rFonts w:hint="eastAsia" w:ascii="宋体" w:hAnsi="宋体" w:cs="宋体"/>
                <w:b/>
                <w:bCs/>
                <w:color w:val="auto"/>
                <w:sz w:val="24"/>
                <w:szCs w:val="24"/>
              </w:rPr>
              <w:t>磋商文件要求</w:t>
            </w:r>
          </w:p>
        </w:tc>
        <w:tc>
          <w:tcPr>
            <w:tcW w:w="1311" w:type="dxa"/>
            <w:vAlign w:val="center"/>
          </w:tcPr>
          <w:p w14:paraId="7C8D20EB">
            <w:pPr>
              <w:jc w:val="center"/>
              <w:rPr>
                <w:rFonts w:hint="eastAsia" w:ascii="宋体" w:hAnsi="宋体" w:cs="宋体"/>
                <w:b/>
                <w:bCs/>
                <w:color w:val="auto"/>
                <w:sz w:val="24"/>
                <w:szCs w:val="24"/>
              </w:rPr>
            </w:pPr>
            <w:r>
              <w:rPr>
                <w:rFonts w:hint="eastAsia" w:ascii="宋体" w:hAnsi="宋体" w:cs="宋体"/>
                <w:b/>
                <w:bCs/>
                <w:color w:val="auto"/>
                <w:sz w:val="24"/>
                <w:szCs w:val="24"/>
              </w:rPr>
              <w:t>响应情况</w:t>
            </w:r>
          </w:p>
        </w:tc>
        <w:tc>
          <w:tcPr>
            <w:tcW w:w="2129" w:type="dxa"/>
            <w:vAlign w:val="center"/>
          </w:tcPr>
          <w:p w14:paraId="4D34DE64">
            <w:pPr>
              <w:jc w:val="center"/>
              <w:rPr>
                <w:rFonts w:hint="eastAsia" w:ascii="宋体" w:hAnsi="宋体" w:cs="宋体"/>
                <w:b/>
                <w:bCs/>
                <w:color w:val="auto"/>
                <w:sz w:val="24"/>
                <w:szCs w:val="24"/>
              </w:rPr>
            </w:pPr>
            <w:r>
              <w:rPr>
                <w:rFonts w:hint="eastAsia" w:ascii="宋体" w:hAnsi="宋体" w:cs="宋体"/>
                <w:b/>
                <w:bCs/>
                <w:color w:val="auto"/>
                <w:sz w:val="24"/>
                <w:szCs w:val="24"/>
              </w:rPr>
              <w:t>偏离情况（正偏离/负偏离/无偏离）</w:t>
            </w:r>
          </w:p>
        </w:tc>
        <w:tc>
          <w:tcPr>
            <w:tcW w:w="829" w:type="dxa"/>
            <w:vAlign w:val="center"/>
          </w:tcPr>
          <w:p w14:paraId="0044884F">
            <w:pPr>
              <w:jc w:val="center"/>
              <w:rPr>
                <w:rFonts w:hint="eastAsia" w:ascii="宋体" w:hAnsi="宋体" w:cs="宋体"/>
                <w:b/>
                <w:bCs/>
                <w:color w:val="auto"/>
                <w:sz w:val="24"/>
                <w:szCs w:val="24"/>
              </w:rPr>
            </w:pPr>
            <w:r>
              <w:rPr>
                <w:rFonts w:hint="eastAsia" w:ascii="宋体" w:hAnsi="宋体" w:cs="宋体"/>
                <w:b/>
                <w:bCs/>
                <w:color w:val="auto"/>
                <w:sz w:val="24"/>
                <w:szCs w:val="24"/>
              </w:rPr>
              <w:t>备注</w:t>
            </w:r>
          </w:p>
        </w:tc>
      </w:tr>
      <w:tr w14:paraId="794F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5EE9CBEC">
            <w:pPr>
              <w:jc w:val="center"/>
              <w:rPr>
                <w:rFonts w:hint="eastAsia" w:ascii="宋体" w:hAnsi="宋体" w:cs="宋体"/>
                <w:color w:val="auto"/>
                <w:sz w:val="24"/>
                <w:szCs w:val="24"/>
              </w:rPr>
            </w:pPr>
            <w:r>
              <w:rPr>
                <w:rFonts w:hint="eastAsia" w:ascii="宋体" w:hAnsi="宋体" w:cs="宋体"/>
                <w:color w:val="auto"/>
                <w:sz w:val="24"/>
                <w:szCs w:val="24"/>
              </w:rPr>
              <w:t>1</w:t>
            </w:r>
          </w:p>
        </w:tc>
        <w:tc>
          <w:tcPr>
            <w:tcW w:w="1436" w:type="dxa"/>
            <w:vAlign w:val="center"/>
          </w:tcPr>
          <w:p w14:paraId="4A410FAD">
            <w:pPr>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采购内容</w:t>
            </w:r>
          </w:p>
        </w:tc>
        <w:tc>
          <w:tcPr>
            <w:tcW w:w="1622" w:type="dxa"/>
            <w:vAlign w:val="center"/>
          </w:tcPr>
          <w:p w14:paraId="3D032BC0">
            <w:pPr>
              <w:jc w:val="center"/>
              <w:rPr>
                <w:rFonts w:hint="eastAsia" w:ascii="宋体" w:hAnsi="宋体" w:cs="宋体"/>
                <w:color w:val="auto"/>
                <w:sz w:val="24"/>
                <w:szCs w:val="24"/>
              </w:rPr>
            </w:pPr>
          </w:p>
        </w:tc>
        <w:tc>
          <w:tcPr>
            <w:tcW w:w="1311" w:type="dxa"/>
            <w:vAlign w:val="center"/>
          </w:tcPr>
          <w:p w14:paraId="3DB23EAA">
            <w:pPr>
              <w:jc w:val="center"/>
              <w:rPr>
                <w:rFonts w:hint="eastAsia" w:ascii="宋体" w:hAnsi="宋体" w:cs="宋体"/>
                <w:color w:val="auto"/>
                <w:sz w:val="24"/>
                <w:szCs w:val="24"/>
              </w:rPr>
            </w:pPr>
          </w:p>
        </w:tc>
        <w:tc>
          <w:tcPr>
            <w:tcW w:w="2129" w:type="dxa"/>
            <w:vAlign w:val="center"/>
          </w:tcPr>
          <w:p w14:paraId="7A1AD865">
            <w:pPr>
              <w:jc w:val="center"/>
              <w:rPr>
                <w:rFonts w:hint="eastAsia" w:ascii="宋体" w:hAnsi="宋体" w:cs="宋体"/>
                <w:color w:val="auto"/>
                <w:sz w:val="24"/>
                <w:szCs w:val="24"/>
              </w:rPr>
            </w:pPr>
          </w:p>
        </w:tc>
        <w:tc>
          <w:tcPr>
            <w:tcW w:w="829" w:type="dxa"/>
            <w:vAlign w:val="center"/>
          </w:tcPr>
          <w:p w14:paraId="72EC9652">
            <w:pPr>
              <w:jc w:val="center"/>
              <w:rPr>
                <w:rFonts w:hint="eastAsia" w:ascii="宋体" w:hAnsi="宋体" w:cs="宋体"/>
                <w:color w:val="auto"/>
                <w:sz w:val="24"/>
                <w:szCs w:val="24"/>
              </w:rPr>
            </w:pPr>
          </w:p>
        </w:tc>
      </w:tr>
      <w:tr w14:paraId="5C3E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0309006C">
            <w:pPr>
              <w:jc w:val="center"/>
              <w:rPr>
                <w:rFonts w:hint="eastAsia" w:ascii="宋体" w:hAnsi="宋体" w:cs="宋体"/>
                <w:color w:val="auto"/>
                <w:sz w:val="24"/>
                <w:szCs w:val="24"/>
              </w:rPr>
            </w:pPr>
            <w:r>
              <w:rPr>
                <w:rFonts w:hint="eastAsia" w:ascii="宋体" w:hAnsi="宋体" w:cs="宋体"/>
                <w:color w:val="auto"/>
                <w:sz w:val="24"/>
                <w:szCs w:val="24"/>
              </w:rPr>
              <w:t>2</w:t>
            </w:r>
          </w:p>
        </w:tc>
        <w:tc>
          <w:tcPr>
            <w:tcW w:w="1436" w:type="dxa"/>
            <w:vAlign w:val="center"/>
          </w:tcPr>
          <w:p w14:paraId="0B61EDA7">
            <w:pPr>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交货地点</w:t>
            </w:r>
          </w:p>
        </w:tc>
        <w:tc>
          <w:tcPr>
            <w:tcW w:w="1622" w:type="dxa"/>
            <w:vAlign w:val="center"/>
          </w:tcPr>
          <w:p w14:paraId="46E6DEE9">
            <w:pPr>
              <w:jc w:val="center"/>
              <w:rPr>
                <w:rFonts w:hint="eastAsia" w:ascii="宋体" w:hAnsi="宋体" w:cs="宋体"/>
                <w:color w:val="auto"/>
                <w:sz w:val="24"/>
                <w:szCs w:val="24"/>
              </w:rPr>
            </w:pPr>
          </w:p>
        </w:tc>
        <w:tc>
          <w:tcPr>
            <w:tcW w:w="1311" w:type="dxa"/>
            <w:vAlign w:val="center"/>
          </w:tcPr>
          <w:p w14:paraId="220266CE">
            <w:pPr>
              <w:jc w:val="center"/>
              <w:rPr>
                <w:rFonts w:hint="eastAsia" w:ascii="宋体" w:hAnsi="宋体" w:cs="宋体"/>
                <w:color w:val="auto"/>
                <w:sz w:val="24"/>
                <w:szCs w:val="24"/>
              </w:rPr>
            </w:pPr>
          </w:p>
        </w:tc>
        <w:tc>
          <w:tcPr>
            <w:tcW w:w="2129" w:type="dxa"/>
            <w:vAlign w:val="center"/>
          </w:tcPr>
          <w:p w14:paraId="512EB30B">
            <w:pPr>
              <w:jc w:val="center"/>
              <w:rPr>
                <w:rFonts w:hint="eastAsia" w:ascii="宋体" w:hAnsi="宋体" w:cs="宋体"/>
                <w:color w:val="auto"/>
                <w:sz w:val="24"/>
                <w:szCs w:val="24"/>
              </w:rPr>
            </w:pPr>
          </w:p>
        </w:tc>
        <w:tc>
          <w:tcPr>
            <w:tcW w:w="829" w:type="dxa"/>
            <w:vAlign w:val="center"/>
          </w:tcPr>
          <w:p w14:paraId="07978E68">
            <w:pPr>
              <w:jc w:val="center"/>
              <w:rPr>
                <w:rFonts w:hint="eastAsia" w:ascii="宋体" w:hAnsi="宋体" w:cs="宋体"/>
                <w:color w:val="auto"/>
                <w:sz w:val="24"/>
                <w:szCs w:val="24"/>
              </w:rPr>
            </w:pPr>
          </w:p>
        </w:tc>
      </w:tr>
      <w:tr w14:paraId="7BC8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73CB2FDA">
            <w:pPr>
              <w:jc w:val="center"/>
              <w:rPr>
                <w:rFonts w:hint="eastAsia" w:ascii="宋体" w:hAnsi="宋体" w:cs="宋体"/>
                <w:color w:val="auto"/>
                <w:sz w:val="24"/>
                <w:szCs w:val="24"/>
              </w:rPr>
            </w:pPr>
            <w:r>
              <w:rPr>
                <w:rFonts w:hint="eastAsia" w:ascii="宋体" w:hAnsi="宋体" w:cs="宋体"/>
                <w:color w:val="auto"/>
                <w:sz w:val="24"/>
                <w:szCs w:val="24"/>
              </w:rPr>
              <w:t>3</w:t>
            </w:r>
          </w:p>
        </w:tc>
        <w:tc>
          <w:tcPr>
            <w:tcW w:w="1436" w:type="dxa"/>
            <w:vAlign w:val="center"/>
          </w:tcPr>
          <w:p w14:paraId="54F7B242">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交货期</w:t>
            </w:r>
          </w:p>
        </w:tc>
        <w:tc>
          <w:tcPr>
            <w:tcW w:w="1622" w:type="dxa"/>
            <w:vAlign w:val="center"/>
          </w:tcPr>
          <w:p w14:paraId="3D7E75C1">
            <w:pPr>
              <w:jc w:val="center"/>
              <w:rPr>
                <w:rFonts w:hint="eastAsia" w:ascii="宋体" w:hAnsi="宋体" w:cs="宋体"/>
                <w:color w:val="auto"/>
                <w:sz w:val="24"/>
                <w:szCs w:val="24"/>
              </w:rPr>
            </w:pPr>
          </w:p>
        </w:tc>
        <w:tc>
          <w:tcPr>
            <w:tcW w:w="1311" w:type="dxa"/>
            <w:vAlign w:val="center"/>
          </w:tcPr>
          <w:p w14:paraId="3778368B">
            <w:pPr>
              <w:jc w:val="center"/>
              <w:rPr>
                <w:rFonts w:hint="eastAsia" w:ascii="宋体" w:hAnsi="宋体" w:cs="宋体"/>
                <w:color w:val="auto"/>
                <w:sz w:val="24"/>
                <w:szCs w:val="24"/>
              </w:rPr>
            </w:pPr>
          </w:p>
        </w:tc>
        <w:tc>
          <w:tcPr>
            <w:tcW w:w="2129" w:type="dxa"/>
            <w:vAlign w:val="center"/>
          </w:tcPr>
          <w:p w14:paraId="19D14CA3">
            <w:pPr>
              <w:jc w:val="center"/>
              <w:rPr>
                <w:rFonts w:hint="eastAsia" w:ascii="宋体" w:hAnsi="宋体" w:cs="宋体"/>
                <w:color w:val="auto"/>
                <w:sz w:val="24"/>
                <w:szCs w:val="24"/>
              </w:rPr>
            </w:pPr>
          </w:p>
        </w:tc>
        <w:tc>
          <w:tcPr>
            <w:tcW w:w="829" w:type="dxa"/>
            <w:vAlign w:val="center"/>
          </w:tcPr>
          <w:p w14:paraId="0D75D066">
            <w:pPr>
              <w:jc w:val="center"/>
              <w:rPr>
                <w:rFonts w:hint="eastAsia" w:ascii="宋体" w:hAnsi="宋体" w:cs="宋体"/>
                <w:color w:val="auto"/>
                <w:sz w:val="24"/>
                <w:szCs w:val="24"/>
              </w:rPr>
            </w:pPr>
          </w:p>
        </w:tc>
      </w:tr>
      <w:tr w14:paraId="4C44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5AFA2A17">
            <w:pPr>
              <w:jc w:val="center"/>
              <w:rPr>
                <w:rFonts w:hint="eastAsia" w:ascii="宋体" w:hAnsi="宋体" w:cs="宋体"/>
                <w:color w:val="auto"/>
                <w:sz w:val="24"/>
                <w:szCs w:val="24"/>
              </w:rPr>
            </w:pPr>
            <w:r>
              <w:rPr>
                <w:rFonts w:hint="eastAsia" w:ascii="宋体" w:hAnsi="宋体" w:cs="宋体"/>
                <w:color w:val="auto"/>
                <w:sz w:val="24"/>
                <w:szCs w:val="24"/>
              </w:rPr>
              <w:t>4</w:t>
            </w:r>
          </w:p>
        </w:tc>
        <w:tc>
          <w:tcPr>
            <w:tcW w:w="1436" w:type="dxa"/>
            <w:vAlign w:val="center"/>
          </w:tcPr>
          <w:p w14:paraId="4A2D9862">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质量要求</w:t>
            </w:r>
          </w:p>
        </w:tc>
        <w:tc>
          <w:tcPr>
            <w:tcW w:w="1622" w:type="dxa"/>
            <w:vAlign w:val="center"/>
          </w:tcPr>
          <w:p w14:paraId="523BD43F">
            <w:pPr>
              <w:jc w:val="center"/>
              <w:rPr>
                <w:rFonts w:hint="eastAsia" w:ascii="宋体" w:hAnsi="宋体" w:cs="宋体"/>
                <w:color w:val="auto"/>
                <w:sz w:val="24"/>
                <w:szCs w:val="24"/>
              </w:rPr>
            </w:pPr>
          </w:p>
        </w:tc>
        <w:tc>
          <w:tcPr>
            <w:tcW w:w="1311" w:type="dxa"/>
            <w:vAlign w:val="center"/>
          </w:tcPr>
          <w:p w14:paraId="5C4A5D43">
            <w:pPr>
              <w:jc w:val="center"/>
              <w:rPr>
                <w:rFonts w:hint="eastAsia" w:ascii="宋体" w:hAnsi="宋体" w:cs="宋体"/>
                <w:color w:val="auto"/>
                <w:sz w:val="24"/>
                <w:szCs w:val="24"/>
              </w:rPr>
            </w:pPr>
          </w:p>
        </w:tc>
        <w:tc>
          <w:tcPr>
            <w:tcW w:w="2129" w:type="dxa"/>
            <w:vAlign w:val="center"/>
          </w:tcPr>
          <w:p w14:paraId="2BE8AE28">
            <w:pPr>
              <w:jc w:val="center"/>
              <w:rPr>
                <w:rFonts w:hint="eastAsia" w:ascii="宋体" w:hAnsi="宋体" w:cs="宋体"/>
                <w:color w:val="auto"/>
                <w:sz w:val="24"/>
                <w:szCs w:val="24"/>
              </w:rPr>
            </w:pPr>
          </w:p>
        </w:tc>
        <w:tc>
          <w:tcPr>
            <w:tcW w:w="829" w:type="dxa"/>
            <w:vAlign w:val="center"/>
          </w:tcPr>
          <w:p w14:paraId="186DEDB4">
            <w:pPr>
              <w:jc w:val="center"/>
              <w:rPr>
                <w:rFonts w:hint="eastAsia" w:ascii="宋体" w:hAnsi="宋体" w:cs="宋体"/>
                <w:color w:val="auto"/>
                <w:sz w:val="24"/>
                <w:szCs w:val="24"/>
              </w:rPr>
            </w:pPr>
          </w:p>
        </w:tc>
      </w:tr>
      <w:tr w14:paraId="1AC4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08CEA023">
            <w:pPr>
              <w:jc w:val="center"/>
              <w:rPr>
                <w:rFonts w:hint="eastAsia" w:ascii="宋体" w:hAnsi="宋体" w:cs="宋体"/>
                <w:color w:val="auto"/>
                <w:sz w:val="24"/>
                <w:szCs w:val="24"/>
              </w:rPr>
            </w:pPr>
            <w:r>
              <w:rPr>
                <w:rFonts w:hint="eastAsia" w:ascii="宋体" w:hAnsi="宋体" w:cs="宋体"/>
                <w:color w:val="auto"/>
                <w:sz w:val="24"/>
                <w:szCs w:val="24"/>
              </w:rPr>
              <w:t>5</w:t>
            </w:r>
          </w:p>
        </w:tc>
        <w:tc>
          <w:tcPr>
            <w:tcW w:w="1436" w:type="dxa"/>
            <w:vAlign w:val="center"/>
          </w:tcPr>
          <w:p w14:paraId="79E2230C">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质保期</w:t>
            </w:r>
          </w:p>
        </w:tc>
        <w:tc>
          <w:tcPr>
            <w:tcW w:w="1622" w:type="dxa"/>
            <w:vAlign w:val="center"/>
          </w:tcPr>
          <w:p w14:paraId="7367765F">
            <w:pPr>
              <w:jc w:val="center"/>
              <w:rPr>
                <w:rFonts w:hint="eastAsia" w:ascii="宋体" w:hAnsi="宋体" w:cs="宋体"/>
                <w:color w:val="auto"/>
                <w:sz w:val="24"/>
                <w:szCs w:val="24"/>
              </w:rPr>
            </w:pPr>
          </w:p>
        </w:tc>
        <w:tc>
          <w:tcPr>
            <w:tcW w:w="1311" w:type="dxa"/>
            <w:vAlign w:val="center"/>
          </w:tcPr>
          <w:p w14:paraId="633513D2">
            <w:pPr>
              <w:jc w:val="center"/>
              <w:rPr>
                <w:rFonts w:hint="eastAsia" w:ascii="宋体" w:hAnsi="宋体" w:cs="宋体"/>
                <w:color w:val="auto"/>
                <w:sz w:val="24"/>
                <w:szCs w:val="24"/>
              </w:rPr>
            </w:pPr>
          </w:p>
        </w:tc>
        <w:tc>
          <w:tcPr>
            <w:tcW w:w="2129" w:type="dxa"/>
            <w:vAlign w:val="center"/>
          </w:tcPr>
          <w:p w14:paraId="06463C21">
            <w:pPr>
              <w:jc w:val="center"/>
              <w:rPr>
                <w:rFonts w:hint="eastAsia" w:ascii="宋体" w:hAnsi="宋体" w:cs="宋体"/>
                <w:color w:val="auto"/>
                <w:sz w:val="24"/>
                <w:szCs w:val="24"/>
              </w:rPr>
            </w:pPr>
          </w:p>
        </w:tc>
        <w:tc>
          <w:tcPr>
            <w:tcW w:w="829" w:type="dxa"/>
            <w:vAlign w:val="center"/>
          </w:tcPr>
          <w:p w14:paraId="4F7D737D">
            <w:pPr>
              <w:jc w:val="center"/>
              <w:rPr>
                <w:rFonts w:hint="eastAsia" w:ascii="宋体" w:hAnsi="宋体" w:cs="宋体"/>
                <w:color w:val="auto"/>
                <w:sz w:val="24"/>
                <w:szCs w:val="24"/>
              </w:rPr>
            </w:pPr>
          </w:p>
        </w:tc>
      </w:tr>
      <w:tr w14:paraId="3777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40" w:type="dxa"/>
            <w:vAlign w:val="center"/>
          </w:tcPr>
          <w:p w14:paraId="784DA95A">
            <w:pPr>
              <w:jc w:val="center"/>
              <w:rPr>
                <w:rFonts w:hint="eastAsia" w:ascii="宋体" w:hAnsi="宋体" w:cs="宋体"/>
                <w:color w:val="auto"/>
                <w:sz w:val="24"/>
                <w:szCs w:val="24"/>
              </w:rPr>
            </w:pPr>
            <w:r>
              <w:rPr>
                <w:rFonts w:hint="eastAsia" w:ascii="宋体" w:hAnsi="宋体" w:cs="宋体"/>
                <w:color w:val="auto"/>
                <w:sz w:val="24"/>
                <w:szCs w:val="24"/>
              </w:rPr>
              <w:t>6</w:t>
            </w:r>
          </w:p>
        </w:tc>
        <w:tc>
          <w:tcPr>
            <w:tcW w:w="1436" w:type="dxa"/>
            <w:vAlign w:val="center"/>
          </w:tcPr>
          <w:p w14:paraId="5666E066">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磋商有效期</w:t>
            </w:r>
          </w:p>
        </w:tc>
        <w:tc>
          <w:tcPr>
            <w:tcW w:w="1622" w:type="dxa"/>
            <w:vAlign w:val="center"/>
          </w:tcPr>
          <w:p w14:paraId="43BB88E3">
            <w:pPr>
              <w:jc w:val="center"/>
              <w:rPr>
                <w:rFonts w:hint="eastAsia" w:ascii="宋体" w:hAnsi="宋体" w:cs="宋体"/>
                <w:color w:val="auto"/>
                <w:sz w:val="24"/>
                <w:szCs w:val="24"/>
              </w:rPr>
            </w:pPr>
          </w:p>
        </w:tc>
        <w:tc>
          <w:tcPr>
            <w:tcW w:w="1311" w:type="dxa"/>
            <w:vAlign w:val="center"/>
          </w:tcPr>
          <w:p w14:paraId="0C7F5285">
            <w:pPr>
              <w:jc w:val="center"/>
              <w:rPr>
                <w:rFonts w:hint="eastAsia" w:ascii="宋体" w:hAnsi="宋体" w:cs="宋体"/>
                <w:color w:val="auto"/>
                <w:sz w:val="24"/>
                <w:szCs w:val="24"/>
              </w:rPr>
            </w:pPr>
          </w:p>
        </w:tc>
        <w:tc>
          <w:tcPr>
            <w:tcW w:w="2129" w:type="dxa"/>
            <w:vAlign w:val="center"/>
          </w:tcPr>
          <w:p w14:paraId="0B8D7AEE">
            <w:pPr>
              <w:jc w:val="center"/>
              <w:rPr>
                <w:rFonts w:hint="eastAsia" w:ascii="宋体" w:hAnsi="宋体" w:cs="宋体"/>
                <w:color w:val="auto"/>
                <w:sz w:val="24"/>
                <w:szCs w:val="24"/>
              </w:rPr>
            </w:pPr>
          </w:p>
        </w:tc>
        <w:tc>
          <w:tcPr>
            <w:tcW w:w="829" w:type="dxa"/>
            <w:vAlign w:val="center"/>
          </w:tcPr>
          <w:p w14:paraId="4DB1C24B">
            <w:pPr>
              <w:jc w:val="center"/>
              <w:rPr>
                <w:rFonts w:hint="eastAsia" w:ascii="宋体" w:hAnsi="宋体" w:cs="宋体"/>
                <w:color w:val="auto"/>
                <w:sz w:val="24"/>
                <w:szCs w:val="24"/>
              </w:rPr>
            </w:pPr>
          </w:p>
        </w:tc>
      </w:tr>
      <w:tr w14:paraId="3719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40" w:type="dxa"/>
            <w:vAlign w:val="center"/>
          </w:tcPr>
          <w:p w14:paraId="02AF3787">
            <w:pPr>
              <w:jc w:val="center"/>
              <w:rPr>
                <w:rFonts w:hint="eastAsia" w:ascii="宋体" w:hAnsi="宋体" w:cs="宋体"/>
                <w:color w:val="auto"/>
                <w:sz w:val="24"/>
                <w:szCs w:val="24"/>
              </w:rPr>
            </w:pPr>
            <w:r>
              <w:rPr>
                <w:rFonts w:hint="eastAsia" w:ascii="宋体" w:hAnsi="宋体" w:cs="宋体"/>
                <w:color w:val="auto"/>
                <w:sz w:val="24"/>
                <w:szCs w:val="24"/>
              </w:rPr>
              <w:t>7</w:t>
            </w:r>
          </w:p>
        </w:tc>
        <w:tc>
          <w:tcPr>
            <w:tcW w:w="1436" w:type="dxa"/>
            <w:vAlign w:val="center"/>
          </w:tcPr>
          <w:p w14:paraId="16F1ECF8">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付款方式</w:t>
            </w:r>
          </w:p>
        </w:tc>
        <w:tc>
          <w:tcPr>
            <w:tcW w:w="1622" w:type="dxa"/>
            <w:vAlign w:val="center"/>
          </w:tcPr>
          <w:p w14:paraId="5A1C9F0A">
            <w:pPr>
              <w:jc w:val="center"/>
              <w:rPr>
                <w:rFonts w:hint="eastAsia" w:ascii="宋体" w:hAnsi="宋体" w:cs="宋体"/>
                <w:color w:val="auto"/>
                <w:sz w:val="24"/>
                <w:szCs w:val="24"/>
              </w:rPr>
            </w:pPr>
          </w:p>
        </w:tc>
        <w:tc>
          <w:tcPr>
            <w:tcW w:w="1311" w:type="dxa"/>
            <w:vAlign w:val="center"/>
          </w:tcPr>
          <w:p w14:paraId="170E3547">
            <w:pPr>
              <w:jc w:val="center"/>
              <w:rPr>
                <w:rFonts w:hint="eastAsia" w:ascii="宋体" w:hAnsi="宋体" w:cs="宋体"/>
                <w:color w:val="auto"/>
                <w:sz w:val="24"/>
                <w:szCs w:val="24"/>
              </w:rPr>
            </w:pPr>
          </w:p>
        </w:tc>
        <w:tc>
          <w:tcPr>
            <w:tcW w:w="2129" w:type="dxa"/>
            <w:vAlign w:val="center"/>
          </w:tcPr>
          <w:p w14:paraId="171E94D3">
            <w:pPr>
              <w:jc w:val="center"/>
              <w:rPr>
                <w:rFonts w:hint="eastAsia" w:ascii="宋体" w:hAnsi="宋体" w:cs="宋体"/>
                <w:color w:val="auto"/>
                <w:sz w:val="24"/>
                <w:szCs w:val="24"/>
              </w:rPr>
            </w:pPr>
          </w:p>
        </w:tc>
        <w:tc>
          <w:tcPr>
            <w:tcW w:w="829" w:type="dxa"/>
            <w:vAlign w:val="center"/>
          </w:tcPr>
          <w:p w14:paraId="0B4026B1">
            <w:pPr>
              <w:jc w:val="center"/>
              <w:rPr>
                <w:rFonts w:hint="eastAsia" w:ascii="宋体" w:hAnsi="宋体" w:cs="宋体"/>
                <w:color w:val="auto"/>
                <w:sz w:val="24"/>
                <w:szCs w:val="24"/>
              </w:rPr>
            </w:pPr>
          </w:p>
        </w:tc>
      </w:tr>
      <w:tr w14:paraId="4CAF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40" w:type="dxa"/>
            <w:vAlign w:val="center"/>
          </w:tcPr>
          <w:p w14:paraId="55E4B39F">
            <w:pPr>
              <w:jc w:val="center"/>
              <w:rPr>
                <w:rFonts w:hint="eastAsia" w:ascii="宋体" w:hAnsi="宋体" w:cs="宋体"/>
                <w:color w:val="auto"/>
                <w:sz w:val="24"/>
                <w:szCs w:val="24"/>
              </w:rPr>
            </w:pPr>
          </w:p>
        </w:tc>
        <w:tc>
          <w:tcPr>
            <w:tcW w:w="1436" w:type="dxa"/>
            <w:vAlign w:val="center"/>
          </w:tcPr>
          <w:p w14:paraId="41CBAF0E">
            <w:pPr>
              <w:spacing w:line="360" w:lineRule="auto"/>
              <w:jc w:val="center"/>
              <w:rPr>
                <w:rFonts w:hint="eastAsia" w:ascii="宋体" w:hAnsi="宋体" w:cs="宋体"/>
                <w:color w:val="auto"/>
                <w:sz w:val="24"/>
                <w:szCs w:val="24"/>
              </w:rPr>
            </w:pPr>
          </w:p>
        </w:tc>
        <w:tc>
          <w:tcPr>
            <w:tcW w:w="1622" w:type="dxa"/>
            <w:vAlign w:val="center"/>
          </w:tcPr>
          <w:p w14:paraId="3E079330">
            <w:pPr>
              <w:jc w:val="center"/>
              <w:rPr>
                <w:rFonts w:hint="eastAsia" w:ascii="宋体" w:hAnsi="宋体" w:cs="宋体"/>
                <w:color w:val="auto"/>
                <w:sz w:val="24"/>
                <w:szCs w:val="24"/>
              </w:rPr>
            </w:pPr>
          </w:p>
        </w:tc>
        <w:tc>
          <w:tcPr>
            <w:tcW w:w="1311" w:type="dxa"/>
            <w:vAlign w:val="center"/>
          </w:tcPr>
          <w:p w14:paraId="43A66FE1">
            <w:pPr>
              <w:jc w:val="center"/>
              <w:rPr>
                <w:rFonts w:hint="eastAsia" w:ascii="宋体" w:hAnsi="宋体" w:cs="宋体"/>
                <w:color w:val="auto"/>
                <w:sz w:val="24"/>
                <w:szCs w:val="24"/>
              </w:rPr>
            </w:pPr>
          </w:p>
        </w:tc>
        <w:tc>
          <w:tcPr>
            <w:tcW w:w="2129" w:type="dxa"/>
            <w:vAlign w:val="center"/>
          </w:tcPr>
          <w:p w14:paraId="631EE39A">
            <w:pPr>
              <w:jc w:val="center"/>
              <w:rPr>
                <w:rFonts w:hint="eastAsia" w:ascii="宋体" w:hAnsi="宋体" w:cs="宋体"/>
                <w:color w:val="auto"/>
                <w:sz w:val="24"/>
                <w:szCs w:val="24"/>
              </w:rPr>
            </w:pPr>
          </w:p>
        </w:tc>
        <w:tc>
          <w:tcPr>
            <w:tcW w:w="829" w:type="dxa"/>
            <w:vAlign w:val="center"/>
          </w:tcPr>
          <w:p w14:paraId="330E751F">
            <w:pPr>
              <w:jc w:val="center"/>
              <w:rPr>
                <w:rFonts w:hint="eastAsia" w:ascii="宋体" w:hAnsi="宋体" w:cs="宋体"/>
                <w:color w:val="auto"/>
                <w:sz w:val="24"/>
                <w:szCs w:val="24"/>
              </w:rPr>
            </w:pPr>
          </w:p>
        </w:tc>
      </w:tr>
      <w:tr w14:paraId="4F1E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40" w:type="dxa"/>
            <w:vAlign w:val="center"/>
          </w:tcPr>
          <w:p w14:paraId="13773FDC">
            <w:pPr>
              <w:jc w:val="center"/>
              <w:rPr>
                <w:rFonts w:hint="eastAsia" w:ascii="宋体" w:hAnsi="宋体" w:cs="宋体"/>
                <w:color w:val="auto"/>
                <w:sz w:val="24"/>
                <w:szCs w:val="24"/>
              </w:rPr>
            </w:pPr>
            <w:r>
              <w:rPr>
                <w:rFonts w:hint="eastAsia" w:ascii="宋体" w:hAnsi="宋体" w:cs="宋体"/>
                <w:color w:val="auto"/>
                <w:sz w:val="24"/>
                <w:szCs w:val="24"/>
              </w:rPr>
              <w:t>.....</w:t>
            </w:r>
          </w:p>
        </w:tc>
        <w:tc>
          <w:tcPr>
            <w:tcW w:w="1436" w:type="dxa"/>
            <w:vAlign w:val="center"/>
          </w:tcPr>
          <w:p w14:paraId="60D987BA">
            <w:pPr>
              <w:spacing w:line="360" w:lineRule="auto"/>
              <w:jc w:val="center"/>
              <w:rPr>
                <w:rFonts w:hint="eastAsia" w:ascii="宋体" w:hAnsi="宋体" w:cs="宋体"/>
                <w:color w:val="auto"/>
                <w:sz w:val="24"/>
                <w:szCs w:val="24"/>
              </w:rPr>
            </w:pPr>
            <w:r>
              <w:rPr>
                <w:rFonts w:hint="eastAsia" w:ascii="宋体" w:hAnsi="宋体" w:cs="宋体"/>
                <w:color w:val="auto"/>
                <w:sz w:val="24"/>
                <w:szCs w:val="24"/>
              </w:rPr>
              <w:t>......</w:t>
            </w:r>
          </w:p>
        </w:tc>
        <w:tc>
          <w:tcPr>
            <w:tcW w:w="1622" w:type="dxa"/>
            <w:vAlign w:val="center"/>
          </w:tcPr>
          <w:p w14:paraId="1438DC3D">
            <w:pPr>
              <w:jc w:val="center"/>
              <w:rPr>
                <w:rFonts w:hint="eastAsia" w:ascii="宋体" w:hAnsi="宋体" w:cs="宋体"/>
                <w:color w:val="auto"/>
                <w:sz w:val="24"/>
                <w:szCs w:val="24"/>
              </w:rPr>
            </w:pPr>
          </w:p>
        </w:tc>
        <w:tc>
          <w:tcPr>
            <w:tcW w:w="1311" w:type="dxa"/>
            <w:vAlign w:val="center"/>
          </w:tcPr>
          <w:p w14:paraId="6465D8B0">
            <w:pPr>
              <w:jc w:val="center"/>
              <w:rPr>
                <w:rFonts w:hint="eastAsia" w:ascii="宋体" w:hAnsi="宋体" w:cs="宋体"/>
                <w:color w:val="auto"/>
                <w:sz w:val="24"/>
                <w:szCs w:val="24"/>
              </w:rPr>
            </w:pPr>
          </w:p>
        </w:tc>
        <w:tc>
          <w:tcPr>
            <w:tcW w:w="2129" w:type="dxa"/>
            <w:vAlign w:val="center"/>
          </w:tcPr>
          <w:p w14:paraId="3236D18C">
            <w:pPr>
              <w:jc w:val="center"/>
              <w:rPr>
                <w:rFonts w:hint="eastAsia" w:ascii="宋体" w:hAnsi="宋体" w:cs="宋体"/>
                <w:color w:val="auto"/>
                <w:sz w:val="24"/>
                <w:szCs w:val="24"/>
              </w:rPr>
            </w:pPr>
          </w:p>
        </w:tc>
        <w:tc>
          <w:tcPr>
            <w:tcW w:w="829" w:type="dxa"/>
            <w:vAlign w:val="center"/>
          </w:tcPr>
          <w:p w14:paraId="7C11BA21">
            <w:pPr>
              <w:jc w:val="center"/>
              <w:rPr>
                <w:rFonts w:hint="eastAsia" w:ascii="宋体" w:hAnsi="宋体" w:cs="宋体"/>
                <w:color w:val="auto"/>
                <w:sz w:val="24"/>
                <w:szCs w:val="24"/>
              </w:rPr>
            </w:pPr>
          </w:p>
        </w:tc>
      </w:tr>
    </w:tbl>
    <w:p w14:paraId="5D8C0289">
      <w:pPr>
        <w:rPr>
          <w:rFonts w:hint="eastAsia" w:ascii="宋体" w:hAnsi="宋体"/>
          <w:color w:val="auto"/>
          <w:sz w:val="24"/>
          <w:szCs w:val="24"/>
        </w:rPr>
      </w:pPr>
    </w:p>
    <w:p w14:paraId="5F4A177C">
      <w:pPr>
        <w:rPr>
          <w:rFonts w:hint="eastAsia" w:ascii="宋体" w:hAnsi="宋体"/>
          <w:color w:val="auto"/>
          <w:sz w:val="24"/>
          <w:szCs w:val="24"/>
        </w:rPr>
      </w:pPr>
      <w:r>
        <w:rPr>
          <w:rFonts w:hint="eastAsia" w:ascii="宋体" w:hAnsi="宋体"/>
          <w:color w:val="auto"/>
          <w:sz w:val="24"/>
          <w:szCs w:val="24"/>
        </w:rPr>
        <w:t>注：</w:t>
      </w:r>
    </w:p>
    <w:p w14:paraId="3873E875">
      <w:pPr>
        <w:rPr>
          <w:rFonts w:hint="eastAsia" w:ascii="宋体" w:hAnsi="宋体"/>
          <w:color w:val="auto"/>
          <w:sz w:val="24"/>
          <w:szCs w:val="24"/>
        </w:rPr>
      </w:pPr>
      <w:r>
        <w:rPr>
          <w:rFonts w:hint="eastAsia" w:ascii="宋体" w:hAnsi="宋体"/>
          <w:color w:val="auto"/>
          <w:sz w:val="24"/>
          <w:szCs w:val="24"/>
        </w:rPr>
        <w:t>1、响应项必须按照磋商文件中商务要求逐一填写，不得出现缺项；</w:t>
      </w:r>
    </w:p>
    <w:p w14:paraId="51A9A65F">
      <w:pPr>
        <w:rPr>
          <w:rFonts w:hint="eastAsia" w:ascii="宋体" w:hAnsi="宋体"/>
          <w:color w:val="auto"/>
          <w:sz w:val="24"/>
          <w:szCs w:val="24"/>
        </w:rPr>
      </w:pPr>
      <w:r>
        <w:rPr>
          <w:rFonts w:hint="eastAsia" w:ascii="宋体" w:hAnsi="宋体"/>
          <w:color w:val="auto"/>
          <w:sz w:val="24"/>
          <w:szCs w:val="24"/>
        </w:rPr>
        <w:t>2、磋商文件“第五章 采购需求中 商务服务要求”为本项目实质性要求，投标即视为完全响应，供应商可根据自身实力在满足以上实质性要求的基础上，提出更有利于采购人的承诺；</w:t>
      </w:r>
    </w:p>
    <w:p w14:paraId="74606A7E">
      <w:pPr>
        <w:rPr>
          <w:rFonts w:hint="eastAsia" w:ascii="宋体" w:hAnsi="宋体"/>
          <w:color w:val="auto"/>
          <w:sz w:val="24"/>
          <w:szCs w:val="24"/>
        </w:rPr>
      </w:pPr>
      <w:r>
        <w:rPr>
          <w:rFonts w:hint="eastAsia" w:ascii="宋体" w:hAnsi="宋体"/>
          <w:color w:val="auto"/>
          <w:sz w:val="24"/>
          <w:szCs w:val="24"/>
        </w:rPr>
        <w:t>3、商务条款证明材料或承诺函附后（如有），否则以偏离表中的响应为准。</w:t>
      </w:r>
    </w:p>
    <w:p w14:paraId="31E257C3">
      <w:pPr>
        <w:pStyle w:val="15"/>
        <w:spacing w:before="0" w:beforeAutospacing="0" w:after="0" w:line="360" w:lineRule="auto"/>
        <w:jc w:val="left"/>
        <w:rPr>
          <w:rFonts w:hint="eastAsia" w:ascii="宋体" w:hAnsi="宋体"/>
          <w:color w:val="auto"/>
          <w:sz w:val="24"/>
          <w:szCs w:val="24"/>
        </w:rPr>
      </w:pPr>
    </w:p>
    <w:p w14:paraId="534DB492">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671531FC">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332B6E6F">
      <w:pPr>
        <w:spacing w:line="360" w:lineRule="auto"/>
        <w:jc w:val="lef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bookmarkStart w:id="965" w:name="_Toc18166"/>
      <w:bookmarkEnd w:id="965"/>
      <w:bookmarkStart w:id="966" w:name="_Toc22253"/>
      <w:bookmarkStart w:id="967" w:name="_Toc959"/>
      <w:bookmarkStart w:id="968" w:name="_Toc129073541"/>
    </w:p>
    <w:p w14:paraId="243862A8">
      <w:pPr>
        <w:pStyle w:val="3"/>
        <w:spacing w:before="0" w:after="0"/>
        <w:jc w:val="center"/>
        <w:rPr>
          <w:rFonts w:hint="eastAsia" w:ascii="宋体" w:hAnsi="宋体" w:eastAsia="宋体" w:cs="宋体"/>
          <w:bCs/>
          <w:color w:val="auto"/>
          <w:szCs w:val="28"/>
        </w:rPr>
      </w:pPr>
      <w:r>
        <w:rPr>
          <w:rFonts w:hint="eastAsia" w:ascii="宋体" w:hAnsi="宋体"/>
          <w:color w:val="auto"/>
          <w:szCs w:val="24"/>
        </w:rPr>
        <w:br w:type="page"/>
      </w:r>
      <w:bookmarkStart w:id="969" w:name="_Toc18095"/>
      <w:r>
        <w:rPr>
          <w:rFonts w:hint="eastAsia" w:ascii="宋体" w:hAnsi="宋体" w:eastAsia="宋体" w:cs="宋体"/>
          <w:color w:val="auto"/>
          <w:sz w:val="28"/>
          <w:szCs w:val="28"/>
        </w:rPr>
        <w:t>八、</w:t>
      </w:r>
      <w:bookmarkEnd w:id="966"/>
      <w:bookmarkStart w:id="970" w:name="_Toc19693"/>
      <w:r>
        <w:rPr>
          <w:rFonts w:hint="eastAsia" w:ascii="宋体" w:hAnsi="宋体" w:eastAsia="宋体" w:cs="宋体"/>
          <w:color w:val="auto"/>
          <w:sz w:val="28"/>
          <w:szCs w:val="28"/>
        </w:rPr>
        <w:t>同类项目供货业绩</w:t>
      </w:r>
      <w:bookmarkEnd w:id="969"/>
      <w:bookmarkEnd w:id="970"/>
    </w:p>
    <w:tbl>
      <w:tblPr>
        <w:tblStyle w:val="41"/>
        <w:tblW w:w="9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916"/>
        <w:gridCol w:w="1227"/>
        <w:gridCol w:w="709"/>
        <w:gridCol w:w="750"/>
        <w:gridCol w:w="1200"/>
        <w:gridCol w:w="805"/>
        <w:gridCol w:w="935"/>
        <w:gridCol w:w="935"/>
        <w:gridCol w:w="946"/>
      </w:tblGrid>
      <w:tr w14:paraId="6B05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00" w:type="dxa"/>
            <w:vAlign w:val="center"/>
          </w:tcPr>
          <w:p w14:paraId="222D81B4">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序号</w:t>
            </w:r>
          </w:p>
        </w:tc>
        <w:tc>
          <w:tcPr>
            <w:tcW w:w="916" w:type="dxa"/>
            <w:vAlign w:val="center"/>
          </w:tcPr>
          <w:p w14:paraId="46D5927C">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合同签订日期</w:t>
            </w:r>
          </w:p>
        </w:tc>
        <w:tc>
          <w:tcPr>
            <w:tcW w:w="1227" w:type="dxa"/>
            <w:vAlign w:val="center"/>
          </w:tcPr>
          <w:p w14:paraId="0A616C74">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项目名称</w:t>
            </w:r>
          </w:p>
        </w:tc>
        <w:tc>
          <w:tcPr>
            <w:tcW w:w="709" w:type="dxa"/>
            <w:vAlign w:val="center"/>
          </w:tcPr>
          <w:p w14:paraId="568A439B">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合同金额</w:t>
            </w:r>
          </w:p>
        </w:tc>
        <w:tc>
          <w:tcPr>
            <w:tcW w:w="750" w:type="dxa"/>
            <w:vAlign w:val="center"/>
          </w:tcPr>
          <w:p w14:paraId="11506442">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设备品牌</w:t>
            </w:r>
          </w:p>
        </w:tc>
        <w:tc>
          <w:tcPr>
            <w:tcW w:w="1200" w:type="dxa"/>
            <w:vAlign w:val="center"/>
          </w:tcPr>
          <w:p w14:paraId="5422EE60">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规格型号</w:t>
            </w:r>
          </w:p>
        </w:tc>
        <w:tc>
          <w:tcPr>
            <w:tcW w:w="805" w:type="dxa"/>
            <w:vAlign w:val="center"/>
          </w:tcPr>
          <w:p w14:paraId="5B1FADC4">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设备产地</w:t>
            </w:r>
          </w:p>
        </w:tc>
        <w:tc>
          <w:tcPr>
            <w:tcW w:w="935" w:type="dxa"/>
            <w:vAlign w:val="center"/>
          </w:tcPr>
          <w:p w14:paraId="695A30B0">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制造商</w:t>
            </w:r>
          </w:p>
        </w:tc>
        <w:tc>
          <w:tcPr>
            <w:tcW w:w="935" w:type="dxa"/>
            <w:vAlign w:val="center"/>
          </w:tcPr>
          <w:p w14:paraId="440AACC6">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客户名称</w:t>
            </w:r>
          </w:p>
        </w:tc>
        <w:tc>
          <w:tcPr>
            <w:tcW w:w="946" w:type="dxa"/>
            <w:vAlign w:val="center"/>
          </w:tcPr>
          <w:p w14:paraId="689303CA">
            <w:pPr>
              <w:spacing w:line="400" w:lineRule="exact"/>
              <w:jc w:val="center"/>
              <w:rPr>
                <w:rFonts w:hint="eastAsia" w:ascii="宋体" w:hAnsi="宋体" w:cs="宋体"/>
                <w:b/>
                <w:color w:val="auto"/>
                <w:sz w:val="24"/>
                <w:szCs w:val="24"/>
              </w:rPr>
            </w:pPr>
            <w:r>
              <w:rPr>
                <w:rFonts w:hint="eastAsia" w:ascii="宋体" w:hAnsi="宋体" w:cs="宋体"/>
                <w:b/>
                <w:color w:val="auto"/>
                <w:sz w:val="24"/>
                <w:szCs w:val="24"/>
              </w:rPr>
              <w:t>客户联系电话</w:t>
            </w:r>
          </w:p>
        </w:tc>
      </w:tr>
      <w:tr w14:paraId="1E5E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00" w:type="dxa"/>
          </w:tcPr>
          <w:p w14:paraId="45F78C99">
            <w:pPr>
              <w:widowControl/>
              <w:rPr>
                <w:rFonts w:hint="eastAsia" w:ascii="宋体" w:hAnsi="宋体" w:cs="宋体"/>
                <w:color w:val="auto"/>
                <w:sz w:val="24"/>
                <w:szCs w:val="24"/>
              </w:rPr>
            </w:pPr>
          </w:p>
        </w:tc>
        <w:tc>
          <w:tcPr>
            <w:tcW w:w="916" w:type="dxa"/>
          </w:tcPr>
          <w:p w14:paraId="44D9A1EC">
            <w:pPr>
              <w:widowControl/>
              <w:rPr>
                <w:rFonts w:hint="eastAsia" w:ascii="宋体" w:hAnsi="宋体" w:cs="宋体"/>
                <w:color w:val="auto"/>
                <w:sz w:val="24"/>
                <w:szCs w:val="24"/>
              </w:rPr>
            </w:pPr>
          </w:p>
        </w:tc>
        <w:tc>
          <w:tcPr>
            <w:tcW w:w="1227" w:type="dxa"/>
          </w:tcPr>
          <w:p w14:paraId="6C25BA7E">
            <w:pPr>
              <w:widowControl/>
              <w:rPr>
                <w:rFonts w:hint="eastAsia" w:ascii="宋体" w:hAnsi="宋体" w:cs="宋体"/>
                <w:color w:val="auto"/>
                <w:sz w:val="24"/>
                <w:szCs w:val="24"/>
              </w:rPr>
            </w:pPr>
          </w:p>
        </w:tc>
        <w:tc>
          <w:tcPr>
            <w:tcW w:w="709" w:type="dxa"/>
          </w:tcPr>
          <w:p w14:paraId="7E7052DB">
            <w:pPr>
              <w:widowControl/>
              <w:rPr>
                <w:rFonts w:hint="eastAsia" w:ascii="宋体" w:hAnsi="宋体" w:cs="宋体"/>
                <w:color w:val="auto"/>
                <w:sz w:val="24"/>
                <w:szCs w:val="24"/>
              </w:rPr>
            </w:pPr>
          </w:p>
        </w:tc>
        <w:tc>
          <w:tcPr>
            <w:tcW w:w="750" w:type="dxa"/>
          </w:tcPr>
          <w:p w14:paraId="362788BB">
            <w:pPr>
              <w:widowControl/>
              <w:rPr>
                <w:rFonts w:hint="eastAsia" w:ascii="宋体" w:hAnsi="宋体" w:cs="宋体"/>
                <w:color w:val="auto"/>
                <w:sz w:val="24"/>
                <w:szCs w:val="24"/>
              </w:rPr>
            </w:pPr>
          </w:p>
        </w:tc>
        <w:tc>
          <w:tcPr>
            <w:tcW w:w="1200" w:type="dxa"/>
          </w:tcPr>
          <w:p w14:paraId="25B53A70">
            <w:pPr>
              <w:widowControl/>
              <w:rPr>
                <w:rFonts w:hint="eastAsia" w:ascii="宋体" w:hAnsi="宋体" w:cs="宋体"/>
                <w:color w:val="auto"/>
                <w:sz w:val="24"/>
                <w:szCs w:val="24"/>
              </w:rPr>
            </w:pPr>
          </w:p>
        </w:tc>
        <w:tc>
          <w:tcPr>
            <w:tcW w:w="805" w:type="dxa"/>
          </w:tcPr>
          <w:p w14:paraId="348F9F9F">
            <w:pPr>
              <w:widowControl/>
              <w:rPr>
                <w:rFonts w:hint="eastAsia" w:ascii="宋体" w:hAnsi="宋体" w:cs="宋体"/>
                <w:color w:val="auto"/>
                <w:sz w:val="24"/>
                <w:szCs w:val="24"/>
              </w:rPr>
            </w:pPr>
          </w:p>
        </w:tc>
        <w:tc>
          <w:tcPr>
            <w:tcW w:w="935" w:type="dxa"/>
          </w:tcPr>
          <w:p w14:paraId="04EB74CD">
            <w:pPr>
              <w:widowControl/>
              <w:rPr>
                <w:rFonts w:hint="eastAsia" w:ascii="宋体" w:hAnsi="宋体" w:cs="宋体"/>
                <w:color w:val="auto"/>
                <w:sz w:val="24"/>
                <w:szCs w:val="24"/>
              </w:rPr>
            </w:pPr>
          </w:p>
        </w:tc>
        <w:tc>
          <w:tcPr>
            <w:tcW w:w="935" w:type="dxa"/>
          </w:tcPr>
          <w:p w14:paraId="57EC8E60">
            <w:pPr>
              <w:widowControl/>
              <w:rPr>
                <w:rFonts w:hint="eastAsia" w:ascii="宋体" w:hAnsi="宋体" w:cs="宋体"/>
                <w:color w:val="auto"/>
                <w:sz w:val="24"/>
                <w:szCs w:val="24"/>
              </w:rPr>
            </w:pPr>
          </w:p>
        </w:tc>
        <w:tc>
          <w:tcPr>
            <w:tcW w:w="946" w:type="dxa"/>
          </w:tcPr>
          <w:p w14:paraId="291ED1AB">
            <w:pPr>
              <w:widowControl/>
              <w:rPr>
                <w:rFonts w:hint="eastAsia" w:ascii="宋体" w:hAnsi="宋体" w:cs="宋体"/>
                <w:color w:val="auto"/>
                <w:sz w:val="24"/>
                <w:szCs w:val="24"/>
              </w:rPr>
            </w:pPr>
          </w:p>
        </w:tc>
      </w:tr>
      <w:tr w14:paraId="3670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00" w:type="dxa"/>
          </w:tcPr>
          <w:p w14:paraId="22484F17">
            <w:pPr>
              <w:widowControl/>
              <w:rPr>
                <w:rFonts w:hint="eastAsia" w:ascii="宋体" w:hAnsi="宋体" w:cs="宋体"/>
                <w:color w:val="auto"/>
                <w:sz w:val="24"/>
                <w:szCs w:val="24"/>
              </w:rPr>
            </w:pPr>
          </w:p>
        </w:tc>
        <w:tc>
          <w:tcPr>
            <w:tcW w:w="916" w:type="dxa"/>
          </w:tcPr>
          <w:p w14:paraId="4B0EEE56">
            <w:pPr>
              <w:widowControl/>
              <w:rPr>
                <w:rFonts w:hint="eastAsia" w:ascii="宋体" w:hAnsi="宋体" w:cs="宋体"/>
                <w:color w:val="auto"/>
                <w:sz w:val="24"/>
                <w:szCs w:val="24"/>
              </w:rPr>
            </w:pPr>
          </w:p>
        </w:tc>
        <w:tc>
          <w:tcPr>
            <w:tcW w:w="1227" w:type="dxa"/>
          </w:tcPr>
          <w:p w14:paraId="16DA2FF0">
            <w:pPr>
              <w:widowControl/>
              <w:rPr>
                <w:rFonts w:hint="eastAsia" w:ascii="宋体" w:hAnsi="宋体" w:cs="宋体"/>
                <w:color w:val="auto"/>
                <w:sz w:val="24"/>
                <w:szCs w:val="24"/>
              </w:rPr>
            </w:pPr>
          </w:p>
        </w:tc>
        <w:tc>
          <w:tcPr>
            <w:tcW w:w="709" w:type="dxa"/>
          </w:tcPr>
          <w:p w14:paraId="4B6DC3BB">
            <w:pPr>
              <w:widowControl/>
              <w:rPr>
                <w:rFonts w:hint="eastAsia" w:ascii="宋体" w:hAnsi="宋体" w:cs="宋体"/>
                <w:color w:val="auto"/>
                <w:sz w:val="24"/>
                <w:szCs w:val="24"/>
              </w:rPr>
            </w:pPr>
          </w:p>
        </w:tc>
        <w:tc>
          <w:tcPr>
            <w:tcW w:w="750" w:type="dxa"/>
          </w:tcPr>
          <w:p w14:paraId="4CFAC9F4">
            <w:pPr>
              <w:widowControl/>
              <w:rPr>
                <w:rFonts w:hint="eastAsia" w:ascii="宋体" w:hAnsi="宋体" w:cs="宋体"/>
                <w:color w:val="auto"/>
                <w:sz w:val="24"/>
                <w:szCs w:val="24"/>
              </w:rPr>
            </w:pPr>
          </w:p>
        </w:tc>
        <w:tc>
          <w:tcPr>
            <w:tcW w:w="1200" w:type="dxa"/>
          </w:tcPr>
          <w:p w14:paraId="4C227A7E">
            <w:pPr>
              <w:widowControl/>
              <w:rPr>
                <w:rFonts w:hint="eastAsia" w:ascii="宋体" w:hAnsi="宋体" w:cs="宋体"/>
                <w:color w:val="auto"/>
                <w:sz w:val="24"/>
                <w:szCs w:val="24"/>
              </w:rPr>
            </w:pPr>
          </w:p>
        </w:tc>
        <w:tc>
          <w:tcPr>
            <w:tcW w:w="805" w:type="dxa"/>
          </w:tcPr>
          <w:p w14:paraId="61C22058">
            <w:pPr>
              <w:widowControl/>
              <w:rPr>
                <w:rFonts w:hint="eastAsia" w:ascii="宋体" w:hAnsi="宋体" w:cs="宋体"/>
                <w:color w:val="auto"/>
                <w:sz w:val="24"/>
                <w:szCs w:val="24"/>
              </w:rPr>
            </w:pPr>
          </w:p>
        </w:tc>
        <w:tc>
          <w:tcPr>
            <w:tcW w:w="935" w:type="dxa"/>
          </w:tcPr>
          <w:p w14:paraId="6F5FB15F">
            <w:pPr>
              <w:widowControl/>
              <w:rPr>
                <w:rFonts w:hint="eastAsia" w:ascii="宋体" w:hAnsi="宋体" w:cs="宋体"/>
                <w:color w:val="auto"/>
                <w:sz w:val="24"/>
                <w:szCs w:val="24"/>
              </w:rPr>
            </w:pPr>
          </w:p>
        </w:tc>
        <w:tc>
          <w:tcPr>
            <w:tcW w:w="935" w:type="dxa"/>
          </w:tcPr>
          <w:p w14:paraId="45248ECF">
            <w:pPr>
              <w:widowControl/>
              <w:rPr>
                <w:rFonts w:hint="eastAsia" w:ascii="宋体" w:hAnsi="宋体" w:cs="宋体"/>
                <w:color w:val="auto"/>
                <w:sz w:val="24"/>
                <w:szCs w:val="24"/>
              </w:rPr>
            </w:pPr>
          </w:p>
        </w:tc>
        <w:tc>
          <w:tcPr>
            <w:tcW w:w="946" w:type="dxa"/>
          </w:tcPr>
          <w:p w14:paraId="26877A6F">
            <w:pPr>
              <w:widowControl/>
              <w:rPr>
                <w:rFonts w:hint="eastAsia" w:ascii="宋体" w:hAnsi="宋体" w:cs="宋体"/>
                <w:color w:val="auto"/>
                <w:sz w:val="24"/>
                <w:szCs w:val="24"/>
              </w:rPr>
            </w:pPr>
          </w:p>
        </w:tc>
      </w:tr>
      <w:tr w14:paraId="0615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00" w:type="dxa"/>
          </w:tcPr>
          <w:p w14:paraId="1FDB9BDB">
            <w:pPr>
              <w:widowControl/>
              <w:rPr>
                <w:rFonts w:hint="eastAsia" w:ascii="宋体" w:hAnsi="宋体" w:cs="宋体"/>
                <w:color w:val="auto"/>
                <w:sz w:val="24"/>
                <w:szCs w:val="24"/>
              </w:rPr>
            </w:pPr>
          </w:p>
        </w:tc>
        <w:tc>
          <w:tcPr>
            <w:tcW w:w="916" w:type="dxa"/>
          </w:tcPr>
          <w:p w14:paraId="46F6E365">
            <w:pPr>
              <w:widowControl/>
              <w:rPr>
                <w:rFonts w:hint="eastAsia" w:ascii="宋体" w:hAnsi="宋体" w:cs="宋体"/>
                <w:color w:val="auto"/>
                <w:sz w:val="24"/>
                <w:szCs w:val="24"/>
              </w:rPr>
            </w:pPr>
          </w:p>
        </w:tc>
        <w:tc>
          <w:tcPr>
            <w:tcW w:w="1227" w:type="dxa"/>
          </w:tcPr>
          <w:p w14:paraId="087E746F">
            <w:pPr>
              <w:widowControl/>
              <w:rPr>
                <w:rFonts w:hint="eastAsia" w:ascii="宋体" w:hAnsi="宋体" w:cs="宋体"/>
                <w:color w:val="auto"/>
                <w:sz w:val="24"/>
                <w:szCs w:val="24"/>
              </w:rPr>
            </w:pPr>
          </w:p>
        </w:tc>
        <w:tc>
          <w:tcPr>
            <w:tcW w:w="709" w:type="dxa"/>
          </w:tcPr>
          <w:p w14:paraId="76457886">
            <w:pPr>
              <w:widowControl/>
              <w:rPr>
                <w:rFonts w:hint="eastAsia" w:ascii="宋体" w:hAnsi="宋体" w:cs="宋体"/>
                <w:color w:val="auto"/>
                <w:sz w:val="24"/>
                <w:szCs w:val="24"/>
              </w:rPr>
            </w:pPr>
          </w:p>
        </w:tc>
        <w:tc>
          <w:tcPr>
            <w:tcW w:w="750" w:type="dxa"/>
          </w:tcPr>
          <w:p w14:paraId="622DA157">
            <w:pPr>
              <w:widowControl/>
              <w:rPr>
                <w:rFonts w:hint="eastAsia" w:ascii="宋体" w:hAnsi="宋体" w:cs="宋体"/>
                <w:color w:val="auto"/>
                <w:sz w:val="24"/>
                <w:szCs w:val="24"/>
              </w:rPr>
            </w:pPr>
          </w:p>
        </w:tc>
        <w:tc>
          <w:tcPr>
            <w:tcW w:w="1200" w:type="dxa"/>
          </w:tcPr>
          <w:p w14:paraId="0B937FC5">
            <w:pPr>
              <w:widowControl/>
              <w:rPr>
                <w:rFonts w:hint="eastAsia" w:ascii="宋体" w:hAnsi="宋体" w:cs="宋体"/>
                <w:color w:val="auto"/>
                <w:sz w:val="24"/>
                <w:szCs w:val="24"/>
              </w:rPr>
            </w:pPr>
          </w:p>
        </w:tc>
        <w:tc>
          <w:tcPr>
            <w:tcW w:w="805" w:type="dxa"/>
          </w:tcPr>
          <w:p w14:paraId="34995107">
            <w:pPr>
              <w:widowControl/>
              <w:rPr>
                <w:rFonts w:hint="eastAsia" w:ascii="宋体" w:hAnsi="宋体" w:cs="宋体"/>
                <w:color w:val="auto"/>
                <w:sz w:val="24"/>
                <w:szCs w:val="24"/>
              </w:rPr>
            </w:pPr>
          </w:p>
        </w:tc>
        <w:tc>
          <w:tcPr>
            <w:tcW w:w="935" w:type="dxa"/>
          </w:tcPr>
          <w:p w14:paraId="78C656AD">
            <w:pPr>
              <w:widowControl/>
              <w:rPr>
                <w:rFonts w:hint="eastAsia" w:ascii="宋体" w:hAnsi="宋体" w:cs="宋体"/>
                <w:color w:val="auto"/>
                <w:sz w:val="24"/>
                <w:szCs w:val="24"/>
              </w:rPr>
            </w:pPr>
          </w:p>
        </w:tc>
        <w:tc>
          <w:tcPr>
            <w:tcW w:w="935" w:type="dxa"/>
          </w:tcPr>
          <w:p w14:paraId="6BF82295">
            <w:pPr>
              <w:widowControl/>
              <w:rPr>
                <w:rFonts w:hint="eastAsia" w:ascii="宋体" w:hAnsi="宋体" w:cs="宋体"/>
                <w:color w:val="auto"/>
                <w:sz w:val="24"/>
                <w:szCs w:val="24"/>
              </w:rPr>
            </w:pPr>
          </w:p>
        </w:tc>
        <w:tc>
          <w:tcPr>
            <w:tcW w:w="946" w:type="dxa"/>
          </w:tcPr>
          <w:p w14:paraId="29539203">
            <w:pPr>
              <w:widowControl/>
              <w:rPr>
                <w:rFonts w:hint="eastAsia" w:ascii="宋体" w:hAnsi="宋体" w:cs="宋体"/>
                <w:color w:val="auto"/>
                <w:sz w:val="24"/>
                <w:szCs w:val="24"/>
              </w:rPr>
            </w:pPr>
          </w:p>
        </w:tc>
      </w:tr>
      <w:tr w14:paraId="1C80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00" w:type="dxa"/>
          </w:tcPr>
          <w:p w14:paraId="76B2B3CF">
            <w:pPr>
              <w:widowControl/>
              <w:rPr>
                <w:rFonts w:hint="eastAsia" w:ascii="宋体" w:hAnsi="宋体" w:cs="宋体"/>
                <w:color w:val="auto"/>
                <w:sz w:val="24"/>
                <w:szCs w:val="24"/>
              </w:rPr>
            </w:pPr>
          </w:p>
        </w:tc>
        <w:tc>
          <w:tcPr>
            <w:tcW w:w="916" w:type="dxa"/>
          </w:tcPr>
          <w:p w14:paraId="40A90881">
            <w:pPr>
              <w:widowControl/>
              <w:rPr>
                <w:rFonts w:hint="eastAsia" w:ascii="宋体" w:hAnsi="宋体" w:cs="宋体"/>
                <w:color w:val="auto"/>
                <w:sz w:val="24"/>
                <w:szCs w:val="24"/>
              </w:rPr>
            </w:pPr>
          </w:p>
        </w:tc>
        <w:tc>
          <w:tcPr>
            <w:tcW w:w="1227" w:type="dxa"/>
          </w:tcPr>
          <w:p w14:paraId="2FB823E4">
            <w:pPr>
              <w:widowControl/>
              <w:rPr>
                <w:rFonts w:hint="eastAsia" w:ascii="宋体" w:hAnsi="宋体" w:cs="宋体"/>
                <w:color w:val="auto"/>
                <w:sz w:val="24"/>
                <w:szCs w:val="24"/>
              </w:rPr>
            </w:pPr>
          </w:p>
        </w:tc>
        <w:tc>
          <w:tcPr>
            <w:tcW w:w="709" w:type="dxa"/>
          </w:tcPr>
          <w:p w14:paraId="4645B24D">
            <w:pPr>
              <w:widowControl/>
              <w:rPr>
                <w:rFonts w:hint="eastAsia" w:ascii="宋体" w:hAnsi="宋体" w:cs="宋体"/>
                <w:color w:val="auto"/>
                <w:sz w:val="24"/>
                <w:szCs w:val="24"/>
              </w:rPr>
            </w:pPr>
          </w:p>
        </w:tc>
        <w:tc>
          <w:tcPr>
            <w:tcW w:w="750" w:type="dxa"/>
          </w:tcPr>
          <w:p w14:paraId="7AD610F5">
            <w:pPr>
              <w:widowControl/>
              <w:rPr>
                <w:rFonts w:hint="eastAsia" w:ascii="宋体" w:hAnsi="宋体" w:cs="宋体"/>
                <w:color w:val="auto"/>
                <w:sz w:val="24"/>
                <w:szCs w:val="24"/>
              </w:rPr>
            </w:pPr>
          </w:p>
        </w:tc>
        <w:tc>
          <w:tcPr>
            <w:tcW w:w="1200" w:type="dxa"/>
          </w:tcPr>
          <w:p w14:paraId="015570CF">
            <w:pPr>
              <w:widowControl/>
              <w:rPr>
                <w:rFonts w:hint="eastAsia" w:ascii="宋体" w:hAnsi="宋体" w:cs="宋体"/>
                <w:color w:val="auto"/>
                <w:sz w:val="24"/>
                <w:szCs w:val="24"/>
              </w:rPr>
            </w:pPr>
          </w:p>
        </w:tc>
        <w:tc>
          <w:tcPr>
            <w:tcW w:w="805" w:type="dxa"/>
          </w:tcPr>
          <w:p w14:paraId="45D55498">
            <w:pPr>
              <w:widowControl/>
              <w:rPr>
                <w:rFonts w:hint="eastAsia" w:ascii="宋体" w:hAnsi="宋体" w:cs="宋体"/>
                <w:color w:val="auto"/>
                <w:sz w:val="24"/>
                <w:szCs w:val="24"/>
              </w:rPr>
            </w:pPr>
          </w:p>
        </w:tc>
        <w:tc>
          <w:tcPr>
            <w:tcW w:w="935" w:type="dxa"/>
          </w:tcPr>
          <w:p w14:paraId="241B292F">
            <w:pPr>
              <w:widowControl/>
              <w:rPr>
                <w:rFonts w:hint="eastAsia" w:ascii="宋体" w:hAnsi="宋体" w:cs="宋体"/>
                <w:color w:val="auto"/>
                <w:sz w:val="24"/>
                <w:szCs w:val="24"/>
              </w:rPr>
            </w:pPr>
          </w:p>
        </w:tc>
        <w:tc>
          <w:tcPr>
            <w:tcW w:w="935" w:type="dxa"/>
          </w:tcPr>
          <w:p w14:paraId="4107A679">
            <w:pPr>
              <w:widowControl/>
              <w:rPr>
                <w:rFonts w:hint="eastAsia" w:ascii="宋体" w:hAnsi="宋体" w:cs="宋体"/>
                <w:color w:val="auto"/>
                <w:sz w:val="24"/>
                <w:szCs w:val="24"/>
              </w:rPr>
            </w:pPr>
          </w:p>
        </w:tc>
        <w:tc>
          <w:tcPr>
            <w:tcW w:w="946" w:type="dxa"/>
          </w:tcPr>
          <w:p w14:paraId="5D8A44D9">
            <w:pPr>
              <w:widowControl/>
              <w:rPr>
                <w:rFonts w:hint="eastAsia" w:ascii="宋体" w:hAnsi="宋体" w:cs="宋体"/>
                <w:color w:val="auto"/>
                <w:sz w:val="24"/>
                <w:szCs w:val="24"/>
              </w:rPr>
            </w:pPr>
          </w:p>
        </w:tc>
      </w:tr>
      <w:tr w14:paraId="0317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00" w:type="dxa"/>
          </w:tcPr>
          <w:p w14:paraId="7CF0CD42">
            <w:pPr>
              <w:widowControl/>
              <w:rPr>
                <w:rFonts w:hint="eastAsia" w:ascii="宋体" w:hAnsi="宋体" w:cs="宋体"/>
                <w:color w:val="auto"/>
                <w:sz w:val="24"/>
                <w:szCs w:val="24"/>
              </w:rPr>
            </w:pPr>
          </w:p>
        </w:tc>
        <w:tc>
          <w:tcPr>
            <w:tcW w:w="916" w:type="dxa"/>
          </w:tcPr>
          <w:p w14:paraId="3CFF5F34">
            <w:pPr>
              <w:widowControl/>
              <w:rPr>
                <w:rFonts w:hint="eastAsia" w:ascii="宋体" w:hAnsi="宋体" w:cs="宋体"/>
                <w:color w:val="auto"/>
                <w:sz w:val="24"/>
                <w:szCs w:val="24"/>
              </w:rPr>
            </w:pPr>
          </w:p>
        </w:tc>
        <w:tc>
          <w:tcPr>
            <w:tcW w:w="1227" w:type="dxa"/>
          </w:tcPr>
          <w:p w14:paraId="2BF41BE4">
            <w:pPr>
              <w:widowControl/>
              <w:rPr>
                <w:rFonts w:hint="eastAsia" w:ascii="宋体" w:hAnsi="宋体" w:cs="宋体"/>
                <w:color w:val="auto"/>
                <w:sz w:val="24"/>
                <w:szCs w:val="24"/>
              </w:rPr>
            </w:pPr>
          </w:p>
        </w:tc>
        <w:tc>
          <w:tcPr>
            <w:tcW w:w="709" w:type="dxa"/>
          </w:tcPr>
          <w:p w14:paraId="4EDED70A">
            <w:pPr>
              <w:widowControl/>
              <w:rPr>
                <w:rFonts w:hint="eastAsia" w:ascii="宋体" w:hAnsi="宋体" w:cs="宋体"/>
                <w:color w:val="auto"/>
                <w:sz w:val="24"/>
                <w:szCs w:val="24"/>
              </w:rPr>
            </w:pPr>
          </w:p>
        </w:tc>
        <w:tc>
          <w:tcPr>
            <w:tcW w:w="750" w:type="dxa"/>
          </w:tcPr>
          <w:p w14:paraId="55EC72F9">
            <w:pPr>
              <w:widowControl/>
              <w:rPr>
                <w:rFonts w:hint="eastAsia" w:ascii="宋体" w:hAnsi="宋体" w:cs="宋体"/>
                <w:color w:val="auto"/>
                <w:sz w:val="24"/>
                <w:szCs w:val="24"/>
              </w:rPr>
            </w:pPr>
          </w:p>
        </w:tc>
        <w:tc>
          <w:tcPr>
            <w:tcW w:w="1200" w:type="dxa"/>
          </w:tcPr>
          <w:p w14:paraId="6B039A37">
            <w:pPr>
              <w:widowControl/>
              <w:rPr>
                <w:rFonts w:hint="eastAsia" w:ascii="宋体" w:hAnsi="宋体" w:cs="宋体"/>
                <w:color w:val="auto"/>
                <w:sz w:val="24"/>
                <w:szCs w:val="24"/>
              </w:rPr>
            </w:pPr>
          </w:p>
        </w:tc>
        <w:tc>
          <w:tcPr>
            <w:tcW w:w="805" w:type="dxa"/>
          </w:tcPr>
          <w:p w14:paraId="04400F12">
            <w:pPr>
              <w:widowControl/>
              <w:rPr>
                <w:rFonts w:hint="eastAsia" w:ascii="宋体" w:hAnsi="宋体" w:cs="宋体"/>
                <w:color w:val="auto"/>
                <w:sz w:val="24"/>
                <w:szCs w:val="24"/>
              </w:rPr>
            </w:pPr>
          </w:p>
        </w:tc>
        <w:tc>
          <w:tcPr>
            <w:tcW w:w="935" w:type="dxa"/>
          </w:tcPr>
          <w:p w14:paraId="288EC5FC">
            <w:pPr>
              <w:widowControl/>
              <w:rPr>
                <w:rFonts w:hint="eastAsia" w:ascii="宋体" w:hAnsi="宋体" w:cs="宋体"/>
                <w:color w:val="auto"/>
                <w:sz w:val="24"/>
                <w:szCs w:val="24"/>
              </w:rPr>
            </w:pPr>
          </w:p>
        </w:tc>
        <w:tc>
          <w:tcPr>
            <w:tcW w:w="935" w:type="dxa"/>
          </w:tcPr>
          <w:p w14:paraId="084E20FA">
            <w:pPr>
              <w:widowControl/>
              <w:rPr>
                <w:rFonts w:hint="eastAsia" w:ascii="宋体" w:hAnsi="宋体" w:cs="宋体"/>
                <w:color w:val="auto"/>
                <w:sz w:val="24"/>
                <w:szCs w:val="24"/>
              </w:rPr>
            </w:pPr>
          </w:p>
        </w:tc>
        <w:tc>
          <w:tcPr>
            <w:tcW w:w="946" w:type="dxa"/>
          </w:tcPr>
          <w:p w14:paraId="3853D4C9">
            <w:pPr>
              <w:widowControl/>
              <w:rPr>
                <w:rFonts w:hint="eastAsia" w:ascii="宋体" w:hAnsi="宋体" w:cs="宋体"/>
                <w:color w:val="auto"/>
                <w:sz w:val="24"/>
                <w:szCs w:val="24"/>
              </w:rPr>
            </w:pPr>
          </w:p>
        </w:tc>
      </w:tr>
      <w:tr w14:paraId="2CA1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00" w:type="dxa"/>
          </w:tcPr>
          <w:p w14:paraId="252E673E">
            <w:pPr>
              <w:widowControl/>
              <w:rPr>
                <w:rFonts w:hint="eastAsia" w:ascii="宋体" w:hAnsi="宋体" w:cs="宋体"/>
                <w:color w:val="auto"/>
                <w:sz w:val="24"/>
                <w:szCs w:val="24"/>
              </w:rPr>
            </w:pPr>
          </w:p>
        </w:tc>
        <w:tc>
          <w:tcPr>
            <w:tcW w:w="916" w:type="dxa"/>
          </w:tcPr>
          <w:p w14:paraId="003B6B7A">
            <w:pPr>
              <w:widowControl/>
              <w:rPr>
                <w:rFonts w:hint="eastAsia" w:ascii="宋体" w:hAnsi="宋体" w:cs="宋体"/>
                <w:color w:val="auto"/>
                <w:sz w:val="24"/>
                <w:szCs w:val="24"/>
              </w:rPr>
            </w:pPr>
          </w:p>
        </w:tc>
        <w:tc>
          <w:tcPr>
            <w:tcW w:w="1227" w:type="dxa"/>
          </w:tcPr>
          <w:p w14:paraId="0296E969">
            <w:pPr>
              <w:widowControl/>
              <w:rPr>
                <w:rFonts w:hint="eastAsia" w:ascii="宋体" w:hAnsi="宋体" w:cs="宋体"/>
                <w:color w:val="auto"/>
                <w:sz w:val="24"/>
                <w:szCs w:val="24"/>
              </w:rPr>
            </w:pPr>
          </w:p>
        </w:tc>
        <w:tc>
          <w:tcPr>
            <w:tcW w:w="709" w:type="dxa"/>
          </w:tcPr>
          <w:p w14:paraId="72851C90">
            <w:pPr>
              <w:widowControl/>
              <w:rPr>
                <w:rFonts w:hint="eastAsia" w:ascii="宋体" w:hAnsi="宋体" w:cs="宋体"/>
                <w:color w:val="auto"/>
                <w:sz w:val="24"/>
                <w:szCs w:val="24"/>
              </w:rPr>
            </w:pPr>
          </w:p>
        </w:tc>
        <w:tc>
          <w:tcPr>
            <w:tcW w:w="750" w:type="dxa"/>
          </w:tcPr>
          <w:p w14:paraId="77A5AA19">
            <w:pPr>
              <w:widowControl/>
              <w:rPr>
                <w:rFonts w:hint="eastAsia" w:ascii="宋体" w:hAnsi="宋体" w:cs="宋体"/>
                <w:color w:val="auto"/>
                <w:sz w:val="24"/>
                <w:szCs w:val="24"/>
              </w:rPr>
            </w:pPr>
          </w:p>
        </w:tc>
        <w:tc>
          <w:tcPr>
            <w:tcW w:w="1200" w:type="dxa"/>
          </w:tcPr>
          <w:p w14:paraId="297B6D5B">
            <w:pPr>
              <w:widowControl/>
              <w:rPr>
                <w:rFonts w:hint="eastAsia" w:ascii="宋体" w:hAnsi="宋体" w:cs="宋体"/>
                <w:color w:val="auto"/>
                <w:sz w:val="24"/>
                <w:szCs w:val="24"/>
              </w:rPr>
            </w:pPr>
          </w:p>
        </w:tc>
        <w:tc>
          <w:tcPr>
            <w:tcW w:w="805" w:type="dxa"/>
          </w:tcPr>
          <w:p w14:paraId="7F1F01AA">
            <w:pPr>
              <w:widowControl/>
              <w:rPr>
                <w:rFonts w:hint="eastAsia" w:ascii="宋体" w:hAnsi="宋体" w:cs="宋体"/>
                <w:color w:val="auto"/>
                <w:sz w:val="24"/>
                <w:szCs w:val="24"/>
              </w:rPr>
            </w:pPr>
          </w:p>
        </w:tc>
        <w:tc>
          <w:tcPr>
            <w:tcW w:w="935" w:type="dxa"/>
          </w:tcPr>
          <w:p w14:paraId="638FCD25">
            <w:pPr>
              <w:widowControl/>
              <w:rPr>
                <w:rFonts w:hint="eastAsia" w:ascii="宋体" w:hAnsi="宋体" w:cs="宋体"/>
                <w:color w:val="auto"/>
                <w:sz w:val="24"/>
                <w:szCs w:val="24"/>
              </w:rPr>
            </w:pPr>
          </w:p>
        </w:tc>
        <w:tc>
          <w:tcPr>
            <w:tcW w:w="935" w:type="dxa"/>
          </w:tcPr>
          <w:p w14:paraId="1EBDDDFC">
            <w:pPr>
              <w:widowControl/>
              <w:rPr>
                <w:rFonts w:hint="eastAsia" w:ascii="宋体" w:hAnsi="宋体" w:cs="宋体"/>
                <w:color w:val="auto"/>
                <w:sz w:val="24"/>
                <w:szCs w:val="24"/>
              </w:rPr>
            </w:pPr>
          </w:p>
        </w:tc>
        <w:tc>
          <w:tcPr>
            <w:tcW w:w="946" w:type="dxa"/>
          </w:tcPr>
          <w:p w14:paraId="74F9C258">
            <w:pPr>
              <w:widowControl/>
              <w:rPr>
                <w:rFonts w:hint="eastAsia" w:ascii="宋体" w:hAnsi="宋体" w:cs="宋体"/>
                <w:color w:val="auto"/>
                <w:sz w:val="24"/>
                <w:szCs w:val="24"/>
              </w:rPr>
            </w:pPr>
          </w:p>
        </w:tc>
      </w:tr>
      <w:tr w14:paraId="3FB7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00" w:type="dxa"/>
          </w:tcPr>
          <w:p w14:paraId="4DB19245">
            <w:pPr>
              <w:widowControl/>
              <w:rPr>
                <w:rFonts w:hint="eastAsia" w:ascii="宋体" w:hAnsi="宋体" w:cs="宋体"/>
                <w:color w:val="auto"/>
                <w:sz w:val="24"/>
                <w:szCs w:val="24"/>
              </w:rPr>
            </w:pPr>
          </w:p>
        </w:tc>
        <w:tc>
          <w:tcPr>
            <w:tcW w:w="916" w:type="dxa"/>
          </w:tcPr>
          <w:p w14:paraId="304541E0">
            <w:pPr>
              <w:widowControl/>
              <w:rPr>
                <w:rFonts w:hint="eastAsia" w:ascii="宋体" w:hAnsi="宋体" w:cs="宋体"/>
                <w:color w:val="auto"/>
                <w:sz w:val="24"/>
                <w:szCs w:val="24"/>
              </w:rPr>
            </w:pPr>
          </w:p>
        </w:tc>
        <w:tc>
          <w:tcPr>
            <w:tcW w:w="1227" w:type="dxa"/>
          </w:tcPr>
          <w:p w14:paraId="6BFCFBEC">
            <w:pPr>
              <w:widowControl/>
              <w:rPr>
                <w:rFonts w:hint="eastAsia" w:ascii="宋体" w:hAnsi="宋体" w:cs="宋体"/>
                <w:color w:val="auto"/>
                <w:sz w:val="24"/>
                <w:szCs w:val="24"/>
              </w:rPr>
            </w:pPr>
          </w:p>
        </w:tc>
        <w:tc>
          <w:tcPr>
            <w:tcW w:w="709" w:type="dxa"/>
          </w:tcPr>
          <w:p w14:paraId="63598CDC">
            <w:pPr>
              <w:widowControl/>
              <w:rPr>
                <w:rFonts w:hint="eastAsia" w:ascii="宋体" w:hAnsi="宋体" w:cs="宋体"/>
                <w:color w:val="auto"/>
                <w:sz w:val="24"/>
                <w:szCs w:val="24"/>
              </w:rPr>
            </w:pPr>
          </w:p>
        </w:tc>
        <w:tc>
          <w:tcPr>
            <w:tcW w:w="750" w:type="dxa"/>
          </w:tcPr>
          <w:p w14:paraId="7D7DC4FC">
            <w:pPr>
              <w:widowControl/>
              <w:rPr>
                <w:rFonts w:hint="eastAsia" w:ascii="宋体" w:hAnsi="宋体" w:cs="宋体"/>
                <w:color w:val="auto"/>
                <w:sz w:val="24"/>
                <w:szCs w:val="24"/>
              </w:rPr>
            </w:pPr>
          </w:p>
        </w:tc>
        <w:tc>
          <w:tcPr>
            <w:tcW w:w="1200" w:type="dxa"/>
          </w:tcPr>
          <w:p w14:paraId="5CFAFB6B">
            <w:pPr>
              <w:widowControl/>
              <w:rPr>
                <w:rFonts w:hint="eastAsia" w:ascii="宋体" w:hAnsi="宋体" w:cs="宋体"/>
                <w:color w:val="auto"/>
                <w:sz w:val="24"/>
                <w:szCs w:val="24"/>
              </w:rPr>
            </w:pPr>
          </w:p>
        </w:tc>
        <w:tc>
          <w:tcPr>
            <w:tcW w:w="805" w:type="dxa"/>
          </w:tcPr>
          <w:p w14:paraId="238C2C16">
            <w:pPr>
              <w:widowControl/>
              <w:rPr>
                <w:rFonts w:hint="eastAsia" w:ascii="宋体" w:hAnsi="宋体" w:cs="宋体"/>
                <w:color w:val="auto"/>
                <w:sz w:val="24"/>
                <w:szCs w:val="24"/>
              </w:rPr>
            </w:pPr>
          </w:p>
        </w:tc>
        <w:tc>
          <w:tcPr>
            <w:tcW w:w="935" w:type="dxa"/>
          </w:tcPr>
          <w:p w14:paraId="53841744">
            <w:pPr>
              <w:widowControl/>
              <w:rPr>
                <w:rFonts w:hint="eastAsia" w:ascii="宋体" w:hAnsi="宋体" w:cs="宋体"/>
                <w:color w:val="auto"/>
                <w:sz w:val="24"/>
                <w:szCs w:val="24"/>
              </w:rPr>
            </w:pPr>
          </w:p>
        </w:tc>
        <w:tc>
          <w:tcPr>
            <w:tcW w:w="935" w:type="dxa"/>
          </w:tcPr>
          <w:p w14:paraId="0D7D6C4A">
            <w:pPr>
              <w:widowControl/>
              <w:rPr>
                <w:rFonts w:hint="eastAsia" w:ascii="宋体" w:hAnsi="宋体" w:cs="宋体"/>
                <w:color w:val="auto"/>
                <w:sz w:val="24"/>
                <w:szCs w:val="24"/>
              </w:rPr>
            </w:pPr>
          </w:p>
        </w:tc>
        <w:tc>
          <w:tcPr>
            <w:tcW w:w="946" w:type="dxa"/>
          </w:tcPr>
          <w:p w14:paraId="1FB00B88">
            <w:pPr>
              <w:widowControl/>
              <w:rPr>
                <w:rFonts w:hint="eastAsia" w:ascii="宋体" w:hAnsi="宋体" w:cs="宋体"/>
                <w:color w:val="auto"/>
                <w:sz w:val="24"/>
                <w:szCs w:val="24"/>
              </w:rPr>
            </w:pPr>
          </w:p>
        </w:tc>
      </w:tr>
      <w:tr w14:paraId="0F32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00" w:type="dxa"/>
          </w:tcPr>
          <w:p w14:paraId="6F5A0190">
            <w:pPr>
              <w:widowControl/>
              <w:rPr>
                <w:rFonts w:hint="eastAsia" w:ascii="宋体" w:hAnsi="宋体" w:cs="宋体"/>
                <w:color w:val="auto"/>
                <w:sz w:val="24"/>
                <w:szCs w:val="24"/>
              </w:rPr>
            </w:pPr>
          </w:p>
        </w:tc>
        <w:tc>
          <w:tcPr>
            <w:tcW w:w="916" w:type="dxa"/>
          </w:tcPr>
          <w:p w14:paraId="6AFAD963">
            <w:pPr>
              <w:widowControl/>
              <w:rPr>
                <w:rFonts w:hint="eastAsia" w:ascii="宋体" w:hAnsi="宋体" w:cs="宋体"/>
                <w:color w:val="auto"/>
                <w:sz w:val="24"/>
                <w:szCs w:val="24"/>
              </w:rPr>
            </w:pPr>
          </w:p>
        </w:tc>
        <w:tc>
          <w:tcPr>
            <w:tcW w:w="1227" w:type="dxa"/>
          </w:tcPr>
          <w:p w14:paraId="34729058">
            <w:pPr>
              <w:widowControl/>
              <w:rPr>
                <w:rFonts w:hint="eastAsia" w:ascii="宋体" w:hAnsi="宋体" w:cs="宋体"/>
                <w:color w:val="auto"/>
                <w:sz w:val="24"/>
                <w:szCs w:val="24"/>
              </w:rPr>
            </w:pPr>
          </w:p>
        </w:tc>
        <w:tc>
          <w:tcPr>
            <w:tcW w:w="709" w:type="dxa"/>
          </w:tcPr>
          <w:p w14:paraId="2A1850AB">
            <w:pPr>
              <w:widowControl/>
              <w:rPr>
                <w:rFonts w:hint="eastAsia" w:ascii="宋体" w:hAnsi="宋体" w:cs="宋体"/>
                <w:color w:val="auto"/>
                <w:sz w:val="24"/>
                <w:szCs w:val="24"/>
              </w:rPr>
            </w:pPr>
          </w:p>
        </w:tc>
        <w:tc>
          <w:tcPr>
            <w:tcW w:w="750" w:type="dxa"/>
          </w:tcPr>
          <w:p w14:paraId="01DB7BA7">
            <w:pPr>
              <w:widowControl/>
              <w:rPr>
                <w:rFonts w:hint="eastAsia" w:ascii="宋体" w:hAnsi="宋体" w:cs="宋体"/>
                <w:color w:val="auto"/>
                <w:sz w:val="24"/>
                <w:szCs w:val="24"/>
              </w:rPr>
            </w:pPr>
          </w:p>
        </w:tc>
        <w:tc>
          <w:tcPr>
            <w:tcW w:w="1200" w:type="dxa"/>
          </w:tcPr>
          <w:p w14:paraId="5C236CBD">
            <w:pPr>
              <w:widowControl/>
              <w:rPr>
                <w:rFonts w:hint="eastAsia" w:ascii="宋体" w:hAnsi="宋体" w:cs="宋体"/>
                <w:color w:val="auto"/>
                <w:sz w:val="24"/>
                <w:szCs w:val="24"/>
              </w:rPr>
            </w:pPr>
          </w:p>
        </w:tc>
        <w:tc>
          <w:tcPr>
            <w:tcW w:w="805" w:type="dxa"/>
          </w:tcPr>
          <w:p w14:paraId="560F7BE8">
            <w:pPr>
              <w:widowControl/>
              <w:rPr>
                <w:rFonts w:hint="eastAsia" w:ascii="宋体" w:hAnsi="宋体" w:cs="宋体"/>
                <w:color w:val="auto"/>
                <w:sz w:val="24"/>
                <w:szCs w:val="24"/>
              </w:rPr>
            </w:pPr>
          </w:p>
        </w:tc>
        <w:tc>
          <w:tcPr>
            <w:tcW w:w="935" w:type="dxa"/>
          </w:tcPr>
          <w:p w14:paraId="2B115DAE">
            <w:pPr>
              <w:widowControl/>
              <w:rPr>
                <w:rFonts w:hint="eastAsia" w:ascii="宋体" w:hAnsi="宋体" w:cs="宋体"/>
                <w:color w:val="auto"/>
                <w:sz w:val="24"/>
                <w:szCs w:val="24"/>
              </w:rPr>
            </w:pPr>
          </w:p>
        </w:tc>
        <w:tc>
          <w:tcPr>
            <w:tcW w:w="935" w:type="dxa"/>
          </w:tcPr>
          <w:p w14:paraId="5443B35A">
            <w:pPr>
              <w:widowControl/>
              <w:rPr>
                <w:rFonts w:hint="eastAsia" w:ascii="宋体" w:hAnsi="宋体" w:cs="宋体"/>
                <w:color w:val="auto"/>
                <w:sz w:val="24"/>
                <w:szCs w:val="24"/>
              </w:rPr>
            </w:pPr>
          </w:p>
        </w:tc>
        <w:tc>
          <w:tcPr>
            <w:tcW w:w="946" w:type="dxa"/>
          </w:tcPr>
          <w:p w14:paraId="4444670D">
            <w:pPr>
              <w:widowControl/>
              <w:rPr>
                <w:rFonts w:hint="eastAsia" w:ascii="宋体" w:hAnsi="宋体" w:cs="宋体"/>
                <w:color w:val="auto"/>
                <w:sz w:val="24"/>
                <w:szCs w:val="24"/>
              </w:rPr>
            </w:pPr>
          </w:p>
        </w:tc>
      </w:tr>
    </w:tbl>
    <w:p w14:paraId="13B5AA8F">
      <w:pPr>
        <w:spacing w:line="380" w:lineRule="exact"/>
        <w:rPr>
          <w:rFonts w:hint="eastAsia" w:ascii="宋体" w:hAnsi="宋体" w:cs="宋体"/>
          <w:b/>
          <w:color w:val="auto"/>
          <w:sz w:val="24"/>
          <w:szCs w:val="24"/>
        </w:rPr>
      </w:pPr>
      <w:r>
        <w:rPr>
          <w:rFonts w:hint="eastAsia" w:ascii="宋体" w:hAnsi="宋体" w:cs="宋体"/>
          <w:b/>
          <w:color w:val="auto"/>
          <w:sz w:val="24"/>
          <w:szCs w:val="24"/>
        </w:rPr>
        <w:t>注：供应商应在本表后附相关证明材料。</w:t>
      </w:r>
    </w:p>
    <w:p w14:paraId="3B5CE107">
      <w:pPr>
        <w:spacing w:line="520" w:lineRule="exact"/>
        <w:ind w:firstLine="480" w:firstLineChars="200"/>
        <w:rPr>
          <w:rFonts w:hint="eastAsia" w:ascii="宋体" w:hAnsi="宋体" w:cs="宋体"/>
          <w:color w:val="auto"/>
          <w:sz w:val="24"/>
          <w:szCs w:val="24"/>
        </w:rPr>
      </w:pPr>
    </w:p>
    <w:p w14:paraId="7531A268">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供应商名称：</w:t>
      </w:r>
      <w:r>
        <w:rPr>
          <w:rFonts w:hint="eastAsia" w:ascii="宋体" w:hAnsi="宋体" w:cs="宋体"/>
          <w:color w:val="auto"/>
          <w:sz w:val="24"/>
          <w:szCs w:val="24"/>
          <w:u w:val="single"/>
        </w:rPr>
        <w:t xml:space="preserve">                 </w:t>
      </w:r>
      <w:r>
        <w:rPr>
          <w:rFonts w:hint="eastAsia" w:ascii="宋体" w:hAnsi="宋体" w:cs="宋体"/>
          <w:color w:val="auto"/>
          <w:sz w:val="24"/>
          <w:szCs w:val="24"/>
        </w:rPr>
        <w:t>（单位电子印章）</w:t>
      </w:r>
    </w:p>
    <w:p w14:paraId="0C3059F5">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法定代表人或其委托代理人：</w:t>
      </w:r>
      <w:r>
        <w:rPr>
          <w:rFonts w:hint="eastAsia" w:ascii="宋体" w:hAnsi="宋体" w:cs="宋体"/>
          <w:color w:val="auto"/>
          <w:sz w:val="24"/>
          <w:szCs w:val="24"/>
          <w:u w:val="single"/>
        </w:rPr>
        <w:t xml:space="preserve">                    </w:t>
      </w:r>
      <w:r>
        <w:rPr>
          <w:rFonts w:hint="eastAsia" w:ascii="宋体" w:hAnsi="宋体" w:cs="宋体"/>
          <w:color w:val="auto"/>
          <w:sz w:val="24"/>
          <w:szCs w:val="24"/>
        </w:rPr>
        <w:t>（电子签章或签字）</w:t>
      </w:r>
    </w:p>
    <w:p w14:paraId="35F7CE51">
      <w:pPr>
        <w:spacing w:line="52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7EB2C9BF">
      <w:pPr>
        <w:pStyle w:val="3"/>
        <w:spacing w:before="0" w:after="0"/>
        <w:jc w:val="center"/>
        <w:rPr>
          <w:rFonts w:hint="eastAsia" w:ascii="宋体" w:hAnsi="宋体" w:eastAsia="宋体" w:cs="宋体"/>
          <w:color w:val="auto"/>
          <w:sz w:val="28"/>
          <w:szCs w:val="28"/>
        </w:rPr>
      </w:pPr>
      <w:bookmarkStart w:id="971" w:name="_Toc26870"/>
      <w:r>
        <w:rPr>
          <w:rFonts w:hint="eastAsia" w:ascii="宋体" w:hAnsi="宋体" w:eastAsia="宋体" w:cs="宋体"/>
          <w:color w:val="auto"/>
          <w:sz w:val="28"/>
          <w:szCs w:val="28"/>
        </w:rPr>
        <w:br w:type="page"/>
      </w:r>
      <w:bookmarkStart w:id="972" w:name="_Toc20288"/>
      <w:r>
        <w:rPr>
          <w:rFonts w:hint="eastAsia" w:ascii="宋体" w:hAnsi="宋体" w:eastAsia="宋体" w:cs="宋体"/>
          <w:color w:val="auto"/>
          <w:sz w:val="28"/>
          <w:szCs w:val="28"/>
        </w:rPr>
        <w:t>九、综合部分其他资料</w:t>
      </w:r>
      <w:bookmarkEnd w:id="971"/>
      <w:bookmarkEnd w:id="972"/>
    </w:p>
    <w:p w14:paraId="2BF299CD">
      <w:pPr>
        <w:rPr>
          <w:rFonts w:hint="eastAsia"/>
          <w:color w:val="auto"/>
        </w:rPr>
      </w:pPr>
      <w:bookmarkStart w:id="973" w:name="_Toc19540"/>
      <w:bookmarkStart w:id="974" w:name="_Toc24194"/>
    </w:p>
    <w:bookmarkEnd w:id="967"/>
    <w:bookmarkEnd w:id="968"/>
    <w:bookmarkEnd w:id="973"/>
    <w:bookmarkEnd w:id="974"/>
    <w:p w14:paraId="1503193A">
      <w:pPr>
        <w:pStyle w:val="3"/>
        <w:spacing w:before="0" w:after="0"/>
        <w:jc w:val="center"/>
        <w:rPr>
          <w:rFonts w:hint="eastAsia" w:ascii="宋体" w:hAnsi="宋体" w:eastAsia="宋体" w:cs="宋体"/>
          <w:bCs/>
          <w:color w:val="auto"/>
          <w:sz w:val="28"/>
          <w:szCs w:val="28"/>
        </w:rPr>
      </w:pPr>
      <w:bookmarkStart w:id="975" w:name="_Toc26950"/>
      <w:bookmarkStart w:id="976" w:name="_Toc5086"/>
      <w:bookmarkStart w:id="977" w:name="_Toc17003"/>
      <w:bookmarkStart w:id="978" w:name="_Toc11698"/>
      <w:r>
        <w:rPr>
          <w:rFonts w:hint="eastAsia" w:ascii="宋体" w:hAnsi="宋体" w:eastAsia="宋体" w:cs="宋体"/>
          <w:bCs/>
          <w:color w:val="auto"/>
          <w:sz w:val="28"/>
          <w:szCs w:val="28"/>
        </w:rPr>
        <w:br w:type="page"/>
      </w:r>
      <w:bookmarkStart w:id="979" w:name="_Toc8431"/>
      <w:r>
        <w:rPr>
          <w:rFonts w:hint="eastAsia" w:ascii="宋体" w:hAnsi="宋体" w:eastAsia="宋体" w:cs="宋体"/>
          <w:bCs/>
          <w:color w:val="auto"/>
          <w:sz w:val="28"/>
          <w:szCs w:val="28"/>
        </w:rPr>
        <w:t>十、</w:t>
      </w:r>
      <w:bookmarkEnd w:id="975"/>
      <w:bookmarkEnd w:id="976"/>
      <w:bookmarkEnd w:id="977"/>
      <w:r>
        <w:rPr>
          <w:rFonts w:hint="eastAsia" w:ascii="宋体" w:hAnsi="宋体" w:eastAsia="宋体" w:cs="宋体"/>
          <w:bCs/>
          <w:color w:val="auto"/>
          <w:sz w:val="28"/>
          <w:szCs w:val="28"/>
        </w:rPr>
        <w:t>反商业贿赂承诺书</w:t>
      </w:r>
      <w:bookmarkEnd w:id="978"/>
      <w:bookmarkEnd w:id="979"/>
    </w:p>
    <w:p w14:paraId="32EB920C">
      <w:pPr>
        <w:spacing w:line="500" w:lineRule="exact"/>
        <w:rPr>
          <w:rFonts w:hint="eastAsia" w:ascii="宋体" w:hAnsi="宋体"/>
          <w:color w:val="auto"/>
          <w:kern w:val="0"/>
          <w:sz w:val="24"/>
          <w:szCs w:val="24"/>
        </w:rPr>
      </w:pPr>
      <w:r>
        <w:rPr>
          <w:rFonts w:hint="eastAsia" w:ascii="宋体" w:hAnsi="宋体"/>
          <w:color w:val="auto"/>
          <w:kern w:val="0"/>
          <w:sz w:val="24"/>
          <w:szCs w:val="24"/>
        </w:rPr>
        <w:t>我公司承诺：</w:t>
      </w:r>
    </w:p>
    <w:p w14:paraId="124EB73F">
      <w:pPr>
        <w:spacing w:line="500" w:lineRule="exact"/>
        <w:ind w:firstLine="555"/>
        <w:rPr>
          <w:rFonts w:hint="eastAsia" w:ascii="宋体" w:hAnsi="宋体"/>
          <w:color w:val="auto"/>
          <w:kern w:val="0"/>
          <w:sz w:val="24"/>
          <w:szCs w:val="24"/>
        </w:rPr>
      </w:pPr>
      <w:r>
        <w:rPr>
          <w:rFonts w:hint="eastAsia" w:ascii="宋体" w:hAnsi="宋体"/>
          <w:color w:val="auto"/>
          <w:kern w:val="0"/>
          <w:sz w:val="24"/>
          <w:szCs w:val="24"/>
        </w:rPr>
        <w:t>在</w:t>
      </w:r>
      <w:r>
        <w:rPr>
          <w:rFonts w:hint="eastAsia" w:ascii="宋体" w:hAnsi="宋体"/>
          <w:color w:val="auto"/>
          <w:kern w:val="0"/>
          <w:sz w:val="24"/>
          <w:szCs w:val="24"/>
          <w:u w:val="single"/>
        </w:rPr>
        <w:t xml:space="preserve"> 中原纯化制程实验室高纯石墨材料制备技术与产品研发项目 </w:t>
      </w:r>
      <w:r>
        <w:rPr>
          <w:rFonts w:hint="eastAsia" w:ascii="宋体" w:hAnsi="宋体"/>
          <w:color w:val="auto"/>
          <w:kern w:val="0"/>
          <w:sz w:val="24"/>
          <w:szCs w:val="24"/>
        </w:rPr>
        <w:t>招标活动中，我公司保证做到：</w:t>
      </w:r>
    </w:p>
    <w:p w14:paraId="70D89A0A">
      <w:pPr>
        <w:spacing w:line="500" w:lineRule="exact"/>
        <w:ind w:firstLine="555"/>
        <w:rPr>
          <w:rFonts w:hint="eastAsia" w:ascii="宋体" w:hAnsi="宋体"/>
          <w:color w:val="auto"/>
          <w:kern w:val="0"/>
          <w:sz w:val="24"/>
          <w:szCs w:val="24"/>
        </w:rPr>
      </w:pPr>
      <w:r>
        <w:rPr>
          <w:rFonts w:hint="eastAsia" w:ascii="宋体" w:hAnsi="宋体"/>
          <w:color w:val="auto"/>
          <w:kern w:val="0"/>
          <w:sz w:val="24"/>
          <w:szCs w:val="24"/>
        </w:rPr>
        <w:t>一、公平竞争参见本次招标活动。</w:t>
      </w:r>
    </w:p>
    <w:p w14:paraId="409A6DA4">
      <w:pPr>
        <w:spacing w:line="500" w:lineRule="exact"/>
        <w:ind w:firstLine="555"/>
        <w:rPr>
          <w:rFonts w:hint="eastAsia" w:ascii="宋体" w:hAnsi="宋体"/>
          <w:color w:val="auto"/>
          <w:kern w:val="0"/>
          <w:sz w:val="24"/>
          <w:szCs w:val="24"/>
        </w:rPr>
      </w:pPr>
      <w:r>
        <w:rPr>
          <w:rFonts w:hint="eastAsia" w:ascii="宋体" w:hAnsi="宋体"/>
          <w:color w:val="auto"/>
          <w:kern w:val="0"/>
          <w:sz w:val="24"/>
          <w:szCs w:val="24"/>
        </w:rPr>
        <w:t>二、杜绝任何形式的商业贿赂行为。不向国家工作人员、政府采购代理机构工作人员、评审专家及亲属提供礼品礼金、有价证券、购物券、回扣、佣金、咨询费、劳务费、资助费、宣传费、宴请；不为其报销各种消费凭证，不支付其旅游、娱乐等费用。</w:t>
      </w:r>
    </w:p>
    <w:p w14:paraId="7F6CF7BA">
      <w:pPr>
        <w:spacing w:line="500" w:lineRule="exact"/>
        <w:ind w:firstLine="555"/>
        <w:rPr>
          <w:rFonts w:hint="eastAsia" w:ascii="宋体" w:hAnsi="宋体"/>
          <w:color w:val="auto"/>
          <w:kern w:val="0"/>
          <w:sz w:val="24"/>
          <w:szCs w:val="24"/>
        </w:rPr>
      </w:pPr>
      <w:r>
        <w:rPr>
          <w:rFonts w:hint="eastAsia" w:ascii="宋体" w:hAnsi="宋体"/>
          <w:color w:val="auto"/>
          <w:kern w:val="0"/>
          <w:sz w:val="24"/>
          <w:szCs w:val="24"/>
        </w:rPr>
        <w:t>三、若出现上述行为，我公司及参与投标的工作人员愿意接受按照国家法律法规等有关规定给予的处罚。</w:t>
      </w:r>
    </w:p>
    <w:p w14:paraId="1268A1E5">
      <w:pPr>
        <w:spacing w:line="500" w:lineRule="exact"/>
        <w:ind w:firstLine="555"/>
        <w:rPr>
          <w:rFonts w:hint="eastAsia" w:ascii="宋体" w:hAnsi="宋体"/>
          <w:color w:val="auto"/>
          <w:kern w:val="0"/>
          <w:sz w:val="24"/>
          <w:szCs w:val="24"/>
        </w:rPr>
      </w:pPr>
    </w:p>
    <w:p w14:paraId="53178351">
      <w:pPr>
        <w:spacing w:line="500" w:lineRule="exact"/>
        <w:ind w:firstLine="555"/>
        <w:rPr>
          <w:rFonts w:hint="eastAsia" w:ascii="宋体" w:hAnsi="宋体"/>
          <w:color w:val="auto"/>
          <w:kern w:val="0"/>
          <w:sz w:val="24"/>
          <w:szCs w:val="24"/>
        </w:rPr>
      </w:pPr>
    </w:p>
    <w:p w14:paraId="48158BF3">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7DA6B4BA">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7F704066">
      <w:pPr>
        <w:spacing w:line="500" w:lineRule="exact"/>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10637A6D">
      <w:pPr>
        <w:pStyle w:val="3"/>
        <w:spacing w:before="0" w:after="0" w:line="440" w:lineRule="exact"/>
        <w:jc w:val="center"/>
        <w:rPr>
          <w:rFonts w:hint="eastAsia" w:ascii="宋体" w:hAnsi="宋体"/>
          <w:b/>
          <w:color w:val="auto"/>
          <w:sz w:val="28"/>
          <w:szCs w:val="28"/>
        </w:rPr>
      </w:pPr>
      <w:bookmarkStart w:id="980" w:name="_Toc28531"/>
      <w:bookmarkEnd w:id="980"/>
      <w:bookmarkStart w:id="981" w:name="_Toc10592"/>
      <w:bookmarkStart w:id="982" w:name="_Toc7206"/>
      <w:bookmarkStart w:id="983" w:name="_Toc30461"/>
      <w:bookmarkStart w:id="984" w:name="_Toc11688"/>
      <w:bookmarkStart w:id="985" w:name="_Toc3943"/>
      <w:r>
        <w:rPr>
          <w:rFonts w:hint="eastAsia" w:ascii="宋体" w:hAnsi="宋体" w:eastAsia="宋体" w:cs="Times New Roman"/>
          <w:bCs/>
          <w:color w:val="auto"/>
          <w:sz w:val="28"/>
          <w:szCs w:val="28"/>
        </w:rPr>
        <w:br w:type="page"/>
      </w:r>
      <w:bookmarkStart w:id="986" w:name="_Toc30250"/>
      <w:r>
        <w:rPr>
          <w:rFonts w:hint="eastAsia" w:ascii="宋体" w:hAnsi="宋体" w:eastAsia="宋体" w:cs="Times New Roman"/>
          <w:bCs/>
          <w:color w:val="auto"/>
          <w:sz w:val="28"/>
          <w:szCs w:val="28"/>
        </w:rPr>
        <w:t>十一、</w:t>
      </w:r>
      <w:bookmarkEnd w:id="981"/>
      <w:r>
        <w:rPr>
          <w:rFonts w:hint="eastAsia" w:ascii="宋体" w:hAnsi="宋体" w:eastAsia="宋体" w:cs="Times New Roman"/>
          <w:bCs/>
          <w:color w:val="auto"/>
          <w:sz w:val="24"/>
          <w:szCs w:val="24"/>
        </w:rPr>
        <w:t>投标响应承诺函</w:t>
      </w:r>
      <w:bookmarkEnd w:id="982"/>
      <w:bookmarkEnd w:id="986"/>
    </w:p>
    <w:p w14:paraId="535C5454">
      <w:pPr>
        <w:spacing w:line="560" w:lineRule="exact"/>
        <w:rPr>
          <w:rFonts w:hint="eastAsia" w:ascii="宋体" w:hAnsi="宋体" w:cs="宋体"/>
          <w:b/>
          <w:color w:val="auto"/>
          <w:sz w:val="24"/>
          <w:szCs w:val="24"/>
          <w:u w:val="single"/>
        </w:rPr>
      </w:pPr>
      <w:r>
        <w:rPr>
          <w:rFonts w:hint="eastAsia" w:ascii="宋体" w:hAnsi="宋体" w:cs="宋体"/>
          <w:b/>
          <w:color w:val="auto"/>
          <w:sz w:val="24"/>
          <w:szCs w:val="24"/>
        </w:rPr>
        <w:t>致：</w:t>
      </w:r>
      <w:r>
        <w:rPr>
          <w:rFonts w:hint="eastAsia" w:ascii="宋体" w:hAnsi="宋体" w:cs="宋体"/>
          <w:b/>
          <w:bCs/>
          <w:color w:val="auto"/>
          <w:kern w:val="0"/>
          <w:sz w:val="24"/>
          <w:szCs w:val="24"/>
          <w:u w:val="single"/>
        </w:rPr>
        <w:t>中原纯化制程实验室</w:t>
      </w:r>
      <w:r>
        <w:rPr>
          <w:rFonts w:hint="eastAsia" w:ascii="宋体" w:hAnsi="宋体" w:cs="宋体"/>
          <w:b/>
          <w:color w:val="auto"/>
          <w:sz w:val="24"/>
          <w:szCs w:val="24"/>
          <w:u w:val="single"/>
        </w:rPr>
        <w:t>、中建山河建设管理集团有限公司</w:t>
      </w:r>
      <w:r>
        <w:rPr>
          <w:rFonts w:hint="eastAsia" w:ascii="宋体" w:hAnsi="宋体" w:cs="宋体"/>
          <w:b/>
          <w:color w:val="auto"/>
          <w:sz w:val="24"/>
          <w:szCs w:val="24"/>
        </w:rPr>
        <w:t>（采购人、采购代理机构名称）</w:t>
      </w:r>
    </w:p>
    <w:p w14:paraId="181C0537">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我方</w:t>
      </w:r>
      <w:r>
        <w:rPr>
          <w:rFonts w:hint="eastAsia" w:ascii="宋体" w:hAnsi="宋体" w:cs="宋体"/>
          <w:color w:val="auto"/>
          <w:sz w:val="24"/>
          <w:szCs w:val="24"/>
          <w:u w:val="single"/>
        </w:rPr>
        <w:t xml:space="preserve">  （供应商名称） </w:t>
      </w:r>
      <w:r>
        <w:rPr>
          <w:rFonts w:hint="eastAsia" w:ascii="宋体" w:hAnsi="宋体" w:cs="宋体"/>
          <w:color w:val="auto"/>
          <w:sz w:val="24"/>
          <w:szCs w:val="24"/>
        </w:rPr>
        <w:t xml:space="preserve">参加 </w:t>
      </w:r>
      <w:r>
        <w:rPr>
          <w:rFonts w:hint="eastAsia" w:ascii="宋体" w:hAnsi="宋体" w:cs="宋体"/>
          <w:color w:val="auto"/>
          <w:kern w:val="0"/>
          <w:sz w:val="24"/>
          <w:szCs w:val="24"/>
          <w:u w:val="single"/>
        </w:rPr>
        <w:t>中原纯化制程实验室高纯石墨材料制备技术与产品研发项目</w:t>
      </w:r>
      <w:r>
        <w:rPr>
          <w:rFonts w:hint="eastAsia" w:ascii="宋体" w:hAnsi="宋体" w:cs="宋体"/>
          <w:color w:val="auto"/>
          <w:sz w:val="24"/>
          <w:szCs w:val="24"/>
          <w:u w:val="single"/>
        </w:rPr>
        <w:t>（项目名称）</w:t>
      </w:r>
      <w:r>
        <w:rPr>
          <w:rFonts w:hint="eastAsia" w:ascii="宋体" w:hAnsi="宋体" w:cs="宋体"/>
          <w:color w:val="auto"/>
          <w:sz w:val="24"/>
          <w:szCs w:val="24"/>
        </w:rPr>
        <w:t>项目（项目编号：</w:t>
      </w:r>
      <w:r>
        <w:rPr>
          <w:rFonts w:hint="eastAsia" w:ascii="宋体" w:hAnsi="宋体" w:cs="宋体"/>
          <w:color w:val="auto"/>
          <w:sz w:val="24"/>
          <w:szCs w:val="24"/>
          <w:u w:val="single"/>
          <w:lang w:eastAsia="zh-CN"/>
        </w:rPr>
        <w:t>豫财磋商采购-2026-690</w:t>
      </w:r>
      <w:r>
        <w:rPr>
          <w:rFonts w:hint="eastAsia" w:ascii="宋体" w:hAnsi="宋体" w:cs="宋体"/>
          <w:color w:val="auto"/>
          <w:sz w:val="24"/>
          <w:szCs w:val="24"/>
        </w:rPr>
        <w:t>）的磋商响应，根据磋商文件所规定的权利和义务，在此我方承诺如下：</w:t>
      </w:r>
    </w:p>
    <w:p w14:paraId="0600DBA3">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1.我方提交的响应文件内容均真实、合法有效，不提供虚假材料；</w:t>
      </w:r>
    </w:p>
    <w:p w14:paraId="69F6A8B8">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2.在响应文件递交截止时间后，响应文件有效期不撤销或修改响应文件；</w:t>
      </w:r>
    </w:p>
    <w:p w14:paraId="36B39700">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3.如若我方中标，在收到成交通知书后，如无正当理由将在规定的时间内与采购人签订政府采购合同；</w:t>
      </w:r>
    </w:p>
    <w:p w14:paraId="22B4B404">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4.如若我方中标，我方将按磋商文件中规定的提供履约保证金或履约担保（如有）；</w:t>
      </w:r>
    </w:p>
    <w:p w14:paraId="096ACF34">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5.如若我方中标，我方在签订合时不向采购人提出附加条件；</w:t>
      </w:r>
    </w:p>
    <w:p w14:paraId="619BB7E2">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6.如若我方中标，我方将按照磋商文件规定缴纳采购代理服务费。</w:t>
      </w:r>
    </w:p>
    <w:p w14:paraId="2DEA4992">
      <w:pPr>
        <w:spacing w:line="5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我单位若有违反上述承诺内容，愿承担相应责任，愿意接受采购人、相关监督部门作出的包括但不限于取消投标（中标/成交）资格、实施不良行为记录、限制投标、公开曝光及相关的行政处理、处罚。</w:t>
      </w:r>
    </w:p>
    <w:p w14:paraId="1015322B">
      <w:pPr>
        <w:spacing w:line="560" w:lineRule="exact"/>
        <w:ind w:firstLine="420"/>
        <w:rPr>
          <w:rFonts w:hint="eastAsia" w:ascii="宋体" w:hAnsi="宋体" w:cs="宋体"/>
          <w:color w:val="auto"/>
          <w:sz w:val="24"/>
          <w:szCs w:val="24"/>
        </w:rPr>
      </w:pPr>
    </w:p>
    <w:p w14:paraId="18326414">
      <w:pPr>
        <w:pStyle w:val="15"/>
        <w:spacing w:before="0" w:beforeAutospacing="0" w:after="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60361F8A">
      <w:pPr>
        <w:pStyle w:val="15"/>
        <w:spacing w:before="0" w:beforeAutospacing="0" w:after="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1764EDE4">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160707DE">
      <w:pPr>
        <w:pStyle w:val="3"/>
        <w:spacing w:before="0" w:after="0"/>
        <w:jc w:val="center"/>
        <w:rPr>
          <w:rFonts w:hint="eastAsia" w:ascii="宋体" w:hAnsi="宋体" w:eastAsia="宋体"/>
          <w:color w:val="auto"/>
        </w:rPr>
      </w:pPr>
      <w:r>
        <w:rPr>
          <w:rFonts w:hint="eastAsia" w:ascii="宋体" w:hAnsi="宋体"/>
          <w:color w:val="auto"/>
          <w:szCs w:val="24"/>
        </w:rPr>
        <w:br w:type="page"/>
      </w:r>
      <w:bookmarkStart w:id="987" w:name="_Toc13290"/>
      <w:bookmarkStart w:id="988" w:name="_Toc17730"/>
      <w:r>
        <w:rPr>
          <w:rFonts w:hint="eastAsia" w:ascii="宋体" w:hAnsi="宋体" w:eastAsia="宋体" w:cs="宋体"/>
          <w:color w:val="auto"/>
          <w:sz w:val="28"/>
          <w:szCs w:val="28"/>
        </w:rPr>
        <w:t>十二、本项目执行的政府采购政策</w:t>
      </w:r>
      <w:bookmarkEnd w:id="983"/>
      <w:bookmarkEnd w:id="984"/>
      <w:bookmarkEnd w:id="985"/>
      <w:bookmarkEnd w:id="987"/>
      <w:bookmarkEnd w:id="988"/>
    </w:p>
    <w:p w14:paraId="26C5806E">
      <w:pPr>
        <w:pStyle w:val="4"/>
        <w:spacing w:before="0"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1、中小企业声明函</w:t>
      </w:r>
    </w:p>
    <w:p w14:paraId="01DCB8F5">
      <w:pPr>
        <w:spacing w:line="360" w:lineRule="auto"/>
        <w:ind w:firstLine="420"/>
        <w:rPr>
          <w:rFonts w:hint="eastAsia" w:ascii="宋体" w:hAnsi="宋体" w:cs="宋体"/>
          <w:color w:val="auto"/>
          <w:sz w:val="24"/>
          <w:szCs w:val="24"/>
        </w:rPr>
      </w:pPr>
      <w:r>
        <w:rPr>
          <w:rFonts w:hint="eastAsia" w:ascii="宋体" w:hAnsi="宋体" w:cs="宋体"/>
          <w:color w:val="auto"/>
          <w:sz w:val="24"/>
          <w:szCs w:val="24"/>
        </w:rPr>
        <w:t>本公司（联合体）郑重声明，根据《政府采购促进中小企业发展管理办法》（财库﹝2020﹞46 号）的规定，本公司（联合体）参加</w:t>
      </w:r>
      <w:r>
        <w:rPr>
          <w:rFonts w:hint="eastAsia" w:ascii="宋体" w:hAnsi="宋体" w:cs="宋体"/>
          <w:color w:val="auto"/>
          <w:sz w:val="24"/>
          <w:szCs w:val="24"/>
          <w:u w:val="single"/>
        </w:rPr>
        <w:t xml:space="preserve"> （单位名称） </w:t>
      </w:r>
      <w:r>
        <w:rPr>
          <w:rFonts w:hint="eastAsia" w:ascii="宋体" w:hAnsi="宋体" w:cs="宋体"/>
          <w:color w:val="auto"/>
          <w:sz w:val="24"/>
          <w:szCs w:val="24"/>
        </w:rPr>
        <w:t>的</w:t>
      </w:r>
      <w:r>
        <w:rPr>
          <w:rFonts w:hint="eastAsia" w:ascii="宋体" w:hAnsi="宋体" w:cs="宋体"/>
          <w:color w:val="auto"/>
          <w:sz w:val="24"/>
          <w:szCs w:val="24"/>
          <w:u w:val="single"/>
        </w:rPr>
        <w:t xml:space="preserve"> （项目名称） </w:t>
      </w:r>
      <w:r>
        <w:rPr>
          <w:rFonts w:hint="eastAsia" w:ascii="宋体" w:hAnsi="宋体" w:cs="宋体"/>
          <w:color w:val="auto"/>
          <w:sz w:val="24"/>
          <w:szCs w:val="24"/>
        </w:rPr>
        <w:t>采购活动，提供的货物全部由符合政策要求的中小企业制造。相关企业（含联合体中的中小企业、签订分包意向协议的中小企业）的具体情况如下：</w:t>
      </w:r>
    </w:p>
    <w:p w14:paraId="0BB03CF0">
      <w:pPr>
        <w:spacing w:line="360" w:lineRule="auto"/>
        <w:ind w:firstLine="42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u w:val="single"/>
        </w:rPr>
        <w:t xml:space="preserve"> （标的名称） </w:t>
      </w:r>
      <w:r>
        <w:rPr>
          <w:rFonts w:hint="eastAsia" w:ascii="宋体" w:hAnsi="宋体" w:cs="宋体"/>
          <w:color w:val="auto"/>
          <w:sz w:val="24"/>
          <w:szCs w:val="24"/>
        </w:rPr>
        <w:t>，属于</w:t>
      </w:r>
      <w:r>
        <w:rPr>
          <w:rFonts w:hint="eastAsia" w:ascii="宋体" w:hAnsi="宋体" w:cs="宋体"/>
          <w:color w:val="auto"/>
          <w:sz w:val="24"/>
          <w:szCs w:val="24"/>
          <w:u w:val="single"/>
        </w:rPr>
        <w:t xml:space="preserve"> （采购文件中明确的所属行业）</w:t>
      </w:r>
      <w:r>
        <w:rPr>
          <w:rFonts w:hint="eastAsia" w:ascii="宋体" w:hAnsi="宋体" w:cs="宋体"/>
          <w:color w:val="auto"/>
          <w:sz w:val="24"/>
          <w:szCs w:val="24"/>
        </w:rPr>
        <w:t>行业；制造商为</w:t>
      </w:r>
      <w:r>
        <w:rPr>
          <w:rFonts w:hint="eastAsia" w:ascii="宋体" w:hAnsi="宋体" w:cs="宋体"/>
          <w:color w:val="auto"/>
          <w:sz w:val="24"/>
          <w:szCs w:val="24"/>
          <w:u w:val="single"/>
        </w:rPr>
        <w:t xml:space="preserve">  （企业名称）  </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w:t>
      </w:r>
      <w:r>
        <w:rPr>
          <w:rFonts w:hint="eastAsia" w:ascii="宋体" w:hAnsi="宋体" w:cs="宋体"/>
          <w:color w:val="auto"/>
          <w:sz w:val="24"/>
          <w:szCs w:val="24"/>
          <w:vertAlign w:val="superscript"/>
        </w:rPr>
        <w:t>1</w:t>
      </w:r>
      <w:r>
        <w:rPr>
          <w:rFonts w:hint="eastAsia" w:ascii="宋体" w:hAnsi="宋体" w:cs="宋体"/>
          <w:color w:val="auto"/>
          <w:sz w:val="24"/>
          <w:szCs w:val="24"/>
        </w:rPr>
        <w:t>，属于</w:t>
      </w:r>
      <w:r>
        <w:rPr>
          <w:rFonts w:hint="eastAsia" w:ascii="宋体" w:hAnsi="宋体" w:cs="宋体"/>
          <w:color w:val="auto"/>
          <w:sz w:val="24"/>
          <w:szCs w:val="24"/>
          <w:u w:val="single"/>
        </w:rPr>
        <w:t xml:space="preserve"> （中型企业、小型企业、微型企业） </w:t>
      </w:r>
      <w:r>
        <w:rPr>
          <w:rFonts w:hint="eastAsia" w:ascii="宋体" w:hAnsi="宋体" w:cs="宋体"/>
          <w:color w:val="auto"/>
          <w:sz w:val="24"/>
          <w:szCs w:val="24"/>
        </w:rPr>
        <w:t>；</w:t>
      </w:r>
    </w:p>
    <w:p w14:paraId="031E83EF">
      <w:pPr>
        <w:spacing w:line="360" w:lineRule="auto"/>
        <w:ind w:firstLine="420"/>
        <w:rPr>
          <w:rFonts w:hint="eastAsia"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u w:val="single"/>
        </w:rPr>
        <w:t xml:space="preserve"> （标的名称） </w:t>
      </w:r>
      <w:r>
        <w:rPr>
          <w:rFonts w:hint="eastAsia" w:ascii="宋体" w:hAnsi="宋体" w:cs="宋体"/>
          <w:color w:val="auto"/>
          <w:sz w:val="24"/>
          <w:szCs w:val="24"/>
        </w:rPr>
        <w:t>，属于</w:t>
      </w:r>
      <w:r>
        <w:rPr>
          <w:rFonts w:hint="eastAsia" w:ascii="宋体" w:hAnsi="宋体" w:cs="宋体"/>
          <w:color w:val="auto"/>
          <w:sz w:val="24"/>
          <w:szCs w:val="24"/>
          <w:u w:val="single"/>
        </w:rPr>
        <w:t xml:space="preserve"> （采购文件中明确的所属行业）行业</w:t>
      </w:r>
      <w:r>
        <w:rPr>
          <w:rFonts w:hint="eastAsia" w:ascii="宋体" w:hAnsi="宋体" w:cs="宋体"/>
          <w:color w:val="auto"/>
          <w:sz w:val="24"/>
          <w:szCs w:val="24"/>
        </w:rPr>
        <w:t xml:space="preserve"> ；制造商为</w:t>
      </w:r>
      <w:r>
        <w:rPr>
          <w:rFonts w:hint="eastAsia" w:ascii="宋体" w:hAnsi="宋体" w:cs="宋体"/>
          <w:color w:val="auto"/>
          <w:sz w:val="24"/>
          <w:szCs w:val="24"/>
          <w:u w:val="single"/>
        </w:rPr>
        <w:t xml:space="preserve"> （企业名称） </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color w:val="auto"/>
          <w:sz w:val="24"/>
          <w:szCs w:val="24"/>
          <w:u w:val="single"/>
        </w:rPr>
        <w:t xml:space="preserve"> （中型企业、小型企业、微型企业） </w:t>
      </w:r>
      <w:r>
        <w:rPr>
          <w:rFonts w:hint="eastAsia" w:ascii="宋体" w:hAnsi="宋体" w:cs="宋体"/>
          <w:color w:val="auto"/>
          <w:sz w:val="24"/>
          <w:szCs w:val="24"/>
        </w:rPr>
        <w:t>；</w:t>
      </w:r>
    </w:p>
    <w:p w14:paraId="44B80988">
      <w:pPr>
        <w:spacing w:line="360" w:lineRule="auto"/>
        <w:ind w:firstLine="420"/>
        <w:rPr>
          <w:rFonts w:hint="eastAsia" w:ascii="宋体" w:hAnsi="宋体" w:cs="宋体"/>
          <w:color w:val="auto"/>
          <w:sz w:val="24"/>
          <w:szCs w:val="24"/>
        </w:rPr>
      </w:pPr>
      <w:r>
        <w:rPr>
          <w:rFonts w:hint="eastAsia" w:ascii="宋体" w:hAnsi="宋体" w:cs="宋体"/>
          <w:color w:val="auto"/>
          <w:sz w:val="24"/>
          <w:szCs w:val="24"/>
        </w:rPr>
        <w:t>……</w:t>
      </w:r>
    </w:p>
    <w:p w14:paraId="63528D50">
      <w:pPr>
        <w:spacing w:line="360" w:lineRule="auto"/>
        <w:ind w:firstLine="420"/>
        <w:rPr>
          <w:rFonts w:hint="eastAsia" w:ascii="宋体" w:hAnsi="宋体" w:cs="宋体"/>
          <w:color w:val="auto"/>
          <w:sz w:val="24"/>
          <w:szCs w:val="24"/>
        </w:rPr>
      </w:pPr>
      <w:r>
        <w:rPr>
          <w:rFonts w:hint="eastAsia" w:ascii="宋体" w:hAnsi="宋体" w:cs="宋体"/>
          <w:color w:val="auto"/>
          <w:sz w:val="24"/>
          <w:szCs w:val="24"/>
        </w:rPr>
        <w:t>以上企业，不属于大企业的分支机构，不存在控股股东为大企业的情形，也不存在与大企业的负责人为同一人的情形。</w:t>
      </w:r>
    </w:p>
    <w:p w14:paraId="71041704">
      <w:pPr>
        <w:spacing w:line="360" w:lineRule="auto"/>
        <w:ind w:firstLine="420"/>
        <w:rPr>
          <w:rFonts w:hint="eastAsia" w:ascii="宋体" w:hAnsi="宋体" w:cs="宋体"/>
          <w:b/>
          <w:bCs/>
          <w:color w:val="auto"/>
          <w:sz w:val="24"/>
          <w:szCs w:val="24"/>
        </w:rPr>
      </w:pPr>
      <w:r>
        <w:rPr>
          <w:rFonts w:hint="eastAsia" w:ascii="宋体" w:hAnsi="宋体" w:cs="宋体"/>
          <w:b/>
          <w:bCs/>
          <w:color w:val="auto"/>
          <w:sz w:val="24"/>
          <w:szCs w:val="24"/>
        </w:rPr>
        <w:t>本企业对上述声明内容的真实性负责。如有虚假，将依法承担相应责任。</w:t>
      </w:r>
    </w:p>
    <w:p w14:paraId="44F3F64E">
      <w:pPr>
        <w:spacing w:line="360" w:lineRule="auto"/>
        <w:ind w:firstLine="4560" w:firstLineChars="1900"/>
        <w:rPr>
          <w:rFonts w:hint="eastAsia" w:ascii="宋体" w:hAnsi="宋体" w:cs="宋体"/>
          <w:color w:val="auto"/>
          <w:sz w:val="24"/>
          <w:szCs w:val="24"/>
        </w:rPr>
      </w:pPr>
      <w:r>
        <w:rPr>
          <w:rFonts w:hint="eastAsia" w:ascii="宋体" w:hAnsi="宋体" w:cs="宋体"/>
          <w:color w:val="auto"/>
          <w:sz w:val="24"/>
          <w:szCs w:val="24"/>
        </w:rPr>
        <w:t>企业名称（盖章）：</w:t>
      </w:r>
    </w:p>
    <w:p w14:paraId="5E3CDFEE">
      <w:pPr>
        <w:spacing w:line="360" w:lineRule="auto"/>
        <w:ind w:firstLine="408" w:firstLineChars="170"/>
        <w:jc w:val="center"/>
        <w:rPr>
          <w:rFonts w:hint="eastAsia" w:ascii="宋体" w:hAnsi="宋体" w:cs="宋体"/>
          <w:color w:val="auto"/>
          <w:sz w:val="24"/>
          <w:szCs w:val="24"/>
        </w:rPr>
      </w:pPr>
      <w:r>
        <w:rPr>
          <w:rFonts w:hint="eastAsia" w:ascii="宋体" w:hAnsi="宋体" w:cs="宋体"/>
          <w:color w:val="auto"/>
          <w:sz w:val="24"/>
          <w:szCs w:val="24"/>
        </w:rPr>
        <w:t xml:space="preserve">      日 期：</w:t>
      </w:r>
    </w:p>
    <w:p w14:paraId="6067A63E">
      <w:pPr>
        <w:spacing w:line="360" w:lineRule="auto"/>
        <w:rPr>
          <w:rFonts w:hint="eastAsia" w:ascii="宋体" w:hAnsi="宋体" w:cs="宋体"/>
          <w:color w:val="auto"/>
          <w:sz w:val="24"/>
          <w:szCs w:val="24"/>
        </w:rPr>
      </w:pPr>
      <w:r>
        <w:rPr>
          <w:rFonts w:ascii="宋体" w:hAnsi="宋体" w:cs="宋体"/>
          <w:color w:val="auto"/>
          <w:spacing w:val="-3"/>
          <w:sz w:val="24"/>
          <w:szCs w:val="24"/>
        </w:rPr>
        <w:t>备</w:t>
      </w:r>
      <w:r>
        <w:rPr>
          <w:rFonts w:ascii="宋体" w:hAnsi="宋体" w:cs="宋体"/>
          <w:color w:val="auto"/>
          <w:spacing w:val="-2"/>
          <w:sz w:val="24"/>
          <w:szCs w:val="24"/>
        </w:rPr>
        <w:t>注：</w:t>
      </w:r>
    </w:p>
    <w:p w14:paraId="0361913D">
      <w:pPr>
        <w:spacing w:line="400" w:lineRule="exact"/>
        <w:rPr>
          <w:rFonts w:hint="eastAsia" w:ascii="宋体" w:hAnsi="宋体" w:cs="宋体"/>
          <w:color w:val="auto"/>
          <w:kern w:val="0"/>
          <w:sz w:val="24"/>
          <w:szCs w:val="24"/>
        </w:rPr>
      </w:pPr>
      <w:bookmarkStart w:id="989" w:name="_Toc129073545"/>
      <w:r>
        <w:rPr>
          <w:rFonts w:hint="eastAsia" w:ascii="宋体" w:hAnsi="宋体" w:cs="宋体"/>
          <w:color w:val="auto"/>
          <w:kern w:val="0"/>
          <w:sz w:val="24"/>
          <w:szCs w:val="24"/>
        </w:rPr>
        <w:t>1、从业人员、营业收入、资产总额填报上一年度数据，无上一年度数据的新企业可不填报。</w:t>
      </w:r>
    </w:p>
    <w:p w14:paraId="510D762D">
      <w:pPr>
        <w:spacing w:line="400" w:lineRule="exact"/>
        <w:rPr>
          <w:rFonts w:hint="eastAsia" w:ascii="宋体" w:hAnsi="宋体" w:cs="宋体"/>
          <w:color w:val="auto"/>
          <w:kern w:val="0"/>
          <w:sz w:val="24"/>
          <w:szCs w:val="24"/>
        </w:rPr>
      </w:pPr>
      <w:r>
        <w:rPr>
          <w:rFonts w:hint="eastAsia" w:ascii="宋体" w:hAnsi="宋体" w:cs="宋体"/>
          <w:color w:val="auto"/>
          <w:kern w:val="0"/>
          <w:sz w:val="24"/>
          <w:szCs w:val="24"/>
        </w:rPr>
        <w:t>2、中标人如为小型和微型企业的，随中标结果公开中标人的《中小企业声明函》。投标供应商提供声明函内容不实的，属于提供虚假材料谋取中标。</w:t>
      </w:r>
    </w:p>
    <w:p w14:paraId="0C7B6BDA">
      <w:pPr>
        <w:spacing w:line="400" w:lineRule="exact"/>
        <w:rPr>
          <w:rFonts w:hint="eastAsia" w:ascii="宋体" w:hAnsi="宋体" w:cs="宋体"/>
          <w:color w:val="auto"/>
          <w:kern w:val="0"/>
          <w:sz w:val="24"/>
          <w:szCs w:val="24"/>
        </w:rPr>
      </w:pPr>
      <w:r>
        <w:rPr>
          <w:rFonts w:hint="eastAsia" w:ascii="宋体" w:hAnsi="宋体" w:cs="宋体"/>
          <w:color w:val="auto"/>
          <w:kern w:val="0"/>
          <w:sz w:val="24"/>
          <w:szCs w:val="24"/>
        </w:rPr>
        <w:t>3、投标供应商提供的货物既有中小企业制造货物，也有大型企业制造货物的，不享受《政府采购促进中小企业发展管理办法》(财库[2020]46 号)规定的中小企业扶持政策。依据《政府采购促进中小企业发展管理办法》(财库[2020]46 号)规定享受扶持政策获得政府采购合同的，小微企业不得将合同分包给大中型企业，中型企业不得将合同分包给大型企业。</w:t>
      </w:r>
    </w:p>
    <w:p w14:paraId="75E532F4">
      <w:pPr>
        <w:ind w:firstLine="420" w:firstLineChars="200"/>
        <w:jc w:val="center"/>
        <w:outlineLvl w:val="2"/>
        <w:rPr>
          <w:rFonts w:hint="eastAsia" w:ascii="宋体" w:hAnsi="宋体" w:cs="宋体"/>
          <w:color w:val="auto"/>
          <w:sz w:val="24"/>
          <w:szCs w:val="24"/>
        </w:rPr>
      </w:pPr>
      <w:r>
        <w:rPr>
          <w:rFonts w:hint="eastAsia" w:ascii="宋体" w:hAnsi="宋体" w:cs="宋体"/>
          <w:color w:val="auto"/>
          <w:kern w:val="0"/>
        </w:rPr>
        <w:br w:type="page"/>
      </w:r>
      <w:bookmarkStart w:id="990" w:name="_Toc16141"/>
      <w:r>
        <w:rPr>
          <w:rFonts w:hint="eastAsia" w:ascii="宋体" w:hAnsi="宋体" w:cs="宋体"/>
          <w:color w:val="auto"/>
          <w:sz w:val="24"/>
          <w:szCs w:val="24"/>
        </w:rPr>
        <w:t>2、残疾人福利性单位声明函</w:t>
      </w:r>
      <w:bookmarkEnd w:id="989"/>
      <w:bookmarkEnd w:id="990"/>
    </w:p>
    <w:p w14:paraId="74E0B3A6">
      <w:pPr>
        <w:pStyle w:val="112"/>
        <w:wordWrap w:val="0"/>
        <w:spacing w:line="360" w:lineRule="auto"/>
        <w:jc w:val="center"/>
        <w:rPr>
          <w:rFonts w:hint="eastAsia" w:ascii="宋体" w:hAnsi="宋体"/>
          <w:b/>
          <w:bCs/>
          <w:color w:val="auto"/>
          <w:sz w:val="24"/>
          <w:szCs w:val="24"/>
        </w:rPr>
      </w:pPr>
    </w:p>
    <w:p w14:paraId="6B58CEA1">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FBE2E9">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本单位对上述声明的真实性负责。如有虚假，将依法承担相应责任。</w:t>
      </w:r>
    </w:p>
    <w:p w14:paraId="023CD832">
      <w:pPr>
        <w:spacing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 xml:space="preserve">单位名称（企业公章）：        </w:t>
      </w:r>
    </w:p>
    <w:p w14:paraId="733E9794">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日  期：</w:t>
      </w:r>
    </w:p>
    <w:p w14:paraId="434A096C">
      <w:pPr>
        <w:spacing w:line="360" w:lineRule="auto"/>
        <w:ind w:firstLine="420" w:firstLineChars="200"/>
        <w:rPr>
          <w:rFonts w:hint="eastAsia" w:ascii="宋体" w:hAnsi="宋体"/>
          <w:color w:val="auto"/>
        </w:rPr>
      </w:pPr>
    </w:p>
    <w:p w14:paraId="0A5839FF">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提醒：如果供应商不是残疾人福利性单位，则不需要提供《残疾人福利性单位声明函》。否则，因此导致虚假投标的后果由供应商自行承担。</w:t>
      </w:r>
    </w:p>
    <w:p w14:paraId="75B5A33B">
      <w:pPr>
        <w:pStyle w:val="29"/>
        <w:spacing w:before="0" w:beforeAutospacing="0" w:after="0"/>
        <w:rPr>
          <w:rFonts w:hint="eastAsia" w:ascii="宋体" w:hAnsi="宋体"/>
          <w:color w:val="auto"/>
        </w:rPr>
      </w:pPr>
    </w:p>
    <w:p w14:paraId="54440618">
      <w:pPr>
        <w:pStyle w:val="4"/>
        <w:spacing w:before="0" w:after="0"/>
        <w:jc w:val="center"/>
        <w:rPr>
          <w:rFonts w:hint="eastAsia" w:ascii="宋体" w:hAnsi="宋体" w:eastAsia="宋体" w:cs="宋体"/>
          <w:color w:val="auto"/>
          <w:sz w:val="24"/>
          <w:szCs w:val="24"/>
        </w:rPr>
      </w:pPr>
      <w:bookmarkStart w:id="991" w:name="_Toc129073546"/>
      <w:bookmarkStart w:id="992" w:name="_Toc25003"/>
      <w:r>
        <w:rPr>
          <w:rFonts w:hint="eastAsia" w:ascii="宋体" w:hAnsi="宋体"/>
          <w:color w:val="auto"/>
          <w:sz w:val="24"/>
          <w:szCs w:val="24"/>
        </w:rPr>
        <w:br w:type="page"/>
      </w:r>
      <w:r>
        <w:rPr>
          <w:rStyle w:val="60"/>
          <w:rFonts w:hint="eastAsia" w:ascii="宋体" w:hAnsi="宋体" w:eastAsia="宋体" w:cs="宋体"/>
          <w:color w:val="auto"/>
          <w:sz w:val="24"/>
          <w:szCs w:val="24"/>
        </w:rPr>
        <w:t>3、监狱企业证明文件</w:t>
      </w:r>
      <w:bookmarkEnd w:id="991"/>
      <w:bookmarkEnd w:id="992"/>
    </w:p>
    <w:p w14:paraId="50AAA3B4">
      <w:pPr>
        <w:spacing w:line="360" w:lineRule="auto"/>
        <w:rPr>
          <w:rFonts w:hint="eastAsia" w:ascii="宋体" w:hAnsi="宋体"/>
          <w:color w:val="auto"/>
        </w:rPr>
      </w:pPr>
    </w:p>
    <w:p w14:paraId="3D571A31">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省级以上监狱管理局、戒毒管理局（含新疆生产建设兵团）出具的属于监狱企业的证明文件。</w:t>
      </w:r>
    </w:p>
    <w:p w14:paraId="51948F8F">
      <w:pPr>
        <w:pStyle w:val="112"/>
        <w:wordWrap w:val="0"/>
        <w:spacing w:line="360" w:lineRule="auto"/>
        <w:rPr>
          <w:rFonts w:hint="eastAsia" w:ascii="宋体" w:hAnsi="宋体"/>
          <w:b/>
          <w:bCs/>
          <w:color w:val="auto"/>
          <w:sz w:val="24"/>
          <w:szCs w:val="24"/>
        </w:rPr>
      </w:pPr>
    </w:p>
    <w:p w14:paraId="4B543EE9">
      <w:pPr>
        <w:pStyle w:val="112"/>
        <w:wordWrap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提醒：如果供应商不是监狱企业，则不需要提供《监狱企业证明文件》。否则，因此导致虚假投标的后果由供应商自行承担。</w:t>
      </w:r>
    </w:p>
    <w:p w14:paraId="79FE41F0">
      <w:pPr>
        <w:pStyle w:val="4"/>
        <w:spacing w:before="0" w:after="0"/>
        <w:jc w:val="center"/>
        <w:rPr>
          <w:color w:val="auto"/>
        </w:rPr>
      </w:pPr>
      <w:r>
        <w:rPr>
          <w:rFonts w:ascii="宋体" w:hAnsi="宋体" w:cs="宋体"/>
          <w:color w:val="auto"/>
          <w:sz w:val="26"/>
          <w:szCs w:val="26"/>
          <w:lang w:bidi="ar"/>
        </w:rPr>
        <w:br w:type="page"/>
      </w:r>
      <w:r>
        <w:rPr>
          <w:rFonts w:hint="eastAsia" w:ascii="宋体" w:hAnsi="宋体" w:eastAsia="宋体" w:cs="宋体"/>
          <w:color w:val="auto"/>
          <w:sz w:val="24"/>
          <w:szCs w:val="24"/>
        </w:rPr>
        <w:t>4、</w:t>
      </w:r>
      <w:r>
        <w:rPr>
          <w:rFonts w:hint="eastAsia" w:ascii="宋体" w:hAnsi="宋体" w:eastAsia="宋体" w:cs="宋体"/>
          <w:color w:val="auto"/>
          <w:sz w:val="24"/>
          <w:szCs w:val="24"/>
          <w:shd w:val="clear" w:color="auto" w:fill="FFFFFF"/>
          <w:lang w:bidi="ar"/>
        </w:rPr>
        <w:t>《关于符合本国产品标准的声明函》或财政部会同有关部门规定的有关证明文件（如有）、关于符合本国产品标准的成本占比的承诺函（如有）</w:t>
      </w:r>
    </w:p>
    <w:p w14:paraId="2A349777">
      <w:pPr>
        <w:pStyle w:val="36"/>
        <w:widowControl/>
        <w:shd w:val="clear" w:color="auto" w:fill="FFFFFF"/>
        <w:spacing w:line="480" w:lineRule="atLeast"/>
        <w:ind w:firstLine="420"/>
        <w:jc w:val="center"/>
        <w:textAlignment w:val="baseline"/>
        <w:rPr>
          <w:rFonts w:hint="eastAsia" w:ascii="宋体" w:hAnsi="宋体" w:cs="宋体"/>
          <w:b/>
          <w:bCs/>
          <w:color w:val="auto"/>
          <w:sz w:val="24"/>
          <w:szCs w:val="24"/>
          <w:shd w:val="clear" w:color="auto" w:fill="FFFFFF"/>
        </w:rPr>
      </w:pPr>
      <w:r>
        <w:rPr>
          <w:rFonts w:hint="eastAsia" w:ascii="宋体" w:hAnsi="宋体" w:cs="宋体"/>
          <w:b/>
          <w:bCs/>
          <w:color w:val="auto"/>
          <w:sz w:val="24"/>
          <w:szCs w:val="24"/>
          <w:shd w:val="clear" w:color="auto" w:fill="FFFFFF"/>
          <w:lang w:bidi="ar"/>
        </w:rPr>
        <w:t>4.1《关于符合本国产品标准的声明函》</w:t>
      </w:r>
    </w:p>
    <w:p w14:paraId="7869FC50">
      <w:pPr>
        <w:pStyle w:val="130"/>
        <w:spacing w:before="240" w:after="240" w:line="360" w:lineRule="auto"/>
        <w:ind w:firstLine="42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1. </w:t>
      </w:r>
      <w:r>
        <w:rPr>
          <w:rFonts w:ascii="宋体" w:hAnsi="宋体" w:eastAsia="宋体" w:cs="宋体"/>
          <w:color w:val="auto"/>
          <w:sz w:val="24"/>
          <w:szCs w:val="24"/>
          <w:highlight w:val="none"/>
          <w:u w:val="single"/>
        </w:rPr>
        <w:t>（产品名称1）</w:t>
      </w:r>
      <w:r>
        <w:rPr>
          <w:rFonts w:ascii="宋体" w:hAnsi="宋体" w:eastAsia="宋体" w:cs="宋体"/>
          <w:color w:val="auto"/>
          <w:sz w:val="24"/>
          <w:szCs w:val="24"/>
          <w:highlight w:val="none"/>
        </w:rPr>
        <w:t>，生产厂为</w:t>
      </w:r>
      <w:r>
        <w:rPr>
          <w:rFonts w:ascii="宋体" w:hAnsi="宋体" w:eastAsia="宋体" w:cs="宋体"/>
          <w:color w:val="auto"/>
          <w:sz w:val="24"/>
          <w:szCs w:val="24"/>
          <w:highlight w:val="none"/>
          <w:u w:val="single"/>
        </w:rPr>
        <w:t>（厂名）</w:t>
      </w:r>
      <w:r>
        <w:rPr>
          <w:rFonts w:ascii="宋体" w:hAnsi="宋体" w:eastAsia="宋体" w:cs="宋体"/>
          <w:color w:val="auto"/>
          <w:sz w:val="24"/>
          <w:szCs w:val="24"/>
          <w:highlight w:val="none"/>
        </w:rPr>
        <w:t>，厂址为</w:t>
      </w:r>
      <w:r>
        <w:rPr>
          <w:rFonts w:ascii="宋体" w:hAnsi="宋体" w:eastAsia="宋体" w:cs="宋体"/>
          <w:color w:val="auto"/>
          <w:sz w:val="24"/>
          <w:szCs w:val="24"/>
          <w:highlight w:val="none"/>
          <w:u w:val="single"/>
        </w:rPr>
        <w:t>（生产厂址）</w:t>
      </w: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u w:val="single"/>
        </w:rPr>
        <w:t>（产品名称1）</w:t>
      </w:r>
      <w:r>
        <w:rPr>
          <w:rFonts w:ascii="宋体" w:hAnsi="宋体" w:eastAsia="宋体" w:cs="宋体"/>
          <w:color w:val="auto"/>
          <w:sz w:val="24"/>
          <w:szCs w:val="24"/>
          <w:highlight w:val="none"/>
        </w:rPr>
        <w:t>的中国境内生产的组件成本占比≥</w:t>
      </w:r>
      <w:r>
        <w:rPr>
          <w:rFonts w:ascii="宋体" w:hAnsi="宋体" w:eastAsia="宋体" w:cs="宋体"/>
          <w:color w:val="auto"/>
          <w:sz w:val="24"/>
          <w:szCs w:val="24"/>
          <w:highlight w:val="none"/>
          <w:u w:val="single"/>
        </w:rPr>
        <w:t>（规定比例）</w:t>
      </w: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u w:val="single"/>
        </w:rPr>
        <w:t>（产品名称1）</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（关键组件）</w:t>
      </w:r>
      <w:r>
        <w:rPr>
          <w:rFonts w:ascii="宋体" w:hAnsi="宋体" w:eastAsia="宋体" w:cs="宋体"/>
          <w:color w:val="auto"/>
          <w:sz w:val="24"/>
          <w:szCs w:val="24"/>
          <w:highlight w:val="none"/>
        </w:rPr>
        <w:t xml:space="preserve">在中国境内生产。 </w:t>
      </w:r>
      <w:r>
        <w:rPr>
          <w:rFonts w:ascii="宋体" w:hAnsi="宋体" w:eastAsia="宋体" w:cs="宋体"/>
          <w:color w:val="auto"/>
          <w:sz w:val="24"/>
          <w:szCs w:val="24"/>
          <w:highlight w:val="none"/>
          <w:u w:val="single"/>
        </w:rPr>
        <w:t>（产品名称1）</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（关键工序）</w:t>
      </w:r>
      <w:r>
        <w:rPr>
          <w:rFonts w:ascii="宋体" w:hAnsi="宋体" w:eastAsia="宋体" w:cs="宋体"/>
          <w:color w:val="auto"/>
          <w:sz w:val="24"/>
          <w:szCs w:val="24"/>
          <w:highlight w:val="none"/>
        </w:rPr>
        <w:t>在中国境内完成。</w:t>
      </w:r>
    </w:p>
    <w:p w14:paraId="62994E28">
      <w:pPr>
        <w:pStyle w:val="130"/>
        <w:spacing w:before="240" w:after="240" w:line="360" w:lineRule="auto"/>
        <w:ind w:firstLine="42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2. </w:t>
      </w:r>
      <w:r>
        <w:rPr>
          <w:rFonts w:ascii="宋体" w:hAnsi="宋体" w:eastAsia="宋体" w:cs="宋体"/>
          <w:color w:val="auto"/>
          <w:sz w:val="24"/>
          <w:szCs w:val="24"/>
          <w:highlight w:val="none"/>
          <w:u w:val="single"/>
        </w:rPr>
        <w:t>（产品名称2）</w:t>
      </w:r>
      <w:r>
        <w:rPr>
          <w:rFonts w:ascii="宋体" w:hAnsi="宋体" w:eastAsia="宋体" w:cs="宋体"/>
          <w:color w:val="auto"/>
          <w:sz w:val="24"/>
          <w:szCs w:val="24"/>
          <w:highlight w:val="none"/>
        </w:rPr>
        <w:t>，生产厂为</w:t>
      </w:r>
      <w:r>
        <w:rPr>
          <w:rFonts w:ascii="宋体" w:hAnsi="宋体" w:eastAsia="宋体" w:cs="宋体"/>
          <w:color w:val="auto"/>
          <w:sz w:val="24"/>
          <w:szCs w:val="24"/>
          <w:highlight w:val="none"/>
          <w:u w:val="single"/>
        </w:rPr>
        <w:t>（厂名）</w:t>
      </w:r>
      <w:r>
        <w:rPr>
          <w:rFonts w:ascii="宋体" w:hAnsi="宋体" w:eastAsia="宋体" w:cs="宋体"/>
          <w:color w:val="auto"/>
          <w:sz w:val="24"/>
          <w:szCs w:val="24"/>
          <w:highlight w:val="none"/>
        </w:rPr>
        <w:t>，厂址为</w:t>
      </w:r>
      <w:r>
        <w:rPr>
          <w:rFonts w:ascii="宋体" w:hAnsi="宋体" w:eastAsia="宋体" w:cs="宋体"/>
          <w:color w:val="auto"/>
          <w:sz w:val="24"/>
          <w:szCs w:val="24"/>
          <w:highlight w:val="none"/>
          <w:u w:val="single"/>
        </w:rPr>
        <w:t>（生产厂址）</w:t>
      </w: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u w:val="single"/>
        </w:rPr>
        <w:t>（产品名称2）</w:t>
      </w:r>
      <w:r>
        <w:rPr>
          <w:rFonts w:ascii="宋体" w:hAnsi="宋体" w:eastAsia="宋体" w:cs="宋体"/>
          <w:color w:val="auto"/>
          <w:sz w:val="24"/>
          <w:szCs w:val="24"/>
          <w:highlight w:val="none"/>
        </w:rPr>
        <w:t>的中国境内生产的组件成本占比≥</w:t>
      </w:r>
      <w:r>
        <w:rPr>
          <w:rFonts w:ascii="宋体" w:hAnsi="宋体" w:eastAsia="宋体" w:cs="宋体"/>
          <w:color w:val="auto"/>
          <w:sz w:val="24"/>
          <w:szCs w:val="24"/>
          <w:highlight w:val="none"/>
          <w:u w:val="single"/>
        </w:rPr>
        <w:t>（规定比例）</w:t>
      </w:r>
      <w:r>
        <w:rPr>
          <w:rFonts w:ascii="宋体" w:hAnsi="宋体" w:eastAsia="宋体" w:cs="宋体"/>
          <w:color w:val="auto"/>
          <w:sz w:val="24"/>
          <w:szCs w:val="24"/>
          <w:highlight w:val="none"/>
        </w:rPr>
        <w:t xml:space="preserve">。 </w:t>
      </w:r>
      <w:r>
        <w:rPr>
          <w:rFonts w:ascii="宋体" w:hAnsi="宋体" w:eastAsia="宋体" w:cs="宋体"/>
          <w:color w:val="auto"/>
          <w:sz w:val="24"/>
          <w:szCs w:val="24"/>
          <w:highlight w:val="none"/>
          <w:u w:val="single"/>
        </w:rPr>
        <w:t>（产品名称2）</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（关键组件）</w:t>
      </w:r>
      <w:r>
        <w:rPr>
          <w:rFonts w:ascii="宋体" w:hAnsi="宋体" w:eastAsia="宋体" w:cs="宋体"/>
          <w:color w:val="auto"/>
          <w:sz w:val="24"/>
          <w:szCs w:val="24"/>
          <w:highlight w:val="none"/>
        </w:rPr>
        <w:t xml:space="preserve">在中国境内生产。 </w:t>
      </w:r>
      <w:r>
        <w:rPr>
          <w:rFonts w:ascii="宋体" w:hAnsi="宋体" w:eastAsia="宋体" w:cs="宋体"/>
          <w:color w:val="auto"/>
          <w:sz w:val="24"/>
          <w:szCs w:val="24"/>
          <w:highlight w:val="none"/>
          <w:u w:val="single"/>
        </w:rPr>
        <w:t>（产品名称2）</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（关键工序）</w:t>
      </w:r>
      <w:r>
        <w:rPr>
          <w:rFonts w:ascii="宋体" w:hAnsi="宋体" w:eastAsia="宋体" w:cs="宋体"/>
          <w:color w:val="auto"/>
          <w:sz w:val="24"/>
          <w:szCs w:val="24"/>
          <w:highlight w:val="none"/>
        </w:rPr>
        <w:t>在中国境内完成。</w:t>
      </w:r>
    </w:p>
    <w:p w14:paraId="71FEF40C">
      <w:pPr>
        <w:pStyle w:val="130"/>
        <w:spacing w:before="240" w:after="240" w:line="360" w:lineRule="auto"/>
        <w:ind w:firstLine="42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 ……</w:t>
      </w:r>
    </w:p>
    <w:p w14:paraId="655B7CBF">
      <w:pPr>
        <w:pStyle w:val="36"/>
        <w:widowControl/>
        <w:shd w:val="clear" w:color="auto" w:fill="FFFFFF"/>
        <w:spacing w:line="480" w:lineRule="atLeast"/>
        <w:ind w:firstLine="420"/>
        <w:textAlignment w:val="baseline"/>
        <w:rPr>
          <w:rFonts w:hint="eastAsia" w:ascii="宋体" w:hAnsi="宋体" w:cs="宋体"/>
          <w:b/>
          <w:bCs/>
          <w:color w:val="auto"/>
          <w:sz w:val="24"/>
          <w:szCs w:val="24"/>
        </w:rPr>
      </w:pPr>
      <w:r>
        <w:rPr>
          <w:rFonts w:hint="eastAsia" w:ascii="宋体" w:hAnsi="宋体" w:cs="宋体"/>
          <w:b/>
          <w:bCs/>
          <w:color w:val="auto"/>
          <w:sz w:val="24"/>
          <w:szCs w:val="24"/>
          <w:shd w:val="clear" w:color="auto" w:fill="FFFFFF"/>
        </w:rPr>
        <w:t>本公司（单位）对上述声明内容的真实性负责。如有虚假，愿承担相应法律责任。</w:t>
      </w:r>
    </w:p>
    <w:p w14:paraId="01CD8C6C">
      <w:pPr>
        <w:pStyle w:val="36"/>
        <w:widowControl/>
        <w:shd w:val="clear" w:color="auto" w:fill="FFFFFF"/>
        <w:spacing w:line="480" w:lineRule="atLeast"/>
        <w:textAlignment w:val="baseline"/>
        <w:rPr>
          <w:rFonts w:hint="eastAsia" w:ascii="宋体" w:hAnsi="宋体" w:cs="宋体"/>
          <w:color w:val="auto"/>
          <w:sz w:val="24"/>
          <w:szCs w:val="24"/>
        </w:rPr>
      </w:pPr>
    </w:p>
    <w:p w14:paraId="4590C754">
      <w:pPr>
        <w:pStyle w:val="36"/>
        <w:widowControl/>
        <w:shd w:val="clear" w:color="auto" w:fill="FFFFFF"/>
        <w:spacing w:line="480" w:lineRule="atLeast"/>
        <w:jc w:val="center"/>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 xml:space="preserve">                             公司（单位）名称</w:t>
      </w:r>
      <w:r>
        <w:rPr>
          <w:rFonts w:hint="eastAsia" w:ascii="宋体" w:hAnsi="宋体" w:cs="宋体"/>
          <w:color w:val="auto"/>
          <w:sz w:val="24"/>
          <w:szCs w:val="24"/>
        </w:rPr>
        <w:t>（盖章）</w:t>
      </w:r>
      <w:r>
        <w:rPr>
          <w:rFonts w:hint="eastAsia" w:ascii="宋体" w:hAnsi="宋体" w:cs="宋体"/>
          <w:color w:val="auto"/>
          <w:sz w:val="24"/>
          <w:szCs w:val="24"/>
          <w:shd w:val="clear" w:color="auto" w:fill="FFFFFF"/>
        </w:rPr>
        <w:t xml:space="preserve">： </w:t>
      </w:r>
    </w:p>
    <w:p w14:paraId="5E3BAEEB">
      <w:pPr>
        <w:pStyle w:val="36"/>
        <w:widowControl/>
        <w:shd w:val="clear" w:color="auto" w:fill="FFFFFF"/>
        <w:spacing w:line="480" w:lineRule="atLeast"/>
        <w:jc w:val="center"/>
        <w:textAlignment w:val="baseline"/>
        <w:rPr>
          <w:rFonts w:hint="eastAsia" w:ascii="宋体" w:hAnsi="宋体" w:cs="宋体"/>
          <w:color w:val="auto"/>
          <w:sz w:val="24"/>
          <w:szCs w:val="24"/>
        </w:rPr>
      </w:pPr>
      <w:r>
        <w:rPr>
          <w:rFonts w:hint="eastAsia" w:ascii="宋体" w:hAnsi="宋体" w:cs="宋体"/>
          <w:color w:val="auto"/>
          <w:sz w:val="24"/>
          <w:szCs w:val="24"/>
          <w:shd w:val="clear" w:color="auto" w:fill="FFFFFF"/>
        </w:rPr>
        <w:t xml:space="preserve">                      日期：  年  月  日</w:t>
      </w:r>
    </w:p>
    <w:p w14:paraId="32B25034">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p>
    <w:p w14:paraId="1F4502EF">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注：</w:t>
      </w:r>
    </w:p>
    <w:p w14:paraId="02616979">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1. 产品如有型号，请在“产品名称”栏一并填写。</w:t>
      </w:r>
    </w:p>
    <w:p w14:paraId="4F2F24E4">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2. 生产厂名与厂址应与生产厂营业执照载明的相关信息保持一致。</w:t>
      </w:r>
    </w:p>
    <w:p w14:paraId="2A481E65">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3. 该产品的中国境内生产的组件成本占比相关要求实施前，“规定比例”栏可不填，下同。</w:t>
      </w:r>
    </w:p>
    <w:p w14:paraId="15DF3705">
      <w:pPr>
        <w:pStyle w:val="36"/>
        <w:widowControl/>
        <w:shd w:val="clear" w:color="auto" w:fill="FFFFFF"/>
        <w:spacing w:line="480" w:lineRule="atLeast"/>
        <w:ind w:firstLine="42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4. 该产品的关键组件要求实施前，“关键组件”栏可不填，下同。</w:t>
      </w:r>
    </w:p>
    <w:p w14:paraId="0FB6C09B">
      <w:pPr>
        <w:pStyle w:val="36"/>
        <w:widowControl/>
        <w:shd w:val="clear" w:color="auto" w:fill="FFFFFF"/>
        <w:spacing w:line="480" w:lineRule="atLeast"/>
        <w:ind w:firstLine="480" w:firstLineChars="200"/>
        <w:textAlignment w:val="baseline"/>
        <w:rPr>
          <w:rFonts w:hint="eastAsia" w:ascii="宋体" w:hAnsi="宋体" w:cs="宋体"/>
          <w:color w:val="auto"/>
          <w:sz w:val="24"/>
          <w:szCs w:val="24"/>
          <w:shd w:val="clear" w:color="auto" w:fill="FFFFFF"/>
        </w:rPr>
      </w:pPr>
      <w:r>
        <w:rPr>
          <w:rFonts w:hint="eastAsia" w:ascii="宋体" w:hAnsi="宋体" w:cs="宋体"/>
          <w:color w:val="auto"/>
          <w:sz w:val="24"/>
          <w:szCs w:val="24"/>
          <w:shd w:val="clear" w:color="auto" w:fill="FFFFFF"/>
        </w:rPr>
        <w:t>5. 该产品的关键工序要求实施前，“关键工序”栏可不填，下同。</w:t>
      </w:r>
    </w:p>
    <w:p w14:paraId="6092680F">
      <w:pPr>
        <w:pStyle w:val="36"/>
        <w:widowControl/>
        <w:shd w:val="clear" w:color="auto" w:fill="FFFFFF"/>
        <w:spacing w:line="480" w:lineRule="atLeast"/>
        <w:ind w:firstLine="422" w:firstLineChars="200"/>
        <w:textAlignment w:val="baseline"/>
        <w:rPr>
          <w:rFonts w:hint="eastAsia" w:ascii="宋体" w:hAnsi="宋体" w:cs="宋体"/>
          <w:b/>
          <w:bCs/>
          <w:color w:val="auto"/>
          <w:sz w:val="24"/>
          <w:szCs w:val="24"/>
          <w:shd w:val="clear" w:color="auto" w:fill="FFFFFF"/>
          <w:lang w:bidi="ar"/>
        </w:rPr>
      </w:pPr>
      <w:r>
        <w:rPr>
          <w:rFonts w:hint="eastAsia" w:ascii="宋体" w:hAnsi="宋体" w:cs="宋体"/>
          <w:b/>
          <w:bCs/>
          <w:color w:val="auto"/>
          <w:shd w:val="clear" w:color="auto" w:fill="FFFFFF"/>
          <w:lang w:bidi="ar"/>
        </w:rPr>
        <w:br w:type="page"/>
      </w:r>
      <w:r>
        <w:rPr>
          <w:rFonts w:hint="eastAsia" w:ascii="宋体" w:hAnsi="宋体" w:cs="宋体"/>
          <w:b/>
          <w:bCs/>
          <w:color w:val="auto"/>
          <w:sz w:val="24"/>
          <w:szCs w:val="24"/>
          <w:shd w:val="clear" w:color="auto" w:fill="FFFFFF"/>
          <w:lang w:bidi="ar"/>
        </w:rPr>
        <w:t>4.2关于符合本国产品标准的成本占比的承诺函</w:t>
      </w:r>
    </w:p>
    <w:p w14:paraId="6BAEFFEE">
      <w:pPr>
        <w:pStyle w:val="130"/>
        <w:spacing w:line="360" w:lineRule="auto"/>
        <w:ind w:firstLine="482" w:firstLineChars="200"/>
        <w:jc w:val="center"/>
        <w:rPr>
          <w:rFonts w:ascii="宋体" w:hAnsi="宋体" w:cs="宋体"/>
          <w:b/>
          <w:bCs/>
          <w:color w:val="auto"/>
          <w:sz w:val="24"/>
          <w:szCs w:val="24"/>
          <w:shd w:val="clear" w:color="auto" w:fill="FFFFFF"/>
          <w:lang w:bidi="ar"/>
        </w:rPr>
      </w:pPr>
    </w:p>
    <w:p w14:paraId="339D50A9">
      <w:pPr>
        <w:pStyle w:val="130"/>
        <w:spacing w:line="360" w:lineRule="auto"/>
        <w:ind w:firstLine="482" w:firstLineChars="200"/>
        <w:jc w:val="center"/>
        <w:rPr>
          <w:rFonts w:ascii="宋体" w:hAnsi="宋体" w:cs="宋体"/>
          <w:color w:val="auto"/>
          <w:sz w:val="24"/>
          <w:szCs w:val="24"/>
        </w:rPr>
      </w:pPr>
      <w:r>
        <w:rPr>
          <w:rFonts w:ascii="宋体" w:hAnsi="宋体" w:cs="宋体"/>
          <w:b/>
          <w:bCs/>
          <w:color w:val="auto"/>
          <w:sz w:val="24"/>
          <w:szCs w:val="24"/>
          <w:shd w:val="clear" w:color="auto" w:fill="FFFFFF"/>
          <w:lang w:bidi="ar"/>
        </w:rPr>
        <w:t>符合本国产品标准的成本占比的承诺函</w:t>
      </w:r>
    </w:p>
    <w:p w14:paraId="352C3F55">
      <w:pPr>
        <w:pStyle w:val="130"/>
        <w:spacing w:line="360" w:lineRule="auto"/>
        <w:ind w:firstLine="480" w:firstLineChars="200"/>
        <w:rPr>
          <w:rFonts w:ascii="宋体" w:hAnsi="宋体" w:cs="宋体"/>
          <w:color w:val="auto"/>
          <w:sz w:val="24"/>
          <w:szCs w:val="24"/>
        </w:rPr>
      </w:pPr>
      <w:r>
        <w:rPr>
          <w:rFonts w:ascii="宋体" w:hAnsi="宋体" w:cs="宋体"/>
          <w:color w:val="auto"/>
          <w:sz w:val="24"/>
          <w:szCs w:val="24"/>
        </w:rPr>
        <w:t>本公司（单位）郑重承诺，根据《国务院办公厅关于在政府采购中实施本国产品标准及相关政策的通知》（国办发〔2025〕34号）的规定，本公司（单位）提供的符合本国产品标准的产品成本之和占提供的全部产品成本之和的比例</w:t>
      </w:r>
      <w:r>
        <w:rPr>
          <w:rFonts w:ascii="宋体" w:hAnsi="宋体" w:cs="宋体"/>
          <w:color w:val="auto"/>
          <w:sz w:val="24"/>
          <w:szCs w:val="24"/>
          <w:u w:val="single"/>
          <w:lang w:eastAsia="zh-CN"/>
        </w:rPr>
        <w:t xml:space="preserve">      </w:t>
      </w:r>
      <w:r>
        <w:rPr>
          <w:rFonts w:ascii="宋体" w:hAnsi="宋体" w:cs="宋体"/>
          <w:color w:val="auto"/>
          <w:sz w:val="24"/>
          <w:szCs w:val="24"/>
          <w:lang w:eastAsia="zh-CN"/>
        </w:rPr>
        <w:t>（</w:t>
      </w:r>
      <w:r>
        <w:rPr>
          <w:rFonts w:ascii="宋体" w:hAnsi="宋体" w:cs="宋体"/>
          <w:color w:val="auto"/>
          <w:sz w:val="24"/>
          <w:szCs w:val="24"/>
        </w:rPr>
        <w:t>达到</w:t>
      </w:r>
      <w:r>
        <w:rPr>
          <w:rFonts w:ascii="宋体" w:hAnsi="宋体" w:cs="宋体"/>
          <w:color w:val="auto"/>
          <w:sz w:val="24"/>
          <w:szCs w:val="24"/>
          <w:lang w:eastAsia="zh-CN"/>
        </w:rPr>
        <w:t>、未达到）</w:t>
      </w:r>
      <w:r>
        <w:rPr>
          <w:rFonts w:ascii="宋体" w:hAnsi="宋体" w:cs="宋体"/>
          <w:color w:val="auto"/>
          <w:sz w:val="24"/>
          <w:szCs w:val="24"/>
        </w:rPr>
        <w:t>80%以上。</w:t>
      </w:r>
    </w:p>
    <w:tbl>
      <w:tblPr>
        <w:tblStyle w:val="41"/>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4085"/>
        <w:gridCol w:w="2017"/>
        <w:gridCol w:w="1690"/>
      </w:tblGrid>
      <w:tr w14:paraId="4886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46" w:type="dxa"/>
            <w:vAlign w:val="center"/>
          </w:tcPr>
          <w:p w14:paraId="7D8674D8">
            <w:pPr>
              <w:adjustRightInd w:val="0"/>
              <w:snapToGrid w:val="0"/>
              <w:jc w:val="center"/>
              <w:rPr>
                <w:rFonts w:hint="eastAsia" w:ascii="宋体" w:hAnsi="宋体" w:cs="宋体"/>
                <w:color w:val="auto"/>
                <w:sz w:val="24"/>
                <w:szCs w:val="24"/>
              </w:rPr>
            </w:pPr>
            <w:r>
              <w:rPr>
                <w:rFonts w:hint="eastAsia" w:ascii="宋体" w:hAnsi="宋体" w:cs="宋体"/>
                <w:b/>
                <w:bCs/>
                <w:color w:val="auto"/>
                <w:sz w:val="24"/>
                <w:szCs w:val="24"/>
              </w:rPr>
              <w:t>序号</w:t>
            </w:r>
          </w:p>
        </w:tc>
        <w:tc>
          <w:tcPr>
            <w:tcW w:w="4085" w:type="dxa"/>
            <w:vAlign w:val="center"/>
          </w:tcPr>
          <w:p w14:paraId="2A3D81EC">
            <w:pPr>
              <w:adjustRightInd w:val="0"/>
              <w:snapToGrid w:val="0"/>
              <w:jc w:val="center"/>
              <w:rPr>
                <w:rFonts w:hint="eastAsia" w:ascii="宋体" w:hAnsi="宋体" w:cs="宋体"/>
                <w:color w:val="auto"/>
                <w:sz w:val="24"/>
                <w:szCs w:val="24"/>
              </w:rPr>
            </w:pPr>
            <w:r>
              <w:rPr>
                <w:rFonts w:hint="eastAsia" w:ascii="宋体" w:hAnsi="宋体" w:cs="宋体"/>
                <w:b/>
                <w:bCs/>
                <w:color w:val="auto"/>
                <w:sz w:val="24"/>
                <w:szCs w:val="24"/>
              </w:rPr>
              <w:t>设备名称</w:t>
            </w:r>
          </w:p>
        </w:tc>
        <w:tc>
          <w:tcPr>
            <w:tcW w:w="2017" w:type="dxa"/>
            <w:vAlign w:val="center"/>
          </w:tcPr>
          <w:p w14:paraId="14AE1387">
            <w:pPr>
              <w:adjustRightInd w:val="0"/>
              <w:snapToGrid w:val="0"/>
              <w:jc w:val="center"/>
              <w:rPr>
                <w:rFonts w:hint="eastAsia" w:ascii="宋体" w:hAnsi="宋体" w:cs="宋体"/>
                <w:b/>
                <w:bCs/>
                <w:color w:val="auto"/>
                <w:sz w:val="24"/>
                <w:szCs w:val="24"/>
              </w:rPr>
            </w:pPr>
            <w:r>
              <w:rPr>
                <w:rFonts w:hint="eastAsia" w:ascii="宋体" w:hAnsi="宋体" w:cs="宋体"/>
                <w:b/>
                <w:bCs/>
                <w:color w:val="auto"/>
                <w:sz w:val="24"/>
                <w:szCs w:val="24"/>
              </w:rPr>
              <w:t>产品成本</w:t>
            </w:r>
          </w:p>
        </w:tc>
        <w:tc>
          <w:tcPr>
            <w:tcW w:w="1690" w:type="dxa"/>
            <w:vAlign w:val="center"/>
          </w:tcPr>
          <w:p w14:paraId="752FDEE2">
            <w:pPr>
              <w:adjustRightInd w:val="0"/>
              <w:snapToGrid w:val="0"/>
              <w:jc w:val="center"/>
              <w:rPr>
                <w:rFonts w:hint="eastAsia" w:ascii="宋体" w:hAnsi="宋体" w:cs="宋体"/>
                <w:b/>
                <w:bCs/>
                <w:color w:val="auto"/>
                <w:sz w:val="24"/>
                <w:szCs w:val="24"/>
              </w:rPr>
            </w:pPr>
            <w:r>
              <w:rPr>
                <w:rFonts w:hint="eastAsia" w:ascii="宋体" w:hAnsi="宋体" w:cs="宋体"/>
                <w:b/>
                <w:bCs/>
                <w:color w:val="auto"/>
                <w:sz w:val="24"/>
                <w:szCs w:val="24"/>
              </w:rPr>
              <w:t>是否符合本国产品标准</w:t>
            </w:r>
          </w:p>
        </w:tc>
      </w:tr>
      <w:tr w14:paraId="04D6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68A317B5">
            <w:pPr>
              <w:jc w:val="center"/>
              <w:rPr>
                <w:rFonts w:hint="eastAsia" w:ascii="宋体" w:hAnsi="宋体" w:cs="宋体"/>
                <w:color w:val="auto"/>
                <w:sz w:val="24"/>
                <w:szCs w:val="24"/>
              </w:rPr>
            </w:pPr>
            <w:r>
              <w:rPr>
                <w:rFonts w:hint="eastAsia" w:ascii="宋体" w:hAnsi="宋体" w:cs="宋体"/>
                <w:color w:val="auto"/>
                <w:sz w:val="24"/>
                <w:szCs w:val="24"/>
              </w:rPr>
              <w:t>1</w:t>
            </w:r>
          </w:p>
        </w:tc>
        <w:tc>
          <w:tcPr>
            <w:tcW w:w="4085" w:type="dxa"/>
            <w:shd w:val="clear" w:color="auto" w:fill="auto"/>
            <w:vAlign w:val="center"/>
          </w:tcPr>
          <w:p w14:paraId="53D1586A">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超高温石墨化炉</w:t>
            </w:r>
          </w:p>
        </w:tc>
        <w:tc>
          <w:tcPr>
            <w:tcW w:w="2017" w:type="dxa"/>
            <w:vAlign w:val="center"/>
          </w:tcPr>
          <w:p w14:paraId="2139B64C">
            <w:pPr>
              <w:jc w:val="center"/>
              <w:rPr>
                <w:rFonts w:hint="eastAsia" w:ascii="宋体" w:hAnsi="宋体" w:cs="宋体"/>
                <w:color w:val="auto"/>
                <w:sz w:val="24"/>
                <w:szCs w:val="24"/>
              </w:rPr>
            </w:pPr>
          </w:p>
        </w:tc>
        <w:tc>
          <w:tcPr>
            <w:tcW w:w="1690" w:type="dxa"/>
            <w:vAlign w:val="center"/>
          </w:tcPr>
          <w:p w14:paraId="3E1348A4">
            <w:pPr>
              <w:jc w:val="center"/>
              <w:rPr>
                <w:rFonts w:hint="eastAsia" w:ascii="宋体" w:hAnsi="宋体" w:cs="宋体"/>
                <w:color w:val="auto"/>
                <w:sz w:val="24"/>
                <w:szCs w:val="24"/>
              </w:rPr>
            </w:pPr>
          </w:p>
        </w:tc>
      </w:tr>
      <w:tr w14:paraId="6F6A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384E6E9C">
            <w:pPr>
              <w:jc w:val="center"/>
              <w:rPr>
                <w:rFonts w:hint="eastAsia" w:ascii="宋体" w:hAnsi="宋体" w:cs="宋体"/>
                <w:color w:val="auto"/>
                <w:sz w:val="24"/>
                <w:szCs w:val="24"/>
              </w:rPr>
            </w:pPr>
            <w:r>
              <w:rPr>
                <w:rFonts w:hint="eastAsia" w:ascii="宋体" w:hAnsi="宋体" w:cs="宋体"/>
                <w:color w:val="auto"/>
                <w:sz w:val="24"/>
                <w:szCs w:val="24"/>
              </w:rPr>
              <w:t>2</w:t>
            </w:r>
          </w:p>
        </w:tc>
        <w:tc>
          <w:tcPr>
            <w:tcW w:w="4085" w:type="dxa"/>
            <w:shd w:val="clear" w:color="auto" w:fill="auto"/>
            <w:vAlign w:val="center"/>
          </w:tcPr>
          <w:p w14:paraId="33F639F4">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真空高压浸渍系统</w:t>
            </w:r>
          </w:p>
        </w:tc>
        <w:tc>
          <w:tcPr>
            <w:tcW w:w="2017" w:type="dxa"/>
            <w:vAlign w:val="center"/>
          </w:tcPr>
          <w:p w14:paraId="081A12F8">
            <w:pPr>
              <w:jc w:val="center"/>
              <w:rPr>
                <w:rFonts w:hint="eastAsia" w:ascii="宋体" w:hAnsi="宋体" w:cs="宋体"/>
                <w:color w:val="auto"/>
                <w:sz w:val="24"/>
                <w:szCs w:val="24"/>
              </w:rPr>
            </w:pPr>
          </w:p>
        </w:tc>
        <w:tc>
          <w:tcPr>
            <w:tcW w:w="1690" w:type="dxa"/>
            <w:vAlign w:val="center"/>
          </w:tcPr>
          <w:p w14:paraId="6B5678F3">
            <w:pPr>
              <w:jc w:val="center"/>
              <w:rPr>
                <w:rFonts w:hint="eastAsia" w:ascii="宋体" w:hAnsi="宋体" w:cs="宋体"/>
                <w:color w:val="auto"/>
                <w:sz w:val="24"/>
                <w:szCs w:val="24"/>
              </w:rPr>
            </w:pPr>
          </w:p>
        </w:tc>
      </w:tr>
      <w:tr w14:paraId="7EA4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76E09F23">
            <w:pPr>
              <w:jc w:val="center"/>
              <w:rPr>
                <w:rFonts w:hint="eastAsia" w:ascii="宋体" w:hAnsi="宋体" w:cs="宋体"/>
                <w:color w:val="auto"/>
                <w:sz w:val="24"/>
                <w:szCs w:val="24"/>
              </w:rPr>
            </w:pPr>
            <w:r>
              <w:rPr>
                <w:rFonts w:hint="eastAsia" w:ascii="宋体" w:hAnsi="宋体" w:cs="宋体"/>
                <w:color w:val="auto"/>
                <w:sz w:val="24"/>
                <w:szCs w:val="24"/>
              </w:rPr>
              <w:t>3</w:t>
            </w:r>
          </w:p>
        </w:tc>
        <w:tc>
          <w:tcPr>
            <w:tcW w:w="4085" w:type="dxa"/>
            <w:shd w:val="clear" w:color="auto" w:fill="auto"/>
            <w:vAlign w:val="center"/>
          </w:tcPr>
          <w:p w14:paraId="22460092">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温等静压机</w:t>
            </w:r>
          </w:p>
        </w:tc>
        <w:tc>
          <w:tcPr>
            <w:tcW w:w="2017" w:type="dxa"/>
            <w:vAlign w:val="center"/>
          </w:tcPr>
          <w:p w14:paraId="7290A871">
            <w:pPr>
              <w:jc w:val="center"/>
              <w:rPr>
                <w:rFonts w:hint="eastAsia" w:ascii="宋体" w:hAnsi="宋体" w:cs="宋体"/>
                <w:color w:val="auto"/>
                <w:sz w:val="24"/>
                <w:szCs w:val="24"/>
              </w:rPr>
            </w:pPr>
          </w:p>
        </w:tc>
        <w:tc>
          <w:tcPr>
            <w:tcW w:w="1690" w:type="dxa"/>
            <w:vAlign w:val="center"/>
          </w:tcPr>
          <w:p w14:paraId="329AFB3A">
            <w:pPr>
              <w:jc w:val="center"/>
              <w:rPr>
                <w:rFonts w:hint="eastAsia" w:ascii="宋体" w:hAnsi="宋体" w:cs="宋体"/>
                <w:color w:val="auto"/>
                <w:sz w:val="24"/>
                <w:szCs w:val="24"/>
              </w:rPr>
            </w:pPr>
          </w:p>
        </w:tc>
      </w:tr>
      <w:tr w14:paraId="41EA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0D1E981E">
            <w:pPr>
              <w:jc w:val="center"/>
              <w:rPr>
                <w:rFonts w:hint="eastAsia" w:ascii="宋体" w:hAnsi="宋体" w:cs="宋体"/>
                <w:color w:val="auto"/>
                <w:sz w:val="24"/>
                <w:szCs w:val="24"/>
              </w:rPr>
            </w:pPr>
            <w:r>
              <w:rPr>
                <w:rFonts w:hint="eastAsia" w:ascii="宋体" w:hAnsi="宋体" w:cs="宋体"/>
                <w:color w:val="auto"/>
                <w:sz w:val="24"/>
                <w:szCs w:val="24"/>
              </w:rPr>
              <w:t>4</w:t>
            </w:r>
          </w:p>
        </w:tc>
        <w:tc>
          <w:tcPr>
            <w:tcW w:w="4085" w:type="dxa"/>
            <w:shd w:val="clear" w:color="auto" w:fill="auto"/>
            <w:vAlign w:val="center"/>
          </w:tcPr>
          <w:p w14:paraId="69BE729D">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高速纳米级陶瓷气流粉碎分级机</w:t>
            </w:r>
          </w:p>
        </w:tc>
        <w:tc>
          <w:tcPr>
            <w:tcW w:w="2017" w:type="dxa"/>
            <w:vAlign w:val="center"/>
          </w:tcPr>
          <w:p w14:paraId="4A3FE852">
            <w:pPr>
              <w:jc w:val="center"/>
              <w:rPr>
                <w:rFonts w:hint="eastAsia" w:ascii="宋体" w:hAnsi="宋体" w:cs="宋体"/>
                <w:color w:val="auto"/>
                <w:sz w:val="24"/>
                <w:szCs w:val="24"/>
              </w:rPr>
            </w:pPr>
          </w:p>
        </w:tc>
        <w:tc>
          <w:tcPr>
            <w:tcW w:w="1690" w:type="dxa"/>
            <w:vAlign w:val="center"/>
          </w:tcPr>
          <w:p w14:paraId="10C0723A">
            <w:pPr>
              <w:jc w:val="center"/>
              <w:rPr>
                <w:rFonts w:hint="eastAsia" w:ascii="宋体" w:hAnsi="宋体" w:cs="宋体"/>
                <w:color w:val="auto"/>
                <w:sz w:val="24"/>
                <w:szCs w:val="24"/>
              </w:rPr>
            </w:pPr>
          </w:p>
        </w:tc>
      </w:tr>
      <w:tr w14:paraId="2BD7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66B251A9">
            <w:pPr>
              <w:jc w:val="center"/>
              <w:rPr>
                <w:rFonts w:hint="eastAsia" w:ascii="宋体" w:hAnsi="宋体" w:cs="宋体"/>
                <w:color w:val="auto"/>
                <w:sz w:val="24"/>
                <w:szCs w:val="24"/>
              </w:rPr>
            </w:pPr>
            <w:r>
              <w:rPr>
                <w:rFonts w:hint="eastAsia" w:ascii="宋体" w:hAnsi="宋体" w:cs="宋体"/>
                <w:color w:val="auto"/>
                <w:sz w:val="24"/>
                <w:szCs w:val="24"/>
              </w:rPr>
              <w:t>5</w:t>
            </w:r>
          </w:p>
        </w:tc>
        <w:tc>
          <w:tcPr>
            <w:tcW w:w="4085" w:type="dxa"/>
            <w:shd w:val="clear" w:color="auto" w:fill="auto"/>
            <w:vAlign w:val="center"/>
          </w:tcPr>
          <w:p w14:paraId="61F3AF96">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机械整形机</w:t>
            </w:r>
          </w:p>
        </w:tc>
        <w:tc>
          <w:tcPr>
            <w:tcW w:w="2017" w:type="dxa"/>
            <w:vAlign w:val="center"/>
          </w:tcPr>
          <w:p w14:paraId="5CA3FC9C">
            <w:pPr>
              <w:jc w:val="center"/>
              <w:rPr>
                <w:rFonts w:hint="eastAsia" w:ascii="宋体" w:hAnsi="宋体" w:cs="宋体"/>
                <w:color w:val="auto"/>
                <w:sz w:val="24"/>
                <w:szCs w:val="24"/>
              </w:rPr>
            </w:pPr>
          </w:p>
        </w:tc>
        <w:tc>
          <w:tcPr>
            <w:tcW w:w="1690" w:type="dxa"/>
            <w:vAlign w:val="center"/>
          </w:tcPr>
          <w:p w14:paraId="1A1ED4D3">
            <w:pPr>
              <w:jc w:val="center"/>
              <w:rPr>
                <w:rFonts w:hint="eastAsia" w:ascii="宋体" w:hAnsi="宋体" w:cs="宋体"/>
                <w:color w:val="auto"/>
                <w:sz w:val="24"/>
                <w:szCs w:val="24"/>
              </w:rPr>
            </w:pPr>
          </w:p>
        </w:tc>
      </w:tr>
      <w:tr w14:paraId="09F3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6A6A5546">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c>
          <w:tcPr>
            <w:tcW w:w="4085" w:type="dxa"/>
            <w:shd w:val="clear" w:color="auto" w:fill="auto"/>
            <w:vAlign w:val="center"/>
          </w:tcPr>
          <w:p w14:paraId="077C80A0">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lang w:eastAsia="zh-CN"/>
              </w:rPr>
              <w:t>电子</w:t>
            </w:r>
            <w:r>
              <w:rPr>
                <w:rFonts w:hint="eastAsia" w:ascii="宋体" w:hAnsi="宋体" w:cs="宋体"/>
                <w:color w:val="auto"/>
              </w:rPr>
              <w:t>天平</w:t>
            </w:r>
          </w:p>
        </w:tc>
        <w:tc>
          <w:tcPr>
            <w:tcW w:w="2017" w:type="dxa"/>
            <w:vAlign w:val="center"/>
          </w:tcPr>
          <w:p w14:paraId="3982E444">
            <w:pPr>
              <w:jc w:val="center"/>
              <w:rPr>
                <w:rFonts w:hint="eastAsia" w:ascii="宋体" w:hAnsi="宋体" w:cs="宋体"/>
                <w:color w:val="auto"/>
                <w:sz w:val="24"/>
                <w:szCs w:val="24"/>
              </w:rPr>
            </w:pPr>
          </w:p>
        </w:tc>
        <w:tc>
          <w:tcPr>
            <w:tcW w:w="1690" w:type="dxa"/>
            <w:vAlign w:val="center"/>
          </w:tcPr>
          <w:p w14:paraId="1F2F2D87">
            <w:pPr>
              <w:jc w:val="center"/>
              <w:rPr>
                <w:rFonts w:hint="eastAsia" w:ascii="宋体" w:hAnsi="宋体" w:cs="宋体"/>
                <w:color w:val="auto"/>
                <w:sz w:val="24"/>
                <w:szCs w:val="24"/>
              </w:rPr>
            </w:pPr>
          </w:p>
        </w:tc>
      </w:tr>
      <w:tr w14:paraId="75EA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121ED61E">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7</w:t>
            </w:r>
          </w:p>
        </w:tc>
        <w:tc>
          <w:tcPr>
            <w:tcW w:w="4085" w:type="dxa"/>
            <w:shd w:val="clear" w:color="auto" w:fill="auto"/>
            <w:vAlign w:val="center"/>
          </w:tcPr>
          <w:p w14:paraId="1976A27A">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石墨体积密度测试仪</w:t>
            </w:r>
          </w:p>
        </w:tc>
        <w:tc>
          <w:tcPr>
            <w:tcW w:w="2017" w:type="dxa"/>
            <w:vAlign w:val="center"/>
          </w:tcPr>
          <w:p w14:paraId="729B64B7">
            <w:pPr>
              <w:jc w:val="center"/>
              <w:rPr>
                <w:rFonts w:hint="eastAsia" w:ascii="宋体" w:hAnsi="宋体" w:cs="宋体"/>
                <w:color w:val="auto"/>
                <w:sz w:val="24"/>
                <w:szCs w:val="24"/>
              </w:rPr>
            </w:pPr>
          </w:p>
        </w:tc>
        <w:tc>
          <w:tcPr>
            <w:tcW w:w="1690" w:type="dxa"/>
            <w:vAlign w:val="center"/>
          </w:tcPr>
          <w:p w14:paraId="309CEFA2">
            <w:pPr>
              <w:jc w:val="center"/>
              <w:rPr>
                <w:rFonts w:hint="eastAsia" w:ascii="宋体" w:hAnsi="宋体" w:cs="宋体"/>
                <w:color w:val="auto"/>
                <w:sz w:val="24"/>
                <w:szCs w:val="24"/>
              </w:rPr>
            </w:pPr>
          </w:p>
        </w:tc>
      </w:tr>
      <w:tr w14:paraId="612B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4CFCD158">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8</w:t>
            </w:r>
          </w:p>
        </w:tc>
        <w:tc>
          <w:tcPr>
            <w:tcW w:w="4085" w:type="dxa"/>
            <w:shd w:val="clear" w:color="auto" w:fill="auto"/>
            <w:vAlign w:val="center"/>
          </w:tcPr>
          <w:p w14:paraId="3C4381E4">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振实密度仪</w:t>
            </w:r>
          </w:p>
        </w:tc>
        <w:tc>
          <w:tcPr>
            <w:tcW w:w="2017" w:type="dxa"/>
            <w:vAlign w:val="center"/>
          </w:tcPr>
          <w:p w14:paraId="3242A61E">
            <w:pPr>
              <w:jc w:val="center"/>
              <w:rPr>
                <w:rFonts w:hint="eastAsia" w:ascii="宋体" w:hAnsi="宋体" w:cs="宋体"/>
                <w:color w:val="auto"/>
                <w:sz w:val="24"/>
                <w:szCs w:val="24"/>
              </w:rPr>
            </w:pPr>
          </w:p>
        </w:tc>
        <w:tc>
          <w:tcPr>
            <w:tcW w:w="1690" w:type="dxa"/>
            <w:vAlign w:val="center"/>
          </w:tcPr>
          <w:p w14:paraId="1CC5537E">
            <w:pPr>
              <w:jc w:val="center"/>
              <w:rPr>
                <w:rFonts w:hint="eastAsia" w:ascii="宋体" w:hAnsi="宋体" w:cs="宋体"/>
                <w:color w:val="auto"/>
                <w:sz w:val="24"/>
                <w:szCs w:val="24"/>
              </w:rPr>
            </w:pPr>
          </w:p>
        </w:tc>
      </w:tr>
      <w:tr w14:paraId="106E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305388BF">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w:t>
            </w:r>
          </w:p>
        </w:tc>
        <w:tc>
          <w:tcPr>
            <w:tcW w:w="4085" w:type="dxa"/>
            <w:shd w:val="clear" w:color="auto" w:fill="auto"/>
            <w:vAlign w:val="center"/>
          </w:tcPr>
          <w:p w14:paraId="673D2CBB">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鼓风干燥箱</w:t>
            </w:r>
          </w:p>
        </w:tc>
        <w:tc>
          <w:tcPr>
            <w:tcW w:w="2017" w:type="dxa"/>
            <w:vAlign w:val="center"/>
          </w:tcPr>
          <w:p w14:paraId="524214EE">
            <w:pPr>
              <w:jc w:val="center"/>
              <w:rPr>
                <w:rFonts w:hint="eastAsia" w:ascii="宋体" w:hAnsi="宋体" w:cs="宋体"/>
                <w:color w:val="auto"/>
                <w:sz w:val="24"/>
                <w:szCs w:val="24"/>
              </w:rPr>
            </w:pPr>
          </w:p>
        </w:tc>
        <w:tc>
          <w:tcPr>
            <w:tcW w:w="1690" w:type="dxa"/>
            <w:vAlign w:val="center"/>
          </w:tcPr>
          <w:p w14:paraId="0D135085">
            <w:pPr>
              <w:jc w:val="center"/>
              <w:rPr>
                <w:rFonts w:hint="eastAsia" w:ascii="宋体" w:hAnsi="宋体" w:cs="宋体"/>
                <w:color w:val="auto"/>
                <w:sz w:val="24"/>
                <w:szCs w:val="24"/>
              </w:rPr>
            </w:pPr>
          </w:p>
        </w:tc>
      </w:tr>
      <w:tr w14:paraId="4A0A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07D05E9C">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10</w:t>
            </w:r>
          </w:p>
        </w:tc>
        <w:tc>
          <w:tcPr>
            <w:tcW w:w="4085" w:type="dxa"/>
            <w:shd w:val="clear" w:color="auto" w:fill="auto"/>
            <w:vAlign w:val="center"/>
          </w:tcPr>
          <w:p w14:paraId="11251B80">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密封式制样破碎机</w:t>
            </w:r>
          </w:p>
        </w:tc>
        <w:tc>
          <w:tcPr>
            <w:tcW w:w="2017" w:type="dxa"/>
            <w:vAlign w:val="center"/>
          </w:tcPr>
          <w:p w14:paraId="5C1B4E30">
            <w:pPr>
              <w:jc w:val="center"/>
              <w:rPr>
                <w:rFonts w:hint="eastAsia" w:ascii="宋体" w:hAnsi="宋体" w:cs="宋体"/>
                <w:color w:val="auto"/>
                <w:sz w:val="24"/>
                <w:szCs w:val="24"/>
              </w:rPr>
            </w:pPr>
          </w:p>
        </w:tc>
        <w:tc>
          <w:tcPr>
            <w:tcW w:w="1690" w:type="dxa"/>
            <w:vAlign w:val="center"/>
          </w:tcPr>
          <w:p w14:paraId="6A01764D">
            <w:pPr>
              <w:jc w:val="center"/>
              <w:rPr>
                <w:rFonts w:hint="eastAsia" w:ascii="宋体" w:hAnsi="宋体" w:cs="宋体"/>
                <w:color w:val="auto"/>
                <w:sz w:val="24"/>
                <w:szCs w:val="24"/>
              </w:rPr>
            </w:pPr>
          </w:p>
        </w:tc>
      </w:tr>
      <w:tr w14:paraId="701A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32390912">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p>
        </w:tc>
        <w:tc>
          <w:tcPr>
            <w:tcW w:w="4085" w:type="dxa"/>
            <w:shd w:val="clear" w:color="auto" w:fill="auto"/>
            <w:vAlign w:val="center"/>
          </w:tcPr>
          <w:p w14:paraId="004C0B6F">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三维混合机</w:t>
            </w:r>
          </w:p>
        </w:tc>
        <w:tc>
          <w:tcPr>
            <w:tcW w:w="2017" w:type="dxa"/>
            <w:vAlign w:val="center"/>
          </w:tcPr>
          <w:p w14:paraId="0909485B">
            <w:pPr>
              <w:jc w:val="center"/>
              <w:rPr>
                <w:rFonts w:hint="eastAsia" w:ascii="宋体" w:hAnsi="宋体" w:cs="宋体"/>
                <w:color w:val="auto"/>
                <w:sz w:val="24"/>
                <w:szCs w:val="24"/>
              </w:rPr>
            </w:pPr>
          </w:p>
        </w:tc>
        <w:tc>
          <w:tcPr>
            <w:tcW w:w="1690" w:type="dxa"/>
            <w:vAlign w:val="center"/>
          </w:tcPr>
          <w:p w14:paraId="023EE71C">
            <w:pPr>
              <w:jc w:val="center"/>
              <w:rPr>
                <w:rFonts w:hint="eastAsia" w:ascii="宋体" w:hAnsi="宋体" w:cs="宋体"/>
                <w:color w:val="auto"/>
                <w:sz w:val="24"/>
                <w:szCs w:val="24"/>
              </w:rPr>
            </w:pPr>
          </w:p>
        </w:tc>
      </w:tr>
      <w:tr w14:paraId="0BC6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647CA533">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12</w:t>
            </w:r>
          </w:p>
        </w:tc>
        <w:tc>
          <w:tcPr>
            <w:tcW w:w="4085" w:type="dxa"/>
            <w:shd w:val="clear" w:color="auto" w:fill="auto"/>
            <w:vAlign w:val="center"/>
          </w:tcPr>
          <w:p w14:paraId="086B48C6">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箱式气氛焙烧炉</w:t>
            </w:r>
          </w:p>
        </w:tc>
        <w:tc>
          <w:tcPr>
            <w:tcW w:w="2017" w:type="dxa"/>
            <w:vAlign w:val="center"/>
          </w:tcPr>
          <w:p w14:paraId="7345BF12">
            <w:pPr>
              <w:jc w:val="center"/>
              <w:rPr>
                <w:rFonts w:hint="eastAsia" w:ascii="宋体" w:hAnsi="宋体" w:cs="宋体"/>
                <w:color w:val="auto"/>
                <w:sz w:val="24"/>
                <w:szCs w:val="24"/>
              </w:rPr>
            </w:pPr>
          </w:p>
        </w:tc>
        <w:tc>
          <w:tcPr>
            <w:tcW w:w="1690" w:type="dxa"/>
            <w:vAlign w:val="center"/>
          </w:tcPr>
          <w:p w14:paraId="5C977B1C">
            <w:pPr>
              <w:jc w:val="center"/>
              <w:rPr>
                <w:rFonts w:hint="eastAsia" w:ascii="宋体" w:hAnsi="宋体" w:cs="宋体"/>
                <w:color w:val="auto"/>
                <w:sz w:val="24"/>
                <w:szCs w:val="24"/>
              </w:rPr>
            </w:pPr>
          </w:p>
        </w:tc>
      </w:tr>
      <w:tr w14:paraId="284C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2FEA6071">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13</w:t>
            </w:r>
          </w:p>
        </w:tc>
        <w:tc>
          <w:tcPr>
            <w:tcW w:w="4085" w:type="dxa"/>
            <w:shd w:val="clear" w:color="auto" w:fill="auto"/>
            <w:vAlign w:val="center"/>
          </w:tcPr>
          <w:p w14:paraId="26AD5DAE">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电动四柱液压机</w:t>
            </w:r>
          </w:p>
        </w:tc>
        <w:tc>
          <w:tcPr>
            <w:tcW w:w="2017" w:type="dxa"/>
            <w:vAlign w:val="center"/>
          </w:tcPr>
          <w:p w14:paraId="2246C6A1">
            <w:pPr>
              <w:jc w:val="center"/>
              <w:rPr>
                <w:rFonts w:hint="eastAsia" w:ascii="宋体" w:hAnsi="宋体" w:cs="宋体"/>
                <w:color w:val="auto"/>
                <w:sz w:val="24"/>
                <w:szCs w:val="24"/>
              </w:rPr>
            </w:pPr>
          </w:p>
        </w:tc>
        <w:tc>
          <w:tcPr>
            <w:tcW w:w="1690" w:type="dxa"/>
            <w:vAlign w:val="center"/>
          </w:tcPr>
          <w:p w14:paraId="77A46BBD">
            <w:pPr>
              <w:jc w:val="center"/>
              <w:rPr>
                <w:rFonts w:hint="eastAsia" w:ascii="宋体" w:hAnsi="宋体" w:cs="宋体"/>
                <w:color w:val="auto"/>
                <w:sz w:val="24"/>
                <w:szCs w:val="24"/>
              </w:rPr>
            </w:pPr>
          </w:p>
        </w:tc>
      </w:tr>
      <w:tr w14:paraId="3A51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46" w:type="dxa"/>
            <w:vAlign w:val="center"/>
          </w:tcPr>
          <w:p w14:paraId="0F157CD5">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14</w:t>
            </w:r>
          </w:p>
        </w:tc>
        <w:tc>
          <w:tcPr>
            <w:tcW w:w="4085" w:type="dxa"/>
            <w:shd w:val="clear" w:color="auto" w:fill="auto"/>
            <w:vAlign w:val="center"/>
          </w:tcPr>
          <w:p w14:paraId="25B6F117">
            <w:pPr>
              <w:widowControl/>
              <w:jc w:val="center"/>
              <w:rPr>
                <w:rFonts w:hint="eastAsia" w:ascii="宋体" w:hAnsi="宋体" w:eastAsia="宋体" w:cs="宋体"/>
                <w:color w:val="auto"/>
                <w:kern w:val="2"/>
                <w:sz w:val="21"/>
                <w:szCs w:val="21"/>
                <w:lang w:val="en-US" w:eastAsia="zh-CN" w:bidi="ar-SA"/>
                <w14:ligatures w14:val="none"/>
              </w:rPr>
            </w:pPr>
            <w:r>
              <w:rPr>
                <w:rFonts w:hint="eastAsia" w:ascii="宋体" w:hAnsi="宋体" w:cs="宋体"/>
                <w:color w:val="auto"/>
              </w:rPr>
              <w:t>小型炭素混捏锅</w:t>
            </w:r>
          </w:p>
        </w:tc>
        <w:tc>
          <w:tcPr>
            <w:tcW w:w="2017" w:type="dxa"/>
            <w:vAlign w:val="center"/>
          </w:tcPr>
          <w:p w14:paraId="544B9C42">
            <w:pPr>
              <w:jc w:val="center"/>
              <w:rPr>
                <w:rFonts w:hint="eastAsia" w:ascii="宋体" w:hAnsi="宋体" w:cs="宋体"/>
                <w:color w:val="auto"/>
                <w:sz w:val="24"/>
                <w:szCs w:val="24"/>
              </w:rPr>
            </w:pPr>
          </w:p>
        </w:tc>
        <w:tc>
          <w:tcPr>
            <w:tcW w:w="1690" w:type="dxa"/>
            <w:vAlign w:val="center"/>
          </w:tcPr>
          <w:p w14:paraId="4805FD98">
            <w:pPr>
              <w:jc w:val="center"/>
              <w:rPr>
                <w:rFonts w:hint="eastAsia" w:ascii="宋体" w:hAnsi="宋体" w:cs="宋体"/>
                <w:color w:val="auto"/>
                <w:sz w:val="24"/>
                <w:szCs w:val="24"/>
              </w:rPr>
            </w:pPr>
          </w:p>
        </w:tc>
      </w:tr>
      <w:tr w14:paraId="2133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731" w:type="dxa"/>
            <w:gridSpan w:val="2"/>
            <w:vAlign w:val="center"/>
          </w:tcPr>
          <w:p w14:paraId="01D321D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所有产品成本合计（a）</w:t>
            </w:r>
          </w:p>
        </w:tc>
        <w:tc>
          <w:tcPr>
            <w:tcW w:w="3707" w:type="dxa"/>
            <w:gridSpan w:val="2"/>
            <w:vAlign w:val="center"/>
          </w:tcPr>
          <w:p w14:paraId="1BC64AE4">
            <w:pPr>
              <w:jc w:val="center"/>
              <w:rPr>
                <w:rFonts w:hint="eastAsia" w:ascii="宋体" w:hAnsi="宋体" w:cs="宋体"/>
                <w:color w:val="auto"/>
                <w:sz w:val="24"/>
                <w:szCs w:val="24"/>
              </w:rPr>
            </w:pPr>
          </w:p>
        </w:tc>
      </w:tr>
      <w:tr w14:paraId="795B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731" w:type="dxa"/>
            <w:gridSpan w:val="2"/>
            <w:vAlign w:val="center"/>
          </w:tcPr>
          <w:p w14:paraId="59F7F26A">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符合本国产品标准的产品成本合计（b）</w:t>
            </w:r>
          </w:p>
        </w:tc>
        <w:tc>
          <w:tcPr>
            <w:tcW w:w="3707" w:type="dxa"/>
            <w:gridSpan w:val="2"/>
            <w:vAlign w:val="center"/>
          </w:tcPr>
          <w:p w14:paraId="181BB0D7">
            <w:pPr>
              <w:jc w:val="center"/>
              <w:rPr>
                <w:rFonts w:hint="eastAsia" w:ascii="宋体" w:hAnsi="宋体" w:cs="宋体"/>
                <w:color w:val="auto"/>
                <w:sz w:val="24"/>
                <w:szCs w:val="24"/>
              </w:rPr>
            </w:pPr>
          </w:p>
        </w:tc>
      </w:tr>
      <w:tr w14:paraId="5E6D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731" w:type="dxa"/>
            <w:gridSpan w:val="2"/>
            <w:vAlign w:val="center"/>
          </w:tcPr>
          <w:p w14:paraId="5542C672">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符合本国产品标准的产品成本占比（c=b/a*100%）</w:t>
            </w:r>
          </w:p>
        </w:tc>
        <w:tc>
          <w:tcPr>
            <w:tcW w:w="3707" w:type="dxa"/>
            <w:gridSpan w:val="2"/>
            <w:vAlign w:val="center"/>
          </w:tcPr>
          <w:p w14:paraId="7DC3DFCC">
            <w:pPr>
              <w:jc w:val="center"/>
              <w:rPr>
                <w:rFonts w:hint="eastAsia" w:ascii="宋体" w:hAnsi="宋体" w:cs="宋体"/>
                <w:color w:val="auto"/>
                <w:sz w:val="24"/>
                <w:szCs w:val="24"/>
              </w:rPr>
            </w:pPr>
          </w:p>
        </w:tc>
      </w:tr>
      <w:tr w14:paraId="22EE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4731" w:type="dxa"/>
            <w:gridSpan w:val="2"/>
            <w:vAlign w:val="center"/>
          </w:tcPr>
          <w:p w14:paraId="2CCF5231">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是否价格扣除</w:t>
            </w:r>
          </w:p>
          <w:p w14:paraId="2890FCC4">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t>注：（c）达到80%以上的，对全部产品给予20%价格扣除，用扣除后的价格参与评审</w:t>
            </w:r>
          </w:p>
        </w:tc>
        <w:tc>
          <w:tcPr>
            <w:tcW w:w="3707" w:type="dxa"/>
            <w:gridSpan w:val="2"/>
            <w:vAlign w:val="center"/>
          </w:tcPr>
          <w:p w14:paraId="5D3DB24F">
            <w:pPr>
              <w:jc w:val="center"/>
              <w:rPr>
                <w:rFonts w:hint="eastAsia" w:ascii="宋体" w:hAnsi="宋体" w:cs="宋体"/>
                <w:color w:val="auto"/>
                <w:sz w:val="24"/>
                <w:szCs w:val="24"/>
              </w:rPr>
            </w:pPr>
            <w:r>
              <w:rPr>
                <w:rFonts w:hint="eastAsia" w:ascii="宋体" w:hAnsi="宋体" w:cs="宋体"/>
                <w:color w:val="auto"/>
                <w:sz w:val="24"/>
                <w:szCs w:val="24"/>
              </w:rPr>
              <w:t>是/否</w:t>
            </w:r>
          </w:p>
        </w:tc>
      </w:tr>
    </w:tbl>
    <w:p w14:paraId="2F3EF8D9">
      <w:pPr>
        <w:pStyle w:val="130"/>
        <w:spacing w:line="360" w:lineRule="auto"/>
        <w:ind w:firstLine="482" w:firstLineChars="200"/>
        <w:rPr>
          <w:rFonts w:ascii="宋体" w:hAnsi="宋体" w:cs="宋体"/>
          <w:b/>
          <w:bCs/>
          <w:color w:val="auto"/>
          <w:sz w:val="24"/>
          <w:szCs w:val="24"/>
        </w:rPr>
      </w:pPr>
      <w:r>
        <w:rPr>
          <w:rFonts w:ascii="宋体" w:hAnsi="宋体" w:cs="宋体"/>
          <w:b/>
          <w:bCs/>
          <w:color w:val="auto"/>
          <w:sz w:val="24"/>
          <w:szCs w:val="24"/>
        </w:rPr>
        <w:t>本公司（单位）对上述承诺内容的真实性负责。如有虚假，愿承担相应法律责任。</w:t>
      </w:r>
    </w:p>
    <w:p w14:paraId="1DDD5A20">
      <w:pPr>
        <w:pStyle w:val="15"/>
        <w:spacing w:before="0" w:beforeAutospacing="0" w:after="0" w:line="360" w:lineRule="auto"/>
        <w:ind w:firstLine="480" w:firstLineChars="200"/>
        <w:jc w:val="left"/>
        <w:rPr>
          <w:rFonts w:hint="eastAsia" w:ascii="宋体" w:hAnsi="宋体"/>
          <w:color w:val="auto"/>
          <w:sz w:val="24"/>
          <w:szCs w:val="24"/>
        </w:rPr>
      </w:pPr>
      <w:r>
        <w:rPr>
          <w:rFonts w:hint="eastAsia" w:ascii="宋体" w:hAnsi="宋体" w:cs="宋体"/>
          <w:color w:val="auto"/>
          <w:sz w:val="24"/>
          <w:szCs w:val="24"/>
        </w:rPr>
        <w:t>注：国产产品不等同于本国产品，“是否符合本国产品标准”一栏供应商应根据《国务院办公厅关于在政府采购中实施本国产品标准及相关政策的通知》（国办发〔2025〕34号）的规定填写。填“是”的，还需按规定填写《关于符合本国产品标准的声明函》。</w:t>
      </w:r>
    </w:p>
    <w:p w14:paraId="4FD7476E">
      <w:pPr>
        <w:pStyle w:val="15"/>
        <w:spacing w:before="0" w:beforeAutospacing="0" w:after="0" w:line="360" w:lineRule="auto"/>
        <w:jc w:val="left"/>
        <w:rPr>
          <w:rFonts w:hint="eastAsia" w:ascii="宋体" w:hAnsi="宋体"/>
          <w:color w:val="auto"/>
          <w:sz w:val="24"/>
          <w:szCs w:val="24"/>
        </w:rPr>
      </w:pPr>
    </w:p>
    <w:p w14:paraId="10DC1D95">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67678FB4">
      <w:pPr>
        <w:pStyle w:val="15"/>
        <w:spacing w:before="0" w:beforeAutospacing="0" w:after="0" w:line="360" w:lineRule="auto"/>
        <w:jc w:val="left"/>
        <w:rPr>
          <w:rFonts w:hint="eastAsia" w:ascii="宋体" w:hAnsi="宋体"/>
          <w:color w:val="auto"/>
          <w:sz w:val="24"/>
          <w:szCs w:val="24"/>
        </w:rPr>
      </w:pPr>
      <w:r>
        <w:rPr>
          <w:rFonts w:hint="eastAsia" w:ascii="宋体" w:hAnsi="宋体"/>
          <w:color w:val="auto"/>
          <w:sz w:val="24"/>
          <w:szCs w:val="24"/>
        </w:rPr>
        <w:t>法定代表人或其委托代理人：</w:t>
      </w:r>
      <w:r>
        <w:rPr>
          <w:rFonts w:hint="eastAsia" w:ascii="宋体" w:hAnsi="宋体"/>
          <w:color w:val="auto"/>
          <w:sz w:val="24"/>
          <w:szCs w:val="24"/>
          <w:u w:val="single"/>
        </w:rPr>
        <w:t xml:space="preserve">    </w:t>
      </w:r>
      <w:r>
        <w:rPr>
          <w:rFonts w:hint="eastAsia" w:ascii="宋体" w:hAnsi="宋体"/>
          <w:color w:val="auto"/>
          <w:sz w:val="24"/>
          <w:szCs w:val="24"/>
        </w:rPr>
        <w:t>（签字或盖章）</w:t>
      </w:r>
    </w:p>
    <w:p w14:paraId="0B00DD89">
      <w:pPr>
        <w:spacing w:line="360" w:lineRule="auto"/>
        <w:jc w:val="left"/>
        <w:rPr>
          <w:rFonts w:hint="eastAsia" w:ascii="宋体" w:hAnsi="宋体" w:cs="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r>
        <w:rPr>
          <w:rFonts w:hint="eastAsia" w:ascii="宋体" w:hAnsi="宋体" w:cs="宋体"/>
          <w:color w:val="auto"/>
          <w:sz w:val="24"/>
          <w:szCs w:val="24"/>
        </w:rPr>
        <w:br w:type="page"/>
      </w:r>
      <w:r>
        <w:rPr>
          <w:rFonts w:hint="eastAsia" w:ascii="宋体" w:hAnsi="宋体" w:cs="宋体"/>
          <w:color w:val="auto"/>
          <w:sz w:val="24"/>
          <w:szCs w:val="24"/>
        </w:rPr>
        <w:t>5、供应商认为需要提交的其他资料</w:t>
      </w:r>
    </w:p>
    <w:p w14:paraId="67008F56">
      <w:pPr>
        <w:tabs>
          <w:tab w:val="left" w:pos="2932"/>
        </w:tabs>
        <w:jc w:val="left"/>
        <w:rPr>
          <w:rFonts w:hint="eastAsia"/>
          <w:color w:val="auto"/>
        </w:rPr>
      </w:pPr>
    </w:p>
    <w:p w14:paraId="55D9B9DE">
      <w:pPr>
        <w:rPr>
          <w:color w:val="auto"/>
        </w:rPr>
      </w:pPr>
    </w:p>
    <w:sectPr>
      <w:headerReference r:id="rId8" w:type="default"/>
      <w:footerReference r:id="rId9" w:type="default"/>
      <w:pgSz w:w="11905" w:h="16838"/>
      <w:pgMar w:top="1440" w:right="1463" w:bottom="1440" w:left="1519" w:header="794" w:footer="794"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20B0604020202020204"/>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EB075">
    <w:pPr>
      <w:pStyle w:val="26"/>
      <w:tabs>
        <w:tab w:val="center" w:pos="4153"/>
        <w:tab w:val="right" w:pos="8306"/>
      </w:tabs>
    </w:pPr>
    <w:r>
      <w:pict>
        <v:shape id="文本框 15"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sYv7wEAAOcDAAAOAAAAZHJzL2Uyb0RvYy54bWysU02P0zAQvSPxHyzfabI9oCpqulp2KUJa&#10;YKUtP8B1nMQi8VgzbpPy6xk7SZeFG+Jijefj+c2b8fZ27DtxNkgWXClvVrkUxmmorGtK+f2wf7eR&#10;goJylerAmVJeDMnb3ds328EXZg0tdJVBwSCOisGXsg3BF1lGujW9ohV44zhYA/Yq8BWbrEI1MHrf&#10;Zes8f58NgJVH0IaIvQ9TUO4Sfl0bHb7VNZkgulIyt5BOTOcxntluq4oGlW+tnmmof2DRK+v40SvU&#10;gwpKnND+BdVbjUBQh5WGPoO6ttqkHribm/yPbp5b5U3qhcUhf5WJ/h+s/np+9k8owvgBRh5gaoL8&#10;I+gfJBzct8o15o48Cxmj7PpY2fAE1gVmkRxzDiIMrVHVa3dq4XDxPPqUfDBjiAjxytpng6di5hBn&#10;RgVFNsfhC1Rcok4BEqOxxj7Ky4IJpsmTvFynx4hCR+6b9WaTc0hzbLnEN1SxlHuk8MlAL6JRSuSu&#10;Erw6P1KYUpeU+JqDve26tCKde+VgzMlj0o7N1Qv/qZMwHkeujc4jVBduC2HaP/4vbLSAP6UYePdK&#10;6fhzSNF9dqxeXNPFwMU4LoZymgtLGaSYzPswrfPJo23aJGykSv6Oxdvb1NYLh1ly3qYkzLz5cV1/&#10;v6esl/+5+wUAAP//AwBQSwMEFAAGAAgAAAAhAAAX5fTZAAAACgEAAA8AAABkcnMvZG93bnJldi54&#10;bWxMT0FOwzAQvCPxB2uRuFGHglCUxqmgEI5INBw4uvE2SbHXke2m4fcsCAkuox2NZnamXM/OiglD&#10;HDwpuF5kIJBabwbqFLw19VUOIiZNRltPqOATI6yr87NSF8af6BWnbeoEh1AstII+pbGQMrY9Oh0X&#10;fkRibe+D04lp6KQJ+sThzspllt1JpwfiD70ecdNj+7E9OgWbumnChDHYd3yubw4vD7f4NCt1eTE/&#10;rhjuVyASzunPAd8buD9UXGznj2SisAp4TfpB1pZ5znT3e8iqlP8nVF8AAAD//wMAUEsBAi0AFAAG&#10;AAgAAAAhALaDOJL+AAAA4QEAABMAAAAAAAAAAAAAAAAAAAAAAFtDb250ZW50X1R5cGVzXS54bWxQ&#10;SwECLQAUAAYACAAAACEAOP0h/9YAAACUAQAACwAAAAAAAAAAAAAAAAAvAQAAX3JlbHMvLnJlbHNQ&#10;SwECLQAUAAYACAAAACEAdPLGL+8BAADnAwAADgAAAAAAAAAAAAAAAAAuAgAAZHJzL2Uyb0RvYy54&#10;bWxQSwECLQAUAAYACAAAACEAABfl9NkAAAAKAQAADwAAAAAAAAAAAAAAAABJBAAAZHJzL2Rvd25y&#10;ZXYueG1sUEsFBgAAAAAEAAQA8wAAAE8FAAAAAA==&#10;">
          <v:path/>
          <v:fill on="f" focussize="0,0"/>
          <v:stroke on="f" weight="0.5pt" joinstyle="miter"/>
          <v:imagedata o:title=""/>
          <o:lock v:ext="edit" text="t" aspectratio="t"/>
          <v:textbox inset="0mm,0mm,0mm,0mm" style="mso-fit-shape-to-text:t;">
            <w:txbxContent>
              <w:p w14:paraId="083591B5">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C544">
    <w:pPr>
      <w:pStyle w:val="2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V/MwIAAG8EAAAOAAAAZHJzL2Uyb0RvYy54bWysVE2P2jAQvVfqf7B8L8lSdYUiwoqypaqE&#10;ukhQ9Wwch0RNPJZtSOiv77NJoF+nqhcznpk8v3kzw/ypbxt2VtbVpHP+MEk5U1pSUetjzr/s129m&#10;nDkvdCEa0irnF+X40+L1q3lnMjWlippCWQYQ7bLO5Lzy3mRJ4mSlWuEmZJRGsCTbCo+rPSaFFR3Q&#10;2yaZpulj0pEtjCWpnIP3+Rrki4hflkr6l7J0yrMm5+Dm42njeQhnspiL7GiFqWo50BD/wKIVtcaj&#10;N6hn4QU72foPqLaWlhyVfiKpTagsa6liDajmIf2tml0ljIq1QBxnbjK5/wcrP593ZmuZ799TjwbG&#10;IpzZkPzmmKZVJfRRLZ2BkCEK14ei9luqtQeL6BhyrKWuUqL41R1L2F8MWh+T96r3ASFcoX3SGZcN&#10;HELPXObAJgjZl7YNv5CIgRh6d7n1CxhMBraz6WyWIiQRGy8B9f65sc5/VNSyYOTcoo5YojhvnL+m&#10;jinhNU3rumniUDSadTl/fPsujR/cIgBvdMhVcbwGmDv1YPn+0LO6GIoMngMVF8hsCSRA2Bm5rsFo&#10;I5zfCouRgxNr5F9wlA3hZRosziqy3//mD/mYBEQ56zDCOdfYMc6aTxpNAKAfDTsah9HQp3ZF2Ak0&#10;BVyiiQ+sb0aztNR+xW4twxsICS3xUs79aK78dY2wm1ItlzEJM22E3+idkQE6qOTM8uShahT7rsTQ&#10;ekx1bNewgWFtfr7HrPv/xOIHAAAA//8DAFBLAwQUAAYACAAAACEAABfl9NkAAAAKAQAADwAAAGRy&#10;cy9kb3ducmV2LnhtbExPQU7DMBC8I/EHa5G4UYeCUJTGqaAQjkg0HDi68TZJsdeR7abh9ywICS6j&#10;HY1mdqZcz86KCUMcPCm4XmQgkFpvBuoUvDX1VQ4iJk1GW0+o4BMjrKvzs1IXxp/oFadt6gSHUCy0&#10;gj6lsZAytj06HRd+RGJt74PTiWnopAn6xOHOymWW3UmnB+IPvR5x02P7sT06BZu6acKEMdh3fK5v&#10;Di8Pt/g0K3V5MT+uGO5XIBLO6c8B3xu4P1RcbOePZKKwCnhN+kHWlnnOdPd7yKqU/ydUXwAAAP//&#10;AwBQSwECLQAUAAYACAAAACEAtoM4kv4AAADhAQAAEwAAAAAAAAAAAAAAAAAAAAAAW0NvbnRlbnRf&#10;VHlwZXNdLnhtbFBLAQItABQABgAIAAAAIQA4/SH/1gAAAJQBAAALAAAAAAAAAAAAAAAAAC8BAABf&#10;cmVscy8ucmVsc1BLAQItABQABgAIAAAAIQCyePV/MwIAAG8EAAAOAAAAAAAAAAAAAAAAAC4CAABk&#10;cnMvZTJvRG9jLnhtbFBLAQItABQABgAIAAAAIQAAF+X02QAAAAoBAAAPAAAAAAAAAAAAAAAAAI0E&#10;AABkcnMvZG93bnJldi54bWxQSwUGAAAAAAQABADzAAAAkwUAAAAA&#10;">
          <v:path/>
          <v:fill on="f" focussize="0,0"/>
          <v:stroke on="f" weight="0.5pt" joinstyle="miter"/>
          <v:imagedata o:title=""/>
          <o:lock v:ext="edit" text="t" aspectratio="t"/>
          <v:textbox inset="0mm,0mm,0mm,0mm" style="mso-fit-shape-to-text:t;">
            <w:txbxContent>
              <w:p w14:paraId="1181EC03">
                <w:pPr>
                  <w:pStyle w:val="26"/>
                </w:pPr>
                <w:r>
                  <w:t xml:space="preserve">第 </w:t>
                </w:r>
                <w:r>
                  <w:fldChar w:fldCharType="begin"/>
                </w:r>
                <w:r>
                  <w:instrText xml:space="preserve"> PAGE  \* MERGEFORMAT </w:instrText>
                </w:r>
                <w:r>
                  <w:fldChar w:fldCharType="separate"/>
                </w:r>
                <w:r>
                  <w:rPr>
                    <w:lang w:val="en-US" w:eastAsia="zh-CN"/>
                  </w:rPr>
                  <w:t>53</w:t>
                </w:r>
                <w:r>
                  <w:fldChar w:fldCharType="end"/>
                </w:r>
                <w:r>
                  <w:t xml:space="preserve"> 页 共</w:t>
                </w:r>
                <w:r>
                  <w:rPr>
                    <w:rFonts w:hint="eastAsia"/>
                  </w:rPr>
                  <w:t>87</w:t>
                </w:r>
                <w:r>
                  <w:t>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E0DE">
    <w:pPr>
      <w:pStyle w:val="26"/>
      <w:tabs>
        <w:tab w:val="center" w:pos="4153"/>
        <w:tab w:val="right" w:pos="8306"/>
      </w:tabs>
    </w:pPr>
    <w:r>
      <w:pict>
        <v:shape id="文本框 3" o:spid="_x0000_s4099"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uy9AEAAO4DAAAOAAAAZHJzL2Uyb0RvYy54bWysU8GO0zAQvSPxD5bvNNkeUBU1XS27FCEt&#10;sNKWD3AdJ7FIPNaM26R8PWMn6bJwQ1ys8Yz9/N6b8fZ27DtxNkgWXClvVrkUxmmorGtK+f2wf7eR&#10;goJylerAmVJeDMnb3ds328EXZg0tdJVBwSCOisGXsg3BF1lGujW9ohV447hYA/Yq8BabrEI1MHrf&#10;Zes8f58NgJVH0IaIsw9TUe4Sfl0bHb7VNZkgulIyt5BWTOsxrtluq4oGlW+tnmmof2DRK+v40SvU&#10;gwpKnND+BdVbjUBQh5WGPoO6ttokDazmJv9DzXOrvEla2BzyV5vo/8Hqr+dn/4QijB9g5AYmEeQf&#10;Qf8g4eC+Va4xd+TZyFjl1MfKhiewLjCLlJjPIMLQGlW9TicJh4vn1qfDBzOGiBC37H02eCpmDrFn&#10;VFBkcxy+QMVX1ClAYjTW2Ed72TDBNLmTl2v3GFHoyH2z3mxyLmmuLZv4hiqW6x4pfDLQixiUEllV&#10;glfnRwrT0eVIfM3B3nZdGpHOvUow5pQxacbm2wv/SUkYj6OwVSnXUWmsHaG6sDoEfpt58rfhoAX8&#10;KcXAI1hKx39Eiu6zYxPjtC4BLsFxCZTTfLGUQYopvA/TVJ882qZl3KWVd+zh3iZ1Lxxm53mokj/z&#10;B4hT+/s+nXr5prtfAAAA//8DAFBLAwQUAAYACAAAACEAApWt79gAAAAKAQAADwAAAGRycy9kb3du&#10;cmV2LnhtbExPQWrDMBC8F/oHsYXcGrk5pMaxHEpCLr01LYXeFGtjmUorIymO/ftuS6G9DDsMMztT&#10;byfvxIgx9YEUPCwLEEhtMD11Ct5eD/cliJQ1Ge0CoYIZE2yb25taVyZc6QXHY+4Eh1CqtAKb81BJ&#10;mVqLXqdlGJBYO4fodWYaO2mivnK4d3JVFGvpdU/8weoBdxbbz+PFK3ic3gMOCXf4cR7baPu5dM+z&#10;Uou7ab9heNqAyDjlPwd8b+D+0HCxU7iQScIp4DX5B1lblSXT0+8hm1r+n9B8AQAA//8DAFBLAQIt&#10;ABQABgAIAAAAIQC2gziS/gAAAOEBAAATAAAAAAAAAAAAAAAAAAAAAABbQ29udGVudF9UeXBlc10u&#10;eG1sUEsBAi0AFAAGAAgAAAAhADj9If/WAAAAlAEAAAsAAAAAAAAAAAAAAAAALwEAAF9yZWxzLy5y&#10;ZWxzUEsBAi0AFAAGAAgAAAAhAALny7L0AQAA7gMAAA4AAAAAAAAAAAAAAAAALgIAAGRycy9lMm9E&#10;b2MueG1sUEsBAi0AFAAGAAgAAAAhAAKVre/YAAAACgEAAA8AAAAAAAAAAAAAAAAATgQAAGRycy9k&#10;b3ducmV2LnhtbFBLBQYAAAAABAAEAPMAAABTBQAAAAA=&#10;">
          <v:path/>
          <v:fill on="f" focussize="0,0"/>
          <v:stroke on="f" joinstyle="miter"/>
          <v:imagedata o:title=""/>
          <o:lock v:ext="edit" text="t" aspectratio="t"/>
          <v:textbox inset="0mm,0mm,0mm,0mm" style="mso-fit-shape-to-text:t;">
            <w:txbxContent>
              <w:p w14:paraId="27FB3DE6">
                <w:pPr>
                  <w:rPr>
                    <w:sz w:val="18"/>
                    <w:szCs w:val="18"/>
                  </w:rPr>
                </w:pPr>
                <w:r>
                  <w:rPr>
                    <w:sz w:val="18"/>
                    <w:szCs w:val="18"/>
                  </w:rPr>
                  <w:t xml:space="preserve">第 </w:t>
                </w: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05261">
    <w:pPr>
      <w:pStyle w:val="2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CD94">
    <w:pPr>
      <w:pStyle w:val="28"/>
      <w:pBdr>
        <w:bottom w:val="single" w:color="auto" w:sz="4" w:space="1"/>
      </w:pBdr>
      <w:jc w:val="both"/>
      <w:rPr>
        <w:sz w:val="16"/>
        <w:szCs w:val="16"/>
      </w:rPr>
    </w:pPr>
    <w:r>
      <w:rPr>
        <w:rFonts w:hint="eastAsia" w:ascii="宋体" w:hAnsi="宋体" w:cs="宋体"/>
        <w:sz w:val="16"/>
        <w:szCs w:val="16"/>
      </w:rPr>
      <w:t xml:space="preserve">河南省科学院质量检验与分析测试研究中心食品药品及农产品质量安全检测系统购置项目           </w:t>
    </w:r>
    <w:r>
      <w:rPr>
        <w:rFonts w:hint="eastAsia" w:ascii="宋体" w:hAnsi="宋体" w:cs="宋体"/>
        <w:sz w:val="16"/>
        <w:szCs w:val="20"/>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2E2F2">
    <w:pPr>
      <w:pStyle w:val="28"/>
      <w:pBdr>
        <w:bottom w:val="single" w:color="auto" w:sz="4" w:space="1"/>
      </w:pBdr>
      <w:jc w:val="both"/>
      <w:rPr>
        <w:sz w:val="16"/>
        <w:szCs w:val="16"/>
      </w:rPr>
    </w:pPr>
    <w:r>
      <w:rPr>
        <w:rFonts w:hint="eastAsia" w:ascii="宋体" w:hAnsi="宋体" w:cs="宋体"/>
        <w:sz w:val="16"/>
        <w:szCs w:val="16"/>
      </w:rPr>
      <w:t xml:space="preserve">中原纯化制程实验室高纯石墨材料制备技术与产品研发项目                                    </w:t>
    </w:r>
    <w:r>
      <w:rPr>
        <w:rFonts w:hint="eastAsia" w:ascii="宋体" w:hAnsi="宋体" w:cs="宋体"/>
        <w:sz w:val="16"/>
        <w:szCs w:val="20"/>
      </w:rPr>
      <w:t>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5AFF">
    <w:pPr>
      <w:pStyle w:val="28"/>
      <w:pBdr>
        <w:bottom w:val="single" w:color="auto" w:sz="4" w:space="1"/>
      </w:pBdr>
      <w:jc w:val="both"/>
      <w:rPr>
        <w:sz w:val="16"/>
        <w:szCs w:val="16"/>
      </w:rPr>
    </w:pPr>
    <w:r>
      <w:rPr>
        <w:rFonts w:hint="eastAsia" w:ascii="宋体" w:hAnsi="宋体" w:cs="宋体"/>
        <w:sz w:val="16"/>
        <w:szCs w:val="16"/>
      </w:rPr>
      <w:t>中原纯化制程实验室高纯石墨材料制备技术与产品研发项目                                          竞争性磋商文件</w:t>
    </w:r>
  </w:p>
  <w:p w14:paraId="550BDDC0">
    <w:pPr>
      <w:pStyle w:val="28"/>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06613E"/>
    <w:multiLevelType w:val="singleLevel"/>
    <w:tmpl w:val="9E06613E"/>
    <w:lvl w:ilvl="0" w:tentative="0">
      <w:start w:val="1"/>
      <w:numFmt w:val="decimal"/>
      <w:lvlText w:val="%1."/>
      <w:lvlJc w:val="left"/>
      <w:pPr>
        <w:tabs>
          <w:tab w:val="left" w:pos="312"/>
        </w:tabs>
      </w:p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E49DB95C"/>
    <w:multiLevelType w:val="singleLevel"/>
    <w:tmpl w:val="E49DB95C"/>
    <w:lvl w:ilvl="0" w:tentative="0">
      <w:start w:val="1"/>
      <w:numFmt w:val="decimal"/>
      <w:lvlText w:val="%1."/>
      <w:lvlJc w:val="left"/>
      <w:pPr>
        <w:tabs>
          <w:tab w:val="left" w:pos="312"/>
        </w:tabs>
      </w:pPr>
    </w:lvl>
  </w:abstractNum>
  <w:abstractNum w:abstractNumId="5">
    <w:nsid w:val="F8FE4A6B"/>
    <w:multiLevelType w:val="singleLevel"/>
    <w:tmpl w:val="F8FE4A6B"/>
    <w:lvl w:ilvl="0" w:tentative="0">
      <w:start w:val="4"/>
      <w:numFmt w:val="chineseCounting"/>
      <w:suff w:val="nothing"/>
      <w:lvlText w:val="%1、"/>
      <w:lvlJc w:val="left"/>
      <w:rPr>
        <w:rFonts w:hint="eastAsia"/>
      </w:rPr>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6657EA5"/>
    <w:multiLevelType w:val="multilevel"/>
    <w:tmpl w:val="06657EA5"/>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13B35FA"/>
    <w:multiLevelType w:val="singleLevel"/>
    <w:tmpl w:val="113B35FA"/>
    <w:lvl w:ilvl="0" w:tentative="0">
      <w:start w:val="1"/>
      <w:numFmt w:val="decimal"/>
      <w:lvlText w:val="%1."/>
      <w:lvlJc w:val="left"/>
      <w:pPr>
        <w:tabs>
          <w:tab w:val="left" w:pos="312"/>
        </w:tabs>
      </w:pPr>
    </w:lvl>
  </w:abstractNum>
  <w:abstractNum w:abstractNumId="9">
    <w:nsid w:val="33DD3C57"/>
    <w:multiLevelType w:val="singleLevel"/>
    <w:tmpl w:val="33DD3C57"/>
    <w:lvl w:ilvl="0" w:tentative="0">
      <w:start w:val="7"/>
      <w:numFmt w:val="decimal"/>
      <w:suff w:val="nothing"/>
      <w:lvlText w:val="（%1）"/>
      <w:lvlJc w:val="left"/>
    </w:lvl>
  </w:abstractNum>
  <w:abstractNum w:abstractNumId="10">
    <w:nsid w:val="4F3FF634"/>
    <w:multiLevelType w:val="singleLevel"/>
    <w:tmpl w:val="4F3FF634"/>
    <w:lvl w:ilvl="0" w:tentative="0">
      <w:start w:val="2"/>
      <w:numFmt w:val="decimal"/>
      <w:lvlText w:val="%1."/>
      <w:lvlJc w:val="left"/>
      <w:pPr>
        <w:tabs>
          <w:tab w:val="left" w:pos="312"/>
        </w:tabs>
      </w:pPr>
    </w:lvl>
  </w:abstractNum>
  <w:abstractNum w:abstractNumId="11">
    <w:nsid w:val="6EE40928"/>
    <w:multiLevelType w:val="singleLevel"/>
    <w:tmpl w:val="6EE40928"/>
    <w:lvl w:ilvl="0" w:tentative="0">
      <w:start w:val="19"/>
      <w:numFmt w:val="decimal"/>
      <w:suff w:val="space"/>
      <w:lvlText w:val="%1."/>
      <w:lvlJc w:val="left"/>
    </w:lvl>
  </w:abstractNum>
  <w:abstractNum w:abstractNumId="12">
    <w:nsid w:val="7A0F6431"/>
    <w:multiLevelType w:val="singleLevel"/>
    <w:tmpl w:val="7A0F6431"/>
    <w:lvl w:ilvl="0" w:tentative="0">
      <w:start w:val="1"/>
      <w:numFmt w:val="decimal"/>
      <w:suff w:val="space"/>
      <w:lvlText w:val="%1."/>
      <w:lvlJc w:val="left"/>
    </w:lvl>
  </w:abstractNum>
  <w:num w:numId="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1"/>
  </w:num>
  <w:num w:numId="5">
    <w:abstractNumId w:val="9"/>
  </w:num>
  <w:num w:numId="6">
    <w:abstractNumId w:val="6"/>
  </w:num>
  <w:num w:numId="7">
    <w:abstractNumId w:val="3"/>
  </w:num>
  <w:num w:numId="8">
    <w:abstractNumId w:val="2"/>
  </w:num>
  <w:num w:numId="9">
    <w:abstractNumId w:val="11"/>
  </w:num>
  <w:num w:numId="10">
    <w:abstractNumId w:val="0"/>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F2"/>
    <w:rsid w:val="00597AFC"/>
    <w:rsid w:val="007D70E9"/>
    <w:rsid w:val="00936E35"/>
    <w:rsid w:val="00AA16F2"/>
    <w:rsid w:val="00CB6B26"/>
    <w:rsid w:val="00DA0703"/>
    <w:rsid w:val="00DD1FAA"/>
    <w:rsid w:val="00F97675"/>
    <w:rsid w:val="025A529E"/>
    <w:rsid w:val="02EC30BD"/>
    <w:rsid w:val="033015AD"/>
    <w:rsid w:val="04293BC6"/>
    <w:rsid w:val="07E43F6E"/>
    <w:rsid w:val="084367D4"/>
    <w:rsid w:val="0EC03DE6"/>
    <w:rsid w:val="11594ACA"/>
    <w:rsid w:val="116C0B49"/>
    <w:rsid w:val="12767764"/>
    <w:rsid w:val="1299771C"/>
    <w:rsid w:val="152C5BF2"/>
    <w:rsid w:val="16705C3E"/>
    <w:rsid w:val="1820443C"/>
    <w:rsid w:val="187442F0"/>
    <w:rsid w:val="1CB55962"/>
    <w:rsid w:val="23113827"/>
    <w:rsid w:val="27D002BF"/>
    <w:rsid w:val="2AF8525A"/>
    <w:rsid w:val="2BE15C0E"/>
    <w:rsid w:val="2C86250F"/>
    <w:rsid w:val="2CDE24A4"/>
    <w:rsid w:val="2E9F2106"/>
    <w:rsid w:val="30B6599A"/>
    <w:rsid w:val="30E262DA"/>
    <w:rsid w:val="30E87D95"/>
    <w:rsid w:val="31224929"/>
    <w:rsid w:val="319B1CC6"/>
    <w:rsid w:val="32A777DC"/>
    <w:rsid w:val="349A4657"/>
    <w:rsid w:val="35124730"/>
    <w:rsid w:val="35E13004"/>
    <w:rsid w:val="36826596"/>
    <w:rsid w:val="368E48DD"/>
    <w:rsid w:val="38B36EDA"/>
    <w:rsid w:val="3AA82343"/>
    <w:rsid w:val="3BE86E9B"/>
    <w:rsid w:val="3EBF1A09"/>
    <w:rsid w:val="415B5075"/>
    <w:rsid w:val="42A94EAA"/>
    <w:rsid w:val="43A65A96"/>
    <w:rsid w:val="44594000"/>
    <w:rsid w:val="462175C1"/>
    <w:rsid w:val="47C22A8D"/>
    <w:rsid w:val="489857A5"/>
    <w:rsid w:val="4A626035"/>
    <w:rsid w:val="4D5762ED"/>
    <w:rsid w:val="4D8B1D7C"/>
    <w:rsid w:val="4EE80B08"/>
    <w:rsid w:val="4F021108"/>
    <w:rsid w:val="4F5230BD"/>
    <w:rsid w:val="4FAD37EE"/>
    <w:rsid w:val="5224454D"/>
    <w:rsid w:val="52481FEA"/>
    <w:rsid w:val="54E87AB4"/>
    <w:rsid w:val="58DE7204"/>
    <w:rsid w:val="5A3C32C0"/>
    <w:rsid w:val="5A581519"/>
    <w:rsid w:val="5ACD5782"/>
    <w:rsid w:val="5D252794"/>
    <w:rsid w:val="5D9408D3"/>
    <w:rsid w:val="61CD42B9"/>
    <w:rsid w:val="641206A9"/>
    <w:rsid w:val="645F3049"/>
    <w:rsid w:val="64BB664B"/>
    <w:rsid w:val="65FD5B45"/>
    <w:rsid w:val="6E241705"/>
    <w:rsid w:val="713A2FED"/>
    <w:rsid w:val="7370469E"/>
    <w:rsid w:val="73740A39"/>
    <w:rsid w:val="759E7FEF"/>
    <w:rsid w:val="7618515D"/>
    <w:rsid w:val="76373F9F"/>
    <w:rsid w:val="77827E95"/>
    <w:rsid w:val="7A0F3269"/>
    <w:rsid w:val="7A7B1376"/>
    <w:rsid w:val="7E665422"/>
    <w:rsid w:val="7EB7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14:ligatures w14:val="none"/>
    </w:rPr>
  </w:style>
  <w:style w:type="paragraph" w:styleId="2">
    <w:name w:val="heading 1"/>
    <w:basedOn w:val="1"/>
    <w:next w:val="1"/>
    <w:link w:val="58"/>
    <w:qFormat/>
    <w:uiPriority w:val="9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59"/>
    <w:unhideWhenUsed/>
    <w:qFormat/>
    <w:uiPriority w:val="9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60"/>
    <w:unhideWhenUsed/>
    <w:qFormat/>
    <w:uiPriority w:val="9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61"/>
    <w:unhideWhenUsed/>
    <w:qFormat/>
    <w:uiPriority w:val="9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6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6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6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6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6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index 8"/>
    <w:basedOn w:val="1"/>
    <w:next w:val="1"/>
    <w:unhideWhenUsed/>
    <w:qFormat/>
    <w:uiPriority w:val="99"/>
    <w:pPr>
      <w:jc w:val="center"/>
    </w:pPr>
    <w:rPr>
      <w:color w:val="000000"/>
      <w:sz w:val="32"/>
      <w:szCs w:val="32"/>
    </w:rPr>
  </w:style>
  <w:style w:type="paragraph" w:styleId="13">
    <w:name w:val="Normal Indent"/>
    <w:basedOn w:val="1"/>
    <w:next w:val="14"/>
    <w:qFormat/>
    <w:uiPriority w:val="99"/>
    <w:pPr>
      <w:ind w:firstLine="420"/>
    </w:pPr>
    <w:rPr>
      <w:szCs w:val="20"/>
    </w:rPr>
  </w:style>
  <w:style w:type="paragraph" w:styleId="14">
    <w:name w:val="Body Text 2"/>
    <w:basedOn w:val="1"/>
    <w:next w:val="15"/>
    <w:link w:val="76"/>
    <w:qFormat/>
    <w:uiPriority w:val="0"/>
    <w:pPr>
      <w:spacing w:line="360" w:lineRule="auto"/>
      <w:ind w:firstLine="480" w:firstLineChars="200"/>
    </w:pPr>
    <w:rPr>
      <w:rFonts w:ascii="仿宋_GB2312" w:hAnsi="宋体" w:eastAsia="仿宋_GB2312"/>
      <w:sz w:val="24"/>
      <w:szCs w:val="20"/>
    </w:rPr>
  </w:style>
  <w:style w:type="paragraph" w:styleId="15">
    <w:name w:val="Body Text"/>
    <w:basedOn w:val="1"/>
    <w:next w:val="14"/>
    <w:link w:val="77"/>
    <w:unhideWhenUsed/>
    <w:qFormat/>
    <w:uiPriority w:val="99"/>
    <w:pPr>
      <w:spacing w:before="100" w:beforeAutospacing="1" w:after="120"/>
    </w:pPr>
    <w:rPr>
      <w:kern w:val="0"/>
      <w:sz w:val="20"/>
      <w:szCs w:val="20"/>
    </w:rPr>
  </w:style>
  <w:style w:type="paragraph" w:styleId="16">
    <w:name w:val="annotation text"/>
    <w:basedOn w:val="1"/>
    <w:link w:val="78"/>
    <w:unhideWhenUsed/>
    <w:qFormat/>
    <w:uiPriority w:val="99"/>
    <w:pPr>
      <w:jc w:val="left"/>
    </w:pPr>
    <w:rPr>
      <w:kern w:val="0"/>
      <w:sz w:val="20"/>
      <w:szCs w:val="20"/>
    </w:rPr>
  </w:style>
  <w:style w:type="paragraph" w:styleId="17">
    <w:name w:val="Body Text 3"/>
    <w:basedOn w:val="1"/>
    <w:link w:val="79"/>
    <w:unhideWhenUsed/>
    <w:qFormat/>
    <w:uiPriority w:val="99"/>
    <w:rPr>
      <w:kern w:val="0"/>
      <w:sz w:val="24"/>
      <w:szCs w:val="24"/>
    </w:rPr>
  </w:style>
  <w:style w:type="paragraph" w:styleId="18">
    <w:name w:val="Body Text Indent"/>
    <w:basedOn w:val="1"/>
    <w:link w:val="80"/>
    <w:unhideWhenUsed/>
    <w:qFormat/>
    <w:uiPriority w:val="0"/>
    <w:pPr>
      <w:ind w:firstLine="353" w:firstLineChars="147"/>
    </w:pPr>
    <w:rPr>
      <w:rFonts w:ascii="宋体" w:hAnsi="宋体"/>
      <w:kern w:val="0"/>
    </w:rPr>
  </w:style>
  <w:style w:type="paragraph" w:styleId="19">
    <w:name w:val="List 2"/>
    <w:basedOn w:val="1"/>
    <w:qFormat/>
    <w:uiPriority w:val="0"/>
    <w:pPr>
      <w:ind w:left="100" w:leftChars="200" w:hanging="200" w:hangingChars="200"/>
    </w:pPr>
  </w:style>
  <w:style w:type="paragraph" w:styleId="20">
    <w:name w:val="toc 5"/>
    <w:basedOn w:val="1"/>
    <w:next w:val="1"/>
    <w:unhideWhenUsed/>
    <w:qFormat/>
    <w:uiPriority w:val="39"/>
    <w:pPr>
      <w:ind w:left="1680" w:leftChars="800"/>
    </w:pPr>
    <w:rPr>
      <w:rFonts w:ascii="Calibri" w:hAnsi="Calibri"/>
      <w:szCs w:val="22"/>
    </w:rPr>
  </w:style>
  <w:style w:type="paragraph" w:styleId="21">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22">
    <w:name w:val="Plain Text"/>
    <w:basedOn w:val="1"/>
    <w:link w:val="81"/>
    <w:unhideWhenUsed/>
    <w:qFormat/>
    <w:uiPriority w:val="99"/>
    <w:rPr>
      <w:rFonts w:hAnsi="Courier New"/>
      <w:kern w:val="0"/>
      <w:sz w:val="20"/>
      <w:szCs w:val="20"/>
    </w:rPr>
  </w:style>
  <w:style w:type="paragraph" w:styleId="23">
    <w:name w:val="toc 8"/>
    <w:basedOn w:val="1"/>
    <w:next w:val="1"/>
    <w:unhideWhenUsed/>
    <w:qFormat/>
    <w:uiPriority w:val="39"/>
    <w:pPr>
      <w:ind w:left="2940" w:leftChars="1400"/>
    </w:pPr>
    <w:rPr>
      <w:rFonts w:ascii="Calibri" w:hAnsi="Calibri"/>
      <w:szCs w:val="22"/>
    </w:rPr>
  </w:style>
  <w:style w:type="paragraph" w:styleId="24">
    <w:name w:val="Date"/>
    <w:basedOn w:val="1"/>
    <w:next w:val="1"/>
    <w:link w:val="82"/>
    <w:qFormat/>
    <w:uiPriority w:val="99"/>
    <w:pPr>
      <w:ind w:left="100" w:leftChars="2500"/>
    </w:pPr>
  </w:style>
  <w:style w:type="paragraph" w:styleId="25">
    <w:name w:val="Balloon Text"/>
    <w:basedOn w:val="1"/>
    <w:link w:val="83"/>
    <w:unhideWhenUsed/>
    <w:qFormat/>
    <w:uiPriority w:val="99"/>
    <w:rPr>
      <w:sz w:val="18"/>
      <w:szCs w:val="18"/>
    </w:rPr>
  </w:style>
  <w:style w:type="paragraph" w:styleId="26">
    <w:name w:val="footer"/>
    <w:basedOn w:val="1"/>
    <w:link w:val="84"/>
    <w:unhideWhenUsed/>
    <w:qFormat/>
    <w:uiPriority w:val="99"/>
    <w:pPr>
      <w:snapToGrid w:val="0"/>
      <w:jc w:val="left"/>
    </w:pPr>
    <w:rPr>
      <w:kern w:val="0"/>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85"/>
    <w:unhideWhenUsed/>
    <w:qFormat/>
    <w:uiPriority w:val="99"/>
    <w:pPr>
      <w:pBdr>
        <w:bottom w:val="single" w:color="auto" w:sz="6" w:space="1"/>
      </w:pBdr>
      <w:snapToGrid w:val="0"/>
      <w:jc w:val="center"/>
    </w:pPr>
    <w:rPr>
      <w:kern w:val="0"/>
      <w:sz w:val="18"/>
      <w:szCs w:val="18"/>
    </w:rPr>
  </w:style>
  <w:style w:type="paragraph" w:styleId="29">
    <w:name w:val="toc 1"/>
    <w:basedOn w:val="1"/>
    <w:next w:val="1"/>
    <w:unhideWhenUsed/>
    <w:qFormat/>
    <w:uiPriority w:val="39"/>
    <w:pPr>
      <w:widowControl/>
      <w:spacing w:before="100" w:beforeAutospacing="1" w:after="100" w:line="273" w:lineRule="auto"/>
      <w:jc w:val="center"/>
    </w:pPr>
    <w:rPr>
      <w:rFonts w:ascii="Calibri" w:hAnsi="Calibri" w:cs="Calibri"/>
      <w:kern w:val="0"/>
      <w:sz w:val="22"/>
      <w:szCs w:val="22"/>
    </w:rPr>
  </w:style>
  <w:style w:type="paragraph" w:styleId="30">
    <w:name w:val="toc 4"/>
    <w:basedOn w:val="1"/>
    <w:next w:val="1"/>
    <w:unhideWhenUsed/>
    <w:qFormat/>
    <w:uiPriority w:val="39"/>
    <w:pPr>
      <w:ind w:left="1260" w:leftChars="600"/>
    </w:pPr>
    <w:rPr>
      <w:rFonts w:ascii="Calibri" w:hAnsi="Calibri"/>
      <w:szCs w:val="22"/>
    </w:rPr>
  </w:style>
  <w:style w:type="paragraph" w:styleId="31">
    <w:name w:val="Subtitle"/>
    <w:basedOn w:val="1"/>
    <w:next w:val="1"/>
    <w:link w:val="6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footnote text"/>
    <w:basedOn w:val="1"/>
    <w:link w:val="86"/>
    <w:unhideWhenUsed/>
    <w:qFormat/>
    <w:uiPriority w:val="99"/>
    <w:pPr>
      <w:snapToGrid w:val="0"/>
      <w:jc w:val="left"/>
    </w:pPr>
    <w:rPr>
      <w:sz w:val="18"/>
      <w:szCs w:val="18"/>
    </w:rPr>
  </w:style>
  <w:style w:type="paragraph" w:styleId="33">
    <w:name w:val="toc 6"/>
    <w:basedOn w:val="1"/>
    <w:next w:val="1"/>
    <w:unhideWhenUsed/>
    <w:qFormat/>
    <w:uiPriority w:val="39"/>
    <w:pPr>
      <w:ind w:left="2100" w:leftChars="1000"/>
    </w:pPr>
    <w:rPr>
      <w:rFonts w:ascii="Calibri" w:hAnsi="Calibri"/>
      <w:szCs w:val="22"/>
    </w:rPr>
  </w:style>
  <w:style w:type="paragraph" w:styleId="34">
    <w:name w:val="toc 2"/>
    <w:basedOn w:val="1"/>
    <w:next w:val="1"/>
    <w:unhideWhenUsed/>
    <w:qFormat/>
    <w:uiPriority w:val="39"/>
    <w:pPr>
      <w:widowControl/>
      <w:spacing w:before="100" w:beforeAutospacing="1" w:after="100" w:line="273" w:lineRule="auto"/>
      <w:ind w:left="220"/>
      <w:jc w:val="left"/>
    </w:pPr>
    <w:rPr>
      <w:rFonts w:ascii="Calibri" w:hAnsi="Calibri" w:cs="Calibri"/>
      <w:kern w:val="0"/>
      <w:sz w:val="22"/>
      <w:szCs w:val="22"/>
    </w:rPr>
  </w:style>
  <w:style w:type="paragraph" w:styleId="35">
    <w:name w:val="toc 9"/>
    <w:basedOn w:val="1"/>
    <w:next w:val="1"/>
    <w:unhideWhenUsed/>
    <w:qFormat/>
    <w:uiPriority w:val="39"/>
    <w:pPr>
      <w:ind w:left="3360" w:leftChars="1600"/>
    </w:pPr>
    <w:rPr>
      <w:rFonts w:ascii="Calibri" w:hAnsi="Calibri"/>
      <w:szCs w:val="22"/>
    </w:rPr>
  </w:style>
  <w:style w:type="paragraph" w:styleId="36">
    <w:name w:val="Normal (Web)"/>
    <w:basedOn w:val="1"/>
    <w:qFormat/>
    <w:uiPriority w:val="0"/>
    <w:pPr>
      <w:spacing w:line="432" w:lineRule="auto"/>
    </w:pPr>
    <w:rPr>
      <w:kern w:val="0"/>
    </w:rPr>
  </w:style>
  <w:style w:type="paragraph" w:styleId="37">
    <w:name w:val="Title"/>
    <w:basedOn w:val="1"/>
    <w:next w:val="1"/>
    <w:link w:val="6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38">
    <w:name w:val="annotation subject"/>
    <w:basedOn w:val="16"/>
    <w:next w:val="16"/>
    <w:link w:val="87"/>
    <w:unhideWhenUsed/>
    <w:qFormat/>
    <w:uiPriority w:val="99"/>
    <w:rPr>
      <w:b/>
      <w:bCs/>
      <w:kern w:val="2"/>
      <w:sz w:val="21"/>
      <w:szCs w:val="21"/>
    </w:rPr>
  </w:style>
  <w:style w:type="paragraph" w:styleId="39">
    <w:name w:val="Body Text First Indent"/>
    <w:basedOn w:val="15"/>
    <w:next w:val="1"/>
    <w:link w:val="88"/>
    <w:unhideWhenUsed/>
    <w:qFormat/>
    <w:uiPriority w:val="99"/>
    <w:pPr>
      <w:ind w:firstLine="420" w:firstLineChars="100"/>
    </w:pPr>
    <w:rPr>
      <w:rFonts w:ascii="Calibri" w:hAnsi="Calibri"/>
      <w:kern w:val="2"/>
      <w:sz w:val="21"/>
      <w:szCs w:val="22"/>
    </w:rPr>
  </w:style>
  <w:style w:type="paragraph" w:styleId="40">
    <w:name w:val="Body Text First Indent 2"/>
    <w:basedOn w:val="18"/>
    <w:link w:val="89"/>
    <w:unhideWhenUsed/>
    <w:qFormat/>
    <w:uiPriority w:val="0"/>
    <w:pPr>
      <w:spacing w:after="120"/>
      <w:ind w:left="420" w:leftChars="200" w:firstLine="420" w:firstLineChars="200"/>
    </w:pPr>
    <w:rPr>
      <w:rFonts w:ascii="Times New Roman" w:hAnsi="Times New Roman"/>
      <w:kern w:val="2"/>
    </w:rPr>
  </w:style>
  <w:style w:type="table" w:styleId="42">
    <w:name w:val="Table Grid"/>
    <w:basedOn w:val="41"/>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bCs/>
    </w:rPr>
  </w:style>
  <w:style w:type="character" w:styleId="45">
    <w:name w:val="page number"/>
    <w:qFormat/>
    <w:uiPriority w:val="99"/>
  </w:style>
  <w:style w:type="character" w:styleId="46">
    <w:name w:val="FollowedHyperlink"/>
    <w:basedOn w:val="43"/>
    <w:unhideWhenUsed/>
    <w:qFormat/>
    <w:uiPriority w:val="99"/>
    <w:rPr>
      <w:color w:val="5C5C5C"/>
      <w:u w:val="none"/>
    </w:rPr>
  </w:style>
  <w:style w:type="character" w:styleId="47">
    <w:name w:val="Emphasis"/>
    <w:basedOn w:val="43"/>
    <w:qFormat/>
    <w:uiPriority w:val="20"/>
    <w:rPr>
      <w:b/>
      <w:bCs/>
    </w:rPr>
  </w:style>
  <w:style w:type="character" w:styleId="48">
    <w:name w:val="HTML Definition"/>
    <w:basedOn w:val="43"/>
    <w:unhideWhenUsed/>
    <w:qFormat/>
    <w:uiPriority w:val="99"/>
  </w:style>
  <w:style w:type="character" w:styleId="49">
    <w:name w:val="HTML Typewriter"/>
    <w:basedOn w:val="43"/>
    <w:unhideWhenUsed/>
    <w:qFormat/>
    <w:uiPriority w:val="99"/>
    <w:rPr>
      <w:rFonts w:hint="default" w:ascii="monospace" w:hAnsi="monospace" w:eastAsia="monospace" w:cs="monospace"/>
      <w:sz w:val="20"/>
    </w:rPr>
  </w:style>
  <w:style w:type="character" w:styleId="50">
    <w:name w:val="HTML Acronym"/>
    <w:basedOn w:val="43"/>
    <w:unhideWhenUsed/>
    <w:qFormat/>
    <w:uiPriority w:val="99"/>
  </w:style>
  <w:style w:type="character" w:styleId="51">
    <w:name w:val="HTML Variable"/>
    <w:basedOn w:val="43"/>
    <w:unhideWhenUsed/>
    <w:qFormat/>
    <w:uiPriority w:val="99"/>
  </w:style>
  <w:style w:type="character" w:styleId="52">
    <w:name w:val="Hyperlink"/>
    <w:basedOn w:val="43"/>
    <w:unhideWhenUsed/>
    <w:qFormat/>
    <w:uiPriority w:val="99"/>
    <w:rPr>
      <w:color w:val="5C5C5C"/>
      <w:u w:val="none"/>
    </w:rPr>
  </w:style>
  <w:style w:type="character" w:styleId="53">
    <w:name w:val="HTML Code"/>
    <w:basedOn w:val="43"/>
    <w:unhideWhenUsed/>
    <w:qFormat/>
    <w:uiPriority w:val="99"/>
    <w:rPr>
      <w:rFonts w:hint="default" w:ascii="monospace" w:hAnsi="monospace" w:eastAsia="monospace" w:cs="monospace"/>
      <w:sz w:val="20"/>
    </w:rPr>
  </w:style>
  <w:style w:type="character" w:styleId="54">
    <w:name w:val="annotation reference"/>
    <w:basedOn w:val="43"/>
    <w:unhideWhenUsed/>
    <w:qFormat/>
    <w:uiPriority w:val="99"/>
    <w:rPr>
      <w:sz w:val="21"/>
      <w:szCs w:val="21"/>
    </w:rPr>
  </w:style>
  <w:style w:type="character" w:styleId="55">
    <w:name w:val="HTML Cite"/>
    <w:basedOn w:val="43"/>
    <w:unhideWhenUsed/>
    <w:qFormat/>
    <w:uiPriority w:val="99"/>
  </w:style>
  <w:style w:type="character" w:styleId="56">
    <w:name w:val="HTML Keyboard"/>
    <w:basedOn w:val="43"/>
    <w:unhideWhenUsed/>
    <w:qFormat/>
    <w:uiPriority w:val="99"/>
    <w:rPr>
      <w:rFonts w:hint="default" w:ascii="monospace" w:hAnsi="monospace" w:eastAsia="monospace" w:cs="monospace"/>
      <w:sz w:val="20"/>
    </w:rPr>
  </w:style>
  <w:style w:type="character" w:styleId="57">
    <w:name w:val="HTML Sample"/>
    <w:basedOn w:val="43"/>
    <w:unhideWhenUsed/>
    <w:qFormat/>
    <w:uiPriority w:val="99"/>
    <w:rPr>
      <w:rFonts w:ascii="monospace" w:hAnsi="monospace" w:eastAsia="monospace" w:cs="monospace"/>
    </w:rPr>
  </w:style>
  <w:style w:type="character" w:customStyle="1" w:styleId="58">
    <w:name w:val="标题 1 字符"/>
    <w:basedOn w:val="43"/>
    <w:link w:val="2"/>
    <w:qFormat/>
    <w:uiPriority w:val="99"/>
    <w:rPr>
      <w:rFonts w:asciiTheme="majorHAnsi" w:hAnsiTheme="majorHAnsi" w:eastAsiaTheme="majorEastAsia" w:cstheme="majorBidi"/>
      <w:color w:val="104862" w:themeColor="accent1" w:themeShade="BF"/>
      <w:sz w:val="48"/>
      <w:szCs w:val="48"/>
    </w:rPr>
  </w:style>
  <w:style w:type="character" w:customStyle="1" w:styleId="59">
    <w:name w:val="标题 2 字符"/>
    <w:basedOn w:val="43"/>
    <w:link w:val="3"/>
    <w:qFormat/>
    <w:uiPriority w:val="99"/>
    <w:rPr>
      <w:rFonts w:asciiTheme="majorHAnsi" w:hAnsiTheme="majorHAnsi" w:eastAsiaTheme="majorEastAsia" w:cstheme="majorBidi"/>
      <w:color w:val="104862" w:themeColor="accent1" w:themeShade="BF"/>
      <w:sz w:val="40"/>
      <w:szCs w:val="40"/>
    </w:rPr>
  </w:style>
  <w:style w:type="character" w:customStyle="1" w:styleId="60">
    <w:name w:val="标题 3 字符"/>
    <w:basedOn w:val="43"/>
    <w:link w:val="4"/>
    <w:qFormat/>
    <w:uiPriority w:val="99"/>
    <w:rPr>
      <w:rFonts w:asciiTheme="majorHAnsi" w:hAnsiTheme="majorHAnsi" w:eastAsiaTheme="majorEastAsia" w:cstheme="majorBidi"/>
      <w:color w:val="104862" w:themeColor="accent1" w:themeShade="BF"/>
      <w:sz w:val="32"/>
      <w:szCs w:val="32"/>
    </w:rPr>
  </w:style>
  <w:style w:type="character" w:customStyle="1" w:styleId="61">
    <w:name w:val="标题 4 字符"/>
    <w:basedOn w:val="43"/>
    <w:link w:val="5"/>
    <w:qFormat/>
    <w:uiPriority w:val="99"/>
    <w:rPr>
      <w:rFonts w:cstheme="majorBidi"/>
      <w:color w:val="104862" w:themeColor="accent1" w:themeShade="BF"/>
      <w:sz w:val="28"/>
      <w:szCs w:val="28"/>
    </w:rPr>
  </w:style>
  <w:style w:type="character" w:customStyle="1" w:styleId="62">
    <w:name w:val="标题 5 字符"/>
    <w:basedOn w:val="43"/>
    <w:link w:val="6"/>
    <w:semiHidden/>
    <w:qFormat/>
    <w:uiPriority w:val="9"/>
    <w:rPr>
      <w:rFonts w:cstheme="majorBidi"/>
      <w:color w:val="104862" w:themeColor="accent1" w:themeShade="BF"/>
      <w:sz w:val="24"/>
    </w:rPr>
  </w:style>
  <w:style w:type="character" w:customStyle="1" w:styleId="63">
    <w:name w:val="标题 6 字符"/>
    <w:basedOn w:val="43"/>
    <w:link w:val="7"/>
    <w:semiHidden/>
    <w:qFormat/>
    <w:uiPriority w:val="9"/>
    <w:rPr>
      <w:rFonts w:cstheme="majorBidi"/>
      <w:b/>
      <w:bCs/>
      <w:color w:val="104862" w:themeColor="accent1" w:themeShade="BF"/>
    </w:rPr>
  </w:style>
  <w:style w:type="character" w:customStyle="1" w:styleId="64">
    <w:name w:val="标题 7 字符"/>
    <w:basedOn w:val="43"/>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65">
    <w:name w:val="标题 8 字符"/>
    <w:basedOn w:val="43"/>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66">
    <w:name w:val="标题 9 字符"/>
    <w:basedOn w:val="43"/>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7">
    <w:name w:val="标题 字符"/>
    <w:basedOn w:val="43"/>
    <w:link w:val="37"/>
    <w:qFormat/>
    <w:uiPriority w:val="10"/>
    <w:rPr>
      <w:rFonts w:asciiTheme="majorHAnsi" w:hAnsiTheme="majorHAnsi" w:eastAsiaTheme="majorEastAsia" w:cstheme="majorBidi"/>
      <w:spacing w:val="-10"/>
      <w:kern w:val="28"/>
      <w:sz w:val="56"/>
      <w:szCs w:val="56"/>
    </w:rPr>
  </w:style>
  <w:style w:type="character" w:customStyle="1" w:styleId="68">
    <w:name w:val="副标题 字符"/>
    <w:basedOn w:val="43"/>
    <w:link w:val="3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9">
    <w:name w:val="Quote"/>
    <w:basedOn w:val="1"/>
    <w:next w:val="1"/>
    <w:link w:val="7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70">
    <w:name w:val="引用 字符"/>
    <w:basedOn w:val="43"/>
    <w:link w:val="69"/>
    <w:qFormat/>
    <w:uiPriority w:val="29"/>
    <w:rPr>
      <w:i/>
      <w:iCs/>
      <w:color w:val="404040" w:themeColor="text1" w:themeTint="BF"/>
      <w14:textFill>
        <w14:solidFill>
          <w14:schemeClr w14:val="tx1">
            <w14:lumMod w14:val="75000"/>
            <w14:lumOff w14:val="25000"/>
          </w14:schemeClr>
        </w14:solidFill>
      </w14:textFill>
    </w:rPr>
  </w:style>
  <w:style w:type="paragraph" w:styleId="71">
    <w:name w:val="List Paragraph"/>
    <w:basedOn w:val="1"/>
    <w:qFormat/>
    <w:uiPriority w:val="1"/>
    <w:pPr>
      <w:ind w:left="720"/>
      <w:contextualSpacing/>
    </w:pPr>
  </w:style>
  <w:style w:type="character" w:customStyle="1" w:styleId="72">
    <w:name w:val="Intense Emphasis"/>
    <w:basedOn w:val="43"/>
    <w:qFormat/>
    <w:uiPriority w:val="21"/>
    <w:rPr>
      <w:i/>
      <w:iCs/>
      <w:color w:val="104862" w:themeColor="accent1" w:themeShade="BF"/>
    </w:rPr>
  </w:style>
  <w:style w:type="paragraph" w:styleId="73">
    <w:name w:val="Intense Quote"/>
    <w:basedOn w:val="1"/>
    <w:next w:val="1"/>
    <w:link w:val="7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74">
    <w:name w:val="明显引用 字符"/>
    <w:basedOn w:val="43"/>
    <w:link w:val="73"/>
    <w:qFormat/>
    <w:uiPriority w:val="30"/>
    <w:rPr>
      <w:i/>
      <w:iCs/>
      <w:color w:val="104862" w:themeColor="accent1" w:themeShade="BF"/>
    </w:rPr>
  </w:style>
  <w:style w:type="character" w:customStyle="1" w:styleId="75">
    <w:name w:val="Intense Reference"/>
    <w:basedOn w:val="43"/>
    <w:qFormat/>
    <w:uiPriority w:val="32"/>
    <w:rPr>
      <w:b/>
      <w:bCs/>
      <w:smallCaps/>
      <w:color w:val="104862" w:themeColor="accent1" w:themeShade="BF"/>
      <w:spacing w:val="5"/>
    </w:rPr>
  </w:style>
  <w:style w:type="character" w:customStyle="1" w:styleId="76">
    <w:name w:val="正文文本 2 字符"/>
    <w:basedOn w:val="43"/>
    <w:link w:val="14"/>
    <w:qFormat/>
    <w:uiPriority w:val="0"/>
    <w:rPr>
      <w:rFonts w:ascii="仿宋_GB2312" w:hAnsi="宋体" w:eastAsia="仿宋_GB2312" w:cs="Times New Roman"/>
      <w:sz w:val="24"/>
      <w:szCs w:val="20"/>
      <w14:ligatures w14:val="none"/>
    </w:rPr>
  </w:style>
  <w:style w:type="character" w:customStyle="1" w:styleId="77">
    <w:name w:val="正文文本 字符"/>
    <w:basedOn w:val="43"/>
    <w:link w:val="15"/>
    <w:qFormat/>
    <w:uiPriority w:val="99"/>
    <w:rPr>
      <w:rFonts w:ascii="Times New Roman" w:hAnsi="Times New Roman" w:eastAsia="宋体" w:cs="Times New Roman"/>
      <w:kern w:val="0"/>
      <w:sz w:val="20"/>
      <w:szCs w:val="20"/>
      <w14:ligatures w14:val="none"/>
    </w:rPr>
  </w:style>
  <w:style w:type="character" w:customStyle="1" w:styleId="78">
    <w:name w:val="批注文字 字符"/>
    <w:basedOn w:val="43"/>
    <w:link w:val="16"/>
    <w:qFormat/>
    <w:uiPriority w:val="99"/>
    <w:rPr>
      <w:rFonts w:ascii="Times New Roman" w:hAnsi="Times New Roman" w:eastAsia="宋体" w:cs="Times New Roman"/>
      <w:kern w:val="0"/>
      <w:sz w:val="20"/>
      <w:szCs w:val="20"/>
      <w14:ligatures w14:val="none"/>
    </w:rPr>
  </w:style>
  <w:style w:type="character" w:customStyle="1" w:styleId="79">
    <w:name w:val="正文文本 3 字符"/>
    <w:basedOn w:val="43"/>
    <w:link w:val="17"/>
    <w:qFormat/>
    <w:uiPriority w:val="99"/>
    <w:rPr>
      <w:rFonts w:ascii="Times New Roman" w:hAnsi="Times New Roman" w:eastAsia="宋体" w:cs="Times New Roman"/>
      <w:kern w:val="0"/>
      <w:sz w:val="24"/>
      <w14:ligatures w14:val="none"/>
    </w:rPr>
  </w:style>
  <w:style w:type="character" w:customStyle="1" w:styleId="80">
    <w:name w:val="正文文本缩进 字符"/>
    <w:basedOn w:val="43"/>
    <w:link w:val="18"/>
    <w:qFormat/>
    <w:uiPriority w:val="0"/>
    <w:rPr>
      <w:rFonts w:ascii="宋体" w:hAnsi="宋体" w:eastAsia="宋体" w:cs="Times New Roman"/>
      <w:kern w:val="0"/>
      <w:szCs w:val="21"/>
      <w14:ligatures w14:val="none"/>
    </w:rPr>
  </w:style>
  <w:style w:type="character" w:customStyle="1" w:styleId="81">
    <w:name w:val="纯文本 字符"/>
    <w:basedOn w:val="43"/>
    <w:link w:val="22"/>
    <w:qFormat/>
    <w:uiPriority w:val="99"/>
    <w:rPr>
      <w:rFonts w:ascii="Times New Roman" w:hAnsi="Courier New" w:eastAsia="宋体" w:cs="Times New Roman"/>
      <w:kern w:val="0"/>
      <w:sz w:val="20"/>
      <w:szCs w:val="20"/>
      <w14:ligatures w14:val="none"/>
    </w:rPr>
  </w:style>
  <w:style w:type="character" w:customStyle="1" w:styleId="82">
    <w:name w:val="日期 字符"/>
    <w:basedOn w:val="43"/>
    <w:link w:val="24"/>
    <w:qFormat/>
    <w:uiPriority w:val="99"/>
    <w:rPr>
      <w:rFonts w:ascii="Times New Roman" w:hAnsi="Times New Roman" w:eastAsia="宋体" w:cs="Times New Roman"/>
      <w:szCs w:val="21"/>
      <w14:ligatures w14:val="none"/>
    </w:rPr>
  </w:style>
  <w:style w:type="character" w:customStyle="1" w:styleId="83">
    <w:name w:val="批注框文本 字符"/>
    <w:basedOn w:val="43"/>
    <w:link w:val="25"/>
    <w:qFormat/>
    <w:uiPriority w:val="99"/>
    <w:rPr>
      <w:rFonts w:ascii="Times New Roman" w:hAnsi="Times New Roman" w:eastAsia="宋体" w:cs="Times New Roman"/>
      <w:sz w:val="18"/>
      <w:szCs w:val="18"/>
      <w14:ligatures w14:val="none"/>
    </w:rPr>
  </w:style>
  <w:style w:type="character" w:customStyle="1" w:styleId="84">
    <w:name w:val="页脚 字符"/>
    <w:basedOn w:val="43"/>
    <w:link w:val="26"/>
    <w:qFormat/>
    <w:uiPriority w:val="99"/>
    <w:rPr>
      <w:rFonts w:ascii="Times New Roman" w:hAnsi="Times New Roman" w:eastAsia="宋体" w:cs="Times New Roman"/>
      <w:kern w:val="0"/>
      <w:sz w:val="18"/>
      <w:szCs w:val="18"/>
      <w14:ligatures w14:val="none"/>
    </w:rPr>
  </w:style>
  <w:style w:type="character" w:customStyle="1" w:styleId="85">
    <w:name w:val="页眉 字符"/>
    <w:basedOn w:val="43"/>
    <w:link w:val="28"/>
    <w:qFormat/>
    <w:uiPriority w:val="99"/>
    <w:rPr>
      <w:rFonts w:ascii="Times New Roman" w:hAnsi="Times New Roman" w:eastAsia="宋体" w:cs="Times New Roman"/>
      <w:kern w:val="0"/>
      <w:sz w:val="18"/>
      <w:szCs w:val="18"/>
      <w14:ligatures w14:val="none"/>
    </w:rPr>
  </w:style>
  <w:style w:type="character" w:customStyle="1" w:styleId="86">
    <w:name w:val="脚注文本 字符"/>
    <w:basedOn w:val="43"/>
    <w:link w:val="32"/>
    <w:qFormat/>
    <w:uiPriority w:val="99"/>
    <w:rPr>
      <w:rFonts w:ascii="Times New Roman" w:hAnsi="Times New Roman" w:eastAsia="宋体" w:cs="Times New Roman"/>
      <w:sz w:val="18"/>
      <w:szCs w:val="18"/>
      <w14:ligatures w14:val="none"/>
    </w:rPr>
  </w:style>
  <w:style w:type="character" w:customStyle="1" w:styleId="87">
    <w:name w:val="批注主题 字符"/>
    <w:basedOn w:val="78"/>
    <w:link w:val="38"/>
    <w:qFormat/>
    <w:uiPriority w:val="99"/>
    <w:rPr>
      <w:rFonts w:ascii="Times New Roman" w:hAnsi="Times New Roman" w:eastAsia="宋体" w:cs="Times New Roman"/>
      <w:b/>
      <w:bCs/>
      <w:kern w:val="0"/>
      <w:sz w:val="20"/>
      <w:szCs w:val="21"/>
      <w14:ligatures w14:val="none"/>
    </w:rPr>
  </w:style>
  <w:style w:type="character" w:customStyle="1" w:styleId="88">
    <w:name w:val="正文文本首行缩进 字符"/>
    <w:basedOn w:val="77"/>
    <w:link w:val="39"/>
    <w:qFormat/>
    <w:uiPriority w:val="99"/>
    <w:rPr>
      <w:rFonts w:ascii="Calibri" w:hAnsi="Calibri" w:eastAsia="宋体" w:cs="Times New Roman"/>
      <w:kern w:val="0"/>
      <w:sz w:val="20"/>
      <w:szCs w:val="22"/>
      <w14:ligatures w14:val="none"/>
    </w:rPr>
  </w:style>
  <w:style w:type="character" w:customStyle="1" w:styleId="89">
    <w:name w:val="正文文本首行缩进 2 字符"/>
    <w:basedOn w:val="80"/>
    <w:link w:val="40"/>
    <w:qFormat/>
    <w:uiPriority w:val="0"/>
    <w:rPr>
      <w:rFonts w:ascii="Times New Roman" w:hAnsi="Times New Roman" w:eastAsia="宋体" w:cs="Times New Roman"/>
      <w:kern w:val="0"/>
      <w:szCs w:val="21"/>
      <w14:ligatures w14:val="none"/>
    </w:rPr>
  </w:style>
  <w:style w:type="paragraph" w:customStyle="1" w:styleId="90">
    <w:name w:val="Default"/>
    <w:basedOn w:val="1"/>
    <w:next w:val="1"/>
    <w:qFormat/>
    <w:uiPriority w:val="0"/>
    <w:pPr>
      <w:autoSpaceDE w:val="0"/>
      <w:autoSpaceDN w:val="0"/>
      <w:adjustRightInd w:val="0"/>
      <w:jc w:val="left"/>
    </w:pPr>
    <w:rPr>
      <w:rFonts w:ascii="宋体" w:hAnsi="宋体" w:cs="宋体"/>
      <w:color w:val="000000"/>
      <w:kern w:val="0"/>
      <w:sz w:val="24"/>
      <w:szCs w:val="24"/>
    </w:rPr>
  </w:style>
  <w:style w:type="paragraph" w:customStyle="1" w:styleId="91">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14:ligatures w14:val="none"/>
    </w:rPr>
  </w:style>
  <w:style w:type="character" w:customStyle="1" w:styleId="92">
    <w:name w:val="hover1"/>
    <w:basedOn w:val="43"/>
    <w:qFormat/>
    <w:uiPriority w:val="0"/>
    <w:rPr>
      <w:color w:val="2590EB"/>
    </w:rPr>
  </w:style>
  <w:style w:type="character" w:customStyle="1" w:styleId="93">
    <w:name w:val="15"/>
    <w:basedOn w:val="43"/>
    <w:qFormat/>
    <w:uiPriority w:val="0"/>
    <w:rPr>
      <w:rFonts w:hint="default" w:ascii="Arial" w:hAnsi="Arial" w:eastAsia="黑体" w:cs="Arial"/>
      <w:b/>
      <w:sz w:val="32"/>
      <w:szCs w:val="32"/>
    </w:rPr>
  </w:style>
  <w:style w:type="character" w:customStyle="1" w:styleId="94">
    <w:name w:val="hover2"/>
    <w:basedOn w:val="43"/>
    <w:qFormat/>
    <w:uiPriority w:val="0"/>
  </w:style>
  <w:style w:type="character" w:customStyle="1" w:styleId="95">
    <w:name w:val="font41"/>
    <w:basedOn w:val="43"/>
    <w:qFormat/>
    <w:uiPriority w:val="0"/>
    <w:rPr>
      <w:rFonts w:hint="eastAsia" w:ascii="宋体" w:hAnsi="宋体" w:eastAsia="宋体" w:cs="宋体"/>
      <w:color w:val="000000"/>
      <w:sz w:val="18"/>
      <w:szCs w:val="18"/>
      <w:u w:val="none"/>
    </w:rPr>
  </w:style>
  <w:style w:type="character" w:customStyle="1" w:styleId="96">
    <w:name w:val="hover"/>
    <w:basedOn w:val="43"/>
    <w:qFormat/>
    <w:uiPriority w:val="0"/>
    <w:rPr>
      <w:color w:val="2590EB"/>
    </w:rPr>
  </w:style>
  <w:style w:type="character" w:customStyle="1" w:styleId="97">
    <w:name w:val="NormalCharacter"/>
    <w:semiHidden/>
    <w:qFormat/>
    <w:uiPriority w:val="0"/>
  </w:style>
  <w:style w:type="character" w:customStyle="1" w:styleId="98">
    <w:name w:val="hover3"/>
    <w:basedOn w:val="43"/>
    <w:qFormat/>
    <w:uiPriority w:val="0"/>
    <w:rPr>
      <w:color w:val="2590EB"/>
      <w:shd w:val="clear" w:color="auto" w:fill="E9F4FD"/>
    </w:rPr>
  </w:style>
  <w:style w:type="paragraph" w:customStyle="1" w:styleId="99">
    <w:name w:val="Body Text First Indent1"/>
    <w:basedOn w:val="15"/>
    <w:next w:val="100"/>
    <w:qFormat/>
    <w:uiPriority w:val="0"/>
    <w:pPr>
      <w:ind w:firstLine="420" w:firstLineChars="100"/>
    </w:pPr>
  </w:style>
  <w:style w:type="paragraph" w:customStyle="1" w:styleId="100">
    <w:name w:val="正文首行缩进 21"/>
    <w:basedOn w:val="101"/>
    <w:qFormat/>
    <w:uiPriority w:val="0"/>
    <w:pPr>
      <w:ind w:firstLine="420" w:firstLineChars="200"/>
    </w:pPr>
  </w:style>
  <w:style w:type="paragraph" w:customStyle="1" w:styleId="101">
    <w:name w:val="正文文本缩进1"/>
    <w:basedOn w:val="1"/>
    <w:qFormat/>
    <w:uiPriority w:val="0"/>
    <w:pPr>
      <w:spacing w:line="360" w:lineRule="auto"/>
      <w:ind w:firstLine="482" w:firstLineChars="100"/>
      <w:jc w:val="center"/>
    </w:pPr>
    <w:rPr>
      <w:rFonts w:ascii="黑体" w:eastAsia="黑体"/>
      <w:b/>
      <w:sz w:val="48"/>
      <w:szCs w:val="28"/>
    </w:rPr>
  </w:style>
  <w:style w:type="paragraph" w:customStyle="1" w:styleId="102">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kern w:val="0"/>
      <w:sz w:val="24"/>
      <w:szCs w:val="24"/>
    </w:rPr>
  </w:style>
  <w:style w:type="paragraph" w:customStyle="1" w:styleId="103">
    <w:name w:val="PlainText"/>
    <w:basedOn w:val="1"/>
    <w:qFormat/>
    <w:uiPriority w:val="0"/>
    <w:rPr>
      <w:rFonts w:ascii="宋体" w:hAnsi="Courier New"/>
    </w:rPr>
  </w:style>
  <w:style w:type="paragraph" w:customStyle="1" w:styleId="104">
    <w:name w:val="UserStyle_194"/>
    <w:qFormat/>
    <w:uiPriority w:val="0"/>
    <w:pPr>
      <w:textAlignment w:val="baseline"/>
    </w:pPr>
    <w:rPr>
      <w:rFonts w:ascii="Times New Roman" w:hAnsi="Times New Roman" w:eastAsia="宋体" w:cs="Times New Roman"/>
      <w:color w:val="000000"/>
      <w:kern w:val="0"/>
      <w:sz w:val="24"/>
      <w:szCs w:val="24"/>
      <w:lang w:val="en-US" w:eastAsia="zh-CN" w:bidi="ar-SA"/>
      <w14:ligatures w14:val="none"/>
    </w:rPr>
  </w:style>
  <w:style w:type="paragraph" w:customStyle="1" w:styleId="105">
    <w:name w:val="xl72"/>
    <w:basedOn w:val="1"/>
    <w:next w:val="24"/>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06">
    <w:name w:val="Heading4"/>
    <w:basedOn w:val="1"/>
    <w:next w:val="1"/>
    <w:qFormat/>
    <w:uiPriority w:val="0"/>
    <w:pPr>
      <w:keepNext/>
      <w:keepLines/>
    </w:pPr>
    <w:rPr>
      <w:rFonts w:ascii="Arial" w:hAnsi="Arial"/>
      <w:b/>
    </w:rPr>
  </w:style>
  <w:style w:type="paragraph" w:customStyle="1" w:styleId="107">
    <w:name w:val="xl87"/>
    <w:basedOn w:val="1"/>
    <w:next w:val="105"/>
    <w:qFormat/>
    <w:uiPriority w:val="0"/>
    <w:pPr>
      <w:widowControl/>
      <w:shd w:val="clear" w:color="FFFFFF" w:fill="FFFFFF"/>
      <w:spacing w:before="100" w:beforeAutospacing="1" w:after="100" w:afterAutospacing="1"/>
      <w:jc w:val="right"/>
      <w:textAlignment w:val="top"/>
    </w:pPr>
    <w:rPr>
      <w:rFonts w:ascii="宋体" w:hAnsi="宋体" w:cs="宋体"/>
      <w:kern w:val="0"/>
      <w:sz w:val="24"/>
    </w:rPr>
  </w:style>
  <w:style w:type="paragraph" w:customStyle="1" w:styleId="108">
    <w:name w:val="标题 41"/>
    <w:basedOn w:val="1"/>
    <w:qFormat/>
    <w:uiPriority w:val="0"/>
    <w:pPr>
      <w:spacing w:before="100" w:beforeAutospacing="1" w:after="100" w:afterAutospacing="1"/>
      <w:ind w:left="1205" w:hanging="486"/>
      <w:outlineLvl w:val="4"/>
    </w:pPr>
    <w:rPr>
      <w:b/>
      <w:bCs/>
      <w:sz w:val="24"/>
      <w:szCs w:val="24"/>
    </w:rPr>
  </w:style>
  <w:style w:type="paragraph" w:customStyle="1" w:styleId="109">
    <w:name w:val="列表段落1"/>
    <w:basedOn w:val="1"/>
    <w:unhideWhenUsed/>
    <w:qFormat/>
    <w:uiPriority w:val="34"/>
    <w:pPr>
      <w:ind w:firstLine="420" w:firstLineChars="200"/>
    </w:pPr>
  </w:style>
  <w:style w:type="paragraph" w:customStyle="1" w:styleId="110">
    <w:name w:val="段"/>
    <w:basedOn w:val="1"/>
    <w:next w:val="1"/>
    <w:qFormat/>
    <w:uiPriority w:val="0"/>
    <w:pPr>
      <w:widowControl/>
      <w:autoSpaceDE w:val="0"/>
      <w:autoSpaceDN w:val="0"/>
      <w:adjustRightInd w:val="0"/>
      <w:snapToGrid w:val="0"/>
      <w:spacing w:line="360" w:lineRule="auto"/>
      <w:ind w:firstLine="200" w:firstLineChars="200"/>
    </w:pPr>
    <w:rPr>
      <w:rFonts w:ascii="宋体" w:hAnsi="宋体" w:cs="宋体"/>
      <w:kern w:val="0"/>
      <w:sz w:val="24"/>
      <w:szCs w:val="24"/>
    </w:rPr>
  </w:style>
  <w:style w:type="paragraph" w:customStyle="1" w:styleId="111">
    <w:name w:val="NO3"/>
    <w:basedOn w:val="1"/>
    <w:qFormat/>
    <w:uiPriority w:val="0"/>
    <w:pPr>
      <w:tabs>
        <w:tab w:val="left" w:pos="907"/>
      </w:tabs>
      <w:spacing w:line="360" w:lineRule="auto"/>
    </w:pPr>
    <w:rPr>
      <w:rFonts w:ascii="宋体" w:hAnsi="宋体"/>
      <w:sz w:val="24"/>
    </w:rPr>
  </w:style>
  <w:style w:type="paragraph" w:customStyle="1" w:styleId="112">
    <w:name w:val="无间隔11"/>
    <w:basedOn w:val="1"/>
    <w:qFormat/>
    <w:uiPriority w:val="0"/>
    <w:rPr>
      <w:rFonts w:ascii="Calibri" w:hAnsi="Calibri" w:cs="Calibri"/>
    </w:rPr>
  </w:style>
  <w:style w:type="paragraph" w:styleId="113">
    <w:name w:val="No Spacing"/>
    <w:qFormat/>
    <w:uiPriority w:val="1"/>
    <w:pPr>
      <w:widowControl w:val="0"/>
      <w:jc w:val="both"/>
    </w:pPr>
    <w:rPr>
      <w:rFonts w:ascii="Times New Roman" w:hAnsi="Times New Roman" w:eastAsia="宋体" w:cs="Times New Roman"/>
      <w:kern w:val="2"/>
      <w:sz w:val="21"/>
      <w:szCs w:val="24"/>
      <w:lang w:val="en-US" w:eastAsia="zh-CN" w:bidi="ar-SA"/>
      <w14:ligatures w14:val="none"/>
    </w:rPr>
  </w:style>
  <w:style w:type="paragraph" w:customStyle="1" w:styleId="114">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Cs/>
      <w:color w:val="auto"/>
      <w:kern w:val="0"/>
      <w:sz w:val="28"/>
      <w:szCs w:val="28"/>
    </w:rPr>
  </w:style>
  <w:style w:type="paragraph" w:customStyle="1" w:styleId="115">
    <w:name w:val="2"/>
    <w:basedOn w:val="1"/>
    <w:next w:val="1"/>
    <w:qFormat/>
    <w:uiPriority w:val="0"/>
    <w:rPr>
      <w:kern w:val="0"/>
    </w:rPr>
  </w:style>
  <w:style w:type="paragraph" w:customStyle="1" w:styleId="116">
    <w:name w:val="正文1"/>
    <w:basedOn w:val="1"/>
    <w:next w:val="117"/>
    <w:qFormat/>
    <w:uiPriority w:val="0"/>
    <w:pPr>
      <w:spacing w:line="380" w:lineRule="exact"/>
      <w:jc w:val="center"/>
    </w:pPr>
    <w:rPr>
      <w:rFonts w:ascii="黑体" w:eastAsia="黑体"/>
    </w:rPr>
  </w:style>
  <w:style w:type="paragraph" w:customStyle="1" w:styleId="117">
    <w:name w:val="表格"/>
    <w:basedOn w:val="1"/>
    <w:qFormat/>
    <w:uiPriority w:val="0"/>
    <w:pPr>
      <w:jc w:val="center"/>
    </w:pPr>
    <w:rPr>
      <w:rFonts w:ascii="华文细黑"/>
    </w:rPr>
  </w:style>
  <w:style w:type="paragraph" w:customStyle="1" w:styleId="118">
    <w:name w:val="大标题"/>
    <w:basedOn w:val="1"/>
    <w:next w:val="40"/>
    <w:qFormat/>
    <w:uiPriority w:val="0"/>
    <w:pPr>
      <w:jc w:val="center"/>
    </w:pPr>
    <w:rPr>
      <w:rFonts w:ascii="Arial" w:hAnsi="Arial"/>
      <w:b/>
      <w:sz w:val="28"/>
      <w:szCs w:val="24"/>
    </w:rPr>
  </w:style>
  <w:style w:type="paragraph" w:customStyle="1" w:styleId="119">
    <w:name w:val="Table Text"/>
    <w:basedOn w:val="1"/>
    <w:semiHidden/>
    <w:qFormat/>
    <w:uiPriority w:val="0"/>
    <w:rPr>
      <w:rFonts w:ascii="宋体" w:hAnsi="宋体" w:cs="宋体"/>
      <w:sz w:val="20"/>
      <w:szCs w:val="20"/>
      <w:lang w:eastAsia="en-US"/>
    </w:rPr>
  </w:style>
  <w:style w:type="paragraph" w:customStyle="1" w:styleId="120">
    <w:name w:val="Char Char10 Char Char Char Char"/>
    <w:basedOn w:val="1"/>
    <w:next w:val="107"/>
    <w:qFormat/>
    <w:uiPriority w:val="99"/>
  </w:style>
  <w:style w:type="paragraph" w:customStyle="1" w:styleId="121">
    <w:name w:val="Table Paragraph"/>
    <w:basedOn w:val="1"/>
    <w:qFormat/>
    <w:uiPriority w:val="1"/>
  </w:style>
  <w:style w:type="paragraph" w:customStyle="1" w:styleId="12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3">
    <w:name w:val="TOC 标题1"/>
    <w:basedOn w:val="2"/>
    <w:next w:val="1"/>
    <w:unhideWhenUsed/>
    <w:qFormat/>
    <w:uiPriority w:val="39"/>
    <w:pPr>
      <w:widowControl/>
      <w:spacing w:after="0" w:line="276" w:lineRule="auto"/>
      <w:jc w:val="left"/>
      <w:outlineLvl w:val="9"/>
    </w:pPr>
    <w:rPr>
      <w:rFonts w:ascii="Cambria" w:hAnsi="Cambria" w:eastAsia="宋体" w:cs="Times New Roman"/>
      <w:b/>
      <w:bCs/>
      <w:color w:val="366091"/>
      <w:kern w:val="0"/>
      <w:sz w:val="28"/>
      <w:szCs w:val="28"/>
    </w:rPr>
  </w:style>
  <w:style w:type="paragraph" w:customStyle="1" w:styleId="124">
    <w:name w:val="列出段落1"/>
    <w:basedOn w:val="1"/>
    <w:qFormat/>
    <w:uiPriority w:val="0"/>
    <w:pPr>
      <w:ind w:firstLine="420" w:firstLineChars="200"/>
    </w:pPr>
  </w:style>
  <w:style w:type="paragraph" w:customStyle="1" w:styleId="125">
    <w:name w:val="style4"/>
    <w:basedOn w:val="1"/>
    <w:next w:val="115"/>
    <w:qFormat/>
    <w:uiPriority w:val="0"/>
    <w:pPr>
      <w:widowControl/>
      <w:spacing w:before="280" w:after="280"/>
    </w:pPr>
    <w:rPr>
      <w:rFonts w:ascii="宋体" w:hAnsi="宋体" w:cs="宋体"/>
      <w:sz w:val="18"/>
      <w:szCs w:val="18"/>
    </w:rPr>
  </w:style>
  <w:style w:type="paragraph" w:customStyle="1" w:styleId="126">
    <w:name w:val="正文_13_0"/>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table" w:customStyle="1" w:styleId="127">
    <w:name w:val="Table Normal"/>
    <w:unhideWhenUsed/>
    <w:qFormat/>
    <w:uiPriority w:val="0"/>
    <w:rPr>
      <w:rFonts w:ascii="Times New Roman" w:hAnsi="Times New Roman" w:eastAsia="宋体" w:cs="Times New Roman"/>
      <w:kern w:val="0"/>
      <w:sz w:val="20"/>
      <w:szCs w:val="20"/>
      <w14:ligatures w14:val="none"/>
    </w:rPr>
    <w:tblPr>
      <w:tblCellMar>
        <w:top w:w="0" w:type="dxa"/>
        <w:left w:w="0" w:type="dxa"/>
        <w:bottom w:w="0" w:type="dxa"/>
        <w:right w:w="0" w:type="dxa"/>
      </w:tblCellMar>
    </w:tblPr>
  </w:style>
  <w:style w:type="paragraph" w:customStyle="1" w:styleId="128">
    <w:name w:val="无间隔1"/>
    <w:qFormat/>
    <w:uiPriority w:val="0"/>
    <w:pPr>
      <w:widowControl w:val="0"/>
      <w:jc w:val="both"/>
    </w:pPr>
    <w:rPr>
      <w:rFonts w:ascii="Calibri" w:hAnsi="Calibri" w:eastAsia="宋体" w:cs="黑体"/>
      <w:kern w:val="2"/>
      <w:sz w:val="21"/>
      <w:szCs w:val="22"/>
      <w:lang w:val="en-US" w:eastAsia="zh-CN" w:bidi="ar-SA"/>
      <w14:ligatures w14:val="none"/>
    </w:rPr>
  </w:style>
  <w:style w:type="character" w:customStyle="1" w:styleId="129">
    <w:name w:val="hover4"/>
    <w:basedOn w:val="43"/>
    <w:qFormat/>
    <w:uiPriority w:val="0"/>
    <w:rPr>
      <w:color w:val="2590EB"/>
      <w:shd w:val="clear" w:color="auto" w:fill="E9F4FD"/>
    </w:rPr>
  </w:style>
  <w:style w:type="paragraph" w:customStyle="1" w:styleId="130">
    <w:name w:val="null3"/>
    <w:qFormat/>
    <w:uiPriority w:val="0"/>
    <w:rPr>
      <w:rFonts w:hint="eastAsia" w:ascii="Calibri" w:hAnsi="Calibri" w:eastAsia="宋体" w:cs="Times New Roman"/>
      <w:kern w:val="0"/>
      <w:sz w:val="20"/>
      <w:szCs w:val="20"/>
      <w:lang w:val="en-US" w:eastAsia="zh-Hans"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11209</Words>
  <Characters>12213</Characters>
  <Lines>386</Lines>
  <Paragraphs>108</Paragraphs>
  <TotalTime>42</TotalTime>
  <ScaleCrop>false</ScaleCrop>
  <LinksUpToDate>false</LinksUpToDate>
  <CharactersWithSpaces>12328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2026-07-02T02:11:00Z</dcterms:created>
  <dc:creator>JJ Wu</dc:creator>
  <cp:lastModifiedBy>招标代理</cp:lastModifiedBy>
  <dcterms:modified xsi:type="dcterms:W3CDTF">2026-07-15T01:28:31Z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eyJoZGlkIjoiZjQzMjAzZGIyZWZkMzgyZWM3OGFkNzkwYzU2NGMyODEiLCJ1c2VySWQiOiIxNjE2NTk4NTU2In0=</vt:lpwstr>
  </property>
  <property fmtid="{D5CDD505-2E9C-101B-9397-08002B2CF9AE}" pid="3" name="KSOProductBuildVer">
    <vt:lpwstr>2052-12.1.0.26884</vt:lpwstr>
  </property>
  <property fmtid="{D5CDD505-2E9C-101B-9397-08002B2CF9AE}" pid="4" name="ICV">
    <vt:lpwstr>D3111696FB9249C2A8E88C62B492306A_13</vt:lpwstr>
  </property>
</Properties>
</file>