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1896E9">
      <w:pPr>
        <w:jc w:val="center"/>
        <w:rPr>
          <w:rFonts w:hint="eastAsia" w:ascii="宋体" w:hAnsi="宋体" w:eastAsia="宋体" w:cs="宋体"/>
          <w:b/>
          <w:bCs/>
          <w:szCs w:val="21"/>
        </w:rPr>
      </w:pPr>
      <w:r>
        <w:rPr>
          <w:rFonts w:ascii="宋体" w:hAnsi="宋体" w:eastAsia="宋体" w:cs="Times New Roman"/>
          <w:szCs w:val="21"/>
        </w:rPr>
        <w:t xml:space="preserve"> </w:t>
      </w:r>
      <w:r>
        <w:rPr>
          <w:rFonts w:hint="eastAsia" w:ascii="宋体" w:hAnsi="宋体" w:eastAsia="宋体" w:cs="宋体"/>
          <w:b/>
          <w:bCs/>
          <w:szCs w:val="21"/>
        </w:rPr>
        <w:t>一、货物需求一览表</w:t>
      </w:r>
    </w:p>
    <w:tbl>
      <w:tblPr>
        <w:tblStyle w:val="2"/>
        <w:tblW w:w="9338" w:type="dxa"/>
        <w:tblInd w:w="113" w:type="dxa"/>
        <w:tblLayout w:type="autofit"/>
        <w:tblCellMar>
          <w:top w:w="0" w:type="dxa"/>
          <w:left w:w="108" w:type="dxa"/>
          <w:bottom w:w="0" w:type="dxa"/>
          <w:right w:w="108" w:type="dxa"/>
        </w:tblCellMar>
      </w:tblPr>
      <w:tblGrid>
        <w:gridCol w:w="1194"/>
        <w:gridCol w:w="4795"/>
        <w:gridCol w:w="882"/>
        <w:gridCol w:w="1057"/>
        <w:gridCol w:w="1410"/>
      </w:tblGrid>
      <w:tr w14:paraId="12A02ACF">
        <w:tblPrEx>
          <w:tblCellMar>
            <w:top w:w="0" w:type="dxa"/>
            <w:left w:w="108" w:type="dxa"/>
            <w:bottom w:w="0" w:type="dxa"/>
            <w:right w:w="108" w:type="dxa"/>
          </w:tblCellMar>
        </w:tblPrEx>
        <w:trPr>
          <w:trHeight w:val="313" w:hRule="atLeast"/>
        </w:trPr>
        <w:tc>
          <w:tcPr>
            <w:tcW w:w="1194" w:type="dxa"/>
            <w:tcBorders>
              <w:top w:val="single" w:color="auto" w:sz="4" w:space="0"/>
              <w:left w:val="single" w:color="auto" w:sz="4" w:space="0"/>
              <w:bottom w:val="single" w:color="auto" w:sz="4" w:space="0"/>
              <w:right w:val="single" w:color="auto" w:sz="4" w:space="0"/>
            </w:tcBorders>
            <w:noWrap w:val="0"/>
            <w:vAlign w:val="center"/>
          </w:tcPr>
          <w:p w14:paraId="3ECC2E6E">
            <w:pPr>
              <w:widowControl/>
              <w:jc w:val="center"/>
              <w:rPr>
                <w:rFonts w:ascii="宋体" w:hAnsi="宋体" w:eastAsia="宋体" w:cs="宋体"/>
                <w:b/>
                <w:bCs/>
                <w:kern w:val="0"/>
                <w:szCs w:val="21"/>
              </w:rPr>
            </w:pPr>
            <w:r>
              <w:rPr>
                <w:rFonts w:hint="eastAsia" w:ascii="宋体" w:hAnsi="宋体" w:eastAsia="宋体" w:cs="宋体"/>
                <w:b/>
                <w:bCs/>
                <w:kern w:val="0"/>
                <w:szCs w:val="21"/>
              </w:rPr>
              <w:t>序号</w:t>
            </w:r>
          </w:p>
        </w:tc>
        <w:tc>
          <w:tcPr>
            <w:tcW w:w="4795" w:type="dxa"/>
            <w:tcBorders>
              <w:top w:val="single" w:color="auto" w:sz="4" w:space="0"/>
              <w:left w:val="nil"/>
              <w:bottom w:val="single" w:color="auto" w:sz="4" w:space="0"/>
              <w:right w:val="single" w:color="auto" w:sz="4" w:space="0"/>
            </w:tcBorders>
            <w:noWrap w:val="0"/>
            <w:vAlign w:val="center"/>
          </w:tcPr>
          <w:p w14:paraId="3739750F">
            <w:pPr>
              <w:widowControl/>
              <w:jc w:val="center"/>
              <w:rPr>
                <w:rFonts w:hint="eastAsia" w:ascii="宋体" w:hAnsi="宋体" w:eastAsia="宋体" w:cs="宋体"/>
                <w:b/>
                <w:bCs/>
                <w:kern w:val="0"/>
                <w:szCs w:val="21"/>
              </w:rPr>
            </w:pPr>
            <w:r>
              <w:rPr>
                <w:rFonts w:hint="eastAsia" w:ascii="宋体" w:hAnsi="宋体" w:eastAsia="宋体" w:cs="宋体"/>
                <w:b/>
                <w:bCs/>
                <w:kern w:val="0"/>
                <w:szCs w:val="21"/>
              </w:rPr>
              <w:t>货物名称</w:t>
            </w:r>
          </w:p>
        </w:tc>
        <w:tc>
          <w:tcPr>
            <w:tcW w:w="882" w:type="dxa"/>
            <w:tcBorders>
              <w:top w:val="single" w:color="auto" w:sz="4" w:space="0"/>
              <w:left w:val="nil"/>
              <w:bottom w:val="single" w:color="auto" w:sz="4" w:space="0"/>
              <w:right w:val="single" w:color="auto" w:sz="4" w:space="0"/>
            </w:tcBorders>
            <w:noWrap w:val="0"/>
            <w:vAlign w:val="center"/>
          </w:tcPr>
          <w:p w14:paraId="6361629D">
            <w:pPr>
              <w:widowControl/>
              <w:jc w:val="center"/>
              <w:rPr>
                <w:rFonts w:hint="eastAsia" w:ascii="宋体" w:hAnsi="宋体" w:eastAsia="宋体" w:cs="宋体"/>
                <w:b/>
                <w:bCs/>
                <w:kern w:val="0"/>
                <w:szCs w:val="21"/>
              </w:rPr>
            </w:pPr>
            <w:r>
              <w:rPr>
                <w:rFonts w:hint="eastAsia" w:ascii="宋体" w:hAnsi="宋体" w:eastAsia="宋体" w:cs="宋体"/>
                <w:b/>
                <w:bCs/>
                <w:kern w:val="0"/>
                <w:szCs w:val="21"/>
              </w:rPr>
              <w:t>单位</w:t>
            </w:r>
          </w:p>
        </w:tc>
        <w:tc>
          <w:tcPr>
            <w:tcW w:w="1057" w:type="dxa"/>
            <w:tcBorders>
              <w:top w:val="single" w:color="auto" w:sz="4" w:space="0"/>
              <w:left w:val="nil"/>
              <w:bottom w:val="single" w:color="auto" w:sz="4" w:space="0"/>
              <w:right w:val="single" w:color="auto" w:sz="4" w:space="0"/>
            </w:tcBorders>
            <w:noWrap w:val="0"/>
            <w:vAlign w:val="center"/>
          </w:tcPr>
          <w:p w14:paraId="273062E5">
            <w:pPr>
              <w:widowControl/>
              <w:jc w:val="center"/>
              <w:rPr>
                <w:rFonts w:hint="eastAsia" w:ascii="宋体" w:hAnsi="宋体" w:eastAsia="宋体" w:cs="宋体"/>
                <w:b/>
                <w:bCs/>
                <w:kern w:val="0"/>
                <w:szCs w:val="21"/>
              </w:rPr>
            </w:pPr>
            <w:r>
              <w:rPr>
                <w:rFonts w:hint="eastAsia" w:ascii="宋体" w:hAnsi="宋体" w:eastAsia="宋体" w:cs="宋体"/>
                <w:b/>
                <w:bCs/>
                <w:kern w:val="0"/>
                <w:szCs w:val="21"/>
              </w:rPr>
              <w:t>数量</w:t>
            </w:r>
          </w:p>
        </w:tc>
        <w:tc>
          <w:tcPr>
            <w:tcW w:w="1410" w:type="dxa"/>
            <w:tcBorders>
              <w:top w:val="single" w:color="auto" w:sz="4" w:space="0"/>
              <w:left w:val="nil"/>
              <w:bottom w:val="single" w:color="auto" w:sz="4" w:space="0"/>
              <w:right w:val="single" w:color="auto" w:sz="4" w:space="0"/>
            </w:tcBorders>
            <w:noWrap w:val="0"/>
            <w:vAlign w:val="center"/>
          </w:tcPr>
          <w:p w14:paraId="35794950">
            <w:pPr>
              <w:widowControl/>
              <w:jc w:val="center"/>
              <w:rPr>
                <w:rFonts w:hint="eastAsia" w:ascii="宋体" w:hAnsi="宋体" w:eastAsia="宋体" w:cs="宋体"/>
                <w:b/>
                <w:bCs/>
                <w:kern w:val="0"/>
                <w:szCs w:val="21"/>
              </w:rPr>
            </w:pPr>
            <w:r>
              <w:rPr>
                <w:rFonts w:hint="eastAsia" w:ascii="宋体" w:hAnsi="宋体" w:eastAsia="宋体" w:cs="宋体"/>
                <w:b/>
                <w:bCs/>
                <w:kern w:val="0"/>
                <w:szCs w:val="21"/>
              </w:rPr>
              <w:t>是否进口</w:t>
            </w:r>
          </w:p>
        </w:tc>
      </w:tr>
      <w:tr w14:paraId="32DCB69A">
        <w:tblPrEx>
          <w:tblCellMar>
            <w:top w:w="0" w:type="dxa"/>
            <w:left w:w="108" w:type="dxa"/>
            <w:bottom w:w="0" w:type="dxa"/>
            <w:right w:w="108" w:type="dxa"/>
          </w:tblCellMar>
        </w:tblPrEx>
        <w:trPr>
          <w:trHeight w:val="313" w:hRule="atLeast"/>
        </w:trPr>
        <w:tc>
          <w:tcPr>
            <w:tcW w:w="1194" w:type="dxa"/>
            <w:tcBorders>
              <w:top w:val="nil"/>
              <w:left w:val="single" w:color="auto" w:sz="4" w:space="0"/>
              <w:bottom w:val="single" w:color="auto" w:sz="4" w:space="0"/>
              <w:right w:val="single" w:color="auto" w:sz="4" w:space="0"/>
            </w:tcBorders>
            <w:noWrap w:val="0"/>
            <w:vAlign w:val="center"/>
          </w:tcPr>
          <w:p w14:paraId="7BAAB4D5">
            <w:pPr>
              <w:widowControl/>
              <w:jc w:val="center"/>
              <w:rPr>
                <w:rFonts w:hint="eastAsia" w:ascii="宋体" w:hAnsi="宋体" w:eastAsia="宋体" w:cs="宋体"/>
                <w:kern w:val="0"/>
                <w:szCs w:val="21"/>
              </w:rPr>
            </w:pPr>
            <w:r>
              <w:rPr>
                <w:rFonts w:hint="eastAsia" w:ascii="宋体" w:hAnsi="宋体" w:eastAsia="宋体" w:cs="宋体"/>
                <w:kern w:val="0"/>
                <w:szCs w:val="21"/>
              </w:rPr>
              <w:t>1</w:t>
            </w:r>
          </w:p>
        </w:tc>
        <w:tc>
          <w:tcPr>
            <w:tcW w:w="4795" w:type="dxa"/>
            <w:tcBorders>
              <w:top w:val="nil"/>
              <w:left w:val="nil"/>
              <w:bottom w:val="single" w:color="auto" w:sz="4" w:space="0"/>
              <w:right w:val="single" w:color="auto" w:sz="4" w:space="0"/>
            </w:tcBorders>
            <w:noWrap w:val="0"/>
            <w:vAlign w:val="center"/>
          </w:tcPr>
          <w:p w14:paraId="450FC2C0">
            <w:pPr>
              <w:widowControl/>
              <w:jc w:val="center"/>
              <w:rPr>
                <w:rFonts w:hint="eastAsia" w:ascii="宋体" w:hAnsi="宋体" w:eastAsia="宋体" w:cs="宋体"/>
                <w:kern w:val="0"/>
                <w:szCs w:val="21"/>
              </w:rPr>
            </w:pPr>
            <w:r>
              <w:rPr>
                <w:rFonts w:hint="eastAsia" w:ascii="宋体" w:hAnsi="宋体" w:eastAsia="宋体" w:cs="宋体"/>
                <w:kern w:val="0"/>
                <w:szCs w:val="21"/>
              </w:rPr>
              <w:t>模块化不间断电源系统</w:t>
            </w:r>
          </w:p>
        </w:tc>
        <w:tc>
          <w:tcPr>
            <w:tcW w:w="882" w:type="dxa"/>
            <w:tcBorders>
              <w:top w:val="nil"/>
              <w:left w:val="nil"/>
              <w:bottom w:val="single" w:color="auto" w:sz="4" w:space="0"/>
              <w:right w:val="single" w:color="auto" w:sz="4" w:space="0"/>
            </w:tcBorders>
            <w:noWrap w:val="0"/>
            <w:vAlign w:val="center"/>
          </w:tcPr>
          <w:p w14:paraId="6EE07DA7">
            <w:pPr>
              <w:widowControl/>
              <w:jc w:val="center"/>
              <w:rPr>
                <w:rFonts w:hint="eastAsia" w:ascii="宋体" w:hAnsi="宋体" w:eastAsia="宋体" w:cs="宋体"/>
                <w:kern w:val="0"/>
                <w:szCs w:val="21"/>
              </w:rPr>
            </w:pPr>
            <w:r>
              <w:rPr>
                <w:rFonts w:hint="eastAsia" w:ascii="宋体" w:hAnsi="宋体" w:eastAsia="宋体" w:cs="宋体"/>
                <w:kern w:val="0"/>
                <w:szCs w:val="21"/>
              </w:rPr>
              <w:t>套</w:t>
            </w:r>
          </w:p>
        </w:tc>
        <w:tc>
          <w:tcPr>
            <w:tcW w:w="1057" w:type="dxa"/>
            <w:tcBorders>
              <w:top w:val="nil"/>
              <w:left w:val="nil"/>
              <w:bottom w:val="single" w:color="auto" w:sz="4" w:space="0"/>
              <w:right w:val="single" w:color="auto" w:sz="4" w:space="0"/>
            </w:tcBorders>
            <w:noWrap w:val="0"/>
            <w:vAlign w:val="center"/>
          </w:tcPr>
          <w:p w14:paraId="31A173A6">
            <w:pPr>
              <w:widowControl/>
              <w:jc w:val="center"/>
              <w:rPr>
                <w:rFonts w:hint="eastAsia" w:ascii="宋体" w:hAnsi="宋体" w:eastAsia="宋体" w:cs="宋体"/>
                <w:kern w:val="0"/>
                <w:szCs w:val="21"/>
              </w:rPr>
            </w:pPr>
            <w:r>
              <w:rPr>
                <w:rFonts w:hint="eastAsia" w:ascii="宋体" w:hAnsi="宋体" w:eastAsia="宋体" w:cs="宋体"/>
                <w:kern w:val="0"/>
                <w:szCs w:val="21"/>
              </w:rPr>
              <w:t>1</w:t>
            </w:r>
          </w:p>
        </w:tc>
        <w:tc>
          <w:tcPr>
            <w:tcW w:w="1410" w:type="dxa"/>
            <w:tcBorders>
              <w:top w:val="nil"/>
              <w:left w:val="nil"/>
              <w:bottom w:val="single" w:color="auto" w:sz="4" w:space="0"/>
              <w:right w:val="single" w:color="auto" w:sz="4" w:space="0"/>
            </w:tcBorders>
            <w:noWrap w:val="0"/>
            <w:vAlign w:val="center"/>
          </w:tcPr>
          <w:p w14:paraId="156F4CAF">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r w14:paraId="5411AB82">
        <w:tblPrEx>
          <w:tblCellMar>
            <w:top w:w="0" w:type="dxa"/>
            <w:left w:w="108" w:type="dxa"/>
            <w:bottom w:w="0" w:type="dxa"/>
            <w:right w:w="108" w:type="dxa"/>
          </w:tblCellMar>
        </w:tblPrEx>
        <w:trPr>
          <w:trHeight w:val="313" w:hRule="atLeast"/>
        </w:trPr>
        <w:tc>
          <w:tcPr>
            <w:tcW w:w="1194" w:type="dxa"/>
            <w:tcBorders>
              <w:top w:val="nil"/>
              <w:left w:val="single" w:color="auto" w:sz="4" w:space="0"/>
              <w:bottom w:val="single" w:color="auto" w:sz="4" w:space="0"/>
              <w:right w:val="single" w:color="auto" w:sz="4" w:space="0"/>
            </w:tcBorders>
            <w:noWrap w:val="0"/>
            <w:vAlign w:val="center"/>
          </w:tcPr>
          <w:p w14:paraId="192CF5BC">
            <w:pPr>
              <w:widowControl/>
              <w:jc w:val="center"/>
              <w:rPr>
                <w:rFonts w:hint="eastAsia" w:ascii="宋体" w:hAnsi="宋体" w:eastAsia="宋体" w:cs="宋体"/>
                <w:kern w:val="0"/>
                <w:szCs w:val="21"/>
              </w:rPr>
            </w:pPr>
            <w:r>
              <w:rPr>
                <w:rFonts w:hint="eastAsia" w:ascii="宋体" w:hAnsi="宋体" w:eastAsia="宋体" w:cs="宋体"/>
                <w:kern w:val="0"/>
                <w:szCs w:val="21"/>
              </w:rPr>
              <w:t>2</w:t>
            </w:r>
          </w:p>
        </w:tc>
        <w:tc>
          <w:tcPr>
            <w:tcW w:w="4795" w:type="dxa"/>
            <w:tcBorders>
              <w:top w:val="nil"/>
              <w:left w:val="nil"/>
              <w:bottom w:val="single" w:color="auto" w:sz="4" w:space="0"/>
              <w:right w:val="single" w:color="auto" w:sz="4" w:space="0"/>
            </w:tcBorders>
            <w:noWrap w:val="0"/>
            <w:vAlign w:val="center"/>
          </w:tcPr>
          <w:p w14:paraId="0A0B1E92">
            <w:pPr>
              <w:widowControl/>
              <w:jc w:val="center"/>
              <w:rPr>
                <w:rFonts w:hint="eastAsia" w:ascii="宋体" w:hAnsi="宋体" w:eastAsia="宋体" w:cs="宋体"/>
                <w:kern w:val="0"/>
                <w:szCs w:val="21"/>
              </w:rPr>
            </w:pPr>
            <w:r>
              <w:rPr>
                <w:rFonts w:hint="eastAsia" w:ascii="宋体" w:hAnsi="宋体" w:eastAsia="宋体" w:cs="宋体"/>
                <w:kern w:val="0"/>
                <w:szCs w:val="21"/>
              </w:rPr>
              <w:t>铅酸蓄电池</w:t>
            </w:r>
          </w:p>
        </w:tc>
        <w:tc>
          <w:tcPr>
            <w:tcW w:w="882" w:type="dxa"/>
            <w:tcBorders>
              <w:top w:val="nil"/>
              <w:left w:val="nil"/>
              <w:bottom w:val="single" w:color="auto" w:sz="4" w:space="0"/>
              <w:right w:val="single" w:color="auto" w:sz="4" w:space="0"/>
            </w:tcBorders>
            <w:noWrap w:val="0"/>
            <w:vAlign w:val="center"/>
          </w:tcPr>
          <w:p w14:paraId="0EFEDCB7">
            <w:pPr>
              <w:widowControl/>
              <w:jc w:val="center"/>
              <w:rPr>
                <w:rFonts w:hint="eastAsia" w:ascii="宋体" w:hAnsi="宋体" w:eastAsia="宋体" w:cs="宋体"/>
                <w:kern w:val="0"/>
                <w:szCs w:val="21"/>
              </w:rPr>
            </w:pPr>
            <w:r>
              <w:rPr>
                <w:rFonts w:hint="eastAsia" w:ascii="宋体" w:hAnsi="宋体" w:eastAsia="宋体" w:cs="宋体"/>
                <w:kern w:val="0"/>
                <w:szCs w:val="21"/>
              </w:rPr>
              <w:t>组</w:t>
            </w:r>
          </w:p>
        </w:tc>
        <w:tc>
          <w:tcPr>
            <w:tcW w:w="1057" w:type="dxa"/>
            <w:tcBorders>
              <w:top w:val="nil"/>
              <w:left w:val="nil"/>
              <w:bottom w:val="single" w:color="auto" w:sz="4" w:space="0"/>
              <w:right w:val="single" w:color="auto" w:sz="4" w:space="0"/>
            </w:tcBorders>
            <w:noWrap w:val="0"/>
            <w:vAlign w:val="center"/>
          </w:tcPr>
          <w:p w14:paraId="1F8B1832">
            <w:pPr>
              <w:widowControl/>
              <w:jc w:val="center"/>
              <w:rPr>
                <w:rFonts w:hint="eastAsia" w:ascii="宋体" w:hAnsi="宋体" w:eastAsia="宋体" w:cs="宋体"/>
                <w:kern w:val="0"/>
                <w:szCs w:val="21"/>
              </w:rPr>
            </w:pPr>
            <w:r>
              <w:rPr>
                <w:rFonts w:hint="eastAsia" w:ascii="宋体" w:hAnsi="宋体" w:eastAsia="宋体" w:cs="宋体"/>
                <w:kern w:val="0"/>
                <w:szCs w:val="21"/>
              </w:rPr>
              <w:t>2</w:t>
            </w:r>
          </w:p>
        </w:tc>
        <w:tc>
          <w:tcPr>
            <w:tcW w:w="1410" w:type="dxa"/>
            <w:tcBorders>
              <w:top w:val="nil"/>
              <w:left w:val="nil"/>
              <w:bottom w:val="single" w:color="auto" w:sz="4" w:space="0"/>
              <w:right w:val="single" w:color="auto" w:sz="4" w:space="0"/>
            </w:tcBorders>
            <w:noWrap w:val="0"/>
            <w:vAlign w:val="center"/>
          </w:tcPr>
          <w:p w14:paraId="689EBBFD">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r w14:paraId="617D8672">
        <w:tblPrEx>
          <w:tblCellMar>
            <w:top w:w="0" w:type="dxa"/>
            <w:left w:w="108" w:type="dxa"/>
            <w:bottom w:w="0" w:type="dxa"/>
            <w:right w:w="108" w:type="dxa"/>
          </w:tblCellMar>
        </w:tblPrEx>
        <w:trPr>
          <w:trHeight w:val="313" w:hRule="atLeast"/>
        </w:trPr>
        <w:tc>
          <w:tcPr>
            <w:tcW w:w="1194" w:type="dxa"/>
            <w:tcBorders>
              <w:top w:val="nil"/>
              <w:left w:val="single" w:color="auto" w:sz="4" w:space="0"/>
              <w:bottom w:val="single" w:color="auto" w:sz="4" w:space="0"/>
              <w:right w:val="single" w:color="auto" w:sz="4" w:space="0"/>
            </w:tcBorders>
            <w:noWrap w:val="0"/>
            <w:vAlign w:val="center"/>
          </w:tcPr>
          <w:p w14:paraId="415D7EBF">
            <w:pPr>
              <w:widowControl/>
              <w:jc w:val="center"/>
              <w:rPr>
                <w:rFonts w:hint="eastAsia" w:ascii="宋体" w:hAnsi="宋体" w:eastAsia="宋体" w:cs="宋体"/>
                <w:kern w:val="0"/>
                <w:szCs w:val="21"/>
              </w:rPr>
            </w:pPr>
            <w:r>
              <w:rPr>
                <w:rFonts w:hint="eastAsia" w:ascii="宋体" w:hAnsi="宋体" w:eastAsia="宋体" w:cs="宋体"/>
                <w:kern w:val="0"/>
                <w:szCs w:val="21"/>
              </w:rPr>
              <w:t>3</w:t>
            </w:r>
          </w:p>
        </w:tc>
        <w:tc>
          <w:tcPr>
            <w:tcW w:w="4795" w:type="dxa"/>
            <w:tcBorders>
              <w:top w:val="nil"/>
              <w:left w:val="nil"/>
              <w:bottom w:val="single" w:color="auto" w:sz="4" w:space="0"/>
              <w:right w:val="single" w:color="auto" w:sz="4" w:space="0"/>
            </w:tcBorders>
            <w:noWrap w:val="0"/>
            <w:vAlign w:val="center"/>
          </w:tcPr>
          <w:p w14:paraId="0DBC4A29">
            <w:pPr>
              <w:widowControl/>
              <w:jc w:val="center"/>
              <w:rPr>
                <w:rFonts w:hint="eastAsia" w:ascii="宋体" w:hAnsi="宋体" w:eastAsia="宋体" w:cs="宋体"/>
                <w:kern w:val="0"/>
                <w:szCs w:val="21"/>
              </w:rPr>
            </w:pPr>
            <w:r>
              <w:rPr>
                <w:rFonts w:hint="eastAsia" w:ascii="宋体" w:hAnsi="宋体" w:eastAsia="宋体" w:cs="宋体"/>
                <w:kern w:val="0"/>
                <w:szCs w:val="21"/>
              </w:rPr>
              <w:t>氟泵列间空调</w:t>
            </w:r>
          </w:p>
        </w:tc>
        <w:tc>
          <w:tcPr>
            <w:tcW w:w="882" w:type="dxa"/>
            <w:tcBorders>
              <w:top w:val="nil"/>
              <w:left w:val="nil"/>
              <w:bottom w:val="single" w:color="auto" w:sz="4" w:space="0"/>
              <w:right w:val="single" w:color="auto" w:sz="4" w:space="0"/>
            </w:tcBorders>
            <w:noWrap w:val="0"/>
            <w:vAlign w:val="center"/>
          </w:tcPr>
          <w:p w14:paraId="38660314">
            <w:pPr>
              <w:widowControl/>
              <w:jc w:val="center"/>
              <w:rPr>
                <w:rFonts w:hint="eastAsia" w:ascii="宋体" w:hAnsi="宋体" w:eastAsia="宋体" w:cs="宋体"/>
                <w:kern w:val="0"/>
                <w:szCs w:val="21"/>
              </w:rPr>
            </w:pPr>
            <w:r>
              <w:rPr>
                <w:rFonts w:hint="eastAsia" w:ascii="宋体" w:hAnsi="宋体" w:eastAsia="宋体" w:cs="宋体"/>
                <w:kern w:val="0"/>
                <w:szCs w:val="21"/>
              </w:rPr>
              <w:t>台</w:t>
            </w:r>
          </w:p>
        </w:tc>
        <w:tc>
          <w:tcPr>
            <w:tcW w:w="1057" w:type="dxa"/>
            <w:tcBorders>
              <w:top w:val="nil"/>
              <w:left w:val="nil"/>
              <w:bottom w:val="single" w:color="auto" w:sz="4" w:space="0"/>
              <w:right w:val="single" w:color="auto" w:sz="4" w:space="0"/>
            </w:tcBorders>
            <w:noWrap w:val="0"/>
            <w:vAlign w:val="center"/>
          </w:tcPr>
          <w:p w14:paraId="65AE06E5">
            <w:pPr>
              <w:widowControl/>
              <w:jc w:val="center"/>
              <w:rPr>
                <w:rFonts w:hint="eastAsia" w:ascii="宋体" w:hAnsi="宋体" w:eastAsia="宋体" w:cs="宋体"/>
                <w:kern w:val="0"/>
                <w:szCs w:val="21"/>
              </w:rPr>
            </w:pPr>
            <w:r>
              <w:rPr>
                <w:rFonts w:hint="eastAsia" w:ascii="宋体" w:hAnsi="宋体" w:eastAsia="宋体" w:cs="宋体"/>
                <w:kern w:val="0"/>
                <w:szCs w:val="21"/>
              </w:rPr>
              <w:t>4</w:t>
            </w:r>
          </w:p>
        </w:tc>
        <w:tc>
          <w:tcPr>
            <w:tcW w:w="1410" w:type="dxa"/>
            <w:tcBorders>
              <w:top w:val="nil"/>
              <w:left w:val="nil"/>
              <w:bottom w:val="single" w:color="auto" w:sz="4" w:space="0"/>
              <w:right w:val="single" w:color="auto" w:sz="4" w:space="0"/>
            </w:tcBorders>
            <w:noWrap w:val="0"/>
            <w:vAlign w:val="center"/>
          </w:tcPr>
          <w:p w14:paraId="091F9229">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r w14:paraId="68343E34">
        <w:tblPrEx>
          <w:tblCellMar>
            <w:top w:w="0" w:type="dxa"/>
            <w:left w:w="108" w:type="dxa"/>
            <w:bottom w:w="0" w:type="dxa"/>
            <w:right w:w="108" w:type="dxa"/>
          </w:tblCellMar>
        </w:tblPrEx>
        <w:trPr>
          <w:trHeight w:val="313" w:hRule="atLeast"/>
        </w:trPr>
        <w:tc>
          <w:tcPr>
            <w:tcW w:w="1194" w:type="dxa"/>
            <w:tcBorders>
              <w:top w:val="nil"/>
              <w:left w:val="single" w:color="auto" w:sz="4" w:space="0"/>
              <w:bottom w:val="single" w:color="auto" w:sz="4" w:space="0"/>
              <w:right w:val="single" w:color="auto" w:sz="4" w:space="0"/>
            </w:tcBorders>
            <w:noWrap w:val="0"/>
            <w:vAlign w:val="center"/>
          </w:tcPr>
          <w:p w14:paraId="3554F360">
            <w:pPr>
              <w:widowControl/>
              <w:jc w:val="center"/>
              <w:rPr>
                <w:rFonts w:hint="eastAsia" w:ascii="宋体" w:hAnsi="宋体" w:eastAsia="宋体" w:cs="宋体"/>
                <w:kern w:val="0"/>
                <w:szCs w:val="21"/>
              </w:rPr>
            </w:pPr>
            <w:r>
              <w:rPr>
                <w:rFonts w:hint="eastAsia" w:ascii="宋体" w:hAnsi="宋体" w:eastAsia="宋体" w:cs="宋体"/>
                <w:kern w:val="0"/>
                <w:szCs w:val="21"/>
              </w:rPr>
              <w:t>4</w:t>
            </w:r>
          </w:p>
        </w:tc>
        <w:tc>
          <w:tcPr>
            <w:tcW w:w="4795" w:type="dxa"/>
            <w:tcBorders>
              <w:top w:val="nil"/>
              <w:left w:val="nil"/>
              <w:bottom w:val="single" w:color="auto" w:sz="4" w:space="0"/>
              <w:right w:val="single" w:color="auto" w:sz="4" w:space="0"/>
            </w:tcBorders>
            <w:noWrap w:val="0"/>
            <w:vAlign w:val="center"/>
          </w:tcPr>
          <w:p w14:paraId="493D90F3">
            <w:pPr>
              <w:widowControl/>
              <w:jc w:val="center"/>
              <w:rPr>
                <w:rFonts w:hint="eastAsia" w:ascii="宋体" w:hAnsi="宋体" w:eastAsia="宋体" w:cs="宋体"/>
                <w:kern w:val="0"/>
                <w:szCs w:val="21"/>
              </w:rPr>
            </w:pPr>
            <w:r>
              <w:rPr>
                <w:rFonts w:hint="eastAsia" w:ascii="宋体" w:hAnsi="宋体" w:eastAsia="宋体" w:cs="宋体"/>
                <w:kern w:val="0"/>
                <w:szCs w:val="21"/>
              </w:rPr>
              <w:t>房间级氟泵精密空调</w:t>
            </w:r>
          </w:p>
        </w:tc>
        <w:tc>
          <w:tcPr>
            <w:tcW w:w="882" w:type="dxa"/>
            <w:tcBorders>
              <w:top w:val="nil"/>
              <w:left w:val="nil"/>
              <w:bottom w:val="single" w:color="auto" w:sz="4" w:space="0"/>
              <w:right w:val="single" w:color="auto" w:sz="4" w:space="0"/>
            </w:tcBorders>
            <w:noWrap w:val="0"/>
            <w:vAlign w:val="center"/>
          </w:tcPr>
          <w:p w14:paraId="68418D1D">
            <w:pPr>
              <w:widowControl/>
              <w:jc w:val="center"/>
              <w:rPr>
                <w:rFonts w:hint="eastAsia" w:ascii="宋体" w:hAnsi="宋体" w:eastAsia="宋体" w:cs="宋体"/>
                <w:kern w:val="0"/>
                <w:szCs w:val="21"/>
              </w:rPr>
            </w:pPr>
            <w:r>
              <w:rPr>
                <w:rFonts w:hint="eastAsia" w:ascii="宋体" w:hAnsi="宋体" w:eastAsia="宋体" w:cs="宋体"/>
                <w:kern w:val="0"/>
                <w:szCs w:val="21"/>
              </w:rPr>
              <w:t>台</w:t>
            </w:r>
          </w:p>
        </w:tc>
        <w:tc>
          <w:tcPr>
            <w:tcW w:w="1057" w:type="dxa"/>
            <w:tcBorders>
              <w:top w:val="nil"/>
              <w:left w:val="nil"/>
              <w:bottom w:val="single" w:color="auto" w:sz="4" w:space="0"/>
              <w:right w:val="single" w:color="auto" w:sz="4" w:space="0"/>
            </w:tcBorders>
            <w:noWrap w:val="0"/>
            <w:vAlign w:val="center"/>
          </w:tcPr>
          <w:p w14:paraId="37524179">
            <w:pPr>
              <w:widowControl/>
              <w:jc w:val="center"/>
              <w:rPr>
                <w:rFonts w:hint="eastAsia" w:ascii="宋体" w:hAnsi="宋体" w:eastAsia="宋体" w:cs="宋体"/>
                <w:kern w:val="0"/>
                <w:szCs w:val="21"/>
              </w:rPr>
            </w:pPr>
            <w:r>
              <w:rPr>
                <w:rFonts w:hint="eastAsia" w:ascii="宋体" w:hAnsi="宋体" w:eastAsia="宋体" w:cs="宋体"/>
                <w:kern w:val="0"/>
                <w:szCs w:val="21"/>
              </w:rPr>
              <w:t>1</w:t>
            </w:r>
          </w:p>
        </w:tc>
        <w:tc>
          <w:tcPr>
            <w:tcW w:w="1410" w:type="dxa"/>
            <w:tcBorders>
              <w:top w:val="nil"/>
              <w:left w:val="nil"/>
              <w:bottom w:val="single" w:color="auto" w:sz="4" w:space="0"/>
              <w:right w:val="single" w:color="auto" w:sz="4" w:space="0"/>
            </w:tcBorders>
            <w:noWrap w:val="0"/>
            <w:vAlign w:val="center"/>
          </w:tcPr>
          <w:p w14:paraId="70C51F1E">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r w14:paraId="018148CC">
        <w:tblPrEx>
          <w:tblCellMar>
            <w:top w:w="0" w:type="dxa"/>
            <w:left w:w="108" w:type="dxa"/>
            <w:bottom w:w="0" w:type="dxa"/>
            <w:right w:w="108" w:type="dxa"/>
          </w:tblCellMar>
        </w:tblPrEx>
        <w:trPr>
          <w:trHeight w:val="313" w:hRule="atLeast"/>
        </w:trPr>
        <w:tc>
          <w:tcPr>
            <w:tcW w:w="1194" w:type="dxa"/>
            <w:tcBorders>
              <w:top w:val="nil"/>
              <w:left w:val="single" w:color="auto" w:sz="4" w:space="0"/>
              <w:bottom w:val="single" w:color="auto" w:sz="4" w:space="0"/>
              <w:right w:val="single" w:color="auto" w:sz="4" w:space="0"/>
            </w:tcBorders>
            <w:noWrap w:val="0"/>
            <w:vAlign w:val="center"/>
          </w:tcPr>
          <w:p w14:paraId="487CD5E3">
            <w:pPr>
              <w:widowControl/>
              <w:jc w:val="center"/>
              <w:rPr>
                <w:rFonts w:hint="eastAsia" w:ascii="宋体" w:hAnsi="宋体" w:eastAsia="宋体" w:cs="宋体"/>
                <w:kern w:val="0"/>
                <w:szCs w:val="21"/>
              </w:rPr>
            </w:pPr>
            <w:r>
              <w:rPr>
                <w:rFonts w:hint="eastAsia" w:ascii="宋体" w:hAnsi="宋体" w:eastAsia="宋体" w:cs="宋体"/>
                <w:kern w:val="0"/>
                <w:szCs w:val="21"/>
              </w:rPr>
              <w:t>5</w:t>
            </w:r>
          </w:p>
        </w:tc>
        <w:tc>
          <w:tcPr>
            <w:tcW w:w="4795" w:type="dxa"/>
            <w:tcBorders>
              <w:top w:val="nil"/>
              <w:left w:val="nil"/>
              <w:bottom w:val="single" w:color="auto" w:sz="4" w:space="0"/>
              <w:right w:val="single" w:color="auto" w:sz="4" w:space="0"/>
            </w:tcBorders>
            <w:noWrap w:val="0"/>
            <w:vAlign w:val="center"/>
          </w:tcPr>
          <w:p w14:paraId="77C336DC">
            <w:pPr>
              <w:widowControl/>
              <w:jc w:val="center"/>
              <w:rPr>
                <w:rFonts w:hint="eastAsia" w:ascii="宋体" w:hAnsi="宋体" w:eastAsia="宋体" w:cs="宋体"/>
                <w:kern w:val="0"/>
                <w:szCs w:val="21"/>
              </w:rPr>
            </w:pPr>
            <w:r>
              <w:rPr>
                <w:rFonts w:hint="eastAsia" w:ascii="宋体" w:hAnsi="宋体" w:eastAsia="宋体" w:cs="宋体"/>
                <w:kern w:val="0"/>
                <w:szCs w:val="21"/>
              </w:rPr>
              <w:t>普通服务器机柜</w:t>
            </w:r>
          </w:p>
        </w:tc>
        <w:tc>
          <w:tcPr>
            <w:tcW w:w="882" w:type="dxa"/>
            <w:tcBorders>
              <w:top w:val="nil"/>
              <w:left w:val="nil"/>
              <w:bottom w:val="single" w:color="auto" w:sz="4" w:space="0"/>
              <w:right w:val="single" w:color="auto" w:sz="4" w:space="0"/>
            </w:tcBorders>
            <w:noWrap w:val="0"/>
            <w:vAlign w:val="center"/>
          </w:tcPr>
          <w:p w14:paraId="5CCB9296">
            <w:pPr>
              <w:widowControl/>
              <w:jc w:val="center"/>
              <w:rPr>
                <w:rFonts w:hint="eastAsia" w:ascii="宋体" w:hAnsi="宋体" w:eastAsia="宋体" w:cs="宋体"/>
                <w:kern w:val="0"/>
                <w:szCs w:val="21"/>
              </w:rPr>
            </w:pPr>
            <w:r>
              <w:rPr>
                <w:rFonts w:hint="eastAsia" w:ascii="宋体" w:hAnsi="宋体" w:eastAsia="宋体" w:cs="宋体"/>
                <w:kern w:val="0"/>
                <w:szCs w:val="21"/>
              </w:rPr>
              <w:t>套</w:t>
            </w:r>
          </w:p>
        </w:tc>
        <w:tc>
          <w:tcPr>
            <w:tcW w:w="1057" w:type="dxa"/>
            <w:tcBorders>
              <w:top w:val="nil"/>
              <w:left w:val="nil"/>
              <w:bottom w:val="single" w:color="auto" w:sz="4" w:space="0"/>
              <w:right w:val="single" w:color="auto" w:sz="4" w:space="0"/>
            </w:tcBorders>
            <w:noWrap w:val="0"/>
            <w:vAlign w:val="center"/>
          </w:tcPr>
          <w:p w14:paraId="0E20AF39">
            <w:pPr>
              <w:widowControl/>
              <w:jc w:val="center"/>
              <w:rPr>
                <w:rFonts w:hint="eastAsia" w:ascii="宋体" w:hAnsi="宋体" w:eastAsia="宋体" w:cs="宋体"/>
                <w:kern w:val="0"/>
                <w:szCs w:val="21"/>
              </w:rPr>
            </w:pPr>
            <w:r>
              <w:rPr>
                <w:rFonts w:hint="eastAsia" w:ascii="宋体" w:hAnsi="宋体" w:eastAsia="宋体" w:cs="宋体"/>
                <w:kern w:val="0"/>
                <w:szCs w:val="21"/>
              </w:rPr>
              <w:t>20</w:t>
            </w:r>
          </w:p>
        </w:tc>
        <w:tc>
          <w:tcPr>
            <w:tcW w:w="1410" w:type="dxa"/>
            <w:tcBorders>
              <w:top w:val="nil"/>
              <w:left w:val="nil"/>
              <w:bottom w:val="single" w:color="auto" w:sz="4" w:space="0"/>
              <w:right w:val="single" w:color="auto" w:sz="4" w:space="0"/>
            </w:tcBorders>
            <w:noWrap w:val="0"/>
            <w:vAlign w:val="center"/>
          </w:tcPr>
          <w:p w14:paraId="060EFA18">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r w14:paraId="5D1D5E5A">
        <w:tblPrEx>
          <w:tblCellMar>
            <w:top w:w="0" w:type="dxa"/>
            <w:left w:w="108" w:type="dxa"/>
            <w:bottom w:w="0" w:type="dxa"/>
            <w:right w:w="108" w:type="dxa"/>
          </w:tblCellMar>
        </w:tblPrEx>
        <w:trPr>
          <w:trHeight w:val="313" w:hRule="atLeast"/>
        </w:trPr>
        <w:tc>
          <w:tcPr>
            <w:tcW w:w="1194" w:type="dxa"/>
            <w:tcBorders>
              <w:top w:val="nil"/>
              <w:left w:val="single" w:color="auto" w:sz="4" w:space="0"/>
              <w:bottom w:val="single" w:color="auto" w:sz="4" w:space="0"/>
              <w:right w:val="single" w:color="auto" w:sz="4" w:space="0"/>
            </w:tcBorders>
            <w:noWrap w:val="0"/>
            <w:vAlign w:val="center"/>
          </w:tcPr>
          <w:p w14:paraId="7117869E">
            <w:pPr>
              <w:widowControl/>
              <w:jc w:val="center"/>
              <w:rPr>
                <w:rFonts w:hint="eastAsia" w:ascii="宋体" w:hAnsi="宋体" w:eastAsia="宋体" w:cs="宋体"/>
                <w:kern w:val="0"/>
                <w:szCs w:val="21"/>
              </w:rPr>
            </w:pPr>
            <w:r>
              <w:rPr>
                <w:rFonts w:hint="eastAsia" w:ascii="宋体" w:hAnsi="宋体" w:eastAsia="宋体" w:cs="宋体"/>
                <w:kern w:val="0"/>
                <w:szCs w:val="21"/>
              </w:rPr>
              <w:t>6</w:t>
            </w:r>
          </w:p>
        </w:tc>
        <w:tc>
          <w:tcPr>
            <w:tcW w:w="4795" w:type="dxa"/>
            <w:tcBorders>
              <w:top w:val="nil"/>
              <w:left w:val="nil"/>
              <w:bottom w:val="single" w:color="auto" w:sz="4" w:space="0"/>
              <w:right w:val="single" w:color="auto" w:sz="4" w:space="0"/>
            </w:tcBorders>
            <w:noWrap w:val="0"/>
            <w:vAlign w:val="center"/>
          </w:tcPr>
          <w:p w14:paraId="6209A281">
            <w:pPr>
              <w:widowControl/>
              <w:jc w:val="center"/>
              <w:rPr>
                <w:rFonts w:hint="eastAsia" w:ascii="宋体" w:hAnsi="宋体" w:eastAsia="宋体" w:cs="宋体"/>
                <w:kern w:val="0"/>
                <w:szCs w:val="21"/>
              </w:rPr>
            </w:pPr>
            <w:r>
              <w:rPr>
                <w:rFonts w:hint="eastAsia" w:ascii="宋体" w:hAnsi="宋体" w:eastAsia="宋体" w:cs="宋体"/>
                <w:kern w:val="0"/>
                <w:szCs w:val="21"/>
              </w:rPr>
              <w:t>智算机柜</w:t>
            </w:r>
          </w:p>
        </w:tc>
        <w:tc>
          <w:tcPr>
            <w:tcW w:w="882" w:type="dxa"/>
            <w:tcBorders>
              <w:top w:val="nil"/>
              <w:left w:val="nil"/>
              <w:bottom w:val="single" w:color="auto" w:sz="4" w:space="0"/>
              <w:right w:val="single" w:color="auto" w:sz="4" w:space="0"/>
            </w:tcBorders>
            <w:noWrap w:val="0"/>
            <w:vAlign w:val="center"/>
          </w:tcPr>
          <w:p w14:paraId="42C89AAC">
            <w:pPr>
              <w:widowControl/>
              <w:jc w:val="center"/>
              <w:rPr>
                <w:rFonts w:hint="eastAsia" w:ascii="宋体" w:hAnsi="宋体" w:eastAsia="宋体" w:cs="宋体"/>
                <w:kern w:val="0"/>
                <w:szCs w:val="21"/>
              </w:rPr>
            </w:pPr>
            <w:r>
              <w:rPr>
                <w:rFonts w:hint="eastAsia" w:ascii="宋体" w:hAnsi="宋体" w:eastAsia="宋体" w:cs="宋体"/>
                <w:kern w:val="0"/>
                <w:szCs w:val="21"/>
              </w:rPr>
              <w:t>套</w:t>
            </w:r>
          </w:p>
        </w:tc>
        <w:tc>
          <w:tcPr>
            <w:tcW w:w="1057" w:type="dxa"/>
            <w:tcBorders>
              <w:top w:val="nil"/>
              <w:left w:val="nil"/>
              <w:bottom w:val="single" w:color="auto" w:sz="4" w:space="0"/>
              <w:right w:val="single" w:color="auto" w:sz="4" w:space="0"/>
            </w:tcBorders>
            <w:noWrap w:val="0"/>
            <w:vAlign w:val="center"/>
          </w:tcPr>
          <w:p w14:paraId="3DC6A525">
            <w:pPr>
              <w:widowControl/>
              <w:jc w:val="center"/>
              <w:rPr>
                <w:rFonts w:hint="eastAsia" w:ascii="宋体" w:hAnsi="宋体" w:eastAsia="宋体" w:cs="宋体"/>
                <w:kern w:val="0"/>
                <w:szCs w:val="21"/>
              </w:rPr>
            </w:pPr>
            <w:r>
              <w:rPr>
                <w:rFonts w:hint="eastAsia" w:ascii="宋体" w:hAnsi="宋体" w:eastAsia="宋体" w:cs="宋体"/>
                <w:kern w:val="0"/>
                <w:szCs w:val="21"/>
              </w:rPr>
              <w:t>5</w:t>
            </w:r>
          </w:p>
        </w:tc>
        <w:tc>
          <w:tcPr>
            <w:tcW w:w="1410" w:type="dxa"/>
            <w:tcBorders>
              <w:top w:val="nil"/>
              <w:left w:val="nil"/>
              <w:bottom w:val="single" w:color="auto" w:sz="4" w:space="0"/>
              <w:right w:val="single" w:color="auto" w:sz="4" w:space="0"/>
            </w:tcBorders>
            <w:noWrap w:val="0"/>
            <w:vAlign w:val="center"/>
          </w:tcPr>
          <w:p w14:paraId="35652CD7">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r w14:paraId="18D33437">
        <w:tblPrEx>
          <w:tblCellMar>
            <w:top w:w="0" w:type="dxa"/>
            <w:left w:w="108" w:type="dxa"/>
            <w:bottom w:w="0" w:type="dxa"/>
            <w:right w:w="108" w:type="dxa"/>
          </w:tblCellMar>
        </w:tblPrEx>
        <w:trPr>
          <w:trHeight w:val="313" w:hRule="atLeast"/>
        </w:trPr>
        <w:tc>
          <w:tcPr>
            <w:tcW w:w="1194" w:type="dxa"/>
            <w:tcBorders>
              <w:top w:val="nil"/>
              <w:left w:val="single" w:color="auto" w:sz="4" w:space="0"/>
              <w:bottom w:val="single" w:color="auto" w:sz="4" w:space="0"/>
              <w:right w:val="single" w:color="auto" w:sz="4" w:space="0"/>
            </w:tcBorders>
            <w:noWrap w:val="0"/>
            <w:vAlign w:val="center"/>
          </w:tcPr>
          <w:p w14:paraId="3FA19438">
            <w:pPr>
              <w:widowControl/>
              <w:jc w:val="center"/>
              <w:rPr>
                <w:rFonts w:hint="eastAsia" w:ascii="宋体" w:hAnsi="宋体" w:eastAsia="宋体" w:cs="宋体"/>
                <w:kern w:val="0"/>
                <w:szCs w:val="21"/>
              </w:rPr>
            </w:pPr>
            <w:r>
              <w:rPr>
                <w:rFonts w:hint="eastAsia" w:ascii="宋体" w:hAnsi="宋体" w:eastAsia="宋体" w:cs="宋体"/>
                <w:kern w:val="0"/>
                <w:szCs w:val="21"/>
              </w:rPr>
              <w:t>7</w:t>
            </w:r>
          </w:p>
        </w:tc>
        <w:tc>
          <w:tcPr>
            <w:tcW w:w="4795" w:type="dxa"/>
            <w:tcBorders>
              <w:top w:val="nil"/>
              <w:left w:val="nil"/>
              <w:bottom w:val="single" w:color="auto" w:sz="4" w:space="0"/>
              <w:right w:val="single" w:color="auto" w:sz="4" w:space="0"/>
            </w:tcBorders>
            <w:noWrap w:val="0"/>
            <w:vAlign w:val="center"/>
          </w:tcPr>
          <w:p w14:paraId="2E7C6708">
            <w:pPr>
              <w:widowControl/>
              <w:jc w:val="center"/>
              <w:rPr>
                <w:rFonts w:hint="eastAsia" w:ascii="宋体" w:hAnsi="宋体" w:eastAsia="宋体" w:cs="宋体"/>
                <w:kern w:val="0"/>
                <w:szCs w:val="21"/>
              </w:rPr>
            </w:pPr>
            <w:r>
              <w:rPr>
                <w:rFonts w:hint="eastAsia" w:ascii="宋体" w:hAnsi="宋体" w:eastAsia="宋体" w:cs="宋体"/>
                <w:kern w:val="0"/>
                <w:szCs w:val="21"/>
              </w:rPr>
              <w:t>封闭冷通道</w:t>
            </w:r>
          </w:p>
        </w:tc>
        <w:tc>
          <w:tcPr>
            <w:tcW w:w="882" w:type="dxa"/>
            <w:tcBorders>
              <w:top w:val="nil"/>
              <w:left w:val="nil"/>
              <w:bottom w:val="single" w:color="auto" w:sz="4" w:space="0"/>
              <w:right w:val="single" w:color="auto" w:sz="4" w:space="0"/>
            </w:tcBorders>
            <w:noWrap w:val="0"/>
            <w:vAlign w:val="center"/>
          </w:tcPr>
          <w:p w14:paraId="098A6B87">
            <w:pPr>
              <w:widowControl/>
              <w:jc w:val="center"/>
              <w:rPr>
                <w:rFonts w:hint="eastAsia" w:ascii="宋体" w:hAnsi="宋体" w:eastAsia="宋体" w:cs="宋体"/>
                <w:kern w:val="0"/>
                <w:szCs w:val="21"/>
              </w:rPr>
            </w:pPr>
            <w:r>
              <w:rPr>
                <w:rFonts w:hint="eastAsia" w:ascii="宋体" w:hAnsi="宋体" w:eastAsia="宋体" w:cs="宋体"/>
                <w:kern w:val="0"/>
                <w:szCs w:val="21"/>
              </w:rPr>
              <w:t>套</w:t>
            </w:r>
          </w:p>
        </w:tc>
        <w:tc>
          <w:tcPr>
            <w:tcW w:w="1057" w:type="dxa"/>
            <w:tcBorders>
              <w:top w:val="nil"/>
              <w:left w:val="nil"/>
              <w:bottom w:val="single" w:color="auto" w:sz="4" w:space="0"/>
              <w:right w:val="single" w:color="auto" w:sz="4" w:space="0"/>
            </w:tcBorders>
            <w:noWrap w:val="0"/>
            <w:vAlign w:val="center"/>
          </w:tcPr>
          <w:p w14:paraId="0CF606A9">
            <w:pPr>
              <w:widowControl/>
              <w:jc w:val="center"/>
              <w:rPr>
                <w:rFonts w:hint="eastAsia" w:ascii="宋体" w:hAnsi="宋体" w:eastAsia="宋体" w:cs="宋体"/>
                <w:kern w:val="0"/>
                <w:szCs w:val="21"/>
              </w:rPr>
            </w:pPr>
            <w:r>
              <w:rPr>
                <w:rFonts w:hint="eastAsia" w:ascii="宋体" w:hAnsi="宋体" w:eastAsia="宋体" w:cs="宋体"/>
                <w:kern w:val="0"/>
                <w:szCs w:val="21"/>
              </w:rPr>
              <w:t>1</w:t>
            </w:r>
          </w:p>
        </w:tc>
        <w:tc>
          <w:tcPr>
            <w:tcW w:w="1410" w:type="dxa"/>
            <w:tcBorders>
              <w:top w:val="nil"/>
              <w:left w:val="nil"/>
              <w:bottom w:val="single" w:color="auto" w:sz="4" w:space="0"/>
              <w:right w:val="single" w:color="auto" w:sz="4" w:space="0"/>
            </w:tcBorders>
            <w:noWrap w:val="0"/>
            <w:vAlign w:val="center"/>
          </w:tcPr>
          <w:p w14:paraId="4BB1FE44">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r w14:paraId="49923F7B">
        <w:tblPrEx>
          <w:tblCellMar>
            <w:top w:w="0" w:type="dxa"/>
            <w:left w:w="108" w:type="dxa"/>
            <w:bottom w:w="0" w:type="dxa"/>
            <w:right w:w="108" w:type="dxa"/>
          </w:tblCellMar>
        </w:tblPrEx>
        <w:trPr>
          <w:trHeight w:val="313" w:hRule="atLeast"/>
        </w:trPr>
        <w:tc>
          <w:tcPr>
            <w:tcW w:w="1194" w:type="dxa"/>
            <w:tcBorders>
              <w:top w:val="nil"/>
              <w:left w:val="single" w:color="auto" w:sz="4" w:space="0"/>
              <w:bottom w:val="single" w:color="auto" w:sz="4" w:space="0"/>
              <w:right w:val="single" w:color="auto" w:sz="4" w:space="0"/>
            </w:tcBorders>
            <w:noWrap w:val="0"/>
            <w:vAlign w:val="center"/>
          </w:tcPr>
          <w:p w14:paraId="2EEC5DC8">
            <w:pPr>
              <w:widowControl/>
              <w:jc w:val="center"/>
              <w:rPr>
                <w:rFonts w:hint="eastAsia" w:ascii="宋体" w:hAnsi="宋体" w:eastAsia="宋体" w:cs="宋体"/>
                <w:kern w:val="0"/>
                <w:szCs w:val="21"/>
              </w:rPr>
            </w:pPr>
            <w:r>
              <w:rPr>
                <w:rFonts w:hint="eastAsia" w:ascii="宋体" w:hAnsi="宋体" w:eastAsia="宋体" w:cs="宋体"/>
                <w:kern w:val="0"/>
                <w:szCs w:val="21"/>
              </w:rPr>
              <w:t>8</w:t>
            </w:r>
          </w:p>
        </w:tc>
        <w:tc>
          <w:tcPr>
            <w:tcW w:w="4795" w:type="dxa"/>
            <w:tcBorders>
              <w:top w:val="nil"/>
              <w:left w:val="nil"/>
              <w:bottom w:val="single" w:color="auto" w:sz="4" w:space="0"/>
              <w:right w:val="single" w:color="auto" w:sz="4" w:space="0"/>
            </w:tcBorders>
            <w:noWrap w:val="0"/>
            <w:vAlign w:val="center"/>
          </w:tcPr>
          <w:p w14:paraId="570ECF64">
            <w:pPr>
              <w:widowControl/>
              <w:jc w:val="center"/>
              <w:rPr>
                <w:rFonts w:hint="eastAsia" w:ascii="宋体" w:hAnsi="宋体" w:eastAsia="宋体" w:cs="宋体"/>
                <w:kern w:val="0"/>
                <w:szCs w:val="21"/>
              </w:rPr>
            </w:pPr>
            <w:r>
              <w:rPr>
                <w:rFonts w:hint="eastAsia" w:ascii="宋体" w:hAnsi="宋体" w:eastAsia="宋体" w:cs="宋体"/>
                <w:kern w:val="0"/>
                <w:szCs w:val="21"/>
              </w:rPr>
              <w:t>动环管理平台</w:t>
            </w:r>
          </w:p>
        </w:tc>
        <w:tc>
          <w:tcPr>
            <w:tcW w:w="882" w:type="dxa"/>
            <w:tcBorders>
              <w:top w:val="nil"/>
              <w:left w:val="nil"/>
              <w:bottom w:val="single" w:color="auto" w:sz="4" w:space="0"/>
              <w:right w:val="single" w:color="auto" w:sz="4" w:space="0"/>
            </w:tcBorders>
            <w:noWrap w:val="0"/>
            <w:vAlign w:val="center"/>
          </w:tcPr>
          <w:p w14:paraId="01F3479C">
            <w:pPr>
              <w:widowControl/>
              <w:jc w:val="center"/>
              <w:rPr>
                <w:rFonts w:hint="eastAsia" w:ascii="宋体" w:hAnsi="宋体" w:eastAsia="宋体" w:cs="宋体"/>
                <w:kern w:val="0"/>
                <w:szCs w:val="21"/>
              </w:rPr>
            </w:pPr>
            <w:r>
              <w:rPr>
                <w:rFonts w:hint="eastAsia" w:ascii="宋体" w:hAnsi="宋体" w:eastAsia="宋体" w:cs="宋体"/>
                <w:kern w:val="0"/>
                <w:szCs w:val="21"/>
              </w:rPr>
              <w:t>套</w:t>
            </w:r>
          </w:p>
        </w:tc>
        <w:tc>
          <w:tcPr>
            <w:tcW w:w="1057" w:type="dxa"/>
            <w:tcBorders>
              <w:top w:val="nil"/>
              <w:left w:val="nil"/>
              <w:bottom w:val="single" w:color="auto" w:sz="4" w:space="0"/>
              <w:right w:val="single" w:color="auto" w:sz="4" w:space="0"/>
            </w:tcBorders>
            <w:noWrap w:val="0"/>
            <w:vAlign w:val="center"/>
          </w:tcPr>
          <w:p w14:paraId="29E21BA4">
            <w:pPr>
              <w:widowControl/>
              <w:jc w:val="center"/>
              <w:rPr>
                <w:rFonts w:hint="eastAsia" w:ascii="宋体" w:hAnsi="宋体" w:eastAsia="宋体" w:cs="宋体"/>
                <w:kern w:val="0"/>
                <w:szCs w:val="21"/>
              </w:rPr>
            </w:pPr>
            <w:r>
              <w:rPr>
                <w:rFonts w:hint="eastAsia" w:ascii="宋体" w:hAnsi="宋体" w:eastAsia="宋体" w:cs="宋体"/>
                <w:kern w:val="0"/>
                <w:szCs w:val="21"/>
              </w:rPr>
              <w:t>1</w:t>
            </w:r>
          </w:p>
        </w:tc>
        <w:tc>
          <w:tcPr>
            <w:tcW w:w="1410" w:type="dxa"/>
            <w:tcBorders>
              <w:top w:val="nil"/>
              <w:left w:val="nil"/>
              <w:bottom w:val="single" w:color="auto" w:sz="4" w:space="0"/>
              <w:right w:val="single" w:color="auto" w:sz="4" w:space="0"/>
            </w:tcBorders>
            <w:noWrap w:val="0"/>
            <w:vAlign w:val="center"/>
          </w:tcPr>
          <w:p w14:paraId="26E16BEF">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r w14:paraId="7C3BA3A8">
        <w:tblPrEx>
          <w:tblCellMar>
            <w:top w:w="0" w:type="dxa"/>
            <w:left w:w="108" w:type="dxa"/>
            <w:bottom w:w="0" w:type="dxa"/>
            <w:right w:w="108" w:type="dxa"/>
          </w:tblCellMar>
        </w:tblPrEx>
        <w:trPr>
          <w:trHeight w:val="313" w:hRule="atLeast"/>
        </w:trPr>
        <w:tc>
          <w:tcPr>
            <w:tcW w:w="1194" w:type="dxa"/>
            <w:tcBorders>
              <w:top w:val="nil"/>
              <w:left w:val="single" w:color="auto" w:sz="4" w:space="0"/>
              <w:bottom w:val="single" w:color="auto" w:sz="4" w:space="0"/>
              <w:right w:val="single" w:color="auto" w:sz="4" w:space="0"/>
            </w:tcBorders>
            <w:noWrap w:val="0"/>
            <w:vAlign w:val="center"/>
          </w:tcPr>
          <w:p w14:paraId="30679540">
            <w:pPr>
              <w:widowControl/>
              <w:jc w:val="center"/>
              <w:rPr>
                <w:rFonts w:hint="eastAsia" w:ascii="宋体" w:hAnsi="宋体" w:eastAsia="宋体" w:cs="宋体"/>
                <w:kern w:val="0"/>
                <w:szCs w:val="21"/>
              </w:rPr>
            </w:pPr>
            <w:r>
              <w:rPr>
                <w:rFonts w:hint="eastAsia" w:ascii="宋体" w:hAnsi="宋体" w:eastAsia="宋体" w:cs="宋体"/>
                <w:kern w:val="0"/>
                <w:szCs w:val="21"/>
              </w:rPr>
              <w:t>9</w:t>
            </w:r>
          </w:p>
        </w:tc>
        <w:tc>
          <w:tcPr>
            <w:tcW w:w="4795" w:type="dxa"/>
            <w:tcBorders>
              <w:top w:val="nil"/>
              <w:left w:val="nil"/>
              <w:bottom w:val="single" w:color="auto" w:sz="4" w:space="0"/>
              <w:right w:val="single" w:color="auto" w:sz="4" w:space="0"/>
            </w:tcBorders>
            <w:noWrap w:val="0"/>
            <w:vAlign w:val="center"/>
          </w:tcPr>
          <w:p w14:paraId="7BF599E3">
            <w:pPr>
              <w:widowControl/>
              <w:jc w:val="center"/>
              <w:rPr>
                <w:rFonts w:hint="eastAsia" w:ascii="宋体" w:hAnsi="宋体" w:eastAsia="宋体" w:cs="宋体"/>
                <w:kern w:val="0"/>
                <w:szCs w:val="21"/>
              </w:rPr>
            </w:pPr>
            <w:r>
              <w:rPr>
                <w:rFonts w:hint="eastAsia" w:ascii="宋体" w:hAnsi="宋体" w:eastAsia="宋体" w:cs="宋体"/>
                <w:kern w:val="0"/>
                <w:szCs w:val="21"/>
              </w:rPr>
              <w:t>微动环监控系统</w:t>
            </w:r>
          </w:p>
        </w:tc>
        <w:tc>
          <w:tcPr>
            <w:tcW w:w="882" w:type="dxa"/>
            <w:tcBorders>
              <w:top w:val="nil"/>
              <w:left w:val="nil"/>
              <w:bottom w:val="single" w:color="auto" w:sz="4" w:space="0"/>
              <w:right w:val="single" w:color="auto" w:sz="4" w:space="0"/>
            </w:tcBorders>
            <w:noWrap w:val="0"/>
            <w:vAlign w:val="center"/>
          </w:tcPr>
          <w:p w14:paraId="67BA48FC">
            <w:pPr>
              <w:widowControl/>
              <w:jc w:val="center"/>
              <w:rPr>
                <w:rFonts w:hint="eastAsia" w:ascii="宋体" w:hAnsi="宋体" w:eastAsia="宋体" w:cs="宋体"/>
                <w:kern w:val="0"/>
                <w:szCs w:val="21"/>
              </w:rPr>
            </w:pPr>
            <w:r>
              <w:rPr>
                <w:rFonts w:hint="eastAsia" w:ascii="宋体" w:hAnsi="宋体" w:eastAsia="宋体" w:cs="宋体"/>
                <w:kern w:val="0"/>
                <w:szCs w:val="21"/>
              </w:rPr>
              <w:t>套</w:t>
            </w:r>
          </w:p>
        </w:tc>
        <w:tc>
          <w:tcPr>
            <w:tcW w:w="1057" w:type="dxa"/>
            <w:tcBorders>
              <w:top w:val="nil"/>
              <w:left w:val="nil"/>
              <w:bottom w:val="single" w:color="auto" w:sz="4" w:space="0"/>
              <w:right w:val="single" w:color="auto" w:sz="4" w:space="0"/>
            </w:tcBorders>
            <w:noWrap w:val="0"/>
            <w:vAlign w:val="center"/>
          </w:tcPr>
          <w:p w14:paraId="7E498B1B">
            <w:pPr>
              <w:widowControl/>
              <w:jc w:val="center"/>
              <w:rPr>
                <w:rFonts w:hint="eastAsia" w:ascii="宋体" w:hAnsi="宋体" w:eastAsia="宋体" w:cs="宋体"/>
                <w:kern w:val="0"/>
                <w:szCs w:val="21"/>
              </w:rPr>
            </w:pPr>
            <w:r>
              <w:rPr>
                <w:rFonts w:hint="eastAsia" w:ascii="宋体" w:hAnsi="宋体" w:eastAsia="宋体" w:cs="宋体"/>
                <w:kern w:val="0"/>
                <w:szCs w:val="21"/>
              </w:rPr>
              <w:t>1</w:t>
            </w:r>
          </w:p>
        </w:tc>
        <w:tc>
          <w:tcPr>
            <w:tcW w:w="1410" w:type="dxa"/>
            <w:tcBorders>
              <w:top w:val="nil"/>
              <w:left w:val="nil"/>
              <w:bottom w:val="single" w:color="auto" w:sz="4" w:space="0"/>
              <w:right w:val="single" w:color="auto" w:sz="4" w:space="0"/>
            </w:tcBorders>
            <w:noWrap w:val="0"/>
            <w:vAlign w:val="center"/>
          </w:tcPr>
          <w:p w14:paraId="63136310">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r w14:paraId="52D14DF9">
        <w:tblPrEx>
          <w:tblCellMar>
            <w:top w:w="0" w:type="dxa"/>
            <w:left w:w="108" w:type="dxa"/>
            <w:bottom w:w="0" w:type="dxa"/>
            <w:right w:w="108" w:type="dxa"/>
          </w:tblCellMar>
        </w:tblPrEx>
        <w:trPr>
          <w:trHeight w:val="313" w:hRule="atLeast"/>
        </w:trPr>
        <w:tc>
          <w:tcPr>
            <w:tcW w:w="1194" w:type="dxa"/>
            <w:tcBorders>
              <w:top w:val="nil"/>
              <w:left w:val="single" w:color="auto" w:sz="4" w:space="0"/>
              <w:bottom w:val="single" w:color="auto" w:sz="4" w:space="0"/>
              <w:right w:val="single" w:color="auto" w:sz="4" w:space="0"/>
            </w:tcBorders>
            <w:noWrap w:val="0"/>
            <w:vAlign w:val="center"/>
          </w:tcPr>
          <w:p w14:paraId="7AA5FF21">
            <w:pPr>
              <w:widowControl/>
              <w:jc w:val="center"/>
              <w:rPr>
                <w:rFonts w:hint="eastAsia" w:ascii="宋体" w:hAnsi="宋体" w:eastAsia="宋体" w:cs="宋体"/>
                <w:kern w:val="0"/>
                <w:szCs w:val="21"/>
              </w:rPr>
            </w:pPr>
            <w:r>
              <w:rPr>
                <w:rFonts w:hint="eastAsia" w:ascii="宋体" w:hAnsi="宋体" w:eastAsia="宋体" w:cs="宋体"/>
                <w:kern w:val="0"/>
                <w:szCs w:val="21"/>
              </w:rPr>
              <w:t>10</w:t>
            </w:r>
          </w:p>
        </w:tc>
        <w:tc>
          <w:tcPr>
            <w:tcW w:w="4795" w:type="dxa"/>
            <w:tcBorders>
              <w:top w:val="nil"/>
              <w:left w:val="nil"/>
              <w:bottom w:val="single" w:color="auto" w:sz="4" w:space="0"/>
              <w:right w:val="single" w:color="auto" w:sz="4" w:space="0"/>
            </w:tcBorders>
            <w:noWrap w:val="0"/>
            <w:vAlign w:val="center"/>
          </w:tcPr>
          <w:p w14:paraId="1B56D184">
            <w:pPr>
              <w:widowControl/>
              <w:jc w:val="center"/>
              <w:rPr>
                <w:rFonts w:hint="eastAsia" w:ascii="宋体" w:hAnsi="宋体" w:eastAsia="宋体" w:cs="宋体"/>
                <w:kern w:val="0"/>
                <w:szCs w:val="21"/>
              </w:rPr>
            </w:pPr>
            <w:r>
              <w:rPr>
                <w:rFonts w:hint="eastAsia" w:ascii="宋体" w:hAnsi="宋体" w:eastAsia="宋体" w:cs="宋体"/>
                <w:kern w:val="0"/>
                <w:szCs w:val="21"/>
              </w:rPr>
              <w:t>安防监控系统</w:t>
            </w:r>
          </w:p>
        </w:tc>
        <w:tc>
          <w:tcPr>
            <w:tcW w:w="882" w:type="dxa"/>
            <w:tcBorders>
              <w:top w:val="nil"/>
              <w:left w:val="nil"/>
              <w:bottom w:val="single" w:color="auto" w:sz="4" w:space="0"/>
              <w:right w:val="single" w:color="auto" w:sz="4" w:space="0"/>
            </w:tcBorders>
            <w:noWrap w:val="0"/>
            <w:vAlign w:val="center"/>
          </w:tcPr>
          <w:p w14:paraId="1957029A">
            <w:pPr>
              <w:widowControl/>
              <w:jc w:val="center"/>
              <w:rPr>
                <w:rFonts w:hint="eastAsia" w:ascii="宋体" w:hAnsi="宋体" w:eastAsia="宋体" w:cs="宋体"/>
                <w:kern w:val="0"/>
                <w:szCs w:val="21"/>
              </w:rPr>
            </w:pPr>
            <w:r>
              <w:rPr>
                <w:rFonts w:hint="eastAsia" w:ascii="宋体" w:hAnsi="宋体" w:eastAsia="宋体" w:cs="宋体"/>
                <w:kern w:val="0"/>
                <w:szCs w:val="21"/>
              </w:rPr>
              <w:t>套</w:t>
            </w:r>
          </w:p>
        </w:tc>
        <w:tc>
          <w:tcPr>
            <w:tcW w:w="1057" w:type="dxa"/>
            <w:tcBorders>
              <w:top w:val="nil"/>
              <w:left w:val="nil"/>
              <w:bottom w:val="single" w:color="auto" w:sz="4" w:space="0"/>
              <w:right w:val="single" w:color="auto" w:sz="4" w:space="0"/>
            </w:tcBorders>
            <w:noWrap w:val="0"/>
            <w:vAlign w:val="center"/>
          </w:tcPr>
          <w:p w14:paraId="782804E5">
            <w:pPr>
              <w:widowControl/>
              <w:jc w:val="center"/>
              <w:rPr>
                <w:rFonts w:hint="eastAsia" w:ascii="宋体" w:hAnsi="宋体" w:eastAsia="宋体" w:cs="宋体"/>
                <w:kern w:val="0"/>
                <w:szCs w:val="21"/>
              </w:rPr>
            </w:pPr>
            <w:r>
              <w:rPr>
                <w:rFonts w:hint="eastAsia" w:ascii="宋体" w:hAnsi="宋体" w:eastAsia="宋体" w:cs="宋体"/>
                <w:kern w:val="0"/>
                <w:szCs w:val="21"/>
              </w:rPr>
              <w:t>1</w:t>
            </w:r>
          </w:p>
        </w:tc>
        <w:tc>
          <w:tcPr>
            <w:tcW w:w="1410" w:type="dxa"/>
            <w:tcBorders>
              <w:top w:val="nil"/>
              <w:left w:val="nil"/>
              <w:bottom w:val="single" w:color="auto" w:sz="4" w:space="0"/>
              <w:right w:val="single" w:color="auto" w:sz="4" w:space="0"/>
            </w:tcBorders>
            <w:noWrap w:val="0"/>
            <w:vAlign w:val="center"/>
          </w:tcPr>
          <w:p w14:paraId="79F2E0BD">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r w14:paraId="7EC771B7">
        <w:tblPrEx>
          <w:tblCellMar>
            <w:top w:w="0" w:type="dxa"/>
            <w:left w:w="108" w:type="dxa"/>
            <w:bottom w:w="0" w:type="dxa"/>
            <w:right w:w="108" w:type="dxa"/>
          </w:tblCellMar>
        </w:tblPrEx>
        <w:trPr>
          <w:trHeight w:val="313" w:hRule="atLeast"/>
        </w:trPr>
        <w:tc>
          <w:tcPr>
            <w:tcW w:w="1194" w:type="dxa"/>
            <w:tcBorders>
              <w:top w:val="nil"/>
              <w:left w:val="single" w:color="auto" w:sz="4" w:space="0"/>
              <w:bottom w:val="single" w:color="auto" w:sz="4" w:space="0"/>
              <w:right w:val="single" w:color="auto" w:sz="4" w:space="0"/>
            </w:tcBorders>
            <w:noWrap w:val="0"/>
            <w:vAlign w:val="center"/>
          </w:tcPr>
          <w:p w14:paraId="0FD9A3AC">
            <w:pPr>
              <w:widowControl/>
              <w:jc w:val="center"/>
              <w:rPr>
                <w:rFonts w:hint="eastAsia" w:ascii="宋体" w:hAnsi="宋体" w:eastAsia="宋体" w:cs="宋体"/>
                <w:kern w:val="0"/>
                <w:szCs w:val="21"/>
              </w:rPr>
            </w:pPr>
            <w:r>
              <w:rPr>
                <w:rFonts w:hint="eastAsia" w:ascii="宋体" w:hAnsi="宋体" w:eastAsia="宋体" w:cs="宋体"/>
                <w:kern w:val="0"/>
                <w:szCs w:val="21"/>
              </w:rPr>
              <w:t>11</w:t>
            </w:r>
          </w:p>
        </w:tc>
        <w:tc>
          <w:tcPr>
            <w:tcW w:w="4795" w:type="dxa"/>
            <w:tcBorders>
              <w:top w:val="nil"/>
              <w:left w:val="nil"/>
              <w:bottom w:val="single" w:color="auto" w:sz="4" w:space="0"/>
              <w:right w:val="single" w:color="auto" w:sz="4" w:space="0"/>
            </w:tcBorders>
            <w:noWrap w:val="0"/>
            <w:vAlign w:val="center"/>
          </w:tcPr>
          <w:p w14:paraId="2E93FCB5">
            <w:pPr>
              <w:widowControl/>
              <w:jc w:val="center"/>
              <w:rPr>
                <w:rFonts w:hint="eastAsia" w:ascii="宋体" w:hAnsi="宋体" w:eastAsia="宋体" w:cs="宋体"/>
                <w:kern w:val="0"/>
                <w:szCs w:val="21"/>
              </w:rPr>
            </w:pPr>
            <w:r>
              <w:rPr>
                <w:rFonts w:hint="eastAsia" w:ascii="宋体" w:hAnsi="宋体" w:eastAsia="宋体" w:cs="宋体"/>
                <w:kern w:val="0"/>
                <w:szCs w:val="21"/>
              </w:rPr>
              <w:t>市电输入配电柜</w:t>
            </w:r>
          </w:p>
        </w:tc>
        <w:tc>
          <w:tcPr>
            <w:tcW w:w="882" w:type="dxa"/>
            <w:tcBorders>
              <w:top w:val="nil"/>
              <w:left w:val="nil"/>
              <w:bottom w:val="single" w:color="auto" w:sz="4" w:space="0"/>
              <w:right w:val="single" w:color="auto" w:sz="4" w:space="0"/>
            </w:tcBorders>
            <w:noWrap w:val="0"/>
            <w:vAlign w:val="center"/>
          </w:tcPr>
          <w:p w14:paraId="4E597362">
            <w:pPr>
              <w:widowControl/>
              <w:jc w:val="center"/>
              <w:rPr>
                <w:rFonts w:hint="eastAsia" w:ascii="宋体" w:hAnsi="宋体" w:eastAsia="宋体" w:cs="宋体"/>
                <w:kern w:val="0"/>
                <w:szCs w:val="21"/>
              </w:rPr>
            </w:pPr>
            <w:r>
              <w:rPr>
                <w:rFonts w:hint="eastAsia" w:ascii="宋体" w:hAnsi="宋体" w:eastAsia="宋体" w:cs="宋体"/>
                <w:kern w:val="0"/>
                <w:szCs w:val="21"/>
              </w:rPr>
              <w:t>台</w:t>
            </w:r>
          </w:p>
        </w:tc>
        <w:tc>
          <w:tcPr>
            <w:tcW w:w="1057" w:type="dxa"/>
            <w:tcBorders>
              <w:top w:val="nil"/>
              <w:left w:val="nil"/>
              <w:bottom w:val="single" w:color="auto" w:sz="4" w:space="0"/>
              <w:right w:val="single" w:color="auto" w:sz="4" w:space="0"/>
            </w:tcBorders>
            <w:noWrap w:val="0"/>
            <w:vAlign w:val="center"/>
          </w:tcPr>
          <w:p w14:paraId="191E794E">
            <w:pPr>
              <w:widowControl/>
              <w:jc w:val="center"/>
              <w:rPr>
                <w:rFonts w:hint="eastAsia" w:ascii="宋体" w:hAnsi="宋体" w:eastAsia="宋体" w:cs="宋体"/>
                <w:kern w:val="0"/>
                <w:szCs w:val="21"/>
              </w:rPr>
            </w:pPr>
            <w:r>
              <w:rPr>
                <w:rFonts w:hint="eastAsia" w:ascii="宋体" w:hAnsi="宋体" w:eastAsia="宋体" w:cs="宋体"/>
                <w:kern w:val="0"/>
                <w:szCs w:val="21"/>
              </w:rPr>
              <w:t>1</w:t>
            </w:r>
          </w:p>
        </w:tc>
        <w:tc>
          <w:tcPr>
            <w:tcW w:w="1410" w:type="dxa"/>
            <w:tcBorders>
              <w:top w:val="nil"/>
              <w:left w:val="nil"/>
              <w:bottom w:val="single" w:color="auto" w:sz="4" w:space="0"/>
              <w:right w:val="single" w:color="auto" w:sz="4" w:space="0"/>
            </w:tcBorders>
            <w:noWrap w:val="0"/>
            <w:vAlign w:val="center"/>
          </w:tcPr>
          <w:p w14:paraId="59F4325D">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r w14:paraId="7992A80C">
        <w:tblPrEx>
          <w:tblCellMar>
            <w:top w:w="0" w:type="dxa"/>
            <w:left w:w="108" w:type="dxa"/>
            <w:bottom w:w="0" w:type="dxa"/>
            <w:right w:w="108" w:type="dxa"/>
          </w:tblCellMar>
        </w:tblPrEx>
        <w:trPr>
          <w:trHeight w:val="313" w:hRule="atLeast"/>
        </w:trPr>
        <w:tc>
          <w:tcPr>
            <w:tcW w:w="1194" w:type="dxa"/>
            <w:tcBorders>
              <w:top w:val="nil"/>
              <w:left w:val="single" w:color="auto" w:sz="4" w:space="0"/>
              <w:bottom w:val="single" w:color="auto" w:sz="4" w:space="0"/>
              <w:right w:val="single" w:color="auto" w:sz="4" w:space="0"/>
            </w:tcBorders>
            <w:noWrap w:val="0"/>
            <w:vAlign w:val="center"/>
          </w:tcPr>
          <w:p w14:paraId="7D1696F8">
            <w:pPr>
              <w:widowControl/>
              <w:jc w:val="center"/>
              <w:rPr>
                <w:rFonts w:hint="eastAsia" w:ascii="宋体" w:hAnsi="宋体" w:eastAsia="宋体" w:cs="宋体"/>
                <w:kern w:val="0"/>
                <w:szCs w:val="21"/>
              </w:rPr>
            </w:pPr>
            <w:r>
              <w:rPr>
                <w:rFonts w:hint="eastAsia" w:ascii="宋体" w:hAnsi="宋体" w:eastAsia="宋体" w:cs="宋体"/>
                <w:kern w:val="0"/>
                <w:szCs w:val="21"/>
              </w:rPr>
              <w:t>12</w:t>
            </w:r>
          </w:p>
        </w:tc>
        <w:tc>
          <w:tcPr>
            <w:tcW w:w="4795" w:type="dxa"/>
            <w:tcBorders>
              <w:top w:val="nil"/>
              <w:left w:val="nil"/>
              <w:bottom w:val="single" w:color="auto" w:sz="4" w:space="0"/>
              <w:right w:val="single" w:color="auto" w:sz="4" w:space="0"/>
            </w:tcBorders>
            <w:noWrap w:val="0"/>
            <w:vAlign w:val="center"/>
          </w:tcPr>
          <w:p w14:paraId="4C4616EB">
            <w:pPr>
              <w:widowControl/>
              <w:jc w:val="center"/>
              <w:rPr>
                <w:rFonts w:hint="eastAsia" w:ascii="宋体" w:hAnsi="宋体" w:eastAsia="宋体" w:cs="宋体"/>
                <w:kern w:val="0"/>
                <w:szCs w:val="21"/>
              </w:rPr>
            </w:pPr>
            <w:r>
              <w:rPr>
                <w:rFonts w:hint="eastAsia" w:ascii="宋体" w:hAnsi="宋体" w:eastAsia="宋体" w:cs="宋体"/>
                <w:kern w:val="0"/>
                <w:szCs w:val="21"/>
              </w:rPr>
              <w:t>UPSA输出配电柜</w:t>
            </w:r>
          </w:p>
        </w:tc>
        <w:tc>
          <w:tcPr>
            <w:tcW w:w="882" w:type="dxa"/>
            <w:tcBorders>
              <w:top w:val="nil"/>
              <w:left w:val="nil"/>
              <w:bottom w:val="single" w:color="auto" w:sz="4" w:space="0"/>
              <w:right w:val="single" w:color="auto" w:sz="4" w:space="0"/>
            </w:tcBorders>
            <w:noWrap w:val="0"/>
            <w:vAlign w:val="center"/>
          </w:tcPr>
          <w:p w14:paraId="33DBDB59">
            <w:pPr>
              <w:widowControl/>
              <w:jc w:val="center"/>
              <w:rPr>
                <w:rFonts w:hint="eastAsia" w:ascii="宋体" w:hAnsi="宋体" w:eastAsia="宋体" w:cs="宋体"/>
                <w:kern w:val="0"/>
                <w:szCs w:val="21"/>
              </w:rPr>
            </w:pPr>
            <w:r>
              <w:rPr>
                <w:rFonts w:hint="eastAsia" w:ascii="宋体" w:hAnsi="宋体" w:eastAsia="宋体" w:cs="宋体"/>
                <w:kern w:val="0"/>
                <w:szCs w:val="21"/>
              </w:rPr>
              <w:t>台</w:t>
            </w:r>
          </w:p>
        </w:tc>
        <w:tc>
          <w:tcPr>
            <w:tcW w:w="1057" w:type="dxa"/>
            <w:tcBorders>
              <w:top w:val="nil"/>
              <w:left w:val="nil"/>
              <w:bottom w:val="single" w:color="auto" w:sz="4" w:space="0"/>
              <w:right w:val="single" w:color="auto" w:sz="4" w:space="0"/>
            </w:tcBorders>
            <w:noWrap w:val="0"/>
            <w:vAlign w:val="center"/>
          </w:tcPr>
          <w:p w14:paraId="0EF26180">
            <w:pPr>
              <w:widowControl/>
              <w:jc w:val="center"/>
              <w:rPr>
                <w:rFonts w:hint="eastAsia" w:ascii="宋体" w:hAnsi="宋体" w:eastAsia="宋体" w:cs="宋体"/>
                <w:kern w:val="0"/>
                <w:szCs w:val="21"/>
              </w:rPr>
            </w:pPr>
            <w:r>
              <w:rPr>
                <w:rFonts w:hint="eastAsia" w:ascii="宋体" w:hAnsi="宋体" w:eastAsia="宋体" w:cs="宋体"/>
                <w:kern w:val="0"/>
                <w:szCs w:val="21"/>
              </w:rPr>
              <w:t>1</w:t>
            </w:r>
          </w:p>
        </w:tc>
        <w:tc>
          <w:tcPr>
            <w:tcW w:w="1410" w:type="dxa"/>
            <w:tcBorders>
              <w:top w:val="nil"/>
              <w:left w:val="nil"/>
              <w:bottom w:val="single" w:color="auto" w:sz="4" w:space="0"/>
              <w:right w:val="single" w:color="auto" w:sz="4" w:space="0"/>
            </w:tcBorders>
            <w:noWrap w:val="0"/>
            <w:vAlign w:val="center"/>
          </w:tcPr>
          <w:p w14:paraId="3BB2E6A5">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r w14:paraId="02B748C0">
        <w:tblPrEx>
          <w:tblCellMar>
            <w:top w:w="0" w:type="dxa"/>
            <w:left w:w="108" w:type="dxa"/>
            <w:bottom w:w="0" w:type="dxa"/>
            <w:right w:w="108" w:type="dxa"/>
          </w:tblCellMar>
        </w:tblPrEx>
        <w:trPr>
          <w:trHeight w:val="313" w:hRule="atLeast"/>
        </w:trPr>
        <w:tc>
          <w:tcPr>
            <w:tcW w:w="1194" w:type="dxa"/>
            <w:tcBorders>
              <w:top w:val="nil"/>
              <w:left w:val="single" w:color="auto" w:sz="4" w:space="0"/>
              <w:bottom w:val="single" w:color="auto" w:sz="4" w:space="0"/>
              <w:right w:val="single" w:color="auto" w:sz="4" w:space="0"/>
            </w:tcBorders>
            <w:noWrap w:val="0"/>
            <w:vAlign w:val="center"/>
          </w:tcPr>
          <w:p w14:paraId="3444DA98">
            <w:pPr>
              <w:widowControl/>
              <w:jc w:val="center"/>
              <w:rPr>
                <w:rFonts w:hint="eastAsia" w:ascii="宋体" w:hAnsi="宋体" w:eastAsia="宋体" w:cs="宋体"/>
                <w:kern w:val="0"/>
                <w:szCs w:val="21"/>
              </w:rPr>
            </w:pPr>
            <w:r>
              <w:rPr>
                <w:rFonts w:hint="eastAsia" w:ascii="宋体" w:hAnsi="宋体" w:eastAsia="宋体" w:cs="宋体"/>
                <w:kern w:val="0"/>
                <w:szCs w:val="21"/>
              </w:rPr>
              <w:t>13</w:t>
            </w:r>
          </w:p>
        </w:tc>
        <w:tc>
          <w:tcPr>
            <w:tcW w:w="4795" w:type="dxa"/>
            <w:tcBorders>
              <w:top w:val="nil"/>
              <w:left w:val="nil"/>
              <w:bottom w:val="single" w:color="auto" w:sz="4" w:space="0"/>
              <w:right w:val="single" w:color="auto" w:sz="4" w:space="0"/>
            </w:tcBorders>
            <w:noWrap w:val="0"/>
            <w:vAlign w:val="center"/>
          </w:tcPr>
          <w:p w14:paraId="13D23FAC">
            <w:pPr>
              <w:widowControl/>
              <w:jc w:val="center"/>
              <w:rPr>
                <w:rFonts w:hint="eastAsia" w:ascii="宋体" w:hAnsi="宋体" w:eastAsia="宋体" w:cs="宋体"/>
                <w:kern w:val="0"/>
                <w:szCs w:val="21"/>
              </w:rPr>
            </w:pPr>
            <w:r>
              <w:rPr>
                <w:rFonts w:hint="eastAsia" w:ascii="宋体" w:hAnsi="宋体" w:eastAsia="宋体" w:cs="宋体"/>
                <w:kern w:val="0"/>
                <w:szCs w:val="21"/>
              </w:rPr>
              <w:t>UPSB输出配电柜</w:t>
            </w:r>
          </w:p>
        </w:tc>
        <w:tc>
          <w:tcPr>
            <w:tcW w:w="882" w:type="dxa"/>
            <w:tcBorders>
              <w:top w:val="nil"/>
              <w:left w:val="nil"/>
              <w:bottom w:val="single" w:color="auto" w:sz="4" w:space="0"/>
              <w:right w:val="single" w:color="auto" w:sz="4" w:space="0"/>
            </w:tcBorders>
            <w:noWrap w:val="0"/>
            <w:vAlign w:val="center"/>
          </w:tcPr>
          <w:p w14:paraId="59202835">
            <w:pPr>
              <w:widowControl/>
              <w:jc w:val="center"/>
              <w:rPr>
                <w:rFonts w:hint="eastAsia" w:ascii="宋体" w:hAnsi="宋体" w:eastAsia="宋体" w:cs="宋体"/>
                <w:kern w:val="0"/>
                <w:szCs w:val="21"/>
              </w:rPr>
            </w:pPr>
            <w:r>
              <w:rPr>
                <w:rFonts w:hint="eastAsia" w:ascii="宋体" w:hAnsi="宋体" w:eastAsia="宋体" w:cs="宋体"/>
                <w:kern w:val="0"/>
                <w:szCs w:val="21"/>
              </w:rPr>
              <w:t>台</w:t>
            </w:r>
          </w:p>
        </w:tc>
        <w:tc>
          <w:tcPr>
            <w:tcW w:w="1057" w:type="dxa"/>
            <w:tcBorders>
              <w:top w:val="nil"/>
              <w:left w:val="nil"/>
              <w:bottom w:val="single" w:color="auto" w:sz="4" w:space="0"/>
              <w:right w:val="single" w:color="auto" w:sz="4" w:space="0"/>
            </w:tcBorders>
            <w:noWrap w:val="0"/>
            <w:vAlign w:val="center"/>
          </w:tcPr>
          <w:p w14:paraId="287362BA">
            <w:pPr>
              <w:widowControl/>
              <w:jc w:val="center"/>
              <w:rPr>
                <w:rFonts w:hint="eastAsia" w:ascii="宋体" w:hAnsi="宋体" w:eastAsia="宋体" w:cs="宋体"/>
                <w:kern w:val="0"/>
                <w:szCs w:val="21"/>
              </w:rPr>
            </w:pPr>
            <w:r>
              <w:rPr>
                <w:rFonts w:hint="eastAsia" w:ascii="宋体" w:hAnsi="宋体" w:eastAsia="宋体" w:cs="宋体"/>
                <w:kern w:val="0"/>
                <w:szCs w:val="21"/>
              </w:rPr>
              <w:t>1</w:t>
            </w:r>
          </w:p>
        </w:tc>
        <w:tc>
          <w:tcPr>
            <w:tcW w:w="1410" w:type="dxa"/>
            <w:tcBorders>
              <w:top w:val="nil"/>
              <w:left w:val="nil"/>
              <w:bottom w:val="single" w:color="auto" w:sz="4" w:space="0"/>
              <w:right w:val="single" w:color="auto" w:sz="4" w:space="0"/>
            </w:tcBorders>
            <w:noWrap w:val="0"/>
            <w:vAlign w:val="center"/>
          </w:tcPr>
          <w:p w14:paraId="3244EF77">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r w14:paraId="2FCA7639">
        <w:tblPrEx>
          <w:tblCellMar>
            <w:top w:w="0" w:type="dxa"/>
            <w:left w:w="108" w:type="dxa"/>
            <w:bottom w:w="0" w:type="dxa"/>
            <w:right w:w="108" w:type="dxa"/>
          </w:tblCellMar>
        </w:tblPrEx>
        <w:trPr>
          <w:trHeight w:val="313" w:hRule="atLeast"/>
        </w:trPr>
        <w:tc>
          <w:tcPr>
            <w:tcW w:w="1194" w:type="dxa"/>
            <w:tcBorders>
              <w:top w:val="nil"/>
              <w:left w:val="single" w:color="auto" w:sz="4" w:space="0"/>
              <w:bottom w:val="single" w:color="auto" w:sz="4" w:space="0"/>
              <w:right w:val="single" w:color="auto" w:sz="4" w:space="0"/>
            </w:tcBorders>
            <w:noWrap w:val="0"/>
            <w:vAlign w:val="center"/>
          </w:tcPr>
          <w:p w14:paraId="10CF1502">
            <w:pPr>
              <w:widowControl/>
              <w:jc w:val="center"/>
              <w:rPr>
                <w:rFonts w:hint="eastAsia" w:ascii="宋体" w:hAnsi="宋体" w:eastAsia="宋体" w:cs="宋体"/>
                <w:kern w:val="0"/>
                <w:szCs w:val="21"/>
              </w:rPr>
            </w:pPr>
            <w:r>
              <w:rPr>
                <w:rFonts w:hint="eastAsia" w:ascii="宋体" w:hAnsi="宋体" w:eastAsia="宋体" w:cs="宋体"/>
                <w:kern w:val="0"/>
                <w:szCs w:val="21"/>
              </w:rPr>
              <w:t>14</w:t>
            </w:r>
          </w:p>
        </w:tc>
        <w:tc>
          <w:tcPr>
            <w:tcW w:w="4795" w:type="dxa"/>
            <w:tcBorders>
              <w:top w:val="nil"/>
              <w:left w:val="nil"/>
              <w:bottom w:val="single" w:color="auto" w:sz="4" w:space="0"/>
              <w:right w:val="single" w:color="auto" w:sz="4" w:space="0"/>
            </w:tcBorders>
            <w:noWrap w:val="0"/>
            <w:vAlign w:val="center"/>
          </w:tcPr>
          <w:p w14:paraId="7005ED8D">
            <w:pPr>
              <w:widowControl/>
              <w:jc w:val="center"/>
              <w:rPr>
                <w:rFonts w:hint="eastAsia" w:ascii="宋体" w:hAnsi="宋体" w:eastAsia="宋体" w:cs="宋体"/>
                <w:kern w:val="0"/>
                <w:szCs w:val="21"/>
              </w:rPr>
            </w:pPr>
            <w:r>
              <w:rPr>
                <w:rFonts w:hint="eastAsia" w:ascii="宋体" w:hAnsi="宋体" w:eastAsia="宋体" w:cs="宋体"/>
                <w:kern w:val="0"/>
                <w:szCs w:val="21"/>
              </w:rPr>
              <w:t>动力配电柜</w:t>
            </w:r>
          </w:p>
        </w:tc>
        <w:tc>
          <w:tcPr>
            <w:tcW w:w="882" w:type="dxa"/>
            <w:tcBorders>
              <w:top w:val="nil"/>
              <w:left w:val="nil"/>
              <w:bottom w:val="single" w:color="auto" w:sz="4" w:space="0"/>
              <w:right w:val="single" w:color="auto" w:sz="4" w:space="0"/>
            </w:tcBorders>
            <w:noWrap w:val="0"/>
            <w:vAlign w:val="center"/>
          </w:tcPr>
          <w:p w14:paraId="075FB0FC">
            <w:pPr>
              <w:widowControl/>
              <w:jc w:val="center"/>
              <w:rPr>
                <w:rFonts w:hint="eastAsia" w:ascii="宋体" w:hAnsi="宋体" w:eastAsia="宋体" w:cs="宋体"/>
                <w:kern w:val="0"/>
                <w:szCs w:val="21"/>
              </w:rPr>
            </w:pPr>
            <w:r>
              <w:rPr>
                <w:rFonts w:hint="eastAsia" w:ascii="宋体" w:hAnsi="宋体" w:eastAsia="宋体" w:cs="宋体"/>
                <w:kern w:val="0"/>
                <w:szCs w:val="21"/>
              </w:rPr>
              <w:t>台</w:t>
            </w:r>
          </w:p>
        </w:tc>
        <w:tc>
          <w:tcPr>
            <w:tcW w:w="1057" w:type="dxa"/>
            <w:tcBorders>
              <w:top w:val="nil"/>
              <w:left w:val="nil"/>
              <w:bottom w:val="single" w:color="auto" w:sz="4" w:space="0"/>
              <w:right w:val="single" w:color="auto" w:sz="4" w:space="0"/>
            </w:tcBorders>
            <w:noWrap w:val="0"/>
            <w:vAlign w:val="center"/>
          </w:tcPr>
          <w:p w14:paraId="27ABBB30">
            <w:pPr>
              <w:widowControl/>
              <w:jc w:val="center"/>
              <w:rPr>
                <w:rFonts w:hint="eastAsia" w:ascii="宋体" w:hAnsi="宋体" w:eastAsia="宋体" w:cs="宋体"/>
                <w:kern w:val="0"/>
                <w:szCs w:val="21"/>
              </w:rPr>
            </w:pPr>
            <w:r>
              <w:rPr>
                <w:rFonts w:hint="eastAsia" w:ascii="宋体" w:hAnsi="宋体" w:eastAsia="宋体" w:cs="宋体"/>
                <w:kern w:val="0"/>
                <w:szCs w:val="21"/>
              </w:rPr>
              <w:t>1</w:t>
            </w:r>
          </w:p>
        </w:tc>
        <w:tc>
          <w:tcPr>
            <w:tcW w:w="1410" w:type="dxa"/>
            <w:tcBorders>
              <w:top w:val="nil"/>
              <w:left w:val="nil"/>
              <w:bottom w:val="single" w:color="auto" w:sz="4" w:space="0"/>
              <w:right w:val="single" w:color="auto" w:sz="4" w:space="0"/>
            </w:tcBorders>
            <w:noWrap w:val="0"/>
            <w:vAlign w:val="center"/>
          </w:tcPr>
          <w:p w14:paraId="3BF889C3">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r w14:paraId="433797AD">
        <w:tblPrEx>
          <w:tblCellMar>
            <w:top w:w="0" w:type="dxa"/>
            <w:left w:w="108" w:type="dxa"/>
            <w:bottom w:w="0" w:type="dxa"/>
            <w:right w:w="108" w:type="dxa"/>
          </w:tblCellMar>
        </w:tblPrEx>
        <w:trPr>
          <w:trHeight w:val="313" w:hRule="atLeast"/>
        </w:trPr>
        <w:tc>
          <w:tcPr>
            <w:tcW w:w="1194" w:type="dxa"/>
            <w:tcBorders>
              <w:top w:val="nil"/>
              <w:left w:val="single" w:color="auto" w:sz="4" w:space="0"/>
              <w:bottom w:val="single" w:color="auto" w:sz="4" w:space="0"/>
              <w:right w:val="single" w:color="auto" w:sz="4" w:space="0"/>
            </w:tcBorders>
            <w:noWrap w:val="0"/>
            <w:vAlign w:val="center"/>
          </w:tcPr>
          <w:p w14:paraId="707FB9CC">
            <w:pPr>
              <w:widowControl/>
              <w:jc w:val="center"/>
              <w:rPr>
                <w:rFonts w:hint="eastAsia" w:ascii="宋体" w:hAnsi="宋体" w:eastAsia="宋体" w:cs="宋体"/>
                <w:kern w:val="0"/>
                <w:szCs w:val="21"/>
              </w:rPr>
            </w:pPr>
            <w:r>
              <w:rPr>
                <w:rFonts w:hint="eastAsia" w:ascii="宋体" w:hAnsi="宋体" w:eastAsia="宋体" w:cs="宋体"/>
                <w:kern w:val="0"/>
                <w:szCs w:val="21"/>
              </w:rPr>
              <w:t>15</w:t>
            </w:r>
          </w:p>
        </w:tc>
        <w:tc>
          <w:tcPr>
            <w:tcW w:w="4795" w:type="dxa"/>
            <w:tcBorders>
              <w:top w:val="nil"/>
              <w:left w:val="nil"/>
              <w:bottom w:val="single" w:color="auto" w:sz="4" w:space="0"/>
              <w:right w:val="single" w:color="auto" w:sz="4" w:space="0"/>
            </w:tcBorders>
            <w:noWrap w:val="0"/>
            <w:vAlign w:val="center"/>
          </w:tcPr>
          <w:p w14:paraId="04B39221">
            <w:pPr>
              <w:widowControl/>
              <w:jc w:val="center"/>
              <w:rPr>
                <w:rFonts w:hint="eastAsia" w:ascii="宋体" w:hAnsi="宋体" w:eastAsia="宋体" w:cs="宋体"/>
                <w:kern w:val="0"/>
                <w:szCs w:val="21"/>
              </w:rPr>
            </w:pPr>
            <w:r>
              <w:rPr>
                <w:rFonts w:hint="eastAsia" w:ascii="宋体" w:hAnsi="宋体" w:eastAsia="宋体" w:cs="宋体"/>
                <w:kern w:val="0"/>
                <w:szCs w:val="21"/>
              </w:rPr>
              <w:t>智算精密列头柜</w:t>
            </w:r>
          </w:p>
        </w:tc>
        <w:tc>
          <w:tcPr>
            <w:tcW w:w="882" w:type="dxa"/>
            <w:tcBorders>
              <w:top w:val="nil"/>
              <w:left w:val="nil"/>
              <w:bottom w:val="single" w:color="auto" w:sz="4" w:space="0"/>
              <w:right w:val="single" w:color="auto" w:sz="4" w:space="0"/>
            </w:tcBorders>
            <w:noWrap w:val="0"/>
            <w:vAlign w:val="center"/>
          </w:tcPr>
          <w:p w14:paraId="0853E442">
            <w:pPr>
              <w:widowControl/>
              <w:jc w:val="center"/>
              <w:rPr>
                <w:rFonts w:hint="eastAsia" w:ascii="宋体" w:hAnsi="宋体" w:eastAsia="宋体" w:cs="宋体"/>
                <w:kern w:val="0"/>
                <w:szCs w:val="21"/>
              </w:rPr>
            </w:pPr>
            <w:r>
              <w:rPr>
                <w:rFonts w:hint="eastAsia" w:ascii="宋体" w:hAnsi="宋体" w:eastAsia="宋体" w:cs="宋体"/>
                <w:kern w:val="0"/>
                <w:szCs w:val="21"/>
              </w:rPr>
              <w:t>台</w:t>
            </w:r>
          </w:p>
        </w:tc>
        <w:tc>
          <w:tcPr>
            <w:tcW w:w="1057" w:type="dxa"/>
            <w:tcBorders>
              <w:top w:val="nil"/>
              <w:left w:val="nil"/>
              <w:bottom w:val="single" w:color="auto" w:sz="4" w:space="0"/>
              <w:right w:val="single" w:color="auto" w:sz="4" w:space="0"/>
            </w:tcBorders>
            <w:noWrap w:val="0"/>
            <w:vAlign w:val="center"/>
          </w:tcPr>
          <w:p w14:paraId="61A8CD59">
            <w:pPr>
              <w:widowControl/>
              <w:jc w:val="center"/>
              <w:rPr>
                <w:rFonts w:hint="eastAsia" w:ascii="宋体" w:hAnsi="宋体" w:eastAsia="宋体" w:cs="宋体"/>
                <w:kern w:val="0"/>
                <w:szCs w:val="21"/>
              </w:rPr>
            </w:pPr>
            <w:r>
              <w:rPr>
                <w:rFonts w:hint="eastAsia" w:ascii="宋体" w:hAnsi="宋体" w:eastAsia="宋体" w:cs="宋体"/>
                <w:kern w:val="0"/>
                <w:szCs w:val="21"/>
              </w:rPr>
              <w:t>1</w:t>
            </w:r>
          </w:p>
        </w:tc>
        <w:tc>
          <w:tcPr>
            <w:tcW w:w="1410" w:type="dxa"/>
            <w:tcBorders>
              <w:top w:val="nil"/>
              <w:left w:val="nil"/>
              <w:bottom w:val="single" w:color="auto" w:sz="4" w:space="0"/>
              <w:right w:val="single" w:color="auto" w:sz="4" w:space="0"/>
            </w:tcBorders>
            <w:noWrap w:val="0"/>
            <w:vAlign w:val="center"/>
          </w:tcPr>
          <w:p w14:paraId="75BE6C45">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r w14:paraId="727CC1EB">
        <w:tblPrEx>
          <w:tblCellMar>
            <w:top w:w="0" w:type="dxa"/>
            <w:left w:w="108" w:type="dxa"/>
            <w:bottom w:w="0" w:type="dxa"/>
            <w:right w:w="108" w:type="dxa"/>
          </w:tblCellMar>
        </w:tblPrEx>
        <w:trPr>
          <w:trHeight w:val="313" w:hRule="atLeast"/>
        </w:trPr>
        <w:tc>
          <w:tcPr>
            <w:tcW w:w="1194" w:type="dxa"/>
            <w:tcBorders>
              <w:top w:val="nil"/>
              <w:left w:val="single" w:color="auto" w:sz="4" w:space="0"/>
              <w:bottom w:val="single" w:color="auto" w:sz="4" w:space="0"/>
              <w:right w:val="single" w:color="auto" w:sz="4" w:space="0"/>
            </w:tcBorders>
            <w:noWrap w:val="0"/>
            <w:vAlign w:val="center"/>
          </w:tcPr>
          <w:p w14:paraId="363D9C63">
            <w:pPr>
              <w:widowControl/>
              <w:jc w:val="center"/>
              <w:rPr>
                <w:rFonts w:hint="eastAsia" w:ascii="宋体" w:hAnsi="宋体" w:eastAsia="宋体" w:cs="宋体"/>
                <w:kern w:val="0"/>
                <w:szCs w:val="21"/>
              </w:rPr>
            </w:pPr>
            <w:r>
              <w:rPr>
                <w:rFonts w:hint="eastAsia" w:ascii="宋体" w:hAnsi="宋体" w:eastAsia="宋体" w:cs="宋体"/>
                <w:kern w:val="0"/>
                <w:szCs w:val="21"/>
              </w:rPr>
              <w:t>16</w:t>
            </w:r>
          </w:p>
        </w:tc>
        <w:tc>
          <w:tcPr>
            <w:tcW w:w="4795" w:type="dxa"/>
            <w:tcBorders>
              <w:top w:val="nil"/>
              <w:left w:val="nil"/>
              <w:bottom w:val="single" w:color="auto" w:sz="4" w:space="0"/>
              <w:right w:val="single" w:color="auto" w:sz="4" w:space="0"/>
            </w:tcBorders>
            <w:noWrap w:val="0"/>
            <w:vAlign w:val="center"/>
          </w:tcPr>
          <w:p w14:paraId="0FDFD502">
            <w:pPr>
              <w:widowControl/>
              <w:jc w:val="center"/>
              <w:rPr>
                <w:rFonts w:hint="eastAsia" w:ascii="宋体" w:hAnsi="宋体" w:eastAsia="宋体" w:cs="宋体"/>
                <w:kern w:val="0"/>
                <w:szCs w:val="21"/>
              </w:rPr>
            </w:pPr>
            <w:r>
              <w:rPr>
                <w:rFonts w:hint="eastAsia" w:ascii="宋体" w:hAnsi="宋体" w:eastAsia="宋体" w:cs="宋体"/>
                <w:kern w:val="0"/>
                <w:szCs w:val="21"/>
              </w:rPr>
              <w:t>IT设备主输入电缆</w:t>
            </w:r>
          </w:p>
        </w:tc>
        <w:tc>
          <w:tcPr>
            <w:tcW w:w="882" w:type="dxa"/>
            <w:tcBorders>
              <w:top w:val="nil"/>
              <w:left w:val="nil"/>
              <w:bottom w:val="single" w:color="auto" w:sz="4" w:space="0"/>
              <w:right w:val="single" w:color="auto" w:sz="4" w:space="0"/>
            </w:tcBorders>
            <w:noWrap w:val="0"/>
            <w:vAlign w:val="center"/>
          </w:tcPr>
          <w:p w14:paraId="71C17F53">
            <w:pPr>
              <w:widowControl/>
              <w:jc w:val="center"/>
              <w:rPr>
                <w:rFonts w:hint="eastAsia" w:ascii="宋体" w:hAnsi="宋体" w:eastAsia="宋体" w:cs="宋体"/>
                <w:kern w:val="0"/>
                <w:szCs w:val="21"/>
              </w:rPr>
            </w:pPr>
            <w:r>
              <w:rPr>
                <w:rFonts w:hint="eastAsia" w:ascii="宋体" w:hAnsi="宋体" w:eastAsia="宋体" w:cs="宋体"/>
                <w:kern w:val="0"/>
                <w:szCs w:val="21"/>
              </w:rPr>
              <w:t>米</w:t>
            </w:r>
          </w:p>
        </w:tc>
        <w:tc>
          <w:tcPr>
            <w:tcW w:w="1057" w:type="dxa"/>
            <w:tcBorders>
              <w:top w:val="nil"/>
              <w:left w:val="nil"/>
              <w:bottom w:val="single" w:color="auto" w:sz="4" w:space="0"/>
              <w:right w:val="single" w:color="auto" w:sz="4" w:space="0"/>
            </w:tcBorders>
            <w:noWrap w:val="0"/>
            <w:vAlign w:val="center"/>
          </w:tcPr>
          <w:p w14:paraId="27A1C4FE">
            <w:pPr>
              <w:widowControl/>
              <w:jc w:val="center"/>
              <w:rPr>
                <w:rFonts w:hint="eastAsia" w:ascii="宋体" w:hAnsi="宋体" w:eastAsia="宋体" w:cs="宋体"/>
                <w:kern w:val="0"/>
                <w:szCs w:val="21"/>
              </w:rPr>
            </w:pPr>
            <w:r>
              <w:rPr>
                <w:rFonts w:hint="eastAsia" w:ascii="宋体" w:hAnsi="宋体" w:eastAsia="宋体" w:cs="宋体"/>
                <w:kern w:val="0"/>
                <w:szCs w:val="21"/>
              </w:rPr>
              <w:t>610</w:t>
            </w:r>
          </w:p>
        </w:tc>
        <w:tc>
          <w:tcPr>
            <w:tcW w:w="1410" w:type="dxa"/>
            <w:tcBorders>
              <w:top w:val="nil"/>
              <w:left w:val="nil"/>
              <w:bottom w:val="single" w:color="auto" w:sz="4" w:space="0"/>
              <w:right w:val="single" w:color="auto" w:sz="4" w:space="0"/>
            </w:tcBorders>
            <w:noWrap w:val="0"/>
            <w:vAlign w:val="center"/>
          </w:tcPr>
          <w:p w14:paraId="710E4013">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r w14:paraId="04EEF475">
        <w:tblPrEx>
          <w:tblCellMar>
            <w:top w:w="0" w:type="dxa"/>
            <w:left w:w="108" w:type="dxa"/>
            <w:bottom w:w="0" w:type="dxa"/>
            <w:right w:w="108" w:type="dxa"/>
          </w:tblCellMar>
        </w:tblPrEx>
        <w:trPr>
          <w:trHeight w:val="313" w:hRule="atLeast"/>
        </w:trPr>
        <w:tc>
          <w:tcPr>
            <w:tcW w:w="1194" w:type="dxa"/>
            <w:tcBorders>
              <w:top w:val="nil"/>
              <w:left w:val="single" w:color="auto" w:sz="4" w:space="0"/>
              <w:bottom w:val="single" w:color="auto" w:sz="4" w:space="0"/>
              <w:right w:val="single" w:color="auto" w:sz="4" w:space="0"/>
            </w:tcBorders>
            <w:noWrap w:val="0"/>
            <w:vAlign w:val="center"/>
          </w:tcPr>
          <w:p w14:paraId="044A29DE">
            <w:pPr>
              <w:widowControl/>
              <w:jc w:val="center"/>
              <w:rPr>
                <w:rFonts w:hint="eastAsia" w:ascii="宋体" w:hAnsi="宋体" w:eastAsia="宋体" w:cs="宋体"/>
                <w:kern w:val="0"/>
                <w:szCs w:val="21"/>
              </w:rPr>
            </w:pPr>
            <w:r>
              <w:rPr>
                <w:rFonts w:hint="eastAsia" w:ascii="宋体" w:hAnsi="宋体" w:eastAsia="宋体" w:cs="宋体"/>
                <w:kern w:val="0"/>
                <w:szCs w:val="21"/>
              </w:rPr>
              <w:t>17</w:t>
            </w:r>
          </w:p>
        </w:tc>
        <w:tc>
          <w:tcPr>
            <w:tcW w:w="4795" w:type="dxa"/>
            <w:tcBorders>
              <w:top w:val="nil"/>
              <w:left w:val="nil"/>
              <w:bottom w:val="single" w:color="auto" w:sz="4" w:space="0"/>
              <w:right w:val="single" w:color="auto" w:sz="4" w:space="0"/>
            </w:tcBorders>
            <w:noWrap w:val="0"/>
            <w:vAlign w:val="center"/>
          </w:tcPr>
          <w:p w14:paraId="61195802">
            <w:pPr>
              <w:widowControl/>
              <w:jc w:val="center"/>
              <w:rPr>
                <w:rFonts w:hint="eastAsia" w:ascii="宋体" w:hAnsi="宋体" w:eastAsia="宋体" w:cs="宋体"/>
                <w:kern w:val="0"/>
                <w:szCs w:val="21"/>
              </w:rPr>
            </w:pPr>
            <w:r>
              <w:rPr>
                <w:rFonts w:hint="eastAsia" w:ascii="宋体" w:hAnsi="宋体" w:eastAsia="宋体" w:cs="宋体"/>
                <w:kern w:val="0"/>
                <w:szCs w:val="21"/>
              </w:rPr>
              <w:t>动力设备主输入电缆</w:t>
            </w:r>
          </w:p>
        </w:tc>
        <w:tc>
          <w:tcPr>
            <w:tcW w:w="882" w:type="dxa"/>
            <w:tcBorders>
              <w:top w:val="nil"/>
              <w:left w:val="nil"/>
              <w:bottom w:val="single" w:color="auto" w:sz="4" w:space="0"/>
              <w:right w:val="single" w:color="auto" w:sz="4" w:space="0"/>
            </w:tcBorders>
            <w:noWrap w:val="0"/>
            <w:vAlign w:val="center"/>
          </w:tcPr>
          <w:p w14:paraId="45F19C2C">
            <w:pPr>
              <w:widowControl/>
              <w:jc w:val="center"/>
              <w:rPr>
                <w:rFonts w:hint="eastAsia" w:ascii="宋体" w:hAnsi="宋体" w:eastAsia="宋体" w:cs="宋体"/>
                <w:kern w:val="0"/>
                <w:szCs w:val="21"/>
              </w:rPr>
            </w:pPr>
            <w:r>
              <w:rPr>
                <w:rFonts w:hint="eastAsia" w:ascii="宋体" w:hAnsi="宋体" w:eastAsia="宋体" w:cs="宋体"/>
                <w:kern w:val="0"/>
                <w:szCs w:val="21"/>
              </w:rPr>
              <w:t>米</w:t>
            </w:r>
          </w:p>
        </w:tc>
        <w:tc>
          <w:tcPr>
            <w:tcW w:w="1057" w:type="dxa"/>
            <w:tcBorders>
              <w:top w:val="nil"/>
              <w:left w:val="nil"/>
              <w:bottom w:val="single" w:color="auto" w:sz="4" w:space="0"/>
              <w:right w:val="single" w:color="auto" w:sz="4" w:space="0"/>
            </w:tcBorders>
            <w:noWrap w:val="0"/>
            <w:vAlign w:val="center"/>
          </w:tcPr>
          <w:p w14:paraId="1A473F41">
            <w:pPr>
              <w:widowControl/>
              <w:jc w:val="center"/>
              <w:rPr>
                <w:rFonts w:hint="eastAsia" w:ascii="宋体" w:hAnsi="宋体" w:eastAsia="宋体" w:cs="宋体"/>
                <w:kern w:val="0"/>
                <w:szCs w:val="21"/>
              </w:rPr>
            </w:pPr>
            <w:r>
              <w:rPr>
                <w:rFonts w:hint="eastAsia" w:ascii="宋体" w:hAnsi="宋体" w:eastAsia="宋体" w:cs="宋体"/>
                <w:kern w:val="0"/>
                <w:szCs w:val="21"/>
              </w:rPr>
              <w:t>利旧　</w:t>
            </w:r>
          </w:p>
        </w:tc>
        <w:tc>
          <w:tcPr>
            <w:tcW w:w="1410" w:type="dxa"/>
            <w:tcBorders>
              <w:top w:val="nil"/>
              <w:left w:val="nil"/>
              <w:bottom w:val="single" w:color="auto" w:sz="4" w:space="0"/>
              <w:right w:val="single" w:color="auto" w:sz="4" w:space="0"/>
            </w:tcBorders>
            <w:noWrap w:val="0"/>
            <w:vAlign w:val="center"/>
          </w:tcPr>
          <w:p w14:paraId="76B86DCC">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r w14:paraId="3709E547">
        <w:tblPrEx>
          <w:tblCellMar>
            <w:top w:w="0" w:type="dxa"/>
            <w:left w:w="108" w:type="dxa"/>
            <w:bottom w:w="0" w:type="dxa"/>
            <w:right w:w="108" w:type="dxa"/>
          </w:tblCellMar>
        </w:tblPrEx>
        <w:trPr>
          <w:trHeight w:val="313" w:hRule="atLeast"/>
        </w:trPr>
        <w:tc>
          <w:tcPr>
            <w:tcW w:w="1194" w:type="dxa"/>
            <w:tcBorders>
              <w:top w:val="nil"/>
              <w:left w:val="single" w:color="auto" w:sz="4" w:space="0"/>
              <w:bottom w:val="single" w:color="auto" w:sz="4" w:space="0"/>
              <w:right w:val="single" w:color="auto" w:sz="4" w:space="0"/>
            </w:tcBorders>
            <w:noWrap w:val="0"/>
            <w:vAlign w:val="center"/>
          </w:tcPr>
          <w:p w14:paraId="185A32D3">
            <w:pPr>
              <w:widowControl/>
              <w:jc w:val="center"/>
              <w:rPr>
                <w:rFonts w:hint="eastAsia" w:ascii="宋体" w:hAnsi="宋体" w:eastAsia="宋体" w:cs="宋体"/>
                <w:kern w:val="0"/>
                <w:szCs w:val="21"/>
              </w:rPr>
            </w:pPr>
            <w:r>
              <w:rPr>
                <w:rFonts w:hint="eastAsia" w:ascii="宋体" w:hAnsi="宋体" w:eastAsia="宋体" w:cs="宋体"/>
                <w:kern w:val="0"/>
                <w:szCs w:val="21"/>
              </w:rPr>
              <w:t>18</w:t>
            </w:r>
          </w:p>
        </w:tc>
        <w:tc>
          <w:tcPr>
            <w:tcW w:w="4795" w:type="dxa"/>
            <w:tcBorders>
              <w:top w:val="nil"/>
              <w:left w:val="nil"/>
              <w:bottom w:val="single" w:color="auto" w:sz="4" w:space="0"/>
              <w:right w:val="single" w:color="auto" w:sz="4" w:space="0"/>
            </w:tcBorders>
            <w:noWrap w:val="0"/>
            <w:vAlign w:val="center"/>
          </w:tcPr>
          <w:p w14:paraId="79C2AE90">
            <w:pPr>
              <w:widowControl/>
              <w:jc w:val="center"/>
              <w:rPr>
                <w:rFonts w:hint="eastAsia" w:ascii="宋体" w:hAnsi="宋体" w:eastAsia="宋体" w:cs="宋体"/>
                <w:kern w:val="0"/>
                <w:szCs w:val="21"/>
              </w:rPr>
            </w:pPr>
            <w:r>
              <w:rPr>
                <w:rFonts w:hint="eastAsia" w:ascii="宋体" w:hAnsi="宋体" w:eastAsia="宋体" w:cs="宋体"/>
                <w:kern w:val="0"/>
                <w:szCs w:val="21"/>
              </w:rPr>
              <w:t>UPS输入输出电力电缆</w:t>
            </w:r>
          </w:p>
        </w:tc>
        <w:tc>
          <w:tcPr>
            <w:tcW w:w="882" w:type="dxa"/>
            <w:tcBorders>
              <w:top w:val="nil"/>
              <w:left w:val="nil"/>
              <w:bottom w:val="single" w:color="auto" w:sz="4" w:space="0"/>
              <w:right w:val="single" w:color="auto" w:sz="4" w:space="0"/>
            </w:tcBorders>
            <w:noWrap w:val="0"/>
            <w:vAlign w:val="center"/>
          </w:tcPr>
          <w:p w14:paraId="4C34B700">
            <w:pPr>
              <w:widowControl/>
              <w:jc w:val="center"/>
              <w:rPr>
                <w:rFonts w:hint="eastAsia" w:ascii="宋体" w:hAnsi="宋体" w:eastAsia="宋体" w:cs="宋体"/>
                <w:kern w:val="0"/>
                <w:szCs w:val="21"/>
              </w:rPr>
            </w:pPr>
            <w:r>
              <w:rPr>
                <w:rFonts w:hint="eastAsia" w:ascii="宋体" w:hAnsi="宋体" w:eastAsia="宋体" w:cs="宋体"/>
                <w:kern w:val="0"/>
                <w:szCs w:val="21"/>
              </w:rPr>
              <w:t>米</w:t>
            </w:r>
          </w:p>
        </w:tc>
        <w:tc>
          <w:tcPr>
            <w:tcW w:w="1057" w:type="dxa"/>
            <w:tcBorders>
              <w:top w:val="nil"/>
              <w:left w:val="nil"/>
              <w:bottom w:val="single" w:color="auto" w:sz="4" w:space="0"/>
              <w:right w:val="single" w:color="auto" w:sz="4" w:space="0"/>
            </w:tcBorders>
            <w:noWrap w:val="0"/>
            <w:vAlign w:val="center"/>
          </w:tcPr>
          <w:p w14:paraId="1434FDD5">
            <w:pPr>
              <w:widowControl/>
              <w:jc w:val="center"/>
              <w:rPr>
                <w:rFonts w:hint="eastAsia" w:ascii="宋体" w:hAnsi="宋体" w:eastAsia="宋体" w:cs="宋体"/>
                <w:kern w:val="0"/>
                <w:szCs w:val="21"/>
              </w:rPr>
            </w:pPr>
            <w:r>
              <w:rPr>
                <w:rFonts w:hint="eastAsia" w:ascii="宋体" w:hAnsi="宋体" w:eastAsia="宋体" w:cs="宋体"/>
                <w:kern w:val="0"/>
                <w:szCs w:val="21"/>
              </w:rPr>
              <w:t>92</w:t>
            </w:r>
          </w:p>
        </w:tc>
        <w:tc>
          <w:tcPr>
            <w:tcW w:w="1410" w:type="dxa"/>
            <w:tcBorders>
              <w:top w:val="nil"/>
              <w:left w:val="nil"/>
              <w:bottom w:val="single" w:color="auto" w:sz="4" w:space="0"/>
              <w:right w:val="single" w:color="auto" w:sz="4" w:space="0"/>
            </w:tcBorders>
            <w:noWrap w:val="0"/>
            <w:vAlign w:val="center"/>
          </w:tcPr>
          <w:p w14:paraId="094B0995">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r w14:paraId="7D077CE8">
        <w:tblPrEx>
          <w:tblCellMar>
            <w:top w:w="0" w:type="dxa"/>
            <w:left w:w="108" w:type="dxa"/>
            <w:bottom w:w="0" w:type="dxa"/>
            <w:right w:w="108" w:type="dxa"/>
          </w:tblCellMar>
        </w:tblPrEx>
        <w:trPr>
          <w:trHeight w:val="313" w:hRule="atLeast"/>
        </w:trPr>
        <w:tc>
          <w:tcPr>
            <w:tcW w:w="1194" w:type="dxa"/>
            <w:tcBorders>
              <w:top w:val="nil"/>
              <w:left w:val="single" w:color="auto" w:sz="4" w:space="0"/>
              <w:bottom w:val="single" w:color="auto" w:sz="4" w:space="0"/>
              <w:right w:val="single" w:color="auto" w:sz="4" w:space="0"/>
            </w:tcBorders>
            <w:noWrap w:val="0"/>
            <w:vAlign w:val="center"/>
          </w:tcPr>
          <w:p w14:paraId="4732CEE5">
            <w:pPr>
              <w:widowControl/>
              <w:jc w:val="center"/>
              <w:rPr>
                <w:rFonts w:hint="eastAsia" w:ascii="宋体" w:hAnsi="宋体" w:eastAsia="宋体" w:cs="宋体"/>
                <w:kern w:val="0"/>
                <w:szCs w:val="21"/>
              </w:rPr>
            </w:pPr>
            <w:r>
              <w:rPr>
                <w:rFonts w:hint="eastAsia" w:ascii="宋体" w:hAnsi="宋体" w:eastAsia="宋体" w:cs="宋体"/>
                <w:kern w:val="0"/>
                <w:szCs w:val="21"/>
              </w:rPr>
              <w:t>19</w:t>
            </w:r>
          </w:p>
        </w:tc>
        <w:tc>
          <w:tcPr>
            <w:tcW w:w="4795" w:type="dxa"/>
            <w:tcBorders>
              <w:top w:val="nil"/>
              <w:left w:val="nil"/>
              <w:bottom w:val="single" w:color="auto" w:sz="4" w:space="0"/>
              <w:right w:val="single" w:color="auto" w:sz="4" w:space="0"/>
            </w:tcBorders>
            <w:noWrap w:val="0"/>
            <w:vAlign w:val="center"/>
          </w:tcPr>
          <w:p w14:paraId="642D665A">
            <w:pPr>
              <w:widowControl/>
              <w:jc w:val="center"/>
              <w:rPr>
                <w:rFonts w:hint="eastAsia" w:ascii="宋体" w:hAnsi="宋体" w:eastAsia="宋体" w:cs="宋体"/>
                <w:kern w:val="0"/>
                <w:szCs w:val="21"/>
              </w:rPr>
            </w:pPr>
            <w:r>
              <w:rPr>
                <w:rFonts w:hint="eastAsia" w:ascii="宋体" w:hAnsi="宋体" w:eastAsia="宋体" w:cs="宋体"/>
                <w:kern w:val="0"/>
                <w:szCs w:val="21"/>
              </w:rPr>
              <w:t>UPS到电池汇流盒连接线电力电缆</w:t>
            </w:r>
          </w:p>
        </w:tc>
        <w:tc>
          <w:tcPr>
            <w:tcW w:w="882" w:type="dxa"/>
            <w:tcBorders>
              <w:top w:val="nil"/>
              <w:left w:val="nil"/>
              <w:bottom w:val="single" w:color="auto" w:sz="4" w:space="0"/>
              <w:right w:val="single" w:color="auto" w:sz="4" w:space="0"/>
            </w:tcBorders>
            <w:noWrap w:val="0"/>
            <w:vAlign w:val="center"/>
          </w:tcPr>
          <w:p w14:paraId="67B571CA">
            <w:pPr>
              <w:widowControl/>
              <w:jc w:val="center"/>
              <w:rPr>
                <w:rFonts w:hint="eastAsia" w:ascii="宋体" w:hAnsi="宋体" w:eastAsia="宋体" w:cs="宋体"/>
                <w:kern w:val="0"/>
                <w:szCs w:val="21"/>
              </w:rPr>
            </w:pPr>
            <w:r>
              <w:rPr>
                <w:rFonts w:hint="eastAsia" w:ascii="宋体" w:hAnsi="宋体" w:eastAsia="宋体" w:cs="宋体"/>
                <w:kern w:val="0"/>
                <w:szCs w:val="21"/>
              </w:rPr>
              <w:t>米</w:t>
            </w:r>
          </w:p>
        </w:tc>
        <w:tc>
          <w:tcPr>
            <w:tcW w:w="1057" w:type="dxa"/>
            <w:tcBorders>
              <w:top w:val="nil"/>
              <w:left w:val="nil"/>
              <w:bottom w:val="single" w:color="auto" w:sz="4" w:space="0"/>
              <w:right w:val="single" w:color="auto" w:sz="4" w:space="0"/>
            </w:tcBorders>
            <w:noWrap w:val="0"/>
            <w:vAlign w:val="center"/>
          </w:tcPr>
          <w:p w14:paraId="662D825A">
            <w:pPr>
              <w:widowControl/>
              <w:jc w:val="center"/>
              <w:rPr>
                <w:rFonts w:hint="eastAsia" w:ascii="宋体" w:hAnsi="宋体" w:eastAsia="宋体" w:cs="宋体"/>
                <w:kern w:val="0"/>
                <w:szCs w:val="21"/>
              </w:rPr>
            </w:pPr>
            <w:r>
              <w:rPr>
                <w:rFonts w:hint="eastAsia" w:ascii="宋体" w:hAnsi="宋体" w:eastAsia="宋体" w:cs="宋体"/>
                <w:kern w:val="0"/>
                <w:szCs w:val="21"/>
              </w:rPr>
              <w:t>64</w:t>
            </w:r>
          </w:p>
        </w:tc>
        <w:tc>
          <w:tcPr>
            <w:tcW w:w="1410" w:type="dxa"/>
            <w:tcBorders>
              <w:top w:val="nil"/>
              <w:left w:val="nil"/>
              <w:bottom w:val="single" w:color="auto" w:sz="4" w:space="0"/>
              <w:right w:val="single" w:color="auto" w:sz="4" w:space="0"/>
            </w:tcBorders>
            <w:noWrap w:val="0"/>
            <w:vAlign w:val="center"/>
          </w:tcPr>
          <w:p w14:paraId="049539A8">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r w14:paraId="47330A19">
        <w:tblPrEx>
          <w:tblCellMar>
            <w:top w:w="0" w:type="dxa"/>
            <w:left w:w="108" w:type="dxa"/>
            <w:bottom w:w="0" w:type="dxa"/>
            <w:right w:w="108" w:type="dxa"/>
          </w:tblCellMar>
        </w:tblPrEx>
        <w:trPr>
          <w:trHeight w:val="547" w:hRule="atLeast"/>
        </w:trPr>
        <w:tc>
          <w:tcPr>
            <w:tcW w:w="1194" w:type="dxa"/>
            <w:tcBorders>
              <w:top w:val="nil"/>
              <w:left w:val="single" w:color="auto" w:sz="4" w:space="0"/>
              <w:bottom w:val="single" w:color="auto" w:sz="4" w:space="0"/>
              <w:right w:val="single" w:color="auto" w:sz="4" w:space="0"/>
            </w:tcBorders>
            <w:noWrap w:val="0"/>
            <w:vAlign w:val="center"/>
          </w:tcPr>
          <w:p w14:paraId="7B663424">
            <w:pPr>
              <w:widowControl/>
              <w:jc w:val="center"/>
              <w:rPr>
                <w:rFonts w:hint="eastAsia" w:ascii="宋体" w:hAnsi="宋体" w:eastAsia="宋体" w:cs="宋体"/>
                <w:kern w:val="0"/>
                <w:szCs w:val="21"/>
              </w:rPr>
            </w:pPr>
            <w:r>
              <w:rPr>
                <w:rFonts w:hint="eastAsia" w:ascii="宋体" w:hAnsi="宋体" w:eastAsia="宋体" w:cs="宋体"/>
                <w:kern w:val="0"/>
                <w:szCs w:val="21"/>
              </w:rPr>
              <w:t>20</w:t>
            </w:r>
          </w:p>
        </w:tc>
        <w:tc>
          <w:tcPr>
            <w:tcW w:w="4795" w:type="dxa"/>
            <w:tcBorders>
              <w:top w:val="nil"/>
              <w:left w:val="nil"/>
              <w:bottom w:val="single" w:color="auto" w:sz="4" w:space="0"/>
              <w:right w:val="single" w:color="auto" w:sz="4" w:space="0"/>
            </w:tcBorders>
            <w:noWrap w:val="0"/>
            <w:vAlign w:val="center"/>
          </w:tcPr>
          <w:p w14:paraId="58DCDF62">
            <w:pPr>
              <w:widowControl/>
              <w:jc w:val="center"/>
              <w:rPr>
                <w:rFonts w:hint="eastAsia" w:ascii="宋体" w:hAnsi="宋体" w:eastAsia="宋体" w:cs="宋体"/>
                <w:kern w:val="0"/>
                <w:szCs w:val="21"/>
              </w:rPr>
            </w:pPr>
            <w:r>
              <w:rPr>
                <w:rFonts w:hint="eastAsia" w:ascii="宋体" w:hAnsi="宋体" w:eastAsia="宋体" w:cs="宋体"/>
                <w:kern w:val="0"/>
                <w:szCs w:val="21"/>
              </w:rPr>
              <w:t>电池汇流盒到蓄电池连接线电力电缆</w:t>
            </w:r>
          </w:p>
        </w:tc>
        <w:tc>
          <w:tcPr>
            <w:tcW w:w="882" w:type="dxa"/>
            <w:tcBorders>
              <w:top w:val="nil"/>
              <w:left w:val="nil"/>
              <w:bottom w:val="single" w:color="auto" w:sz="4" w:space="0"/>
              <w:right w:val="single" w:color="auto" w:sz="4" w:space="0"/>
            </w:tcBorders>
            <w:noWrap w:val="0"/>
            <w:vAlign w:val="center"/>
          </w:tcPr>
          <w:p w14:paraId="1380C650">
            <w:pPr>
              <w:widowControl/>
              <w:jc w:val="center"/>
              <w:rPr>
                <w:rFonts w:hint="eastAsia" w:ascii="宋体" w:hAnsi="宋体" w:eastAsia="宋体" w:cs="宋体"/>
                <w:kern w:val="0"/>
                <w:szCs w:val="21"/>
              </w:rPr>
            </w:pPr>
            <w:r>
              <w:rPr>
                <w:rFonts w:hint="eastAsia" w:ascii="宋体" w:hAnsi="宋体" w:eastAsia="宋体" w:cs="宋体"/>
                <w:kern w:val="0"/>
                <w:szCs w:val="21"/>
              </w:rPr>
              <w:t>米</w:t>
            </w:r>
          </w:p>
        </w:tc>
        <w:tc>
          <w:tcPr>
            <w:tcW w:w="1057" w:type="dxa"/>
            <w:tcBorders>
              <w:top w:val="nil"/>
              <w:left w:val="nil"/>
              <w:bottom w:val="single" w:color="auto" w:sz="4" w:space="0"/>
              <w:right w:val="single" w:color="auto" w:sz="4" w:space="0"/>
            </w:tcBorders>
            <w:noWrap w:val="0"/>
            <w:vAlign w:val="center"/>
          </w:tcPr>
          <w:p w14:paraId="4CEFB25C">
            <w:pPr>
              <w:widowControl/>
              <w:jc w:val="center"/>
              <w:rPr>
                <w:rFonts w:hint="eastAsia" w:ascii="宋体" w:hAnsi="宋体" w:eastAsia="宋体" w:cs="宋体"/>
                <w:kern w:val="0"/>
                <w:szCs w:val="21"/>
              </w:rPr>
            </w:pPr>
            <w:r>
              <w:rPr>
                <w:rFonts w:hint="eastAsia" w:ascii="宋体" w:hAnsi="宋体" w:eastAsia="宋体" w:cs="宋体"/>
                <w:kern w:val="0"/>
                <w:szCs w:val="21"/>
              </w:rPr>
              <w:t>100</w:t>
            </w:r>
          </w:p>
        </w:tc>
        <w:tc>
          <w:tcPr>
            <w:tcW w:w="1410" w:type="dxa"/>
            <w:tcBorders>
              <w:top w:val="nil"/>
              <w:left w:val="nil"/>
              <w:bottom w:val="single" w:color="auto" w:sz="4" w:space="0"/>
              <w:right w:val="single" w:color="auto" w:sz="4" w:space="0"/>
            </w:tcBorders>
            <w:noWrap w:val="0"/>
            <w:vAlign w:val="center"/>
          </w:tcPr>
          <w:p w14:paraId="1C4D5740">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r w14:paraId="614EA8AA">
        <w:tblPrEx>
          <w:tblCellMar>
            <w:top w:w="0" w:type="dxa"/>
            <w:left w:w="108" w:type="dxa"/>
            <w:bottom w:w="0" w:type="dxa"/>
            <w:right w:w="108" w:type="dxa"/>
          </w:tblCellMar>
        </w:tblPrEx>
        <w:trPr>
          <w:trHeight w:val="313" w:hRule="atLeast"/>
        </w:trPr>
        <w:tc>
          <w:tcPr>
            <w:tcW w:w="1194" w:type="dxa"/>
            <w:tcBorders>
              <w:top w:val="nil"/>
              <w:left w:val="single" w:color="auto" w:sz="4" w:space="0"/>
              <w:bottom w:val="single" w:color="auto" w:sz="4" w:space="0"/>
              <w:right w:val="single" w:color="auto" w:sz="4" w:space="0"/>
            </w:tcBorders>
            <w:noWrap w:val="0"/>
            <w:vAlign w:val="center"/>
          </w:tcPr>
          <w:p w14:paraId="6388CC0D">
            <w:pPr>
              <w:widowControl/>
              <w:jc w:val="center"/>
              <w:rPr>
                <w:rFonts w:hint="eastAsia" w:ascii="宋体" w:hAnsi="宋体" w:eastAsia="宋体" w:cs="宋体"/>
                <w:kern w:val="0"/>
                <w:szCs w:val="21"/>
              </w:rPr>
            </w:pPr>
            <w:r>
              <w:rPr>
                <w:rFonts w:hint="eastAsia" w:ascii="宋体" w:hAnsi="宋体" w:eastAsia="宋体" w:cs="宋体"/>
                <w:kern w:val="0"/>
                <w:szCs w:val="21"/>
              </w:rPr>
              <w:t>21</w:t>
            </w:r>
          </w:p>
        </w:tc>
        <w:tc>
          <w:tcPr>
            <w:tcW w:w="4795" w:type="dxa"/>
            <w:tcBorders>
              <w:top w:val="nil"/>
              <w:left w:val="nil"/>
              <w:bottom w:val="single" w:color="auto" w:sz="4" w:space="0"/>
              <w:right w:val="single" w:color="auto" w:sz="4" w:space="0"/>
            </w:tcBorders>
            <w:noWrap w:val="0"/>
            <w:vAlign w:val="center"/>
          </w:tcPr>
          <w:p w14:paraId="05B8A38B">
            <w:pPr>
              <w:widowControl/>
              <w:jc w:val="center"/>
              <w:rPr>
                <w:rFonts w:hint="eastAsia" w:ascii="宋体" w:hAnsi="宋体" w:eastAsia="宋体" w:cs="宋体"/>
                <w:kern w:val="0"/>
                <w:szCs w:val="21"/>
              </w:rPr>
            </w:pPr>
            <w:r>
              <w:rPr>
                <w:rFonts w:hint="eastAsia" w:ascii="宋体" w:hAnsi="宋体" w:eastAsia="宋体" w:cs="宋体"/>
                <w:kern w:val="0"/>
                <w:szCs w:val="21"/>
              </w:rPr>
              <w:t>UPS到智算冷通道模块电力电缆</w:t>
            </w:r>
          </w:p>
        </w:tc>
        <w:tc>
          <w:tcPr>
            <w:tcW w:w="882" w:type="dxa"/>
            <w:tcBorders>
              <w:top w:val="nil"/>
              <w:left w:val="nil"/>
              <w:bottom w:val="single" w:color="auto" w:sz="4" w:space="0"/>
              <w:right w:val="single" w:color="auto" w:sz="4" w:space="0"/>
            </w:tcBorders>
            <w:noWrap w:val="0"/>
            <w:vAlign w:val="center"/>
          </w:tcPr>
          <w:p w14:paraId="46D6B223">
            <w:pPr>
              <w:widowControl/>
              <w:jc w:val="center"/>
              <w:rPr>
                <w:rFonts w:hint="eastAsia" w:ascii="宋体" w:hAnsi="宋体" w:eastAsia="宋体" w:cs="宋体"/>
                <w:kern w:val="0"/>
                <w:szCs w:val="21"/>
              </w:rPr>
            </w:pPr>
            <w:r>
              <w:rPr>
                <w:rFonts w:hint="eastAsia" w:ascii="宋体" w:hAnsi="宋体" w:eastAsia="宋体" w:cs="宋体"/>
                <w:kern w:val="0"/>
                <w:szCs w:val="21"/>
              </w:rPr>
              <w:t>米</w:t>
            </w:r>
          </w:p>
        </w:tc>
        <w:tc>
          <w:tcPr>
            <w:tcW w:w="1057" w:type="dxa"/>
            <w:tcBorders>
              <w:top w:val="nil"/>
              <w:left w:val="nil"/>
              <w:bottom w:val="single" w:color="auto" w:sz="4" w:space="0"/>
              <w:right w:val="single" w:color="auto" w:sz="4" w:space="0"/>
            </w:tcBorders>
            <w:noWrap w:val="0"/>
            <w:vAlign w:val="center"/>
          </w:tcPr>
          <w:p w14:paraId="1D9D3388">
            <w:pPr>
              <w:widowControl/>
              <w:jc w:val="center"/>
              <w:rPr>
                <w:rFonts w:hint="eastAsia" w:ascii="宋体" w:hAnsi="宋体" w:eastAsia="宋体" w:cs="宋体"/>
                <w:kern w:val="0"/>
                <w:szCs w:val="21"/>
              </w:rPr>
            </w:pPr>
            <w:r>
              <w:rPr>
                <w:rFonts w:hint="eastAsia" w:ascii="宋体" w:hAnsi="宋体" w:eastAsia="宋体" w:cs="宋体"/>
                <w:kern w:val="0"/>
                <w:szCs w:val="21"/>
              </w:rPr>
              <w:t>50</w:t>
            </w:r>
          </w:p>
        </w:tc>
        <w:tc>
          <w:tcPr>
            <w:tcW w:w="1410" w:type="dxa"/>
            <w:tcBorders>
              <w:top w:val="nil"/>
              <w:left w:val="nil"/>
              <w:bottom w:val="single" w:color="auto" w:sz="4" w:space="0"/>
              <w:right w:val="single" w:color="auto" w:sz="4" w:space="0"/>
            </w:tcBorders>
            <w:noWrap w:val="0"/>
            <w:vAlign w:val="center"/>
          </w:tcPr>
          <w:p w14:paraId="0BA71DC2">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r w14:paraId="73443C15">
        <w:tblPrEx>
          <w:tblCellMar>
            <w:top w:w="0" w:type="dxa"/>
            <w:left w:w="108" w:type="dxa"/>
            <w:bottom w:w="0" w:type="dxa"/>
            <w:right w:w="108" w:type="dxa"/>
          </w:tblCellMar>
        </w:tblPrEx>
        <w:trPr>
          <w:trHeight w:val="313" w:hRule="atLeast"/>
        </w:trPr>
        <w:tc>
          <w:tcPr>
            <w:tcW w:w="1194" w:type="dxa"/>
            <w:tcBorders>
              <w:top w:val="nil"/>
              <w:left w:val="single" w:color="auto" w:sz="4" w:space="0"/>
              <w:bottom w:val="single" w:color="auto" w:sz="4" w:space="0"/>
              <w:right w:val="single" w:color="auto" w:sz="4" w:space="0"/>
            </w:tcBorders>
            <w:noWrap w:val="0"/>
            <w:vAlign w:val="center"/>
          </w:tcPr>
          <w:p w14:paraId="7CC0E59F">
            <w:pPr>
              <w:widowControl/>
              <w:jc w:val="center"/>
              <w:rPr>
                <w:rFonts w:hint="eastAsia" w:ascii="宋体" w:hAnsi="宋体" w:eastAsia="宋体" w:cs="宋体"/>
                <w:kern w:val="0"/>
                <w:szCs w:val="21"/>
              </w:rPr>
            </w:pPr>
            <w:r>
              <w:rPr>
                <w:rFonts w:hint="eastAsia" w:ascii="宋体" w:hAnsi="宋体" w:eastAsia="宋体" w:cs="宋体"/>
                <w:kern w:val="0"/>
                <w:szCs w:val="21"/>
              </w:rPr>
              <w:t>22</w:t>
            </w:r>
          </w:p>
        </w:tc>
        <w:tc>
          <w:tcPr>
            <w:tcW w:w="4795" w:type="dxa"/>
            <w:tcBorders>
              <w:top w:val="nil"/>
              <w:left w:val="nil"/>
              <w:bottom w:val="single" w:color="auto" w:sz="4" w:space="0"/>
              <w:right w:val="single" w:color="auto" w:sz="4" w:space="0"/>
            </w:tcBorders>
            <w:noWrap w:val="0"/>
            <w:vAlign w:val="center"/>
          </w:tcPr>
          <w:p w14:paraId="144022E5">
            <w:pPr>
              <w:widowControl/>
              <w:jc w:val="center"/>
              <w:rPr>
                <w:rFonts w:hint="eastAsia" w:ascii="宋体" w:hAnsi="宋体" w:eastAsia="宋体" w:cs="宋体"/>
                <w:kern w:val="0"/>
                <w:szCs w:val="21"/>
              </w:rPr>
            </w:pPr>
            <w:r>
              <w:rPr>
                <w:rFonts w:hint="eastAsia" w:ascii="宋体" w:hAnsi="宋体" w:eastAsia="宋体" w:cs="宋体"/>
                <w:kern w:val="0"/>
                <w:szCs w:val="21"/>
              </w:rPr>
              <w:t>精密空调电力电缆</w:t>
            </w:r>
          </w:p>
        </w:tc>
        <w:tc>
          <w:tcPr>
            <w:tcW w:w="882" w:type="dxa"/>
            <w:tcBorders>
              <w:top w:val="nil"/>
              <w:left w:val="nil"/>
              <w:bottom w:val="single" w:color="auto" w:sz="4" w:space="0"/>
              <w:right w:val="single" w:color="auto" w:sz="4" w:space="0"/>
            </w:tcBorders>
            <w:noWrap w:val="0"/>
            <w:vAlign w:val="center"/>
          </w:tcPr>
          <w:p w14:paraId="53B535AE">
            <w:pPr>
              <w:widowControl/>
              <w:jc w:val="center"/>
              <w:rPr>
                <w:rFonts w:hint="eastAsia" w:ascii="宋体" w:hAnsi="宋体" w:eastAsia="宋体" w:cs="宋体"/>
                <w:kern w:val="0"/>
                <w:szCs w:val="21"/>
              </w:rPr>
            </w:pPr>
            <w:r>
              <w:rPr>
                <w:rFonts w:hint="eastAsia" w:ascii="宋体" w:hAnsi="宋体" w:eastAsia="宋体" w:cs="宋体"/>
                <w:kern w:val="0"/>
                <w:szCs w:val="21"/>
              </w:rPr>
              <w:t>米</w:t>
            </w:r>
          </w:p>
        </w:tc>
        <w:tc>
          <w:tcPr>
            <w:tcW w:w="1057" w:type="dxa"/>
            <w:tcBorders>
              <w:top w:val="nil"/>
              <w:left w:val="nil"/>
              <w:bottom w:val="single" w:color="auto" w:sz="4" w:space="0"/>
              <w:right w:val="single" w:color="auto" w:sz="4" w:space="0"/>
            </w:tcBorders>
            <w:noWrap w:val="0"/>
            <w:vAlign w:val="center"/>
          </w:tcPr>
          <w:p w14:paraId="14D56FEF">
            <w:pPr>
              <w:widowControl/>
              <w:jc w:val="center"/>
              <w:rPr>
                <w:rFonts w:hint="eastAsia" w:ascii="宋体" w:hAnsi="宋体" w:eastAsia="宋体" w:cs="宋体"/>
                <w:kern w:val="0"/>
                <w:szCs w:val="21"/>
              </w:rPr>
            </w:pPr>
            <w:r>
              <w:rPr>
                <w:rFonts w:hint="eastAsia" w:ascii="宋体" w:hAnsi="宋体" w:eastAsia="宋体" w:cs="宋体"/>
                <w:kern w:val="0"/>
                <w:szCs w:val="21"/>
              </w:rPr>
              <w:t>175</w:t>
            </w:r>
          </w:p>
        </w:tc>
        <w:tc>
          <w:tcPr>
            <w:tcW w:w="1410" w:type="dxa"/>
            <w:tcBorders>
              <w:top w:val="nil"/>
              <w:left w:val="nil"/>
              <w:bottom w:val="single" w:color="auto" w:sz="4" w:space="0"/>
              <w:right w:val="single" w:color="auto" w:sz="4" w:space="0"/>
            </w:tcBorders>
            <w:noWrap w:val="0"/>
            <w:vAlign w:val="center"/>
          </w:tcPr>
          <w:p w14:paraId="350CA7FA">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r w14:paraId="1223EB5E">
        <w:tblPrEx>
          <w:tblCellMar>
            <w:top w:w="0" w:type="dxa"/>
            <w:left w:w="108" w:type="dxa"/>
            <w:bottom w:w="0" w:type="dxa"/>
            <w:right w:w="108" w:type="dxa"/>
          </w:tblCellMar>
        </w:tblPrEx>
        <w:trPr>
          <w:trHeight w:val="313" w:hRule="atLeast"/>
        </w:trPr>
        <w:tc>
          <w:tcPr>
            <w:tcW w:w="1194" w:type="dxa"/>
            <w:tcBorders>
              <w:top w:val="nil"/>
              <w:left w:val="single" w:color="auto" w:sz="4" w:space="0"/>
              <w:bottom w:val="single" w:color="auto" w:sz="4" w:space="0"/>
              <w:right w:val="single" w:color="auto" w:sz="4" w:space="0"/>
            </w:tcBorders>
            <w:noWrap w:val="0"/>
            <w:vAlign w:val="center"/>
          </w:tcPr>
          <w:p w14:paraId="5F2C9457">
            <w:pPr>
              <w:widowControl/>
              <w:jc w:val="center"/>
              <w:rPr>
                <w:rFonts w:hint="eastAsia" w:ascii="宋体" w:hAnsi="宋体" w:eastAsia="宋体" w:cs="宋体"/>
                <w:kern w:val="0"/>
                <w:szCs w:val="21"/>
              </w:rPr>
            </w:pPr>
            <w:r>
              <w:rPr>
                <w:rFonts w:hint="eastAsia" w:ascii="宋体" w:hAnsi="宋体" w:eastAsia="宋体" w:cs="宋体"/>
                <w:kern w:val="0"/>
                <w:szCs w:val="21"/>
              </w:rPr>
              <w:t>23</w:t>
            </w:r>
          </w:p>
        </w:tc>
        <w:tc>
          <w:tcPr>
            <w:tcW w:w="4795" w:type="dxa"/>
            <w:tcBorders>
              <w:top w:val="nil"/>
              <w:left w:val="nil"/>
              <w:bottom w:val="single" w:color="auto" w:sz="4" w:space="0"/>
              <w:right w:val="single" w:color="auto" w:sz="4" w:space="0"/>
            </w:tcBorders>
            <w:noWrap w:val="0"/>
            <w:vAlign w:val="center"/>
          </w:tcPr>
          <w:p w14:paraId="785F8897">
            <w:pPr>
              <w:widowControl/>
              <w:jc w:val="center"/>
              <w:rPr>
                <w:rFonts w:hint="eastAsia" w:ascii="宋体" w:hAnsi="宋体" w:eastAsia="宋体" w:cs="宋体"/>
                <w:kern w:val="0"/>
                <w:szCs w:val="21"/>
              </w:rPr>
            </w:pPr>
            <w:r>
              <w:rPr>
                <w:rFonts w:hint="eastAsia" w:ascii="宋体" w:hAnsi="宋体" w:eastAsia="宋体" w:cs="宋体"/>
                <w:kern w:val="0"/>
                <w:szCs w:val="21"/>
              </w:rPr>
              <w:t>机柜线缆电力电缆</w:t>
            </w:r>
          </w:p>
        </w:tc>
        <w:tc>
          <w:tcPr>
            <w:tcW w:w="882" w:type="dxa"/>
            <w:tcBorders>
              <w:top w:val="nil"/>
              <w:left w:val="nil"/>
              <w:bottom w:val="single" w:color="auto" w:sz="4" w:space="0"/>
              <w:right w:val="single" w:color="auto" w:sz="4" w:space="0"/>
            </w:tcBorders>
            <w:noWrap w:val="0"/>
            <w:vAlign w:val="center"/>
          </w:tcPr>
          <w:p w14:paraId="7754462C">
            <w:pPr>
              <w:widowControl/>
              <w:jc w:val="center"/>
              <w:rPr>
                <w:rFonts w:hint="eastAsia" w:ascii="宋体" w:hAnsi="宋体" w:eastAsia="宋体" w:cs="宋体"/>
                <w:kern w:val="0"/>
                <w:szCs w:val="21"/>
              </w:rPr>
            </w:pPr>
            <w:r>
              <w:rPr>
                <w:rFonts w:hint="eastAsia" w:ascii="宋体" w:hAnsi="宋体" w:eastAsia="宋体" w:cs="宋体"/>
                <w:kern w:val="0"/>
                <w:szCs w:val="21"/>
              </w:rPr>
              <w:t>米</w:t>
            </w:r>
          </w:p>
        </w:tc>
        <w:tc>
          <w:tcPr>
            <w:tcW w:w="1057" w:type="dxa"/>
            <w:tcBorders>
              <w:top w:val="nil"/>
              <w:left w:val="nil"/>
              <w:bottom w:val="single" w:color="auto" w:sz="4" w:space="0"/>
              <w:right w:val="single" w:color="auto" w:sz="4" w:space="0"/>
            </w:tcBorders>
            <w:noWrap w:val="0"/>
            <w:vAlign w:val="center"/>
          </w:tcPr>
          <w:p w14:paraId="7F38EDC2">
            <w:pPr>
              <w:widowControl/>
              <w:jc w:val="center"/>
              <w:rPr>
                <w:rFonts w:hint="eastAsia" w:ascii="宋体" w:hAnsi="宋体" w:eastAsia="宋体" w:cs="宋体"/>
                <w:kern w:val="0"/>
                <w:szCs w:val="21"/>
              </w:rPr>
            </w:pPr>
            <w:r>
              <w:rPr>
                <w:rFonts w:hint="eastAsia" w:ascii="宋体" w:hAnsi="宋体" w:eastAsia="宋体" w:cs="宋体"/>
                <w:kern w:val="0"/>
                <w:szCs w:val="21"/>
              </w:rPr>
              <w:t>480</w:t>
            </w:r>
          </w:p>
        </w:tc>
        <w:tc>
          <w:tcPr>
            <w:tcW w:w="1410" w:type="dxa"/>
            <w:tcBorders>
              <w:top w:val="nil"/>
              <w:left w:val="nil"/>
              <w:bottom w:val="single" w:color="auto" w:sz="4" w:space="0"/>
              <w:right w:val="single" w:color="auto" w:sz="4" w:space="0"/>
            </w:tcBorders>
            <w:noWrap w:val="0"/>
            <w:vAlign w:val="center"/>
          </w:tcPr>
          <w:p w14:paraId="6D1C8EEF">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r w14:paraId="198998A2">
        <w:tblPrEx>
          <w:tblCellMar>
            <w:top w:w="0" w:type="dxa"/>
            <w:left w:w="108" w:type="dxa"/>
            <w:bottom w:w="0" w:type="dxa"/>
            <w:right w:w="108" w:type="dxa"/>
          </w:tblCellMar>
        </w:tblPrEx>
        <w:trPr>
          <w:trHeight w:val="323" w:hRule="atLeast"/>
        </w:trPr>
        <w:tc>
          <w:tcPr>
            <w:tcW w:w="1194" w:type="dxa"/>
            <w:tcBorders>
              <w:top w:val="nil"/>
              <w:left w:val="single" w:color="auto" w:sz="4" w:space="0"/>
              <w:bottom w:val="single" w:color="auto" w:sz="4" w:space="0"/>
              <w:right w:val="single" w:color="auto" w:sz="4" w:space="0"/>
            </w:tcBorders>
            <w:noWrap w:val="0"/>
            <w:vAlign w:val="center"/>
          </w:tcPr>
          <w:p w14:paraId="50EF3D0D">
            <w:pPr>
              <w:widowControl/>
              <w:jc w:val="center"/>
              <w:rPr>
                <w:rFonts w:hint="eastAsia" w:ascii="宋体" w:hAnsi="宋体" w:eastAsia="宋体" w:cs="宋体"/>
                <w:kern w:val="0"/>
                <w:szCs w:val="21"/>
              </w:rPr>
            </w:pPr>
            <w:r>
              <w:rPr>
                <w:rFonts w:hint="eastAsia" w:ascii="宋体" w:hAnsi="宋体" w:eastAsia="宋体" w:cs="宋体"/>
                <w:kern w:val="0"/>
                <w:szCs w:val="21"/>
              </w:rPr>
              <w:t>24</w:t>
            </w:r>
          </w:p>
        </w:tc>
        <w:tc>
          <w:tcPr>
            <w:tcW w:w="4795" w:type="dxa"/>
            <w:tcBorders>
              <w:top w:val="nil"/>
              <w:left w:val="nil"/>
              <w:bottom w:val="single" w:color="auto" w:sz="4" w:space="0"/>
              <w:right w:val="single" w:color="auto" w:sz="4" w:space="0"/>
            </w:tcBorders>
            <w:noWrap w:val="0"/>
            <w:vAlign w:val="center"/>
          </w:tcPr>
          <w:p w14:paraId="7662DF9B">
            <w:pPr>
              <w:widowControl/>
              <w:jc w:val="center"/>
              <w:rPr>
                <w:rFonts w:hint="eastAsia" w:ascii="宋体" w:hAnsi="宋体" w:eastAsia="宋体" w:cs="宋体"/>
                <w:kern w:val="0"/>
                <w:szCs w:val="21"/>
              </w:rPr>
            </w:pPr>
            <w:r>
              <w:rPr>
                <w:rFonts w:hint="eastAsia" w:ascii="宋体" w:hAnsi="宋体" w:eastAsia="宋体" w:cs="宋体"/>
                <w:kern w:val="0"/>
                <w:szCs w:val="21"/>
              </w:rPr>
              <w:t>系统集成、安装调试</w:t>
            </w:r>
          </w:p>
        </w:tc>
        <w:tc>
          <w:tcPr>
            <w:tcW w:w="882" w:type="dxa"/>
            <w:tcBorders>
              <w:top w:val="nil"/>
              <w:left w:val="nil"/>
              <w:bottom w:val="single" w:color="auto" w:sz="4" w:space="0"/>
              <w:right w:val="single" w:color="auto" w:sz="4" w:space="0"/>
            </w:tcBorders>
            <w:noWrap w:val="0"/>
            <w:vAlign w:val="center"/>
          </w:tcPr>
          <w:p w14:paraId="50667407">
            <w:pPr>
              <w:widowControl/>
              <w:jc w:val="center"/>
              <w:rPr>
                <w:rFonts w:hint="eastAsia" w:ascii="宋体" w:hAnsi="宋体" w:eastAsia="宋体" w:cs="宋体"/>
                <w:kern w:val="0"/>
                <w:szCs w:val="21"/>
              </w:rPr>
            </w:pPr>
            <w:r>
              <w:rPr>
                <w:rFonts w:hint="eastAsia" w:ascii="宋体" w:hAnsi="宋体" w:eastAsia="宋体" w:cs="宋体"/>
                <w:kern w:val="0"/>
                <w:szCs w:val="21"/>
              </w:rPr>
              <w:t>项</w:t>
            </w:r>
          </w:p>
        </w:tc>
        <w:tc>
          <w:tcPr>
            <w:tcW w:w="1057" w:type="dxa"/>
            <w:tcBorders>
              <w:top w:val="nil"/>
              <w:left w:val="nil"/>
              <w:bottom w:val="single" w:color="auto" w:sz="4" w:space="0"/>
              <w:right w:val="single" w:color="auto" w:sz="4" w:space="0"/>
            </w:tcBorders>
            <w:noWrap w:val="0"/>
            <w:vAlign w:val="center"/>
          </w:tcPr>
          <w:p w14:paraId="7CA52BFC">
            <w:pPr>
              <w:widowControl/>
              <w:jc w:val="center"/>
              <w:rPr>
                <w:rFonts w:hint="eastAsia" w:ascii="宋体" w:hAnsi="宋体" w:eastAsia="宋体" w:cs="宋体"/>
                <w:kern w:val="0"/>
                <w:szCs w:val="21"/>
              </w:rPr>
            </w:pPr>
            <w:r>
              <w:rPr>
                <w:rFonts w:hint="eastAsia" w:ascii="宋体" w:hAnsi="宋体" w:eastAsia="宋体" w:cs="宋体"/>
                <w:kern w:val="0"/>
                <w:szCs w:val="21"/>
              </w:rPr>
              <w:t>1</w:t>
            </w:r>
          </w:p>
        </w:tc>
        <w:tc>
          <w:tcPr>
            <w:tcW w:w="1410" w:type="dxa"/>
            <w:tcBorders>
              <w:top w:val="nil"/>
              <w:left w:val="nil"/>
              <w:bottom w:val="single" w:color="auto" w:sz="4" w:space="0"/>
              <w:right w:val="single" w:color="auto" w:sz="4" w:space="0"/>
            </w:tcBorders>
            <w:noWrap w:val="0"/>
            <w:vAlign w:val="center"/>
          </w:tcPr>
          <w:p w14:paraId="2707B0A7">
            <w:pPr>
              <w:widowControl/>
              <w:jc w:val="center"/>
              <w:rPr>
                <w:rFonts w:hint="eastAsia" w:ascii="宋体" w:hAnsi="宋体" w:eastAsia="宋体" w:cs="宋体"/>
                <w:kern w:val="0"/>
                <w:szCs w:val="21"/>
              </w:rPr>
            </w:pPr>
            <w:r>
              <w:rPr>
                <w:rFonts w:hint="eastAsia" w:ascii="宋体" w:hAnsi="宋体" w:eastAsia="宋体" w:cs="宋体"/>
                <w:kern w:val="0"/>
                <w:szCs w:val="21"/>
              </w:rPr>
              <w:t>否</w:t>
            </w:r>
          </w:p>
        </w:tc>
      </w:tr>
    </w:tbl>
    <w:p w14:paraId="6A3F5EA2">
      <w:pPr>
        <w:widowControl/>
        <w:jc w:val="center"/>
        <w:rPr>
          <w:rFonts w:hint="eastAsia" w:ascii="宋体" w:hAnsi="宋体" w:eastAsia="宋体" w:cs="宋体"/>
          <w:b/>
          <w:bCs/>
          <w:szCs w:val="21"/>
        </w:rPr>
      </w:pPr>
      <w:r>
        <w:rPr>
          <w:rFonts w:ascii="宋体" w:hAnsi="宋体" w:eastAsia="宋体" w:cs="微软雅黑"/>
          <w:kern w:val="0"/>
          <w:szCs w:val="21"/>
          <w:lang w:bidi="ar"/>
        </w:rPr>
        <w:br w:type="page"/>
      </w:r>
      <w:r>
        <w:rPr>
          <w:rFonts w:hint="eastAsia" w:ascii="宋体" w:hAnsi="宋体" w:eastAsia="宋体" w:cs="微软雅黑"/>
          <w:kern w:val="0"/>
          <w:szCs w:val="21"/>
          <w:lang w:bidi="ar"/>
        </w:rPr>
        <w:t>二</w:t>
      </w:r>
      <w:r>
        <w:rPr>
          <w:rFonts w:hint="eastAsia" w:ascii="宋体" w:hAnsi="宋体" w:eastAsia="宋体" w:cs="宋体"/>
          <w:b/>
          <w:szCs w:val="21"/>
        </w:rPr>
        <w:t>、主要货物</w:t>
      </w:r>
      <w:r>
        <w:rPr>
          <w:rFonts w:hint="eastAsia" w:ascii="宋体" w:hAnsi="宋体" w:eastAsia="宋体" w:cs="宋体"/>
          <w:b/>
          <w:bCs/>
          <w:szCs w:val="21"/>
        </w:rPr>
        <w:t xml:space="preserve">技术要求及功能描述一览表 </w:t>
      </w:r>
    </w:p>
    <w:tbl>
      <w:tblPr>
        <w:tblStyle w:val="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907"/>
        <w:gridCol w:w="6229"/>
        <w:gridCol w:w="531"/>
        <w:gridCol w:w="428"/>
      </w:tblGrid>
      <w:tr w14:paraId="5D4BE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71207194">
            <w:pPr>
              <w:keepLines/>
              <w:widowControl/>
              <w:jc w:val="center"/>
              <w:rPr>
                <w:rFonts w:ascii="宋体" w:hAnsi="宋体" w:eastAsia="宋体" w:cs="宋体"/>
                <w:b/>
                <w:bCs/>
                <w:kern w:val="0"/>
                <w:szCs w:val="21"/>
              </w:rPr>
            </w:pPr>
            <w:r>
              <w:rPr>
                <w:rFonts w:hint="eastAsia" w:ascii="宋体" w:hAnsi="宋体" w:eastAsia="宋体" w:cs="宋体"/>
                <w:b/>
                <w:bCs/>
                <w:kern w:val="0"/>
                <w:szCs w:val="21"/>
              </w:rPr>
              <w:t>序号</w:t>
            </w:r>
          </w:p>
        </w:tc>
        <w:tc>
          <w:tcPr>
            <w:tcW w:w="533" w:type="pct"/>
            <w:noWrap w:val="0"/>
            <w:vAlign w:val="center"/>
          </w:tcPr>
          <w:p w14:paraId="1C5E0854">
            <w:pPr>
              <w:keepLines/>
              <w:widowControl/>
              <w:jc w:val="center"/>
              <w:rPr>
                <w:rFonts w:hint="eastAsia" w:ascii="宋体" w:hAnsi="宋体" w:eastAsia="宋体" w:cs="宋体"/>
                <w:b/>
                <w:bCs/>
                <w:kern w:val="0"/>
                <w:szCs w:val="21"/>
              </w:rPr>
            </w:pPr>
            <w:r>
              <w:rPr>
                <w:rFonts w:hint="eastAsia" w:ascii="宋体" w:hAnsi="宋体" w:eastAsia="宋体" w:cs="宋体"/>
                <w:b/>
                <w:bCs/>
                <w:kern w:val="0"/>
                <w:szCs w:val="21"/>
              </w:rPr>
              <w:t>设备名称</w:t>
            </w:r>
          </w:p>
        </w:tc>
        <w:tc>
          <w:tcPr>
            <w:tcW w:w="3655" w:type="pct"/>
            <w:noWrap w:val="0"/>
            <w:vAlign w:val="center"/>
          </w:tcPr>
          <w:p w14:paraId="0946B5AF">
            <w:pPr>
              <w:keepLines/>
              <w:widowControl/>
              <w:jc w:val="center"/>
              <w:rPr>
                <w:rFonts w:hint="eastAsia" w:ascii="宋体" w:hAnsi="宋体" w:eastAsia="宋体" w:cs="宋体"/>
                <w:b/>
                <w:bCs/>
                <w:kern w:val="0"/>
                <w:szCs w:val="21"/>
              </w:rPr>
            </w:pPr>
            <w:r>
              <w:rPr>
                <w:rFonts w:hint="eastAsia" w:ascii="宋体" w:hAnsi="宋体" w:eastAsia="宋体" w:cs="宋体"/>
                <w:b/>
                <w:bCs/>
                <w:kern w:val="0"/>
                <w:szCs w:val="21"/>
              </w:rPr>
              <w:t>技术要求及功能描述</w:t>
            </w:r>
          </w:p>
        </w:tc>
        <w:tc>
          <w:tcPr>
            <w:tcW w:w="311" w:type="pct"/>
            <w:noWrap w:val="0"/>
            <w:vAlign w:val="center"/>
          </w:tcPr>
          <w:p w14:paraId="466D4FB7">
            <w:pPr>
              <w:keepLines/>
              <w:widowControl/>
              <w:jc w:val="center"/>
              <w:rPr>
                <w:rFonts w:hint="eastAsia" w:ascii="宋体" w:hAnsi="宋体" w:eastAsia="宋体" w:cs="宋体"/>
                <w:b/>
                <w:bCs/>
                <w:kern w:val="0"/>
                <w:szCs w:val="21"/>
              </w:rPr>
            </w:pPr>
            <w:r>
              <w:rPr>
                <w:rFonts w:hint="eastAsia" w:ascii="宋体" w:hAnsi="宋体" w:eastAsia="宋体" w:cs="宋体"/>
                <w:b/>
                <w:bCs/>
                <w:kern w:val="0"/>
                <w:szCs w:val="21"/>
              </w:rPr>
              <w:t>数量</w:t>
            </w:r>
          </w:p>
        </w:tc>
        <w:tc>
          <w:tcPr>
            <w:tcW w:w="250" w:type="pct"/>
            <w:noWrap w:val="0"/>
            <w:vAlign w:val="center"/>
          </w:tcPr>
          <w:p w14:paraId="1D3537A2">
            <w:pPr>
              <w:keepLines/>
              <w:widowControl/>
              <w:jc w:val="center"/>
              <w:rPr>
                <w:rFonts w:hint="eastAsia" w:ascii="宋体" w:hAnsi="宋体" w:eastAsia="宋体" w:cs="宋体"/>
                <w:b/>
                <w:bCs/>
                <w:kern w:val="0"/>
                <w:szCs w:val="21"/>
              </w:rPr>
            </w:pPr>
            <w:r>
              <w:rPr>
                <w:rFonts w:hint="eastAsia" w:ascii="宋体" w:hAnsi="宋体" w:eastAsia="宋体" w:cs="宋体"/>
                <w:b/>
                <w:bCs/>
                <w:kern w:val="0"/>
                <w:szCs w:val="21"/>
              </w:rPr>
              <w:t>备注</w:t>
            </w:r>
          </w:p>
        </w:tc>
      </w:tr>
      <w:tr w14:paraId="5B500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16A9F046">
            <w:pPr>
              <w:keepLines/>
              <w:widowControl/>
              <w:jc w:val="center"/>
              <w:rPr>
                <w:rFonts w:hint="eastAsia" w:ascii="宋体" w:hAnsi="宋体" w:eastAsia="宋体" w:cs="宋体"/>
                <w:kern w:val="0"/>
                <w:szCs w:val="21"/>
              </w:rPr>
            </w:pPr>
            <w:r>
              <w:rPr>
                <w:rFonts w:hint="eastAsia" w:ascii="宋体" w:hAnsi="宋体" w:eastAsia="宋体" w:cs="宋体"/>
                <w:kern w:val="0"/>
                <w:szCs w:val="21"/>
              </w:rPr>
              <w:t>1</w:t>
            </w:r>
          </w:p>
        </w:tc>
        <w:tc>
          <w:tcPr>
            <w:tcW w:w="533" w:type="pct"/>
            <w:noWrap w:val="0"/>
            <w:vAlign w:val="center"/>
          </w:tcPr>
          <w:p w14:paraId="15FFBDD2">
            <w:pPr>
              <w:keepLines/>
              <w:widowControl/>
              <w:jc w:val="center"/>
              <w:rPr>
                <w:rFonts w:hint="eastAsia" w:ascii="宋体" w:hAnsi="宋体" w:eastAsia="宋体" w:cs="宋体"/>
                <w:kern w:val="0"/>
                <w:szCs w:val="21"/>
              </w:rPr>
            </w:pPr>
            <w:r>
              <w:rPr>
                <w:rFonts w:hint="eastAsia" w:ascii="宋体" w:hAnsi="宋体" w:eastAsia="宋体" w:cs="宋体"/>
                <w:kern w:val="0"/>
                <w:szCs w:val="21"/>
              </w:rPr>
              <w:t>模块化不间断电源系统</w:t>
            </w:r>
          </w:p>
        </w:tc>
        <w:tc>
          <w:tcPr>
            <w:tcW w:w="3655" w:type="pct"/>
            <w:noWrap w:val="0"/>
            <w:vAlign w:val="center"/>
          </w:tcPr>
          <w:p w14:paraId="7DCA696D">
            <w:pPr>
              <w:keepLines/>
              <w:widowControl/>
              <w:jc w:val="left"/>
              <w:rPr>
                <w:rFonts w:hint="eastAsia" w:ascii="宋体" w:hAnsi="宋体" w:eastAsia="宋体" w:cs="宋体"/>
                <w:kern w:val="0"/>
                <w:szCs w:val="21"/>
              </w:rPr>
            </w:pPr>
            <w:r>
              <w:rPr>
                <w:rFonts w:hint="eastAsia" w:ascii="宋体" w:hAnsi="宋体" w:eastAsia="宋体" w:cs="宋体"/>
                <w:kern w:val="0"/>
                <w:szCs w:val="21"/>
              </w:rPr>
              <w:t>1、系统要求：本次招标为1套不低于600kVA（整机柜系统总容量）模块化不间断电源，一期建设每套内部功率模块配置容量不小于240kVA并额外冗余1个模块，单模块容量不低于60KVA。</w:t>
            </w:r>
          </w:p>
          <w:p w14:paraId="73C88591">
            <w:pPr>
              <w:keepLines/>
              <w:widowControl/>
              <w:jc w:val="left"/>
              <w:rPr>
                <w:rFonts w:hint="eastAsia" w:ascii="宋体" w:hAnsi="宋体" w:eastAsia="宋体" w:cs="宋体"/>
                <w:kern w:val="0"/>
                <w:szCs w:val="21"/>
              </w:rPr>
            </w:pPr>
            <w:r>
              <w:rPr>
                <w:rFonts w:hint="eastAsia" w:ascii="宋体" w:hAnsi="宋体" w:eastAsia="宋体" w:cs="宋体"/>
                <w:kern w:val="0"/>
                <w:szCs w:val="21"/>
              </w:rPr>
              <w:t>2、系统设备需具备良好的高温带载能力，40℃持续运行不降额，在50℃的环境温度下输出不小于80%的额定功率，系统内部采用独立风道设计，防止灰尘积累导致短路、拉弧等故障发生，需提供彩页或用户手册作证明材料。</w:t>
            </w:r>
          </w:p>
          <w:p w14:paraId="15B266AA">
            <w:pPr>
              <w:keepLines/>
              <w:widowControl/>
              <w:jc w:val="left"/>
              <w:rPr>
                <w:rFonts w:hint="eastAsia" w:ascii="宋体" w:hAnsi="宋体" w:eastAsia="宋体" w:cs="宋体"/>
                <w:kern w:val="0"/>
                <w:szCs w:val="21"/>
              </w:rPr>
            </w:pPr>
            <w:r>
              <w:rPr>
                <w:rFonts w:hint="eastAsia" w:ascii="宋体" w:hAnsi="宋体" w:eastAsia="宋体" w:cs="宋体"/>
                <w:kern w:val="0"/>
                <w:szCs w:val="21"/>
              </w:rPr>
              <w:t>3、系统采用高品质交直流电容，采用特殊散热及纹波控制设计，满载运行寿命可达15年。</w:t>
            </w:r>
          </w:p>
          <w:p w14:paraId="350FF75E">
            <w:pPr>
              <w:keepLines/>
              <w:widowControl/>
              <w:jc w:val="left"/>
              <w:rPr>
                <w:rFonts w:hint="eastAsia" w:ascii="宋体" w:hAnsi="宋体" w:eastAsia="宋体" w:cs="宋体"/>
                <w:kern w:val="0"/>
                <w:szCs w:val="21"/>
              </w:rPr>
            </w:pPr>
            <w:r>
              <w:rPr>
                <w:rFonts w:hint="eastAsia" w:ascii="宋体" w:hAnsi="宋体" w:eastAsia="宋体" w:cs="宋体"/>
                <w:kern w:val="0"/>
                <w:szCs w:val="21"/>
              </w:rPr>
              <w:t>4、★系统内部的功率模块采用分散控制技术，避免单一控制方式带来的单点故障问题，确保整机的可靠性。提供彩页或第三方检测报告佐证。</w:t>
            </w:r>
          </w:p>
          <w:p w14:paraId="081FB7A9">
            <w:pPr>
              <w:keepLines/>
              <w:widowControl/>
              <w:jc w:val="left"/>
              <w:rPr>
                <w:rFonts w:hint="eastAsia" w:ascii="宋体" w:hAnsi="宋体" w:eastAsia="宋体" w:cs="宋体"/>
                <w:kern w:val="0"/>
                <w:szCs w:val="21"/>
              </w:rPr>
            </w:pPr>
            <w:r>
              <w:rPr>
                <w:rFonts w:hint="eastAsia" w:ascii="宋体" w:hAnsi="宋体" w:eastAsia="宋体" w:cs="宋体"/>
                <w:kern w:val="0"/>
                <w:szCs w:val="21"/>
              </w:rPr>
              <w:t>5. 系统同步双母线能力：主机内置双母线同步功能，便于现场只需连接LBS线缆或LBS装置即可实现多台设备输出同步功能，无需增加其它组件即可保持输出电压的频率、相位相同。</w:t>
            </w:r>
          </w:p>
          <w:p w14:paraId="29382D3A">
            <w:pPr>
              <w:keepLines/>
              <w:widowControl/>
              <w:jc w:val="left"/>
              <w:rPr>
                <w:rFonts w:hint="eastAsia" w:ascii="宋体" w:hAnsi="宋体" w:eastAsia="宋体" w:cs="宋体"/>
                <w:kern w:val="0"/>
                <w:szCs w:val="21"/>
              </w:rPr>
            </w:pPr>
            <w:r>
              <w:rPr>
                <w:rFonts w:hint="eastAsia" w:ascii="宋体" w:hAnsi="宋体" w:eastAsia="宋体" w:cs="宋体"/>
                <w:kern w:val="0"/>
                <w:szCs w:val="21"/>
              </w:rPr>
              <w:t>6、输入额定电压为380/400/415VAC，输入电压范围380VAC（-20%，+20%）不降额，不降额电压范围需涵盖YD/T 2165-2017《通信用模块化不间断电源》输入电压范围要求的I类值。</w:t>
            </w:r>
          </w:p>
          <w:p w14:paraId="01E09105">
            <w:pPr>
              <w:keepLines/>
              <w:widowControl/>
              <w:jc w:val="left"/>
              <w:rPr>
                <w:rFonts w:hint="eastAsia" w:ascii="宋体" w:hAnsi="宋体" w:eastAsia="宋体" w:cs="宋体"/>
                <w:kern w:val="0"/>
                <w:szCs w:val="21"/>
              </w:rPr>
            </w:pPr>
            <w:r>
              <w:rPr>
                <w:rFonts w:hint="eastAsia" w:ascii="宋体" w:hAnsi="宋体" w:eastAsia="宋体" w:cs="宋体"/>
                <w:kern w:val="0"/>
                <w:szCs w:val="21"/>
              </w:rPr>
              <w:t>7、 整流器输入性能应符合YD/T 2165-2017《通信用模块化不间断电源》中一类标准，双变换工作时，输入电流谐波, 满载时＜1.5%,50%负载率时＜2%，30%负载率时＜3%；输入功率因数，满载时≥0.999，50%负载率时≥0.999。30%负载率时≥0.999，需提供检测报告作为证明材料。</w:t>
            </w:r>
          </w:p>
          <w:p w14:paraId="1F012F27">
            <w:pPr>
              <w:keepLines/>
              <w:widowControl/>
              <w:jc w:val="left"/>
              <w:rPr>
                <w:rFonts w:hint="eastAsia" w:ascii="宋体" w:hAnsi="宋体" w:eastAsia="宋体" w:cs="宋体"/>
                <w:kern w:val="0"/>
                <w:szCs w:val="21"/>
              </w:rPr>
            </w:pPr>
            <w:r>
              <w:rPr>
                <w:rFonts w:hint="eastAsia" w:ascii="宋体" w:hAnsi="宋体" w:eastAsia="宋体" w:cs="宋体"/>
                <w:kern w:val="0"/>
                <w:szCs w:val="21"/>
              </w:rPr>
              <w:t>8、★整机系统效率：30%及50%负载时，效率≥97.5%；提供投标产品的检验报告资料证明。</w:t>
            </w:r>
          </w:p>
          <w:p w14:paraId="4418EF2A">
            <w:pPr>
              <w:keepLines/>
              <w:widowControl/>
              <w:jc w:val="left"/>
              <w:rPr>
                <w:rFonts w:hint="eastAsia" w:ascii="宋体" w:hAnsi="宋体" w:eastAsia="宋体" w:cs="宋体"/>
                <w:kern w:val="0"/>
                <w:szCs w:val="21"/>
              </w:rPr>
            </w:pPr>
            <w:r>
              <w:rPr>
                <w:rFonts w:hint="eastAsia" w:ascii="宋体" w:hAnsi="宋体" w:eastAsia="宋体" w:cs="宋体"/>
                <w:kern w:val="0"/>
                <w:szCs w:val="21"/>
              </w:rPr>
              <w:t>9、系统应具备故障录波功能，可对系统控制逻辑捕获的实时波形进行故障排除，并将实时波形报告给最终用户或服务人员。系统显示屏上可提供系统的事件日志。工作电压、电流等数据为实时采集，在设备正常工作时，将设备正常工作时的波形数据存储进内存，并不断刷新。</w:t>
            </w:r>
          </w:p>
          <w:p w14:paraId="48DC9476">
            <w:pPr>
              <w:keepLines/>
              <w:widowControl/>
              <w:jc w:val="left"/>
              <w:rPr>
                <w:rFonts w:hint="eastAsia" w:ascii="宋体" w:hAnsi="宋体" w:eastAsia="宋体" w:cs="宋体"/>
                <w:kern w:val="0"/>
                <w:szCs w:val="21"/>
              </w:rPr>
            </w:pPr>
            <w:r>
              <w:rPr>
                <w:rFonts w:hint="eastAsia" w:ascii="宋体" w:hAnsi="宋体" w:eastAsia="宋体" w:cs="宋体"/>
                <w:kern w:val="0"/>
                <w:szCs w:val="21"/>
              </w:rPr>
              <w:t>10、设备应能提供全中文监控及操作界面和全中文远程监控管理界面，应提供不小于8英寸全中文显示的LCD显示器，方便查看与操作。</w:t>
            </w:r>
          </w:p>
          <w:p w14:paraId="23687257">
            <w:pPr>
              <w:keepLines/>
              <w:widowControl/>
              <w:jc w:val="left"/>
              <w:rPr>
                <w:rFonts w:hint="eastAsia" w:ascii="宋体" w:hAnsi="宋体" w:eastAsia="宋体" w:cs="宋体"/>
                <w:kern w:val="0"/>
                <w:szCs w:val="21"/>
              </w:rPr>
            </w:pPr>
            <w:r>
              <w:rPr>
                <w:rFonts w:hint="eastAsia" w:ascii="宋体" w:hAnsi="宋体" w:eastAsia="宋体" w:cs="宋体"/>
                <w:kern w:val="0"/>
                <w:szCs w:val="21"/>
              </w:rPr>
              <w:t>11、系统需配置相应的电池开关柜。柜内标配的电池总开关要求选用头部品牌断路器，电池总开关应具有分励脱扣线圈，此外电池总开关柜具有以下功能：</w:t>
            </w:r>
          </w:p>
          <w:p w14:paraId="7F4AEE8E">
            <w:pPr>
              <w:keepLines/>
              <w:widowControl/>
              <w:jc w:val="left"/>
              <w:rPr>
                <w:rFonts w:ascii="宋体" w:hAnsi="宋体" w:eastAsia="宋体" w:cs="宋体"/>
                <w:kern w:val="0"/>
                <w:szCs w:val="21"/>
              </w:rPr>
            </w:pPr>
            <w:r>
              <w:rPr>
                <w:rFonts w:ascii="宋体" w:hAnsi="宋体" w:eastAsia="宋体" w:cs="宋体"/>
                <w:kern w:val="0"/>
                <w:szCs w:val="21"/>
              </w:rPr>
              <w:t></w:t>
            </w:r>
            <w:r>
              <w:rPr>
                <w:rFonts w:ascii="宋体" w:hAnsi="宋体" w:eastAsia="宋体" w:cs="宋体"/>
                <w:kern w:val="0"/>
                <w:szCs w:val="21"/>
              </w:rPr>
              <w:tab/>
            </w:r>
            <w:r>
              <w:rPr>
                <w:rFonts w:hint="eastAsia" w:ascii="宋体" w:hAnsi="宋体" w:eastAsia="宋体" w:cs="宋体"/>
                <w:kern w:val="0"/>
                <w:szCs w:val="21"/>
              </w:rPr>
              <w:t>①在设备出现故障需断开电池开关时，设备发出信号，使电池开关跳闸，同时电池开关需有过载保护和短路保护的脱扣功能；</w:t>
            </w:r>
          </w:p>
          <w:p w14:paraId="6A7B3335">
            <w:pPr>
              <w:keepLines/>
              <w:widowControl/>
              <w:jc w:val="left"/>
              <w:rPr>
                <w:rFonts w:ascii="宋体" w:hAnsi="宋体" w:eastAsia="宋体" w:cs="宋体"/>
                <w:kern w:val="0"/>
                <w:szCs w:val="21"/>
              </w:rPr>
            </w:pPr>
            <w:r>
              <w:rPr>
                <w:rFonts w:ascii="宋体" w:hAnsi="宋体" w:eastAsia="宋体" w:cs="宋体"/>
                <w:kern w:val="0"/>
                <w:szCs w:val="21"/>
              </w:rPr>
              <w:t></w:t>
            </w:r>
            <w:r>
              <w:rPr>
                <w:rFonts w:ascii="宋体" w:hAnsi="宋体" w:eastAsia="宋体" w:cs="宋体"/>
                <w:kern w:val="0"/>
                <w:szCs w:val="21"/>
              </w:rPr>
              <w:tab/>
            </w:r>
            <w:r>
              <w:rPr>
                <w:rFonts w:hint="eastAsia" w:ascii="宋体" w:hAnsi="宋体" w:eastAsia="宋体" w:cs="宋体"/>
                <w:kern w:val="0"/>
                <w:szCs w:val="21"/>
              </w:rPr>
              <w:t>②支持</w:t>
            </w:r>
            <w:r>
              <w:rPr>
                <w:rFonts w:ascii="宋体" w:hAnsi="宋体" w:eastAsia="宋体" w:cs="宋体"/>
                <w:kern w:val="0"/>
                <w:szCs w:val="21"/>
              </w:rPr>
              <w:t>EPO</w:t>
            </w:r>
            <w:r>
              <w:rPr>
                <w:rFonts w:hint="eastAsia" w:ascii="宋体" w:hAnsi="宋体" w:eastAsia="宋体" w:cs="宋体"/>
                <w:kern w:val="0"/>
                <w:szCs w:val="21"/>
              </w:rPr>
              <w:t>功能。按下设备触摸控制面板上的</w:t>
            </w:r>
            <w:r>
              <w:rPr>
                <w:rFonts w:ascii="宋体" w:hAnsi="宋体" w:eastAsia="宋体" w:cs="宋体"/>
                <w:kern w:val="0"/>
                <w:szCs w:val="21"/>
              </w:rPr>
              <w:t>EPO</w:t>
            </w:r>
            <w:r>
              <w:rPr>
                <w:rFonts w:hint="eastAsia" w:ascii="宋体" w:hAnsi="宋体" w:eastAsia="宋体" w:cs="宋体"/>
                <w:kern w:val="0"/>
                <w:szCs w:val="21"/>
              </w:rPr>
              <w:t>开关时，电池开关自动断开；</w:t>
            </w:r>
          </w:p>
          <w:p w14:paraId="56C9319A">
            <w:pPr>
              <w:keepLines/>
              <w:widowControl/>
              <w:jc w:val="left"/>
              <w:rPr>
                <w:rFonts w:hint="eastAsia" w:ascii="宋体" w:hAnsi="宋体" w:eastAsia="宋体" w:cs="宋体"/>
                <w:kern w:val="0"/>
                <w:szCs w:val="21"/>
              </w:rPr>
            </w:pPr>
            <w:r>
              <w:rPr>
                <w:rFonts w:hint="eastAsia" w:ascii="宋体" w:hAnsi="宋体" w:eastAsia="宋体" w:cs="宋体"/>
                <w:kern w:val="0"/>
                <w:szCs w:val="21"/>
              </w:rPr>
              <w:t>12、逆变器过载能力：110%额定电流，过载1小时；125%额定电流，过载10min；150%额定电流，过载1分钟后转旁路供电。</w:t>
            </w:r>
          </w:p>
          <w:p w14:paraId="186704B0">
            <w:pPr>
              <w:keepLines/>
              <w:widowControl/>
              <w:jc w:val="left"/>
              <w:rPr>
                <w:rFonts w:hint="eastAsia" w:ascii="宋体" w:hAnsi="宋体" w:eastAsia="宋体" w:cs="宋体"/>
                <w:kern w:val="0"/>
                <w:szCs w:val="21"/>
              </w:rPr>
            </w:pPr>
            <w:r>
              <w:rPr>
                <w:rFonts w:hint="eastAsia" w:ascii="宋体" w:hAnsi="宋体" w:eastAsia="宋体" w:cs="宋体"/>
                <w:kern w:val="0"/>
                <w:szCs w:val="21"/>
              </w:rPr>
              <w:t>13、系统具备独立电池变换器。采用2线电池，电池无需N线，节省电池线缆投资。需提供投标产品的宣传彩页或用户手册作证明材料。</w:t>
            </w:r>
          </w:p>
          <w:p w14:paraId="1E94BFF6">
            <w:pPr>
              <w:keepLines/>
              <w:widowControl/>
              <w:jc w:val="left"/>
              <w:rPr>
                <w:rFonts w:hint="eastAsia" w:ascii="宋体" w:hAnsi="宋体" w:eastAsia="宋体" w:cs="宋体"/>
                <w:kern w:val="0"/>
                <w:szCs w:val="21"/>
              </w:rPr>
            </w:pPr>
            <w:r>
              <w:rPr>
                <w:rFonts w:hint="eastAsia" w:ascii="宋体" w:hAnsi="宋体" w:eastAsia="宋体" w:cs="宋体"/>
                <w:kern w:val="0"/>
                <w:szCs w:val="21"/>
              </w:rPr>
              <w:t>14、供应商提供的模块化不间断电源具有并提供产品碳足迹报告。</w:t>
            </w:r>
          </w:p>
          <w:p w14:paraId="717D54A7">
            <w:pPr>
              <w:keepLines/>
              <w:widowControl/>
              <w:jc w:val="left"/>
              <w:rPr>
                <w:rFonts w:hint="eastAsia" w:ascii="宋体" w:hAnsi="宋体" w:eastAsia="宋体" w:cs="宋体"/>
                <w:kern w:val="0"/>
                <w:szCs w:val="21"/>
              </w:rPr>
            </w:pPr>
            <w:r>
              <w:rPr>
                <w:rFonts w:hint="eastAsia" w:ascii="宋体" w:hAnsi="宋体" w:eastAsia="宋体" w:cs="宋体"/>
                <w:kern w:val="0"/>
                <w:szCs w:val="21"/>
              </w:rPr>
              <w:t>15、★设备的制造商须通过ISO50001能效管理体系认证，证书内认证覆盖的业务范围需包含交流不间断电源，需提供对应证书作证明材料。</w:t>
            </w:r>
          </w:p>
          <w:p w14:paraId="1DD4C2CE">
            <w:pPr>
              <w:keepLines/>
              <w:widowControl/>
              <w:jc w:val="left"/>
              <w:rPr>
                <w:rFonts w:hint="eastAsia" w:ascii="宋体" w:hAnsi="宋体" w:eastAsia="宋体" w:cs="宋体"/>
                <w:kern w:val="0"/>
                <w:szCs w:val="21"/>
              </w:rPr>
            </w:pPr>
            <w:r>
              <w:rPr>
                <w:rFonts w:hint="eastAsia" w:ascii="宋体" w:hAnsi="宋体" w:eastAsia="宋体" w:cs="宋体"/>
                <w:kern w:val="0"/>
                <w:szCs w:val="21"/>
              </w:rPr>
              <w:t>16、提供不少于三年的原厂售后服务。</w:t>
            </w:r>
          </w:p>
        </w:tc>
        <w:tc>
          <w:tcPr>
            <w:tcW w:w="311" w:type="pct"/>
            <w:noWrap w:val="0"/>
            <w:vAlign w:val="center"/>
          </w:tcPr>
          <w:p w14:paraId="3F76CC95">
            <w:pPr>
              <w:keepLines/>
              <w:widowControl/>
              <w:jc w:val="center"/>
              <w:rPr>
                <w:rFonts w:hint="eastAsia" w:ascii="宋体" w:hAnsi="宋体" w:eastAsia="宋体" w:cs="宋体"/>
                <w:kern w:val="0"/>
                <w:szCs w:val="21"/>
              </w:rPr>
            </w:pPr>
            <w:r>
              <w:rPr>
                <w:rFonts w:hint="eastAsia" w:ascii="宋体" w:hAnsi="宋体" w:eastAsia="宋体" w:cs="宋体"/>
                <w:kern w:val="0"/>
                <w:szCs w:val="21"/>
              </w:rPr>
              <w:t>1套</w:t>
            </w:r>
          </w:p>
        </w:tc>
        <w:tc>
          <w:tcPr>
            <w:tcW w:w="250" w:type="pct"/>
            <w:noWrap w:val="0"/>
            <w:vAlign w:val="center"/>
          </w:tcPr>
          <w:p w14:paraId="48AE3C36">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r>
      <w:tr w14:paraId="08B2B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0F279EE1">
            <w:pPr>
              <w:keepLines/>
              <w:widowControl/>
              <w:jc w:val="center"/>
              <w:rPr>
                <w:rFonts w:hint="eastAsia" w:ascii="宋体" w:hAnsi="宋体" w:eastAsia="宋体" w:cs="宋体"/>
                <w:kern w:val="0"/>
                <w:szCs w:val="21"/>
              </w:rPr>
            </w:pPr>
            <w:r>
              <w:rPr>
                <w:rFonts w:hint="eastAsia" w:ascii="宋体" w:hAnsi="宋体" w:eastAsia="宋体" w:cs="宋体"/>
                <w:kern w:val="0"/>
                <w:szCs w:val="21"/>
              </w:rPr>
              <w:t>2</w:t>
            </w:r>
          </w:p>
        </w:tc>
        <w:tc>
          <w:tcPr>
            <w:tcW w:w="533" w:type="pct"/>
            <w:noWrap w:val="0"/>
            <w:vAlign w:val="center"/>
          </w:tcPr>
          <w:p w14:paraId="26808775">
            <w:pPr>
              <w:keepLines/>
              <w:widowControl/>
              <w:jc w:val="center"/>
              <w:rPr>
                <w:rFonts w:hint="eastAsia" w:ascii="宋体" w:hAnsi="宋体" w:eastAsia="宋体" w:cs="宋体"/>
                <w:kern w:val="0"/>
                <w:szCs w:val="21"/>
              </w:rPr>
            </w:pPr>
            <w:r>
              <w:rPr>
                <w:rFonts w:hint="eastAsia" w:ascii="宋体" w:hAnsi="宋体" w:eastAsia="宋体" w:cs="宋体"/>
                <w:kern w:val="0"/>
                <w:szCs w:val="21"/>
              </w:rPr>
              <w:t>铅酸蓄电池</w:t>
            </w:r>
          </w:p>
        </w:tc>
        <w:tc>
          <w:tcPr>
            <w:tcW w:w="3655" w:type="pct"/>
            <w:noWrap w:val="0"/>
            <w:vAlign w:val="center"/>
          </w:tcPr>
          <w:p w14:paraId="6ADBBDD2">
            <w:pPr>
              <w:keepLines/>
              <w:widowControl/>
              <w:jc w:val="left"/>
              <w:rPr>
                <w:rFonts w:hint="eastAsia" w:ascii="宋体" w:hAnsi="宋体" w:eastAsia="宋体" w:cs="宋体"/>
                <w:kern w:val="0"/>
                <w:szCs w:val="21"/>
              </w:rPr>
            </w:pPr>
            <w:r>
              <w:rPr>
                <w:rFonts w:hint="eastAsia" w:ascii="宋体" w:hAnsi="宋体" w:eastAsia="宋体" w:cs="宋体"/>
                <w:kern w:val="0"/>
                <w:szCs w:val="21"/>
              </w:rPr>
              <w:t>1、采用免维护铅酸蓄电池供电，蓄电池容量≥200AH，每组40节蓄电池，含电池架及设备支架。</w:t>
            </w:r>
            <w:r>
              <w:rPr>
                <w:rFonts w:hint="eastAsia" w:ascii="宋体" w:hAnsi="宋体" w:eastAsia="宋体" w:cs="宋体"/>
                <w:kern w:val="0"/>
                <w:szCs w:val="21"/>
              </w:rPr>
              <w:br w:type="textWrapping"/>
            </w:r>
            <w:r>
              <w:rPr>
                <w:rFonts w:hint="eastAsia" w:ascii="宋体" w:hAnsi="宋体" w:eastAsia="宋体" w:cs="宋体"/>
                <w:kern w:val="0"/>
                <w:szCs w:val="21"/>
              </w:rPr>
              <w:t>2、蓄电池在环境温度25℃时的设计寿命不低于12年。</w:t>
            </w:r>
            <w:r>
              <w:rPr>
                <w:rFonts w:hint="eastAsia" w:ascii="宋体" w:hAnsi="宋体" w:eastAsia="宋体" w:cs="宋体"/>
                <w:kern w:val="0"/>
                <w:szCs w:val="21"/>
              </w:rPr>
              <w:br w:type="textWrapping"/>
            </w:r>
            <w:r>
              <w:rPr>
                <w:rFonts w:hint="eastAsia" w:ascii="宋体" w:hAnsi="宋体" w:eastAsia="宋体" w:cs="宋体"/>
                <w:kern w:val="0"/>
                <w:szCs w:val="21"/>
              </w:rPr>
              <w:t>3、蓄电池采用全密封防泄漏结构，外壳无异常变形、裂纹及污迹，上盖及端子无损伤，正常工作时无酸雾逸出。</w:t>
            </w:r>
            <w:r>
              <w:rPr>
                <w:rFonts w:hint="eastAsia" w:ascii="宋体" w:hAnsi="宋体" w:eastAsia="宋体" w:cs="宋体"/>
                <w:kern w:val="0"/>
                <w:szCs w:val="21"/>
              </w:rPr>
              <w:br w:type="textWrapping"/>
            </w:r>
            <w:r>
              <w:rPr>
                <w:rFonts w:hint="eastAsia" w:ascii="宋体" w:hAnsi="宋体" w:eastAsia="宋体" w:cs="宋体"/>
                <w:kern w:val="0"/>
                <w:szCs w:val="21"/>
              </w:rPr>
              <w:t>4、蓄电池极性正确，正负极性及端子应有明显标志，便于连接。极板厚度应与使用寿命相适应。</w:t>
            </w:r>
            <w:r>
              <w:rPr>
                <w:rFonts w:hint="eastAsia" w:ascii="宋体" w:hAnsi="宋体" w:eastAsia="宋体" w:cs="宋体"/>
                <w:kern w:val="0"/>
                <w:szCs w:val="21"/>
              </w:rPr>
              <w:br w:type="textWrapping"/>
            </w:r>
            <w:r>
              <w:rPr>
                <w:rFonts w:hint="eastAsia" w:ascii="宋体" w:hAnsi="宋体" w:eastAsia="宋体" w:cs="宋体"/>
                <w:kern w:val="0"/>
                <w:szCs w:val="21"/>
              </w:rPr>
              <w:t>5、阻燃性能：蓄电池间连接条、终端接头应选择导电性能优良的材料，并具有防腐蚀措施。蓄电池槽、盖等材料应具有阻燃性，其阻燃标准应符合应符合YD/T799-2010中第6.4条的要求。</w:t>
            </w:r>
            <w:r>
              <w:rPr>
                <w:rFonts w:hint="eastAsia" w:ascii="宋体" w:hAnsi="宋体" w:eastAsia="宋体" w:cs="宋体"/>
                <w:kern w:val="0"/>
                <w:szCs w:val="21"/>
              </w:rPr>
              <w:br w:type="textWrapping"/>
            </w:r>
            <w:r>
              <w:rPr>
                <w:rFonts w:hint="eastAsia" w:ascii="宋体" w:hAnsi="宋体" w:eastAsia="宋体" w:cs="宋体"/>
                <w:kern w:val="0"/>
                <w:szCs w:val="21"/>
              </w:rPr>
              <w:t>6、蓄电池使用期间安全阀应自动开启闭合，闭阀压力应在10KPa-20KPa范围内，开阀压力应在10KPa-22KPa范围内。</w:t>
            </w:r>
            <w:r>
              <w:rPr>
                <w:rFonts w:hint="eastAsia" w:ascii="宋体" w:hAnsi="宋体" w:eastAsia="宋体" w:cs="宋体"/>
                <w:kern w:val="0"/>
                <w:szCs w:val="21"/>
              </w:rPr>
              <w:br w:type="textWrapping"/>
            </w:r>
            <w:r>
              <w:rPr>
                <w:rFonts w:hint="eastAsia" w:ascii="宋体" w:hAnsi="宋体" w:eastAsia="宋体" w:cs="宋体"/>
                <w:kern w:val="0"/>
                <w:szCs w:val="21"/>
              </w:rPr>
              <w:t>7、密封反应效率＞97%；</w:t>
            </w:r>
            <w:r>
              <w:rPr>
                <w:rFonts w:hint="eastAsia" w:ascii="宋体" w:hAnsi="宋体" w:eastAsia="宋体" w:cs="宋体"/>
                <w:kern w:val="0"/>
                <w:szCs w:val="21"/>
              </w:rPr>
              <w:br w:type="textWrapping"/>
            </w:r>
            <w:r>
              <w:rPr>
                <w:rFonts w:hint="eastAsia" w:ascii="宋体" w:hAnsi="宋体" w:eastAsia="宋体" w:cs="宋体"/>
                <w:kern w:val="0"/>
                <w:szCs w:val="21"/>
              </w:rPr>
              <w:t>8、提供不少于三年的原厂售后服务。</w:t>
            </w:r>
          </w:p>
        </w:tc>
        <w:tc>
          <w:tcPr>
            <w:tcW w:w="311" w:type="pct"/>
            <w:noWrap w:val="0"/>
            <w:vAlign w:val="center"/>
          </w:tcPr>
          <w:p w14:paraId="646E2401">
            <w:pPr>
              <w:keepLines/>
              <w:widowControl/>
              <w:jc w:val="center"/>
              <w:rPr>
                <w:rFonts w:hint="eastAsia" w:ascii="宋体" w:hAnsi="宋体" w:eastAsia="宋体" w:cs="宋体"/>
                <w:kern w:val="0"/>
                <w:szCs w:val="21"/>
              </w:rPr>
            </w:pPr>
            <w:r>
              <w:rPr>
                <w:rFonts w:hint="eastAsia" w:ascii="宋体" w:hAnsi="宋体" w:eastAsia="宋体" w:cs="宋体"/>
                <w:kern w:val="0"/>
                <w:szCs w:val="21"/>
              </w:rPr>
              <w:t>2组</w:t>
            </w:r>
          </w:p>
        </w:tc>
        <w:tc>
          <w:tcPr>
            <w:tcW w:w="250" w:type="pct"/>
            <w:noWrap w:val="0"/>
            <w:vAlign w:val="center"/>
          </w:tcPr>
          <w:p w14:paraId="5F63BFF4">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r>
      <w:tr w14:paraId="3550F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3930EA98">
            <w:pPr>
              <w:keepLines/>
              <w:widowControl/>
              <w:jc w:val="center"/>
              <w:rPr>
                <w:rFonts w:hint="eastAsia" w:ascii="宋体" w:hAnsi="宋体" w:eastAsia="宋体" w:cs="宋体"/>
                <w:kern w:val="0"/>
                <w:szCs w:val="21"/>
              </w:rPr>
            </w:pPr>
            <w:r>
              <w:rPr>
                <w:rFonts w:hint="eastAsia" w:ascii="宋体" w:hAnsi="宋体" w:eastAsia="宋体" w:cs="宋体"/>
                <w:kern w:val="0"/>
                <w:szCs w:val="21"/>
              </w:rPr>
              <w:t>3</w:t>
            </w:r>
          </w:p>
        </w:tc>
        <w:tc>
          <w:tcPr>
            <w:tcW w:w="533" w:type="pct"/>
            <w:noWrap w:val="0"/>
            <w:vAlign w:val="center"/>
          </w:tcPr>
          <w:p w14:paraId="0565A794">
            <w:pPr>
              <w:keepLines/>
              <w:widowControl/>
              <w:jc w:val="center"/>
              <w:rPr>
                <w:rFonts w:hint="eastAsia" w:ascii="宋体" w:hAnsi="宋体" w:eastAsia="宋体" w:cs="宋体"/>
                <w:kern w:val="0"/>
                <w:szCs w:val="21"/>
              </w:rPr>
            </w:pPr>
            <w:r>
              <w:rPr>
                <w:rFonts w:hint="eastAsia" w:ascii="宋体" w:hAnsi="宋体" w:eastAsia="宋体" w:cs="宋体"/>
                <w:kern w:val="0"/>
                <w:szCs w:val="21"/>
              </w:rPr>
              <w:t>氟泵列间空调</w:t>
            </w:r>
          </w:p>
        </w:tc>
        <w:tc>
          <w:tcPr>
            <w:tcW w:w="3655" w:type="pct"/>
            <w:noWrap w:val="0"/>
            <w:vAlign w:val="center"/>
          </w:tcPr>
          <w:p w14:paraId="2BF88D5D">
            <w:pPr>
              <w:keepLines/>
              <w:widowControl/>
              <w:jc w:val="left"/>
              <w:rPr>
                <w:rFonts w:ascii="宋体" w:hAnsi="宋体" w:eastAsia="宋体" w:cs="宋体"/>
                <w:kern w:val="0"/>
                <w:szCs w:val="21"/>
              </w:rPr>
            </w:pPr>
            <w:r>
              <w:rPr>
                <w:rFonts w:hint="eastAsia" w:ascii="宋体" w:hAnsi="宋体" w:eastAsia="宋体" w:cs="宋体"/>
                <w:kern w:val="0"/>
                <w:szCs w:val="21"/>
              </w:rPr>
              <w:t>一、系统要求：</w:t>
            </w:r>
            <w:r>
              <w:rPr>
                <w:rFonts w:hint="eastAsia" w:ascii="宋体" w:hAnsi="宋体" w:eastAsia="宋体" w:cs="宋体"/>
                <w:kern w:val="0"/>
                <w:szCs w:val="21"/>
              </w:rPr>
              <w:br w:type="textWrapping"/>
            </w:r>
            <w:r>
              <w:rPr>
                <w:rFonts w:hint="eastAsia" w:ascii="宋体" w:hAnsi="宋体" w:eastAsia="宋体" w:cs="宋体"/>
                <w:kern w:val="0"/>
                <w:szCs w:val="21"/>
              </w:rPr>
              <w:t>★要求设备必须为原厂生产产品(非ODM或OEM代工产品)。提供同系列产品的第三方检测报告。</w:t>
            </w:r>
            <w:r>
              <w:rPr>
                <w:rFonts w:hint="eastAsia" w:ascii="宋体" w:hAnsi="宋体" w:eastAsia="宋体" w:cs="宋体"/>
                <w:kern w:val="0"/>
                <w:szCs w:val="21"/>
              </w:rPr>
              <w:br w:type="textWrapping"/>
            </w:r>
            <w:r>
              <w:rPr>
                <w:rFonts w:hint="eastAsia" w:ascii="宋体" w:hAnsi="宋体" w:eastAsia="宋体" w:cs="宋体"/>
                <w:kern w:val="0"/>
                <w:szCs w:val="21"/>
              </w:rPr>
              <w:t>二、技术要求:</w:t>
            </w:r>
            <w:r>
              <w:rPr>
                <w:rFonts w:hint="eastAsia" w:ascii="宋体" w:hAnsi="宋体" w:eastAsia="宋体" w:cs="宋体"/>
                <w:kern w:val="0"/>
                <w:szCs w:val="21"/>
              </w:rPr>
              <w:br w:type="textWrapping"/>
            </w:r>
            <w:r>
              <w:rPr>
                <w:rFonts w:hint="eastAsia" w:ascii="宋体" w:hAnsi="宋体" w:eastAsia="宋体" w:cs="宋体"/>
                <w:kern w:val="0"/>
                <w:szCs w:val="21"/>
              </w:rPr>
              <w:t>1、总体要求：单台空调室内机总冷量≥65KW，单台空调风量≥12000m³/h，加热量≥6KW,加湿量≥1.5Kg/h，含制冷剂及设备支架，室外机环境温度不低于45℃，室外机采用集成变频氟泵功能的V型集中式冷凝器，室外机采用的V型冷凝器，兼容泵组件，氟泵不单独占用室外占地面积。</w:t>
            </w:r>
            <w:r>
              <w:rPr>
                <w:rFonts w:hint="eastAsia" w:ascii="宋体" w:hAnsi="宋体" w:eastAsia="宋体" w:cs="宋体"/>
                <w:kern w:val="0"/>
                <w:szCs w:val="21"/>
              </w:rPr>
              <w:br w:type="textWrapping"/>
            </w:r>
            <w:r>
              <w:rPr>
                <w:rFonts w:hint="eastAsia" w:ascii="宋体" w:hAnsi="宋体" w:eastAsia="宋体" w:cs="宋体"/>
                <w:kern w:val="0"/>
                <w:szCs w:val="21"/>
              </w:rPr>
              <w:t>2、列间空调机组输入电压允许波动范围220/380V±10%，频率50HZ±2HZ。湿度调节范围20%～55%RH，湿度调节精度±5%RH。</w:t>
            </w:r>
            <w:r>
              <w:rPr>
                <w:rFonts w:hint="eastAsia" w:ascii="宋体" w:hAnsi="宋体" w:eastAsia="宋体" w:cs="宋体"/>
                <w:kern w:val="0"/>
                <w:szCs w:val="21"/>
              </w:rPr>
              <w:br w:type="textWrapping"/>
            </w:r>
            <w:r>
              <w:rPr>
                <w:rFonts w:hint="eastAsia" w:ascii="宋体" w:hAnsi="宋体" w:eastAsia="宋体" w:cs="宋体"/>
                <w:kern w:val="0"/>
                <w:szCs w:val="21"/>
              </w:rPr>
              <w:t>3、列间空调应具有高效节能性，压缩机采用变频涡旋压缩机，冷量输出可实现20%-100%连续调节。</w:t>
            </w:r>
          </w:p>
          <w:p w14:paraId="5D270624">
            <w:pPr>
              <w:keepLines/>
              <w:widowControl/>
              <w:jc w:val="left"/>
              <w:rPr>
                <w:rFonts w:ascii="宋体" w:hAnsi="宋体" w:eastAsia="宋体" w:cs="宋体"/>
                <w:kern w:val="0"/>
                <w:szCs w:val="21"/>
              </w:rPr>
            </w:pPr>
            <w:r>
              <w:rPr>
                <w:rFonts w:hint="eastAsia" w:ascii="宋体" w:hAnsi="宋体" w:eastAsia="宋体" w:cs="宋体"/>
                <w:kern w:val="0"/>
                <w:szCs w:val="21"/>
              </w:rPr>
              <w:t>4、</w:t>
            </w:r>
            <w:r>
              <w:rPr>
                <w:rFonts w:ascii="宋体" w:hAnsi="宋体" w:eastAsia="宋体" w:cs="宋体"/>
                <w:kern w:val="0"/>
                <w:szCs w:val="21"/>
              </w:rPr>
              <w:t>机组的室内风机系统</w:t>
            </w:r>
            <w:r>
              <w:rPr>
                <w:rFonts w:hint="eastAsia" w:ascii="宋体" w:hAnsi="宋体" w:eastAsia="宋体" w:cs="宋体"/>
                <w:kern w:val="0"/>
                <w:szCs w:val="21"/>
              </w:rPr>
              <w:t>，为保障其可靠性，应包括不少于10个的独立的EC风机（变频）， EC风机</w:t>
            </w:r>
            <w:r>
              <w:rPr>
                <w:rFonts w:ascii="宋体" w:hAnsi="宋体" w:eastAsia="宋体" w:cs="宋体"/>
                <w:kern w:val="0"/>
                <w:szCs w:val="21"/>
              </w:rPr>
              <w:t>采用不少于2个直流电源模块提供稳定可靠供电</w:t>
            </w:r>
            <w:r>
              <w:rPr>
                <w:rFonts w:hint="eastAsia" w:ascii="宋体" w:hAnsi="宋体" w:eastAsia="宋体" w:cs="宋体"/>
                <w:kern w:val="0"/>
                <w:szCs w:val="21"/>
              </w:rPr>
              <w:t>。提供2</w:t>
            </w:r>
            <w:r>
              <w:rPr>
                <w:rFonts w:ascii="宋体" w:hAnsi="宋体" w:eastAsia="宋体" w:cs="宋体"/>
                <w:kern w:val="0"/>
                <w:szCs w:val="21"/>
              </w:rPr>
              <w:t>个直流电源模块</w:t>
            </w:r>
            <w:r>
              <w:rPr>
                <w:rFonts w:hint="eastAsia" w:ascii="宋体" w:hAnsi="宋体" w:eastAsia="宋体" w:cs="宋体"/>
                <w:kern w:val="0"/>
                <w:szCs w:val="21"/>
              </w:rPr>
              <w:t>图片</w:t>
            </w:r>
            <w:r>
              <w:rPr>
                <w:rFonts w:ascii="宋体" w:hAnsi="宋体" w:eastAsia="宋体" w:cs="宋体"/>
                <w:kern w:val="0"/>
                <w:szCs w:val="21"/>
              </w:rPr>
              <w:t>。</w:t>
            </w:r>
            <w:r>
              <w:rPr>
                <w:rFonts w:hint="eastAsia" w:ascii="宋体" w:hAnsi="宋体" w:eastAsia="宋体" w:cs="宋体"/>
                <w:kern w:val="0"/>
                <w:szCs w:val="21"/>
              </w:rPr>
              <w:br w:type="textWrapping"/>
            </w:r>
            <w:r>
              <w:rPr>
                <w:rFonts w:hint="eastAsia" w:ascii="宋体" w:hAnsi="宋体" w:eastAsia="宋体" w:cs="宋体"/>
                <w:kern w:val="0"/>
                <w:szCs w:val="21"/>
              </w:rPr>
              <w:t>5、应选用“V”型大面积蒸发器，保障换热效率。</w:t>
            </w:r>
            <w:r>
              <w:rPr>
                <w:rFonts w:hint="eastAsia" w:ascii="宋体" w:hAnsi="宋体" w:eastAsia="宋体" w:cs="宋体"/>
                <w:kern w:val="0"/>
                <w:szCs w:val="21"/>
              </w:rPr>
              <w:br w:type="textWrapping"/>
            </w:r>
            <w:r>
              <w:rPr>
                <w:rFonts w:hint="eastAsia" w:ascii="宋体" w:hAnsi="宋体" w:eastAsia="宋体" w:cs="宋体"/>
                <w:kern w:val="0"/>
                <w:szCs w:val="21"/>
              </w:rPr>
              <w:t>6、列间空调的控制系统：应采用先进的模糊逻辑控制或PID微处理控制器，具有≥7寸LCD大屏幕触摸式显示器，存储历史告警信息不小于999条。每台机组标准应配置不少于1个回风温湿度传感器和2个送风温度传感器。</w:t>
            </w:r>
          </w:p>
          <w:p w14:paraId="61CFA5F8">
            <w:pPr>
              <w:keepLines/>
              <w:widowControl/>
              <w:jc w:val="left"/>
              <w:rPr>
                <w:rFonts w:ascii="宋体" w:hAnsi="宋体" w:eastAsia="宋体" w:cs="宋体"/>
                <w:color w:val="FF0000"/>
                <w:kern w:val="0"/>
                <w:szCs w:val="21"/>
              </w:rPr>
            </w:pPr>
            <w:r>
              <w:rPr>
                <w:rFonts w:hint="eastAsia" w:ascii="宋体" w:hAnsi="宋体" w:eastAsia="宋体" w:cs="宋体"/>
                <w:kern w:val="0"/>
                <w:szCs w:val="21"/>
              </w:rPr>
              <w:t>7、</w:t>
            </w:r>
            <w:r>
              <w:rPr>
                <w:rFonts w:ascii="宋体" w:hAnsi="宋体" w:eastAsia="宋体" w:cs="宋体"/>
                <w:kern w:val="0"/>
                <w:szCs w:val="21"/>
              </w:rPr>
              <w:t>★室外机噪音小于等于55dB(A)需提供第三方权威测试报告。</w:t>
            </w:r>
            <w:r>
              <w:rPr>
                <w:rFonts w:hint="eastAsia" w:ascii="宋体" w:hAnsi="宋体" w:eastAsia="宋体" w:cs="宋体"/>
                <w:kern w:val="0"/>
                <w:szCs w:val="21"/>
              </w:rPr>
              <w:br w:type="textWrapping"/>
            </w:r>
            <w:r>
              <w:rPr>
                <w:rFonts w:hint="eastAsia" w:ascii="宋体" w:hAnsi="宋体" w:eastAsia="宋体" w:cs="宋体"/>
                <w:kern w:val="0"/>
                <w:szCs w:val="21"/>
              </w:rPr>
              <w:t>8、为确保微模块产品间的耦合性、一致性，便于维护管理，配电柜、精密列头柜、机柜、精密空调、模块化不间断电源、封闭冷通道、微动环监控需采用同一品牌。要求提供不少于三年的原厂售后服务。</w:t>
            </w:r>
          </w:p>
          <w:p w14:paraId="0D786C42">
            <w:pPr>
              <w:keepLines/>
              <w:widowControl/>
              <w:jc w:val="left"/>
              <w:rPr>
                <w:rFonts w:ascii="宋体" w:hAnsi="宋体" w:eastAsia="宋体" w:cs="宋体"/>
                <w:kern w:val="0"/>
                <w:szCs w:val="21"/>
              </w:rPr>
            </w:pPr>
            <w:r>
              <w:rPr>
                <w:rFonts w:hint="eastAsia" w:ascii="宋体" w:hAnsi="宋体" w:eastAsia="宋体" w:cs="宋体"/>
                <w:kern w:val="0"/>
                <w:szCs w:val="21"/>
              </w:rPr>
              <w:t>9、投标人所提供的设备必须具备中国节能认证产品认证证书。</w:t>
            </w:r>
            <w:r>
              <w:rPr>
                <w:rFonts w:hint="eastAsia" w:ascii="宋体" w:hAnsi="宋体" w:eastAsia="宋体" w:cs="宋体"/>
                <w:kern w:val="0"/>
                <w:szCs w:val="21"/>
              </w:rPr>
              <w:br w:type="textWrapping"/>
            </w:r>
            <w:r>
              <w:rPr>
                <w:rFonts w:hint="eastAsia" w:ascii="宋体" w:hAnsi="宋体" w:eastAsia="宋体" w:cs="宋体"/>
                <w:kern w:val="0"/>
                <w:szCs w:val="21"/>
              </w:rPr>
              <w:t>10、投标方所提供设备的生产制造厂商必须具有中国设备维修安装企业能力等级证书，且须满足制冷空调A类I级、D类I级以上等级，并提供相应的证书资料。</w:t>
            </w:r>
          </w:p>
          <w:p w14:paraId="11990150">
            <w:pPr>
              <w:keepLines/>
              <w:widowControl/>
              <w:jc w:val="left"/>
              <w:rPr>
                <w:rFonts w:hint="eastAsia" w:ascii="宋体" w:hAnsi="宋体" w:eastAsia="宋体" w:cs="宋体"/>
                <w:kern w:val="0"/>
                <w:szCs w:val="21"/>
              </w:rPr>
            </w:pPr>
            <w:r>
              <w:rPr>
                <w:rFonts w:hint="eastAsia" w:ascii="宋体" w:hAnsi="宋体" w:eastAsia="宋体" w:cs="宋体"/>
                <w:kern w:val="0"/>
                <w:szCs w:val="21"/>
              </w:rPr>
              <w:t>11、★为响应国家绿色节能、低碳智造，需精密空调产品具有并提供产品碳足迹报告。</w:t>
            </w:r>
          </w:p>
        </w:tc>
        <w:tc>
          <w:tcPr>
            <w:tcW w:w="311" w:type="pct"/>
            <w:noWrap w:val="0"/>
            <w:vAlign w:val="center"/>
          </w:tcPr>
          <w:p w14:paraId="4AF84DB5">
            <w:pPr>
              <w:keepLines/>
              <w:widowControl/>
              <w:jc w:val="center"/>
              <w:rPr>
                <w:rFonts w:hint="eastAsia" w:ascii="宋体" w:hAnsi="宋体" w:eastAsia="宋体" w:cs="宋体"/>
                <w:kern w:val="0"/>
                <w:szCs w:val="21"/>
              </w:rPr>
            </w:pPr>
            <w:r>
              <w:rPr>
                <w:rFonts w:hint="eastAsia" w:ascii="宋体" w:hAnsi="宋体" w:eastAsia="宋体" w:cs="宋体"/>
                <w:kern w:val="0"/>
                <w:szCs w:val="21"/>
              </w:rPr>
              <w:t>4台</w:t>
            </w:r>
          </w:p>
        </w:tc>
        <w:tc>
          <w:tcPr>
            <w:tcW w:w="250" w:type="pct"/>
            <w:noWrap w:val="0"/>
            <w:vAlign w:val="center"/>
          </w:tcPr>
          <w:p w14:paraId="6133934F">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r>
      <w:tr w14:paraId="6B9A9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4508B018">
            <w:pPr>
              <w:keepLines/>
              <w:widowControl/>
              <w:jc w:val="center"/>
              <w:rPr>
                <w:rFonts w:hint="eastAsia" w:ascii="宋体" w:hAnsi="宋体" w:eastAsia="宋体" w:cs="宋体"/>
                <w:kern w:val="0"/>
                <w:szCs w:val="21"/>
              </w:rPr>
            </w:pPr>
            <w:r>
              <w:rPr>
                <w:rFonts w:hint="eastAsia" w:ascii="宋体" w:hAnsi="宋体" w:eastAsia="宋体" w:cs="宋体"/>
                <w:kern w:val="0"/>
                <w:szCs w:val="21"/>
              </w:rPr>
              <w:t>4</w:t>
            </w:r>
          </w:p>
        </w:tc>
        <w:tc>
          <w:tcPr>
            <w:tcW w:w="533" w:type="pct"/>
            <w:noWrap w:val="0"/>
            <w:vAlign w:val="center"/>
          </w:tcPr>
          <w:p w14:paraId="00AAB175">
            <w:pPr>
              <w:keepLines/>
              <w:widowControl/>
              <w:jc w:val="center"/>
              <w:rPr>
                <w:rFonts w:hint="eastAsia" w:ascii="宋体" w:hAnsi="宋体" w:eastAsia="宋体" w:cs="宋体"/>
                <w:kern w:val="0"/>
                <w:szCs w:val="21"/>
              </w:rPr>
            </w:pPr>
            <w:r>
              <w:rPr>
                <w:rFonts w:hint="eastAsia" w:ascii="宋体" w:hAnsi="宋体" w:eastAsia="宋体" w:cs="宋体"/>
                <w:kern w:val="0"/>
                <w:szCs w:val="21"/>
              </w:rPr>
              <w:t>房间级氟泵精密空调</w:t>
            </w:r>
          </w:p>
        </w:tc>
        <w:tc>
          <w:tcPr>
            <w:tcW w:w="3655" w:type="pct"/>
            <w:noWrap w:val="0"/>
            <w:vAlign w:val="center"/>
          </w:tcPr>
          <w:p w14:paraId="653B0F27">
            <w:pPr>
              <w:keepLines/>
              <w:widowControl/>
              <w:jc w:val="left"/>
              <w:rPr>
                <w:rFonts w:ascii="宋体" w:hAnsi="宋体" w:eastAsia="宋体" w:cs="宋体"/>
                <w:kern w:val="0"/>
                <w:szCs w:val="21"/>
              </w:rPr>
            </w:pPr>
            <w:r>
              <w:rPr>
                <w:rFonts w:hint="eastAsia" w:ascii="宋体" w:hAnsi="宋体" w:eastAsia="宋体" w:cs="宋体"/>
                <w:kern w:val="0"/>
                <w:szCs w:val="21"/>
              </w:rPr>
              <w:t>1、★要求设备必须为原厂生产产品(非ODM或OEM代工产品)。提供同系列产品的第三方检测报告。</w:t>
            </w:r>
          </w:p>
          <w:p w14:paraId="40606B1D">
            <w:pPr>
              <w:keepLines/>
              <w:widowControl/>
              <w:jc w:val="left"/>
              <w:rPr>
                <w:rFonts w:ascii="宋体" w:hAnsi="宋体" w:eastAsia="宋体" w:cs="宋体"/>
                <w:kern w:val="0"/>
                <w:szCs w:val="21"/>
              </w:rPr>
            </w:pPr>
            <w:r>
              <w:rPr>
                <w:rFonts w:hint="eastAsia" w:ascii="宋体" w:hAnsi="宋体" w:eastAsia="宋体" w:cs="宋体"/>
                <w:kern w:val="0"/>
                <w:szCs w:val="21"/>
              </w:rPr>
              <w:t>2、单台空调室内机总冷量≥35KW，单台空调风量≥7400m³/h，加热量≥9KW，上送风，含制冷剂及设备支架，室外机环境温度不低于45℃，室外机采用集成变频氟泵功能的V型集中式冷凝器。</w:t>
            </w:r>
            <w:r>
              <w:rPr>
                <w:rFonts w:hint="eastAsia" w:ascii="宋体" w:hAnsi="宋体" w:eastAsia="宋体" w:cs="宋体"/>
                <w:kern w:val="0"/>
                <w:szCs w:val="21"/>
              </w:rPr>
              <w:br w:type="textWrapping"/>
            </w:r>
            <w:r>
              <w:rPr>
                <w:rFonts w:hint="eastAsia" w:ascii="宋体" w:hAnsi="宋体" w:eastAsia="宋体" w:cs="宋体"/>
                <w:kern w:val="0"/>
                <w:szCs w:val="21"/>
              </w:rPr>
              <w:t>3、 机组的室内风机系统，为保障其可靠性，应包括不少于1台的独立的EC（变频）风机。</w:t>
            </w:r>
            <w:r>
              <w:rPr>
                <w:rFonts w:hint="eastAsia" w:ascii="宋体" w:hAnsi="宋体" w:eastAsia="宋体" w:cs="宋体"/>
                <w:kern w:val="0"/>
                <w:szCs w:val="21"/>
              </w:rPr>
              <w:br w:type="textWrapping"/>
            </w:r>
            <w:r>
              <w:rPr>
                <w:rFonts w:hint="eastAsia" w:ascii="宋体" w:hAnsi="宋体" w:eastAsia="宋体" w:cs="宋体"/>
                <w:kern w:val="0"/>
                <w:szCs w:val="21"/>
              </w:rPr>
              <w:t>4、机房精密空调应能按要求自动调节室内温、湿度，具有制冷、除湿等功能。温度调节范围：18℃ ～40℃，温度调节精度：±1℃ ，温度变化率&lt;5℃/小时。</w:t>
            </w:r>
          </w:p>
          <w:p w14:paraId="52C50AF7">
            <w:pPr>
              <w:keepLines/>
              <w:widowControl/>
              <w:jc w:val="left"/>
              <w:rPr>
                <w:rFonts w:ascii="宋体" w:hAnsi="宋体" w:eastAsia="宋体" w:cs="宋体"/>
                <w:kern w:val="0"/>
                <w:szCs w:val="21"/>
              </w:rPr>
            </w:pPr>
            <w:r>
              <w:rPr>
                <w:rFonts w:hint="eastAsia" w:ascii="宋体" w:hAnsi="宋体" w:eastAsia="宋体" w:cs="宋体"/>
                <w:kern w:val="0"/>
                <w:szCs w:val="21"/>
              </w:rPr>
              <w:t>5、机房精密空调机组在系统的状态和设置正常的情况下节能空调应满足以下三种模式：1)变频压缩机模式 2)低压比模式3)氟泵自然冷模式</w:t>
            </w:r>
          </w:p>
          <w:p w14:paraId="3BFD6D4E">
            <w:pPr>
              <w:keepLines/>
              <w:widowControl/>
              <w:jc w:val="left"/>
              <w:rPr>
                <w:rFonts w:ascii="宋体" w:hAnsi="宋体" w:eastAsia="宋体" w:cs="宋体"/>
                <w:kern w:val="0"/>
                <w:szCs w:val="21"/>
              </w:rPr>
            </w:pPr>
            <w:r>
              <w:rPr>
                <w:rFonts w:hint="eastAsia" w:ascii="宋体" w:hAnsi="宋体" w:eastAsia="宋体" w:cs="宋体"/>
                <w:kern w:val="0"/>
                <w:szCs w:val="21"/>
              </w:rPr>
              <w:t>6、</w:t>
            </w:r>
            <w:r>
              <w:rPr>
                <w:rFonts w:ascii="宋体" w:hAnsi="宋体" w:eastAsia="宋体" w:cs="宋体"/>
                <w:kern w:val="0"/>
                <w:szCs w:val="21"/>
              </w:rPr>
              <w:t>室外机噪音小于等于55dB(A)需提供第三方权威测试报告。</w:t>
            </w:r>
            <w:r>
              <w:rPr>
                <w:rFonts w:hint="eastAsia" w:ascii="宋体" w:hAnsi="宋体" w:eastAsia="宋体" w:cs="宋体"/>
                <w:kern w:val="0"/>
                <w:szCs w:val="21"/>
              </w:rPr>
              <w:br w:type="textWrapping"/>
            </w:r>
            <w:r>
              <w:rPr>
                <w:rFonts w:hint="eastAsia" w:ascii="宋体" w:hAnsi="宋体" w:eastAsia="宋体" w:cs="宋体"/>
                <w:kern w:val="0"/>
                <w:szCs w:val="21"/>
              </w:rPr>
              <w:t>7、应选用高效大面积“V”型蒸发器，提高换热面积，保障换热效率，蒸发器应有爆破实验测试报告。</w:t>
            </w:r>
            <w:r>
              <w:rPr>
                <w:rFonts w:hint="eastAsia" w:ascii="宋体" w:hAnsi="宋体" w:eastAsia="宋体" w:cs="宋体"/>
                <w:kern w:val="0"/>
                <w:szCs w:val="21"/>
              </w:rPr>
              <w:br w:type="textWrapping"/>
            </w:r>
            <w:r>
              <w:rPr>
                <w:rFonts w:hint="eastAsia" w:ascii="宋体" w:hAnsi="宋体" w:eastAsia="宋体" w:cs="宋体"/>
                <w:kern w:val="0"/>
                <w:szCs w:val="21"/>
              </w:rPr>
              <w:t>8、采用电子膨胀阀，无级调节开度10%～100%，调节范围宽、速度快，流量控制精确。</w:t>
            </w:r>
            <w:r>
              <w:rPr>
                <w:rFonts w:hint="eastAsia" w:ascii="宋体" w:hAnsi="宋体" w:eastAsia="宋体" w:cs="宋体"/>
                <w:kern w:val="0"/>
                <w:szCs w:val="21"/>
              </w:rPr>
              <w:br w:type="textWrapping"/>
            </w:r>
            <w:r>
              <w:rPr>
                <w:rFonts w:hint="eastAsia" w:ascii="宋体" w:hAnsi="宋体" w:eastAsia="宋体" w:cs="宋体"/>
                <w:kern w:val="0"/>
                <w:szCs w:val="21"/>
              </w:rPr>
              <w:t>9、★投标空调应配氟泵节能系统，可实现利用自然冷达到节能的效果，氟泵的运行功率不超过550W。并提供小于550W的氟泵机组第三方检测报告。</w:t>
            </w:r>
          </w:p>
          <w:p w14:paraId="1590E7FC">
            <w:pPr>
              <w:keepLines/>
              <w:widowControl/>
              <w:jc w:val="left"/>
              <w:rPr>
                <w:rFonts w:hint="eastAsia" w:ascii="宋体" w:hAnsi="宋体" w:eastAsia="宋体" w:cs="宋体"/>
                <w:kern w:val="0"/>
                <w:szCs w:val="21"/>
              </w:rPr>
            </w:pPr>
            <w:r>
              <w:rPr>
                <w:rFonts w:hint="eastAsia" w:ascii="宋体" w:hAnsi="宋体" w:eastAsia="宋体" w:cs="宋体"/>
                <w:kern w:val="0"/>
                <w:szCs w:val="21"/>
              </w:rPr>
              <w:t>10、提供不少于三年的原厂售后服务。</w:t>
            </w:r>
          </w:p>
        </w:tc>
        <w:tc>
          <w:tcPr>
            <w:tcW w:w="311" w:type="pct"/>
            <w:noWrap w:val="0"/>
            <w:vAlign w:val="center"/>
          </w:tcPr>
          <w:p w14:paraId="6EB08FE7">
            <w:pPr>
              <w:keepLines/>
              <w:widowControl/>
              <w:jc w:val="center"/>
              <w:rPr>
                <w:rFonts w:hint="eastAsia" w:ascii="宋体" w:hAnsi="宋体" w:eastAsia="宋体" w:cs="宋体"/>
                <w:kern w:val="0"/>
                <w:szCs w:val="21"/>
              </w:rPr>
            </w:pPr>
            <w:r>
              <w:rPr>
                <w:rFonts w:hint="eastAsia" w:ascii="宋体" w:hAnsi="宋体" w:eastAsia="宋体" w:cs="宋体"/>
                <w:kern w:val="0"/>
                <w:szCs w:val="21"/>
              </w:rPr>
              <w:t>1台</w:t>
            </w:r>
          </w:p>
        </w:tc>
        <w:tc>
          <w:tcPr>
            <w:tcW w:w="250" w:type="pct"/>
            <w:noWrap w:val="0"/>
            <w:vAlign w:val="center"/>
          </w:tcPr>
          <w:p w14:paraId="35F75BF1">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r>
      <w:tr w14:paraId="51D93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2902BC57">
            <w:pPr>
              <w:keepLines/>
              <w:widowControl/>
              <w:jc w:val="center"/>
              <w:rPr>
                <w:rFonts w:hint="eastAsia" w:ascii="宋体" w:hAnsi="宋体" w:eastAsia="宋体" w:cs="宋体"/>
                <w:kern w:val="0"/>
                <w:szCs w:val="21"/>
              </w:rPr>
            </w:pPr>
            <w:r>
              <w:rPr>
                <w:rFonts w:hint="eastAsia" w:ascii="宋体" w:hAnsi="宋体" w:eastAsia="宋体" w:cs="宋体"/>
                <w:kern w:val="0"/>
                <w:szCs w:val="21"/>
              </w:rPr>
              <w:t>5</w:t>
            </w:r>
          </w:p>
        </w:tc>
        <w:tc>
          <w:tcPr>
            <w:tcW w:w="533" w:type="pct"/>
            <w:noWrap w:val="0"/>
            <w:vAlign w:val="center"/>
          </w:tcPr>
          <w:p w14:paraId="2EBE9FFA">
            <w:pPr>
              <w:keepLines/>
              <w:widowControl/>
              <w:jc w:val="center"/>
              <w:rPr>
                <w:rFonts w:hint="eastAsia" w:ascii="宋体" w:hAnsi="宋体" w:eastAsia="宋体" w:cs="宋体"/>
                <w:kern w:val="0"/>
                <w:szCs w:val="21"/>
              </w:rPr>
            </w:pPr>
            <w:r>
              <w:rPr>
                <w:rFonts w:hint="eastAsia" w:ascii="宋体" w:hAnsi="宋体" w:eastAsia="宋体" w:cs="宋体"/>
                <w:kern w:val="0"/>
                <w:szCs w:val="21"/>
              </w:rPr>
              <w:t>普通服务器机柜</w:t>
            </w:r>
          </w:p>
        </w:tc>
        <w:tc>
          <w:tcPr>
            <w:tcW w:w="3655" w:type="pct"/>
            <w:noWrap w:val="0"/>
            <w:vAlign w:val="center"/>
          </w:tcPr>
          <w:p w14:paraId="1669FB16">
            <w:pPr>
              <w:keepLines/>
              <w:widowControl/>
              <w:jc w:val="left"/>
              <w:rPr>
                <w:rFonts w:ascii="宋体" w:hAnsi="宋体" w:eastAsia="宋体" w:cs="宋体"/>
                <w:kern w:val="0"/>
                <w:szCs w:val="21"/>
              </w:rPr>
            </w:pPr>
            <w:r>
              <w:rPr>
                <w:rFonts w:hint="eastAsia" w:ascii="宋体" w:hAnsi="宋体" w:eastAsia="宋体" w:cs="宋体"/>
                <w:kern w:val="0"/>
                <w:szCs w:val="21"/>
              </w:rPr>
              <w:t>1、机柜尺寸：宽600×高2000×深1200mm，含顶盖，2块竖直理线板，17台不含侧板，3台含侧板，均含底板，每台机柜配置4个托盘、1对L型导轨、20个1U盲板，每台机柜含2条PDU，含设备支架。</w:t>
            </w:r>
            <w:r>
              <w:rPr>
                <w:rFonts w:hint="eastAsia" w:ascii="宋体" w:hAnsi="宋体" w:eastAsia="宋体" w:cs="宋体"/>
                <w:kern w:val="0"/>
                <w:szCs w:val="21"/>
              </w:rPr>
              <w:br w:type="textWrapping"/>
            </w:r>
            <w:r>
              <w:rPr>
                <w:rFonts w:hint="eastAsia" w:ascii="宋体" w:hAnsi="宋体" w:eastAsia="宋体" w:cs="宋体"/>
                <w:kern w:val="0"/>
                <w:szCs w:val="21"/>
              </w:rPr>
              <w:t>2、产品材料需满足，前后网孔门材料采用不小于1.5mm冷板；立柱材料不小于2.0mm冷板；框架材料不小于1.5mm冷板；</w:t>
            </w:r>
            <w:r>
              <w:rPr>
                <w:rFonts w:hint="eastAsia" w:ascii="宋体" w:hAnsi="宋体" w:eastAsia="宋体" w:cs="宋体"/>
                <w:kern w:val="0"/>
                <w:szCs w:val="21"/>
              </w:rPr>
              <w:br w:type="textWrapping"/>
            </w:r>
            <w:r>
              <w:rPr>
                <w:rFonts w:hint="eastAsia" w:ascii="宋体" w:hAnsi="宋体" w:eastAsia="宋体" w:cs="宋体"/>
                <w:kern w:val="0"/>
                <w:szCs w:val="21"/>
              </w:rPr>
              <w:t>3、机柜内部应设置4根安装立柱，用于安装设备和固定层板。安装立柱能够支持前后移动调节。</w:t>
            </w:r>
            <w:r>
              <w:rPr>
                <w:rFonts w:hint="eastAsia" w:ascii="宋体" w:hAnsi="宋体" w:eastAsia="宋体" w:cs="宋体"/>
                <w:kern w:val="0"/>
                <w:szCs w:val="21"/>
              </w:rPr>
              <w:br w:type="textWrapping"/>
            </w:r>
            <w:r>
              <w:rPr>
                <w:rFonts w:hint="eastAsia" w:ascii="宋体" w:hAnsi="宋体" w:eastAsia="宋体" w:cs="宋体"/>
                <w:kern w:val="0"/>
                <w:szCs w:val="21"/>
              </w:rPr>
              <w:t>4、PDU：竖直安装，单相220v交流输入，单相32A裸线，20个10A+4个16A输出，每台机柜配备2条PDU。</w:t>
            </w:r>
          </w:p>
          <w:p w14:paraId="3B9D59D6">
            <w:pPr>
              <w:keepLines/>
              <w:widowControl/>
              <w:jc w:val="left"/>
              <w:rPr>
                <w:rFonts w:ascii="宋体" w:hAnsi="宋体" w:eastAsia="宋体" w:cs="宋体"/>
                <w:kern w:val="0"/>
                <w:szCs w:val="21"/>
              </w:rPr>
            </w:pPr>
            <w:r>
              <w:rPr>
                <w:rFonts w:hint="eastAsia" w:ascii="宋体" w:hAnsi="宋体" w:eastAsia="宋体" w:cs="宋体"/>
                <w:kern w:val="0"/>
                <w:szCs w:val="21"/>
              </w:rPr>
              <w:t>5、投标产品静态承重不小于2600kg，需提供第三方检测报告。</w:t>
            </w:r>
            <w:r>
              <w:rPr>
                <w:rFonts w:hint="eastAsia" w:ascii="宋体" w:hAnsi="宋体" w:eastAsia="宋体" w:cs="宋体"/>
                <w:kern w:val="0"/>
                <w:szCs w:val="21"/>
              </w:rPr>
              <w:br w:type="textWrapping"/>
            </w:r>
            <w:r>
              <w:rPr>
                <w:rFonts w:hint="eastAsia" w:ascii="宋体" w:hAnsi="宋体" w:eastAsia="宋体" w:cs="宋体"/>
                <w:kern w:val="0"/>
                <w:szCs w:val="21"/>
              </w:rPr>
              <w:t>6、机柜</w:t>
            </w:r>
            <w:r>
              <w:rPr>
                <w:rFonts w:ascii="宋体" w:hAnsi="宋体" w:eastAsia="宋体" w:cs="宋体"/>
                <w:kern w:val="0"/>
                <w:szCs w:val="21"/>
              </w:rPr>
              <w:t>需</w:t>
            </w:r>
            <w:r>
              <w:rPr>
                <w:rFonts w:hint="eastAsia" w:ascii="宋体" w:hAnsi="宋体" w:eastAsia="宋体" w:cs="宋体"/>
                <w:kern w:val="0"/>
                <w:szCs w:val="21"/>
              </w:rPr>
              <w:t>满足抗震</w:t>
            </w:r>
            <w:r>
              <w:rPr>
                <w:rFonts w:ascii="宋体" w:hAnsi="宋体" w:eastAsia="宋体" w:cs="宋体"/>
                <w:kern w:val="0"/>
                <w:szCs w:val="21"/>
              </w:rPr>
              <w:t>要求，</w:t>
            </w:r>
            <w:r>
              <w:rPr>
                <w:rFonts w:hint="eastAsia" w:ascii="宋体" w:hAnsi="宋体" w:eastAsia="宋体" w:cs="宋体"/>
                <w:kern w:val="0"/>
                <w:szCs w:val="21"/>
              </w:rPr>
              <w:t>依照</w:t>
            </w:r>
            <w:r>
              <w:rPr>
                <w:rFonts w:ascii="宋体" w:hAnsi="宋体" w:eastAsia="宋体" w:cs="宋体"/>
                <w:kern w:val="0"/>
                <w:szCs w:val="21"/>
              </w:rPr>
              <w:t xml:space="preserve">YD 5083-2005 </w:t>
            </w:r>
            <w:r>
              <w:rPr>
                <w:rFonts w:hint="eastAsia" w:ascii="宋体" w:hAnsi="宋体" w:eastAsia="宋体" w:cs="宋体"/>
                <w:kern w:val="0"/>
                <w:szCs w:val="21"/>
              </w:rPr>
              <w:t>《</w:t>
            </w:r>
            <w:r>
              <w:rPr>
                <w:rFonts w:ascii="宋体" w:hAnsi="宋体" w:eastAsia="宋体" w:cs="宋体"/>
                <w:kern w:val="0"/>
                <w:szCs w:val="21"/>
              </w:rPr>
              <w:t>电信设备抗地震性能检测规范</w:t>
            </w:r>
            <w:r>
              <w:rPr>
                <w:rFonts w:hint="eastAsia" w:ascii="宋体" w:hAnsi="宋体" w:eastAsia="宋体" w:cs="宋体"/>
                <w:kern w:val="0"/>
                <w:szCs w:val="21"/>
              </w:rPr>
              <w:t>》</w:t>
            </w:r>
            <w:r>
              <w:rPr>
                <w:rFonts w:ascii="宋体" w:hAnsi="宋体" w:eastAsia="宋体" w:cs="宋体"/>
                <w:kern w:val="0"/>
                <w:szCs w:val="21"/>
              </w:rPr>
              <w:t>标准</w:t>
            </w:r>
            <w:r>
              <w:rPr>
                <w:rFonts w:hint="eastAsia" w:ascii="宋体" w:hAnsi="宋体" w:eastAsia="宋体" w:cs="宋体"/>
                <w:kern w:val="0"/>
                <w:szCs w:val="21"/>
              </w:rPr>
              <w:t>，投标产品带载650kg情况下，需连续通过不低于7</w:t>
            </w:r>
            <w:r>
              <w:rPr>
                <w:rFonts w:ascii="宋体" w:hAnsi="宋体" w:eastAsia="宋体" w:cs="宋体"/>
                <w:kern w:val="0"/>
                <w:szCs w:val="21"/>
              </w:rPr>
              <w:t>级</w:t>
            </w:r>
            <w:r>
              <w:rPr>
                <w:rFonts w:hint="eastAsia" w:ascii="宋体" w:hAnsi="宋体" w:eastAsia="宋体" w:cs="宋体"/>
                <w:kern w:val="0"/>
                <w:szCs w:val="21"/>
              </w:rPr>
              <w:t>烈度结构抗地震考核，提供第三方权威机构抗震测试报告。</w:t>
            </w:r>
            <w:r>
              <w:rPr>
                <w:rFonts w:hint="eastAsia" w:ascii="宋体" w:hAnsi="宋体" w:eastAsia="宋体" w:cs="宋体"/>
                <w:kern w:val="0"/>
                <w:szCs w:val="21"/>
              </w:rPr>
              <w:br w:type="textWrapping"/>
            </w:r>
            <w:r>
              <w:rPr>
                <w:rFonts w:hint="eastAsia" w:ascii="宋体" w:hAnsi="宋体" w:eastAsia="宋体" w:cs="宋体"/>
                <w:kern w:val="0"/>
                <w:szCs w:val="21"/>
              </w:rPr>
              <w:t>7、为方便柜内设备上下架、日常管理维护，机柜前后门开启角度均应不小于135度，提供第三方检测报告。</w:t>
            </w:r>
            <w:r>
              <w:rPr>
                <w:rFonts w:hint="eastAsia" w:ascii="宋体" w:hAnsi="宋体" w:eastAsia="宋体" w:cs="宋体"/>
                <w:kern w:val="0"/>
                <w:szCs w:val="21"/>
              </w:rPr>
              <w:br w:type="textWrapping"/>
            </w:r>
            <w:r>
              <w:rPr>
                <w:rFonts w:hint="eastAsia" w:ascii="宋体" w:hAnsi="宋体" w:eastAsia="宋体" w:cs="宋体"/>
                <w:kern w:val="0"/>
                <w:szCs w:val="21"/>
              </w:rPr>
              <w:t>8、投标产品前后门需采用网孔门设计，网孔为六边形设计,通孔率不小于80％，利于机柜内设备通风散热，适应新型服务器高热密度的散热需求，提供第三方检测报告。</w:t>
            </w:r>
          </w:p>
          <w:p w14:paraId="75F85478">
            <w:pPr>
              <w:keepLines/>
              <w:widowControl/>
              <w:jc w:val="left"/>
              <w:rPr>
                <w:rFonts w:hint="eastAsia" w:ascii="宋体" w:hAnsi="宋体" w:eastAsia="宋体" w:cs="宋体"/>
                <w:kern w:val="0"/>
                <w:szCs w:val="21"/>
              </w:rPr>
            </w:pPr>
            <w:r>
              <w:rPr>
                <w:rFonts w:hint="eastAsia" w:ascii="宋体" w:hAnsi="宋体" w:eastAsia="宋体" w:cs="宋体"/>
                <w:kern w:val="0"/>
                <w:szCs w:val="21"/>
              </w:rPr>
              <w:t>9、为确保微模块产品间的耦合性、一致性，便于后期维护管理，机柜与封闭冷通道需采用同一品牌，要求提供不少于三年的原厂售后服务。</w:t>
            </w:r>
          </w:p>
        </w:tc>
        <w:tc>
          <w:tcPr>
            <w:tcW w:w="311" w:type="pct"/>
            <w:noWrap w:val="0"/>
            <w:vAlign w:val="center"/>
          </w:tcPr>
          <w:p w14:paraId="5CF8E19E">
            <w:pPr>
              <w:keepLines/>
              <w:widowControl/>
              <w:jc w:val="center"/>
              <w:rPr>
                <w:rFonts w:hint="eastAsia" w:ascii="宋体" w:hAnsi="宋体" w:eastAsia="宋体" w:cs="宋体"/>
                <w:kern w:val="0"/>
                <w:szCs w:val="21"/>
              </w:rPr>
            </w:pPr>
            <w:r>
              <w:rPr>
                <w:rFonts w:hint="eastAsia" w:ascii="宋体" w:hAnsi="宋体" w:eastAsia="宋体" w:cs="宋体"/>
                <w:kern w:val="0"/>
                <w:szCs w:val="21"/>
              </w:rPr>
              <w:t>20套</w:t>
            </w:r>
          </w:p>
        </w:tc>
        <w:tc>
          <w:tcPr>
            <w:tcW w:w="250" w:type="pct"/>
            <w:noWrap w:val="0"/>
            <w:vAlign w:val="center"/>
          </w:tcPr>
          <w:p w14:paraId="6418F867">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r>
      <w:tr w14:paraId="4C3F3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24076C6C">
            <w:pPr>
              <w:keepLines/>
              <w:widowControl/>
              <w:jc w:val="center"/>
              <w:rPr>
                <w:rFonts w:hint="eastAsia" w:ascii="宋体" w:hAnsi="宋体" w:eastAsia="宋体" w:cs="宋体"/>
                <w:kern w:val="0"/>
                <w:szCs w:val="21"/>
              </w:rPr>
            </w:pPr>
            <w:r>
              <w:rPr>
                <w:rFonts w:hint="eastAsia" w:ascii="宋体" w:hAnsi="宋体" w:eastAsia="宋体" w:cs="宋体"/>
                <w:kern w:val="0"/>
                <w:szCs w:val="21"/>
              </w:rPr>
              <w:t>6</w:t>
            </w:r>
          </w:p>
        </w:tc>
        <w:tc>
          <w:tcPr>
            <w:tcW w:w="533" w:type="pct"/>
            <w:noWrap w:val="0"/>
            <w:vAlign w:val="center"/>
          </w:tcPr>
          <w:p w14:paraId="7E8AD593">
            <w:pPr>
              <w:keepLines/>
              <w:widowControl/>
              <w:jc w:val="center"/>
              <w:rPr>
                <w:rFonts w:hint="eastAsia" w:ascii="宋体" w:hAnsi="宋体" w:eastAsia="宋体" w:cs="宋体"/>
                <w:kern w:val="0"/>
                <w:szCs w:val="21"/>
              </w:rPr>
            </w:pPr>
            <w:r>
              <w:rPr>
                <w:rFonts w:hint="eastAsia" w:ascii="宋体" w:hAnsi="宋体" w:eastAsia="宋体" w:cs="宋体"/>
                <w:kern w:val="0"/>
                <w:szCs w:val="21"/>
              </w:rPr>
              <w:t>智算机柜</w:t>
            </w:r>
          </w:p>
        </w:tc>
        <w:tc>
          <w:tcPr>
            <w:tcW w:w="3655" w:type="pct"/>
            <w:noWrap w:val="0"/>
            <w:vAlign w:val="center"/>
          </w:tcPr>
          <w:p w14:paraId="1EE224E0">
            <w:pPr>
              <w:keepLines/>
              <w:widowControl/>
              <w:jc w:val="left"/>
              <w:rPr>
                <w:rFonts w:ascii="宋体" w:hAnsi="宋体" w:eastAsia="宋体" w:cs="宋体"/>
                <w:kern w:val="0"/>
                <w:szCs w:val="21"/>
              </w:rPr>
            </w:pPr>
            <w:r>
              <w:rPr>
                <w:rFonts w:hint="eastAsia" w:ascii="宋体" w:hAnsi="宋体" w:eastAsia="宋体" w:cs="宋体"/>
                <w:kern w:val="0"/>
                <w:szCs w:val="21"/>
              </w:rPr>
              <w:t>1、机柜尺寸：宽600×高2000×深1200mm，含顶盖，2块竖直理线板，1台含侧板，4台不含侧板，含底板，每台机柜配置5个托盘、1对L型导轨、20个1U盲板，每台机柜含2条智算机柜用PDU，含设备支架。</w:t>
            </w:r>
            <w:r>
              <w:rPr>
                <w:rFonts w:hint="eastAsia" w:ascii="宋体" w:hAnsi="宋体" w:eastAsia="宋体" w:cs="宋体"/>
                <w:kern w:val="0"/>
                <w:szCs w:val="21"/>
              </w:rPr>
              <w:br w:type="textWrapping"/>
            </w:r>
            <w:r>
              <w:rPr>
                <w:rFonts w:hint="eastAsia" w:ascii="宋体" w:hAnsi="宋体" w:eastAsia="宋体" w:cs="宋体"/>
                <w:kern w:val="0"/>
                <w:szCs w:val="21"/>
              </w:rPr>
              <w:t>2、产品材料需满足，前后网孔门材料采用不小于1.5mm冷板；立柱材料不小于2.0mm冷板；框架材料不小于1.5mm冷板；</w:t>
            </w:r>
            <w:r>
              <w:rPr>
                <w:rFonts w:hint="eastAsia" w:ascii="宋体" w:hAnsi="宋体" w:eastAsia="宋体" w:cs="宋体"/>
                <w:kern w:val="0"/>
                <w:szCs w:val="21"/>
              </w:rPr>
              <w:br w:type="textWrapping"/>
            </w:r>
            <w:r>
              <w:rPr>
                <w:rFonts w:hint="eastAsia" w:ascii="宋体" w:hAnsi="宋体" w:eastAsia="宋体" w:cs="宋体"/>
                <w:kern w:val="0"/>
                <w:szCs w:val="21"/>
              </w:rPr>
              <w:t>3、机柜内部应设置4根安装立柱，用于安装设备和固定层板。安装立柱能够支持前后移动调节。</w:t>
            </w:r>
            <w:r>
              <w:rPr>
                <w:rFonts w:hint="eastAsia" w:ascii="宋体" w:hAnsi="宋体" w:eastAsia="宋体" w:cs="宋体"/>
                <w:kern w:val="0"/>
                <w:szCs w:val="21"/>
              </w:rPr>
              <w:br w:type="textWrapping"/>
            </w:r>
            <w:r>
              <w:rPr>
                <w:rFonts w:hint="eastAsia" w:ascii="宋体" w:hAnsi="宋体" w:eastAsia="宋体" w:cs="宋体"/>
                <w:kern w:val="0"/>
                <w:szCs w:val="21"/>
              </w:rPr>
              <w:t>4、★投标产品静态承重不小于2600kg，需提供第三方检测报告。</w:t>
            </w:r>
            <w:r>
              <w:rPr>
                <w:rFonts w:hint="eastAsia" w:ascii="宋体" w:hAnsi="宋体" w:eastAsia="宋体" w:cs="宋体"/>
                <w:kern w:val="0"/>
                <w:szCs w:val="21"/>
              </w:rPr>
              <w:br w:type="textWrapping"/>
            </w:r>
            <w:r>
              <w:rPr>
                <w:rFonts w:hint="eastAsia" w:ascii="宋体" w:hAnsi="宋体" w:eastAsia="宋体" w:cs="宋体"/>
                <w:kern w:val="0"/>
                <w:szCs w:val="21"/>
              </w:rPr>
              <w:t>5、★机柜</w:t>
            </w:r>
            <w:r>
              <w:rPr>
                <w:rFonts w:ascii="宋体" w:hAnsi="宋体" w:eastAsia="宋体" w:cs="宋体"/>
                <w:kern w:val="0"/>
                <w:szCs w:val="21"/>
              </w:rPr>
              <w:t>需</w:t>
            </w:r>
            <w:r>
              <w:rPr>
                <w:rFonts w:hint="eastAsia" w:ascii="宋体" w:hAnsi="宋体" w:eastAsia="宋体" w:cs="宋体"/>
                <w:kern w:val="0"/>
                <w:szCs w:val="21"/>
              </w:rPr>
              <w:t>满足抗震</w:t>
            </w:r>
            <w:r>
              <w:rPr>
                <w:rFonts w:ascii="宋体" w:hAnsi="宋体" w:eastAsia="宋体" w:cs="宋体"/>
                <w:kern w:val="0"/>
                <w:szCs w:val="21"/>
              </w:rPr>
              <w:t>要求，</w:t>
            </w:r>
            <w:r>
              <w:rPr>
                <w:rFonts w:hint="eastAsia" w:ascii="宋体" w:hAnsi="宋体" w:eastAsia="宋体" w:cs="宋体"/>
                <w:kern w:val="0"/>
                <w:szCs w:val="21"/>
              </w:rPr>
              <w:t>依照</w:t>
            </w:r>
            <w:r>
              <w:rPr>
                <w:rFonts w:ascii="宋体" w:hAnsi="宋体" w:eastAsia="宋体" w:cs="宋体"/>
                <w:kern w:val="0"/>
                <w:szCs w:val="21"/>
              </w:rPr>
              <w:t xml:space="preserve">YD 5083-2005 </w:t>
            </w:r>
            <w:r>
              <w:rPr>
                <w:rFonts w:hint="eastAsia" w:ascii="宋体" w:hAnsi="宋体" w:eastAsia="宋体" w:cs="宋体"/>
                <w:kern w:val="0"/>
                <w:szCs w:val="21"/>
              </w:rPr>
              <w:t>《</w:t>
            </w:r>
            <w:r>
              <w:rPr>
                <w:rFonts w:ascii="宋体" w:hAnsi="宋体" w:eastAsia="宋体" w:cs="宋体"/>
                <w:kern w:val="0"/>
                <w:szCs w:val="21"/>
              </w:rPr>
              <w:t>电信设备抗地震性能检测规范</w:t>
            </w:r>
            <w:r>
              <w:rPr>
                <w:rFonts w:hint="eastAsia" w:ascii="宋体" w:hAnsi="宋体" w:eastAsia="宋体" w:cs="宋体"/>
                <w:kern w:val="0"/>
                <w:szCs w:val="21"/>
              </w:rPr>
              <w:t>》</w:t>
            </w:r>
            <w:r>
              <w:rPr>
                <w:rFonts w:ascii="宋体" w:hAnsi="宋体" w:eastAsia="宋体" w:cs="宋体"/>
                <w:kern w:val="0"/>
                <w:szCs w:val="21"/>
              </w:rPr>
              <w:t>标准</w:t>
            </w:r>
            <w:r>
              <w:rPr>
                <w:rFonts w:hint="eastAsia" w:ascii="宋体" w:hAnsi="宋体" w:eastAsia="宋体" w:cs="宋体"/>
                <w:kern w:val="0"/>
                <w:szCs w:val="21"/>
              </w:rPr>
              <w:t>，投标产品带载650kg情况下，需连续通过不低于7</w:t>
            </w:r>
            <w:r>
              <w:rPr>
                <w:rFonts w:ascii="宋体" w:hAnsi="宋体" w:eastAsia="宋体" w:cs="宋体"/>
                <w:kern w:val="0"/>
                <w:szCs w:val="21"/>
              </w:rPr>
              <w:t>级</w:t>
            </w:r>
            <w:r>
              <w:rPr>
                <w:rFonts w:hint="eastAsia" w:ascii="宋体" w:hAnsi="宋体" w:eastAsia="宋体" w:cs="宋体"/>
                <w:kern w:val="0"/>
                <w:szCs w:val="21"/>
              </w:rPr>
              <w:t>烈度结构抗地震考核，提供第三方权威机构抗震测试报告。</w:t>
            </w:r>
            <w:r>
              <w:rPr>
                <w:rFonts w:hint="eastAsia" w:ascii="宋体" w:hAnsi="宋体" w:eastAsia="宋体" w:cs="宋体"/>
                <w:kern w:val="0"/>
                <w:szCs w:val="21"/>
              </w:rPr>
              <w:br w:type="textWrapping"/>
            </w:r>
            <w:r>
              <w:rPr>
                <w:rFonts w:hint="eastAsia" w:ascii="宋体" w:hAnsi="宋体" w:eastAsia="宋体" w:cs="宋体"/>
                <w:kern w:val="0"/>
                <w:szCs w:val="21"/>
              </w:rPr>
              <w:t>6、为方便柜内设备上下架、日常管理维护，机柜前后门开启角度均应不小于135度，提供第三方检测报告。</w:t>
            </w:r>
            <w:r>
              <w:rPr>
                <w:rFonts w:hint="eastAsia" w:ascii="宋体" w:hAnsi="宋体" w:eastAsia="宋体" w:cs="宋体"/>
                <w:kern w:val="0"/>
                <w:szCs w:val="21"/>
              </w:rPr>
              <w:br w:type="textWrapping"/>
            </w:r>
            <w:r>
              <w:rPr>
                <w:rFonts w:hint="eastAsia" w:ascii="宋体" w:hAnsi="宋体" w:eastAsia="宋体" w:cs="宋体"/>
                <w:kern w:val="0"/>
                <w:szCs w:val="21"/>
              </w:rPr>
              <w:t>7、★投标产品前后门需采用网孔门设计，网孔为六边形设计,通孔率不小于80％，利于机柜内设备通风散热，适应新型服务器高热密度的散热需求，提供第三方检测报告。</w:t>
            </w:r>
          </w:p>
          <w:p w14:paraId="4CC86371">
            <w:pPr>
              <w:keepLines/>
              <w:widowControl/>
              <w:jc w:val="left"/>
              <w:rPr>
                <w:rFonts w:hint="eastAsia" w:ascii="宋体" w:hAnsi="宋体" w:eastAsia="宋体" w:cs="宋体"/>
                <w:kern w:val="0"/>
                <w:szCs w:val="21"/>
              </w:rPr>
            </w:pPr>
            <w:r>
              <w:rPr>
                <w:rFonts w:hint="eastAsia" w:ascii="宋体" w:hAnsi="宋体" w:eastAsia="宋体" w:cs="宋体"/>
                <w:kern w:val="0"/>
                <w:szCs w:val="21"/>
              </w:rPr>
              <w:t>8、为确保微模块产品间的耦合性、一致性，便于后期维护管理，机柜与封闭冷通道需采用同一品牌。要求提供不少于三年的原厂售后服务。</w:t>
            </w:r>
          </w:p>
        </w:tc>
        <w:tc>
          <w:tcPr>
            <w:tcW w:w="311" w:type="pct"/>
            <w:noWrap w:val="0"/>
            <w:vAlign w:val="center"/>
          </w:tcPr>
          <w:p w14:paraId="035BF26D">
            <w:pPr>
              <w:keepLines/>
              <w:widowControl/>
              <w:jc w:val="center"/>
              <w:rPr>
                <w:rFonts w:hint="eastAsia" w:ascii="宋体" w:hAnsi="宋体" w:eastAsia="宋体" w:cs="宋体"/>
                <w:kern w:val="0"/>
                <w:szCs w:val="21"/>
              </w:rPr>
            </w:pPr>
            <w:r>
              <w:rPr>
                <w:rFonts w:hint="eastAsia" w:ascii="宋体" w:hAnsi="宋体" w:eastAsia="宋体" w:cs="宋体"/>
                <w:kern w:val="0"/>
                <w:szCs w:val="21"/>
              </w:rPr>
              <w:t>5套</w:t>
            </w:r>
          </w:p>
        </w:tc>
        <w:tc>
          <w:tcPr>
            <w:tcW w:w="250" w:type="pct"/>
            <w:noWrap w:val="0"/>
            <w:vAlign w:val="center"/>
          </w:tcPr>
          <w:p w14:paraId="2497C093">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r>
      <w:tr w14:paraId="2E2F9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0FE1EDDF">
            <w:pPr>
              <w:keepLines/>
              <w:widowControl/>
              <w:jc w:val="center"/>
              <w:rPr>
                <w:rFonts w:hint="eastAsia" w:ascii="宋体" w:hAnsi="宋体" w:eastAsia="宋体" w:cs="宋体"/>
                <w:kern w:val="0"/>
                <w:szCs w:val="21"/>
              </w:rPr>
            </w:pPr>
            <w:r>
              <w:rPr>
                <w:rFonts w:hint="eastAsia" w:ascii="宋体" w:hAnsi="宋体" w:eastAsia="宋体" w:cs="宋体"/>
                <w:kern w:val="0"/>
                <w:szCs w:val="21"/>
              </w:rPr>
              <w:t>7</w:t>
            </w:r>
          </w:p>
        </w:tc>
        <w:tc>
          <w:tcPr>
            <w:tcW w:w="533" w:type="pct"/>
            <w:noWrap w:val="0"/>
            <w:vAlign w:val="center"/>
          </w:tcPr>
          <w:p w14:paraId="38CA554F">
            <w:pPr>
              <w:keepLines/>
              <w:widowControl/>
              <w:jc w:val="center"/>
              <w:rPr>
                <w:rFonts w:hint="eastAsia" w:ascii="宋体" w:hAnsi="宋体" w:eastAsia="宋体" w:cs="宋体"/>
                <w:kern w:val="0"/>
                <w:szCs w:val="21"/>
              </w:rPr>
            </w:pPr>
            <w:r>
              <w:rPr>
                <w:rFonts w:hint="eastAsia" w:ascii="宋体" w:hAnsi="宋体" w:eastAsia="宋体" w:cs="宋体"/>
                <w:kern w:val="0"/>
                <w:szCs w:val="21"/>
              </w:rPr>
              <w:t>封闭冷通道</w:t>
            </w:r>
          </w:p>
        </w:tc>
        <w:tc>
          <w:tcPr>
            <w:tcW w:w="3655" w:type="pct"/>
            <w:noWrap w:val="0"/>
            <w:vAlign w:val="center"/>
          </w:tcPr>
          <w:p w14:paraId="3AEEB4F3">
            <w:pPr>
              <w:keepLines/>
              <w:widowControl/>
              <w:jc w:val="left"/>
              <w:rPr>
                <w:rFonts w:ascii="宋体" w:hAnsi="宋体" w:eastAsia="宋体" w:cs="宋体"/>
                <w:kern w:val="0"/>
                <w:szCs w:val="21"/>
                <w:highlight w:val="none"/>
              </w:rPr>
            </w:pPr>
            <w:r>
              <w:rPr>
                <w:rFonts w:hint="eastAsia" w:ascii="宋体" w:hAnsi="宋体" w:eastAsia="宋体" w:cs="宋体"/>
                <w:kern w:val="0"/>
                <w:szCs w:val="21"/>
              </w:rPr>
              <w:t>1、封闭冷通道组件的所有天窗均应透光，透光材质采用旋转开启钢化玻璃，厚度不低于4mm，保证90%以上的可见光透射比，并提供检测报告。</w:t>
            </w:r>
            <w:r>
              <w:rPr>
                <w:rFonts w:hint="eastAsia" w:ascii="宋体" w:hAnsi="宋体" w:eastAsia="宋体" w:cs="宋体"/>
                <w:kern w:val="0"/>
                <w:szCs w:val="21"/>
              </w:rPr>
              <w:br w:type="textWrapping"/>
            </w:r>
            <w:r>
              <w:rPr>
                <w:rFonts w:hint="eastAsia" w:ascii="宋体" w:hAnsi="宋体" w:eastAsia="宋体" w:cs="宋体"/>
                <w:kern w:val="0"/>
                <w:szCs w:val="21"/>
              </w:rPr>
              <w:t>2、 封闭冷通道组件两侧门应配备电动无框玻璃门，为提升微模块的通透效果，方便人员在模块外参观检视，钢化玻璃面积占门板总面积的比例不低于98%。钢化玻璃厚度不低于12mm。</w:t>
            </w:r>
            <w:r>
              <w:rPr>
                <w:rFonts w:hint="eastAsia" w:ascii="宋体" w:hAnsi="宋体" w:eastAsia="宋体" w:cs="宋体"/>
                <w:kern w:val="0"/>
                <w:szCs w:val="21"/>
              </w:rPr>
              <w:br w:type="textWrapping"/>
            </w:r>
            <w:r>
              <w:rPr>
                <w:rFonts w:hint="eastAsia" w:ascii="宋体" w:hAnsi="宋体" w:eastAsia="宋体" w:cs="宋体"/>
                <w:kern w:val="0"/>
                <w:szCs w:val="21"/>
              </w:rPr>
              <w:t>3、封闭冷通道的所有天窗必须全部可透光。天窗翻转角度现场可调，支持30度、60度和全部开启。</w:t>
            </w:r>
            <w:r>
              <w:rPr>
                <w:rFonts w:hint="eastAsia" w:ascii="宋体" w:hAnsi="宋体" w:eastAsia="宋体" w:cs="宋体"/>
                <w:kern w:val="0"/>
                <w:szCs w:val="21"/>
              </w:rPr>
              <w:br w:type="textWrapping"/>
            </w:r>
            <w:r>
              <w:rPr>
                <w:rFonts w:hint="eastAsia" w:ascii="宋体" w:hAnsi="宋体" w:eastAsia="宋体" w:cs="宋体"/>
                <w:kern w:val="0"/>
                <w:szCs w:val="21"/>
              </w:rPr>
              <w:t>4、通道内灯光系统要求采用三色可调灯光，本项目按照白、蓝、红三色配置，光源采用LED灯条，天窗支架内嵌入式安装;通道内照明系统与冷池组微环境监控主机联动。</w:t>
            </w:r>
            <w:r>
              <w:rPr>
                <w:rFonts w:hint="eastAsia" w:ascii="宋体" w:hAnsi="宋体" w:eastAsia="宋体" w:cs="宋体"/>
                <w:kern w:val="0"/>
                <w:szCs w:val="21"/>
                <w:highlight w:val="none"/>
              </w:rPr>
              <w:br w:type="textWrapping"/>
            </w:r>
            <w:r>
              <w:rPr>
                <w:rFonts w:hint="eastAsia" w:ascii="宋体" w:hAnsi="宋体" w:eastAsia="宋体" w:cs="宋体"/>
                <w:kern w:val="0"/>
                <w:szCs w:val="21"/>
                <w:highlight w:val="none"/>
              </w:rPr>
              <w:t>5、微模块整体抗震需通过抗震测试，需提供测试证明材料。</w:t>
            </w:r>
            <w:r>
              <w:rPr>
                <w:rFonts w:hint="eastAsia" w:ascii="宋体" w:hAnsi="宋体" w:eastAsia="宋体" w:cs="宋体"/>
                <w:kern w:val="0"/>
                <w:szCs w:val="21"/>
                <w:highlight w:val="none"/>
              </w:rPr>
              <w:br w:type="textWrapping"/>
            </w:r>
            <w:r>
              <w:rPr>
                <w:rFonts w:hint="eastAsia" w:ascii="宋体" w:hAnsi="宋体" w:eastAsia="宋体" w:cs="宋体"/>
                <w:kern w:val="0"/>
                <w:szCs w:val="21"/>
                <w:highlight w:val="none"/>
              </w:rPr>
              <w:t>6、★为确保微模块节能效果，需提供第三方检验报告，PUE测试结果在各工况下均低于1.2。</w:t>
            </w:r>
            <w:r>
              <w:rPr>
                <w:rFonts w:hint="eastAsia" w:ascii="宋体" w:hAnsi="宋体" w:eastAsia="宋体" w:cs="宋体"/>
                <w:kern w:val="0"/>
                <w:szCs w:val="21"/>
                <w:highlight w:val="none"/>
              </w:rPr>
              <w:br w:type="textWrapping"/>
            </w:r>
            <w:r>
              <w:rPr>
                <w:rFonts w:hint="eastAsia" w:ascii="宋体" w:hAnsi="宋体" w:eastAsia="宋体" w:cs="宋体"/>
                <w:kern w:val="0"/>
                <w:szCs w:val="21"/>
                <w:highlight w:val="none"/>
              </w:rPr>
              <w:t>7、微模块端门处配置一个不小于15寸本地触摸管控屏，触摸管控屏必须采用商用工业级产品，不得采用PAD等民用产品。必须提供触摸管控屏MTBF检测报告，MTBF必须大于5万小时。</w:t>
            </w:r>
          </w:p>
          <w:p w14:paraId="4A8C5EA1">
            <w:pPr>
              <w:keepLines/>
              <w:widowControl/>
              <w:jc w:val="left"/>
              <w:rPr>
                <w:rFonts w:hint="eastAsia" w:ascii="宋体" w:hAnsi="宋体" w:eastAsia="宋体" w:cs="宋体"/>
                <w:kern w:val="0"/>
                <w:szCs w:val="21"/>
              </w:rPr>
            </w:pPr>
            <w:r>
              <w:rPr>
                <w:rFonts w:hint="eastAsia" w:ascii="宋体" w:hAnsi="宋体" w:eastAsia="宋体" w:cs="宋体"/>
                <w:kern w:val="0"/>
                <w:szCs w:val="21"/>
              </w:rPr>
              <w:t>8、为确保微模块产品间的耦合性、一致性，便于后期维护管理，封闭冷通道与机柜需采用同一品牌。要求提供不少于三年的原厂售后服务。</w:t>
            </w:r>
          </w:p>
        </w:tc>
        <w:tc>
          <w:tcPr>
            <w:tcW w:w="311" w:type="pct"/>
            <w:noWrap w:val="0"/>
            <w:vAlign w:val="center"/>
          </w:tcPr>
          <w:p w14:paraId="3D33057F">
            <w:pPr>
              <w:keepLines/>
              <w:widowControl/>
              <w:jc w:val="center"/>
              <w:rPr>
                <w:rFonts w:hint="eastAsia" w:ascii="宋体" w:hAnsi="宋体" w:eastAsia="宋体" w:cs="宋体"/>
                <w:kern w:val="0"/>
                <w:szCs w:val="21"/>
              </w:rPr>
            </w:pPr>
            <w:r>
              <w:rPr>
                <w:rFonts w:hint="eastAsia" w:ascii="宋体" w:hAnsi="宋体" w:eastAsia="宋体" w:cs="宋体"/>
                <w:kern w:val="0"/>
                <w:szCs w:val="21"/>
              </w:rPr>
              <w:t>1套</w:t>
            </w:r>
          </w:p>
        </w:tc>
        <w:tc>
          <w:tcPr>
            <w:tcW w:w="250" w:type="pct"/>
            <w:noWrap w:val="0"/>
            <w:vAlign w:val="center"/>
          </w:tcPr>
          <w:p w14:paraId="794D3733">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r>
      <w:tr w14:paraId="444D4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55CE2289">
            <w:pPr>
              <w:keepLines/>
              <w:widowControl/>
              <w:jc w:val="center"/>
              <w:rPr>
                <w:rFonts w:hint="eastAsia" w:ascii="宋体" w:hAnsi="宋体" w:eastAsia="宋体" w:cs="宋体"/>
                <w:kern w:val="0"/>
                <w:szCs w:val="21"/>
              </w:rPr>
            </w:pPr>
            <w:r>
              <w:rPr>
                <w:rFonts w:hint="eastAsia" w:ascii="宋体" w:hAnsi="宋体" w:eastAsia="宋体" w:cs="宋体"/>
                <w:kern w:val="0"/>
                <w:szCs w:val="21"/>
              </w:rPr>
              <w:t>8</w:t>
            </w:r>
          </w:p>
        </w:tc>
        <w:tc>
          <w:tcPr>
            <w:tcW w:w="533" w:type="pct"/>
            <w:noWrap w:val="0"/>
            <w:vAlign w:val="center"/>
          </w:tcPr>
          <w:p w14:paraId="452B7D5B">
            <w:pPr>
              <w:keepLines/>
              <w:widowControl/>
              <w:jc w:val="center"/>
              <w:rPr>
                <w:rFonts w:hint="eastAsia" w:ascii="宋体" w:hAnsi="宋体" w:eastAsia="宋体" w:cs="宋体"/>
                <w:kern w:val="0"/>
                <w:szCs w:val="21"/>
              </w:rPr>
            </w:pPr>
            <w:r>
              <w:rPr>
                <w:rFonts w:hint="eastAsia" w:ascii="宋体" w:hAnsi="宋体" w:eastAsia="宋体" w:cs="宋体"/>
                <w:kern w:val="0"/>
                <w:szCs w:val="21"/>
              </w:rPr>
              <w:t>动环管理平台</w:t>
            </w:r>
          </w:p>
        </w:tc>
        <w:tc>
          <w:tcPr>
            <w:tcW w:w="3655" w:type="pct"/>
            <w:noWrap w:val="0"/>
            <w:vAlign w:val="center"/>
          </w:tcPr>
          <w:p w14:paraId="38767111">
            <w:pPr>
              <w:keepLines/>
              <w:widowControl/>
              <w:numPr>
                <w:ilvl w:val="0"/>
                <w:numId w:val="1"/>
              </w:numPr>
              <w:jc w:val="left"/>
              <w:rPr>
                <w:rFonts w:ascii="宋体" w:hAnsi="宋体" w:eastAsia="宋体" w:cs="宋体"/>
                <w:kern w:val="0"/>
                <w:szCs w:val="21"/>
              </w:rPr>
            </w:pPr>
            <w:r>
              <w:rPr>
                <w:rFonts w:ascii="宋体" w:hAnsi="宋体" w:eastAsia="宋体" w:cs="宋体"/>
                <w:kern w:val="0"/>
                <w:szCs w:val="21"/>
              </w:rPr>
              <w:t>动力环境监控系统应具有先进性、高可靠性、安全性、实时性、可及性、可扩展性、开放性；系统需通过专业杀毒软件扫描无明显漏洞。</w:t>
            </w:r>
          </w:p>
          <w:p w14:paraId="253DC59E">
            <w:pPr>
              <w:keepLines/>
              <w:widowControl/>
              <w:jc w:val="left"/>
              <w:rPr>
                <w:rFonts w:ascii="宋体" w:hAnsi="宋体" w:eastAsia="宋体" w:cs="宋体"/>
                <w:kern w:val="0"/>
                <w:szCs w:val="21"/>
              </w:rPr>
            </w:pPr>
            <w:r>
              <w:rPr>
                <w:rFonts w:hint="eastAsia" w:ascii="宋体" w:hAnsi="宋体" w:eastAsia="宋体" w:cs="宋体"/>
                <w:kern w:val="0"/>
                <w:szCs w:val="21"/>
              </w:rPr>
              <w:t>2、</w:t>
            </w:r>
            <w:r>
              <w:rPr>
                <w:rFonts w:ascii="宋体" w:hAnsi="宋体" w:eastAsia="宋体" w:cs="宋体"/>
                <w:kern w:val="0"/>
                <w:szCs w:val="21"/>
              </w:rPr>
              <w:t>监控系统具有性能管理、报警管理、权限管理、数据管理、报表管理、门禁管理、视频管理、日志管理等功能；</w:t>
            </w:r>
          </w:p>
          <w:p w14:paraId="100C44F9">
            <w:pPr>
              <w:keepLines/>
              <w:widowControl/>
              <w:jc w:val="left"/>
              <w:rPr>
                <w:rFonts w:ascii="宋体" w:hAnsi="宋体" w:eastAsia="宋体" w:cs="宋体"/>
                <w:kern w:val="0"/>
                <w:szCs w:val="21"/>
              </w:rPr>
            </w:pPr>
            <w:r>
              <w:rPr>
                <w:rFonts w:ascii="宋体" w:hAnsi="宋体" w:eastAsia="宋体" w:cs="宋体"/>
                <w:kern w:val="0"/>
                <w:szCs w:val="21"/>
              </w:rPr>
              <w:t>采集器端口满足：</w:t>
            </w:r>
            <w:r>
              <w:rPr>
                <w:rFonts w:hint="eastAsia" w:ascii="宋体" w:hAnsi="宋体" w:eastAsia="宋体" w:cs="宋体"/>
                <w:kern w:val="0"/>
                <w:szCs w:val="21"/>
              </w:rPr>
              <w:t>≥</w:t>
            </w:r>
            <w:r>
              <w:rPr>
                <w:rFonts w:ascii="宋体" w:hAnsi="宋体" w:eastAsia="宋体" w:cs="宋体"/>
                <w:kern w:val="0"/>
                <w:szCs w:val="21"/>
              </w:rPr>
              <w:t>8路AI/DI通用通道、</w:t>
            </w:r>
            <w:r>
              <w:rPr>
                <w:rFonts w:hint="eastAsia" w:ascii="宋体" w:hAnsi="宋体" w:eastAsia="宋体" w:cs="宋体"/>
                <w:kern w:val="0"/>
                <w:szCs w:val="21"/>
              </w:rPr>
              <w:t>≥</w:t>
            </w:r>
            <w:r>
              <w:rPr>
                <w:rFonts w:ascii="宋体" w:hAnsi="宋体" w:eastAsia="宋体" w:cs="宋体"/>
                <w:kern w:val="0"/>
                <w:szCs w:val="21"/>
              </w:rPr>
              <w:t>4路DO通、</w:t>
            </w:r>
            <w:r>
              <w:rPr>
                <w:rFonts w:hint="eastAsia" w:ascii="宋体" w:hAnsi="宋体" w:eastAsia="宋体" w:cs="宋体"/>
                <w:kern w:val="0"/>
                <w:szCs w:val="21"/>
              </w:rPr>
              <w:t>≥</w:t>
            </w:r>
            <w:r>
              <w:rPr>
                <w:rFonts w:ascii="宋体" w:hAnsi="宋体" w:eastAsia="宋体" w:cs="宋体"/>
                <w:kern w:val="0"/>
                <w:szCs w:val="21"/>
              </w:rPr>
              <w:t>16路串口（其中</w:t>
            </w:r>
            <w:r>
              <w:rPr>
                <w:rFonts w:hint="eastAsia" w:ascii="宋体" w:hAnsi="宋体" w:eastAsia="宋体" w:cs="宋体"/>
                <w:kern w:val="0"/>
                <w:szCs w:val="21"/>
              </w:rPr>
              <w:t>≥</w:t>
            </w:r>
            <w:r>
              <w:rPr>
                <w:rFonts w:ascii="宋体" w:hAnsi="宋体" w:eastAsia="宋体" w:cs="宋体"/>
                <w:kern w:val="0"/>
                <w:szCs w:val="21"/>
              </w:rPr>
              <w:t>4路RS232/485复用，</w:t>
            </w:r>
            <w:r>
              <w:rPr>
                <w:rFonts w:hint="eastAsia" w:ascii="宋体" w:hAnsi="宋体" w:eastAsia="宋体" w:cs="宋体"/>
                <w:kern w:val="0"/>
                <w:szCs w:val="21"/>
              </w:rPr>
              <w:t>≥</w:t>
            </w:r>
            <w:r>
              <w:rPr>
                <w:rFonts w:ascii="宋体" w:hAnsi="宋体" w:eastAsia="宋体" w:cs="宋体"/>
                <w:kern w:val="0"/>
                <w:szCs w:val="21"/>
              </w:rPr>
              <w:t>12路RS485接口）、</w:t>
            </w:r>
            <w:r>
              <w:rPr>
                <w:rFonts w:hint="eastAsia" w:ascii="宋体" w:hAnsi="宋体" w:eastAsia="宋体" w:cs="宋体"/>
                <w:kern w:val="0"/>
                <w:szCs w:val="21"/>
              </w:rPr>
              <w:t>≥</w:t>
            </w:r>
            <w:r>
              <w:rPr>
                <w:rFonts w:ascii="宋体" w:hAnsi="宋体" w:eastAsia="宋体" w:cs="宋体"/>
                <w:kern w:val="0"/>
                <w:szCs w:val="21"/>
              </w:rPr>
              <w:t>4路以太网通讯网口</w:t>
            </w:r>
            <w:bookmarkStart w:id="0" w:name="_Hlk199147596"/>
            <w:r>
              <w:rPr>
                <w:rFonts w:ascii="宋体" w:hAnsi="宋体" w:eastAsia="宋体" w:cs="宋体"/>
                <w:kern w:val="0"/>
                <w:szCs w:val="21"/>
              </w:rPr>
              <w:t>（至少有一路千兆网口支持IEEE 802.3 10/100/1000 BASE-T 标准</w:t>
            </w:r>
            <w:bookmarkEnd w:id="0"/>
            <w:r>
              <w:rPr>
                <w:rFonts w:ascii="宋体" w:hAnsi="宋体" w:eastAsia="宋体" w:cs="宋体"/>
                <w:kern w:val="0"/>
                <w:szCs w:val="21"/>
              </w:rPr>
              <w:t>）、</w:t>
            </w:r>
            <w:bookmarkStart w:id="1" w:name="OLE_LINK7"/>
            <w:r>
              <w:rPr>
                <w:rFonts w:hint="eastAsia" w:ascii="宋体" w:hAnsi="宋体" w:eastAsia="宋体" w:cs="宋体"/>
                <w:kern w:val="0"/>
                <w:szCs w:val="21"/>
              </w:rPr>
              <w:t>≥</w:t>
            </w:r>
            <w:bookmarkEnd w:id="1"/>
            <w:r>
              <w:rPr>
                <w:rFonts w:ascii="宋体" w:hAnsi="宋体" w:eastAsia="宋体" w:cs="宋体"/>
                <w:kern w:val="0"/>
                <w:szCs w:val="21"/>
              </w:rPr>
              <w:t>1路USB2.0标准接口。</w:t>
            </w:r>
          </w:p>
          <w:p w14:paraId="293B2690">
            <w:pPr>
              <w:keepLines/>
              <w:widowControl/>
              <w:jc w:val="left"/>
              <w:rPr>
                <w:rFonts w:hint="eastAsia" w:ascii="宋体" w:hAnsi="宋体" w:eastAsia="宋体" w:cs="宋体"/>
                <w:kern w:val="0"/>
                <w:szCs w:val="21"/>
              </w:rPr>
            </w:pPr>
            <w:r>
              <w:rPr>
                <w:rFonts w:hint="eastAsia" w:ascii="宋体" w:hAnsi="宋体" w:eastAsia="宋体" w:cs="宋体"/>
                <w:kern w:val="0"/>
                <w:szCs w:val="21"/>
              </w:rPr>
              <w:t>3、机房环境监测：布置≥8个温湿度传感器、≥3个烟雾探测器、≥5个水浸探测、≥1个红外探测器、玻璃隔断门禁、≥15个视频监控、≥1个短信告警猫、配电监控、UPS监控、空调监控、微模块机柜监控、各种传感器应支持即插即用。</w:t>
            </w:r>
          </w:p>
        </w:tc>
        <w:tc>
          <w:tcPr>
            <w:tcW w:w="311" w:type="pct"/>
            <w:noWrap w:val="0"/>
            <w:vAlign w:val="center"/>
          </w:tcPr>
          <w:p w14:paraId="052C47DB">
            <w:pPr>
              <w:keepLines/>
              <w:widowControl/>
              <w:jc w:val="center"/>
              <w:rPr>
                <w:rFonts w:hint="eastAsia" w:ascii="宋体" w:hAnsi="宋体" w:eastAsia="宋体" w:cs="宋体"/>
                <w:kern w:val="0"/>
                <w:szCs w:val="21"/>
              </w:rPr>
            </w:pPr>
            <w:r>
              <w:rPr>
                <w:rFonts w:hint="eastAsia" w:ascii="宋体" w:hAnsi="宋体" w:eastAsia="宋体" w:cs="宋体"/>
                <w:kern w:val="0"/>
                <w:szCs w:val="21"/>
              </w:rPr>
              <w:t>1套</w:t>
            </w:r>
          </w:p>
        </w:tc>
        <w:tc>
          <w:tcPr>
            <w:tcW w:w="250" w:type="pct"/>
            <w:noWrap w:val="0"/>
            <w:vAlign w:val="center"/>
          </w:tcPr>
          <w:p w14:paraId="039CFAEB">
            <w:pPr>
              <w:keepLines/>
              <w:widowControl/>
              <w:jc w:val="center"/>
              <w:rPr>
                <w:rFonts w:hint="eastAsia" w:ascii="宋体" w:hAnsi="宋体" w:eastAsia="宋体" w:cs="宋体"/>
                <w:kern w:val="0"/>
                <w:szCs w:val="21"/>
              </w:rPr>
            </w:pPr>
            <w:r>
              <w:rPr>
                <w:rFonts w:hint="eastAsia" w:ascii="宋体" w:hAnsi="宋体" w:eastAsia="宋体" w:cs="宋体"/>
                <w:b/>
                <w:bCs/>
                <w:szCs w:val="21"/>
              </w:rPr>
              <w:t>核心产品</w:t>
            </w:r>
            <w:r>
              <w:rPr>
                <w:rFonts w:hint="eastAsia" w:ascii="宋体" w:hAnsi="宋体" w:eastAsia="宋体" w:cs="宋体"/>
                <w:kern w:val="0"/>
                <w:szCs w:val="21"/>
              </w:rPr>
              <w:t>　</w:t>
            </w:r>
          </w:p>
        </w:tc>
      </w:tr>
      <w:tr w14:paraId="792B7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3DBC4F85">
            <w:pPr>
              <w:keepLines/>
              <w:widowControl/>
              <w:jc w:val="center"/>
              <w:rPr>
                <w:rFonts w:hint="eastAsia" w:ascii="宋体" w:hAnsi="宋体" w:eastAsia="宋体" w:cs="宋体"/>
                <w:kern w:val="0"/>
                <w:szCs w:val="21"/>
              </w:rPr>
            </w:pPr>
            <w:r>
              <w:rPr>
                <w:rFonts w:hint="eastAsia" w:ascii="宋体" w:hAnsi="宋体" w:eastAsia="宋体" w:cs="宋体"/>
                <w:kern w:val="0"/>
                <w:szCs w:val="21"/>
              </w:rPr>
              <w:t>9</w:t>
            </w:r>
          </w:p>
        </w:tc>
        <w:tc>
          <w:tcPr>
            <w:tcW w:w="533" w:type="pct"/>
            <w:noWrap w:val="0"/>
            <w:vAlign w:val="center"/>
          </w:tcPr>
          <w:p w14:paraId="1E6ACE20">
            <w:pPr>
              <w:keepLines/>
              <w:widowControl/>
              <w:jc w:val="center"/>
              <w:rPr>
                <w:rFonts w:hint="eastAsia" w:ascii="宋体" w:hAnsi="宋体" w:eastAsia="宋体" w:cs="宋体"/>
                <w:kern w:val="0"/>
                <w:szCs w:val="21"/>
              </w:rPr>
            </w:pPr>
            <w:r>
              <w:rPr>
                <w:rFonts w:hint="eastAsia" w:ascii="宋体" w:hAnsi="宋体" w:eastAsia="宋体" w:cs="宋体"/>
                <w:kern w:val="0"/>
                <w:szCs w:val="21"/>
              </w:rPr>
              <w:t>微动环监控系统</w:t>
            </w:r>
          </w:p>
        </w:tc>
        <w:tc>
          <w:tcPr>
            <w:tcW w:w="3655" w:type="pct"/>
            <w:noWrap w:val="0"/>
            <w:vAlign w:val="center"/>
          </w:tcPr>
          <w:p w14:paraId="4166FB22">
            <w:pPr>
              <w:keepLines/>
              <w:widowControl/>
              <w:jc w:val="left"/>
              <w:rPr>
                <w:rFonts w:ascii="宋体" w:hAnsi="宋体" w:eastAsia="宋体" w:cs="宋体"/>
                <w:kern w:val="0"/>
                <w:szCs w:val="21"/>
              </w:rPr>
            </w:pPr>
            <w:r>
              <w:rPr>
                <w:rFonts w:hint="eastAsia" w:ascii="宋体" w:hAnsi="宋体" w:eastAsia="宋体" w:cs="宋体"/>
                <w:kern w:val="0"/>
                <w:szCs w:val="21"/>
              </w:rPr>
              <w:t>1、要求模块机房提供一个整体的动力环境监控接口，采集器实现对模块内供配电、空调、温湿度、漏水检测、烟雾等设备的不间断监控，监控信息提供标准的通讯接口给机房管理平台集成接入，含智能设备扩展卡。</w:t>
            </w:r>
            <w:r>
              <w:rPr>
                <w:rFonts w:hint="eastAsia" w:ascii="宋体" w:hAnsi="宋体" w:eastAsia="宋体" w:cs="宋体"/>
                <w:kern w:val="0"/>
                <w:szCs w:val="21"/>
              </w:rPr>
              <w:br w:type="textWrapping"/>
            </w:r>
            <w:r>
              <w:rPr>
                <w:rFonts w:hint="eastAsia" w:ascii="宋体" w:hAnsi="宋体" w:eastAsia="宋体" w:cs="宋体"/>
                <w:kern w:val="0"/>
                <w:szCs w:val="21"/>
              </w:rPr>
              <w:t>2、监控采集器可将监控采集器对机房物理基础设施信息的采集与向BMS楼宇管理系统的上报隔离；同时，监控采集器应采用双电源设计，以提升供电可靠性。</w:t>
            </w:r>
            <w:r>
              <w:rPr>
                <w:rFonts w:hint="eastAsia" w:ascii="宋体" w:hAnsi="宋体" w:eastAsia="宋体" w:cs="宋体"/>
                <w:kern w:val="0"/>
                <w:szCs w:val="21"/>
              </w:rPr>
              <w:br w:type="textWrapping"/>
            </w:r>
            <w:r>
              <w:rPr>
                <w:rFonts w:hint="eastAsia" w:ascii="宋体" w:hAnsi="宋体" w:eastAsia="宋体" w:cs="宋体"/>
                <w:kern w:val="0"/>
                <w:szCs w:val="21"/>
              </w:rPr>
              <w:t>3、微模块内环境监测：环境采集点≥6个温湿度传感器、≥2条带式漏水感应绳、≥1个红外微波双鉴入侵探测器、≥1个门磁传感器，并提供≥1只声光告警灯作为微模块本地告警用。</w:t>
            </w:r>
            <w:r>
              <w:rPr>
                <w:rFonts w:hint="eastAsia" w:ascii="宋体" w:hAnsi="宋体" w:eastAsia="宋体" w:cs="宋体"/>
                <w:kern w:val="0"/>
                <w:szCs w:val="21"/>
              </w:rPr>
              <w:br w:type="textWrapping"/>
            </w:r>
            <w:r>
              <w:rPr>
                <w:rFonts w:hint="eastAsia" w:ascii="宋体" w:hAnsi="宋体" w:eastAsia="宋体" w:cs="宋体"/>
                <w:kern w:val="0"/>
                <w:szCs w:val="21"/>
              </w:rPr>
              <w:t>4、微模块PUE计量：动环管理单元应支持监测微模块的PUE值，并提供不少于1000条历史数据的记录和查询。</w:t>
            </w:r>
            <w:r>
              <w:rPr>
                <w:rFonts w:hint="eastAsia" w:ascii="宋体" w:hAnsi="宋体" w:eastAsia="宋体" w:cs="宋体"/>
                <w:kern w:val="0"/>
                <w:szCs w:val="21"/>
              </w:rPr>
              <w:br w:type="textWrapping"/>
            </w:r>
            <w:r>
              <w:rPr>
                <w:rFonts w:hint="eastAsia" w:ascii="宋体" w:hAnsi="宋体" w:eastAsia="宋体" w:cs="宋体"/>
                <w:kern w:val="0"/>
                <w:szCs w:val="21"/>
              </w:rPr>
              <w:t>5、★采集服务器规格要求：支持IOS和Android版移动监控APP，通过智能移动终端进行监控。需提供两大操作系统下存在APP的证明材料，并提供各类可查看信息。</w:t>
            </w:r>
          </w:p>
          <w:p w14:paraId="71EE4D45">
            <w:pPr>
              <w:keepLines/>
              <w:widowControl/>
              <w:jc w:val="left"/>
              <w:rPr>
                <w:rFonts w:hint="eastAsia" w:ascii="宋体" w:hAnsi="宋体" w:eastAsia="宋体" w:cs="宋体"/>
                <w:kern w:val="0"/>
                <w:szCs w:val="21"/>
              </w:rPr>
            </w:pPr>
            <w:r>
              <w:rPr>
                <w:rFonts w:hint="eastAsia" w:ascii="宋体" w:hAnsi="宋体" w:eastAsia="宋体" w:cs="宋体"/>
                <w:kern w:val="0"/>
                <w:szCs w:val="21"/>
              </w:rPr>
              <w:t>6、</w:t>
            </w:r>
            <w:r>
              <w:rPr>
                <w:rFonts w:ascii="宋体" w:hAnsi="宋体" w:eastAsia="宋体" w:cs="宋体"/>
                <w:kern w:val="0"/>
                <w:szCs w:val="21"/>
              </w:rPr>
              <w:t>满足智能联网产品（网络安全）增强级的要求，提供公安部出具的社会公共安全产品认证证书及测试报告。</w:t>
            </w:r>
          </w:p>
        </w:tc>
        <w:tc>
          <w:tcPr>
            <w:tcW w:w="311" w:type="pct"/>
            <w:noWrap w:val="0"/>
            <w:vAlign w:val="center"/>
          </w:tcPr>
          <w:p w14:paraId="2BEDB42E">
            <w:pPr>
              <w:keepLines/>
              <w:widowControl/>
              <w:jc w:val="center"/>
              <w:rPr>
                <w:rFonts w:hint="eastAsia" w:ascii="宋体" w:hAnsi="宋体" w:eastAsia="宋体" w:cs="宋体"/>
                <w:kern w:val="0"/>
                <w:szCs w:val="21"/>
              </w:rPr>
            </w:pPr>
            <w:r>
              <w:rPr>
                <w:rFonts w:hint="eastAsia" w:ascii="宋体" w:hAnsi="宋体" w:eastAsia="宋体" w:cs="宋体"/>
                <w:kern w:val="0"/>
                <w:szCs w:val="21"/>
              </w:rPr>
              <w:t>1套</w:t>
            </w:r>
          </w:p>
        </w:tc>
        <w:tc>
          <w:tcPr>
            <w:tcW w:w="250" w:type="pct"/>
            <w:noWrap w:val="0"/>
            <w:vAlign w:val="center"/>
          </w:tcPr>
          <w:p w14:paraId="5866B611">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r>
      <w:tr w14:paraId="48599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50B56771">
            <w:pPr>
              <w:keepLines/>
              <w:widowControl/>
              <w:jc w:val="center"/>
              <w:rPr>
                <w:rFonts w:hint="eastAsia" w:ascii="宋体" w:hAnsi="宋体" w:eastAsia="宋体" w:cs="宋体"/>
                <w:kern w:val="0"/>
                <w:szCs w:val="21"/>
              </w:rPr>
            </w:pPr>
            <w:r>
              <w:rPr>
                <w:rFonts w:hint="eastAsia" w:ascii="宋体" w:hAnsi="宋体" w:eastAsia="宋体" w:cs="宋体"/>
                <w:kern w:val="0"/>
                <w:szCs w:val="21"/>
              </w:rPr>
              <w:t>10</w:t>
            </w:r>
          </w:p>
        </w:tc>
        <w:tc>
          <w:tcPr>
            <w:tcW w:w="533" w:type="pct"/>
            <w:noWrap w:val="0"/>
            <w:vAlign w:val="center"/>
          </w:tcPr>
          <w:p w14:paraId="35C506FC">
            <w:pPr>
              <w:keepLines/>
              <w:widowControl/>
              <w:jc w:val="center"/>
              <w:rPr>
                <w:rFonts w:hint="eastAsia" w:ascii="宋体" w:hAnsi="宋体" w:eastAsia="宋体" w:cs="宋体"/>
                <w:kern w:val="0"/>
                <w:szCs w:val="21"/>
              </w:rPr>
            </w:pPr>
            <w:r>
              <w:rPr>
                <w:rFonts w:hint="eastAsia" w:ascii="宋体" w:hAnsi="宋体" w:eastAsia="宋体" w:cs="宋体"/>
                <w:kern w:val="0"/>
                <w:szCs w:val="21"/>
              </w:rPr>
              <w:t>安防监控系统</w:t>
            </w:r>
          </w:p>
        </w:tc>
        <w:tc>
          <w:tcPr>
            <w:tcW w:w="3655" w:type="pct"/>
            <w:noWrap w:val="0"/>
            <w:vAlign w:val="center"/>
          </w:tcPr>
          <w:p w14:paraId="14F39B0D">
            <w:pPr>
              <w:keepLines/>
              <w:widowControl/>
              <w:jc w:val="left"/>
              <w:rPr>
                <w:rFonts w:hint="eastAsia" w:ascii="宋体" w:hAnsi="宋体" w:eastAsia="宋体" w:cs="宋体"/>
                <w:kern w:val="0"/>
                <w:szCs w:val="21"/>
              </w:rPr>
            </w:pPr>
            <w:r>
              <w:rPr>
                <w:rFonts w:hint="eastAsia" w:ascii="宋体" w:hAnsi="宋体" w:eastAsia="宋体" w:cs="宋体"/>
                <w:kern w:val="0"/>
                <w:szCs w:val="21"/>
              </w:rPr>
              <w:t>1、不少于15台网络高清红外半球摄像头： 定焦4mm，1/2.8" CMOS； 不小于200万像素定焦；自动光圈不小于1920 × 1080； 不小于30米红外防水防暴，标配电源，带SD卡接口，DC12V/PoE</w:t>
            </w:r>
            <w:r>
              <w:rPr>
                <w:rFonts w:hint="eastAsia" w:ascii="宋体" w:hAnsi="宋体" w:eastAsia="宋体" w:cs="宋体"/>
                <w:kern w:val="0"/>
                <w:szCs w:val="21"/>
              </w:rPr>
              <w:br w:type="textWrapping"/>
            </w:r>
            <w:r>
              <w:rPr>
                <w:rFonts w:hint="eastAsia" w:ascii="宋体" w:hAnsi="宋体" w:eastAsia="宋体" w:cs="宋体"/>
                <w:kern w:val="0"/>
                <w:szCs w:val="21"/>
              </w:rPr>
              <w:t>(2) 1个标准16路NVR：标准16路NVR，支持1200W高清网络视频输入/支持1路VGA，1路HDMI/1U高度/可插2块SATA硬盘/硬盘容量，最高支持10TB/DC12V/19英寸机架安装</w:t>
            </w:r>
            <w:r>
              <w:rPr>
                <w:rFonts w:hint="eastAsia" w:ascii="宋体" w:hAnsi="宋体" w:eastAsia="宋体" w:cs="宋体"/>
                <w:kern w:val="0"/>
                <w:szCs w:val="21"/>
              </w:rPr>
              <w:br w:type="textWrapping"/>
            </w:r>
            <w:r>
              <w:rPr>
                <w:rFonts w:hint="eastAsia" w:ascii="宋体" w:hAnsi="宋体" w:eastAsia="宋体" w:cs="宋体"/>
                <w:kern w:val="0"/>
                <w:szCs w:val="21"/>
              </w:rPr>
              <w:t>3、不少于2块4T硬盘</w:t>
            </w:r>
            <w:r>
              <w:rPr>
                <w:rFonts w:hint="eastAsia" w:ascii="宋体" w:hAnsi="宋体" w:eastAsia="宋体" w:cs="宋体"/>
                <w:kern w:val="0"/>
                <w:szCs w:val="21"/>
              </w:rPr>
              <w:br w:type="textWrapping"/>
            </w:r>
            <w:r>
              <w:rPr>
                <w:rFonts w:hint="eastAsia" w:ascii="宋体" w:hAnsi="宋体" w:eastAsia="宋体" w:cs="宋体"/>
                <w:kern w:val="0"/>
                <w:szCs w:val="21"/>
              </w:rPr>
              <w:t>4、1台POE智能交换机</w:t>
            </w:r>
            <w:r>
              <w:rPr>
                <w:rFonts w:hint="eastAsia" w:ascii="宋体" w:hAnsi="宋体" w:eastAsia="宋体" w:cs="宋体"/>
                <w:kern w:val="0"/>
                <w:szCs w:val="21"/>
              </w:rPr>
              <w:br w:type="textWrapping"/>
            </w:r>
            <w:r>
              <w:rPr>
                <w:rFonts w:hint="eastAsia" w:ascii="宋体" w:hAnsi="宋体" w:eastAsia="宋体" w:cs="宋体"/>
                <w:kern w:val="0"/>
                <w:szCs w:val="21"/>
              </w:rPr>
              <w:t>5、不少于2个指纹处理器：IC卡指纹处理器、指纹识别+IC读卡+密码键盘、支持维根输出、 RS485通讯</w:t>
            </w:r>
            <w:r>
              <w:rPr>
                <w:rFonts w:hint="eastAsia" w:ascii="宋体" w:hAnsi="宋体" w:eastAsia="宋体" w:cs="宋体"/>
                <w:kern w:val="0"/>
                <w:szCs w:val="21"/>
              </w:rPr>
              <w:br w:type="textWrapping"/>
            </w:r>
            <w:r>
              <w:rPr>
                <w:rFonts w:hint="eastAsia" w:ascii="宋体" w:hAnsi="宋体" w:eastAsia="宋体" w:cs="宋体"/>
                <w:kern w:val="0"/>
                <w:szCs w:val="21"/>
              </w:rPr>
              <w:t>6、1台IC卡指纹采集发行器</w:t>
            </w:r>
            <w:r>
              <w:rPr>
                <w:rFonts w:hint="eastAsia" w:ascii="宋体" w:hAnsi="宋体" w:eastAsia="宋体" w:cs="宋体"/>
                <w:kern w:val="0"/>
                <w:szCs w:val="21"/>
              </w:rPr>
              <w:br w:type="textWrapping"/>
            </w:r>
            <w:r>
              <w:rPr>
                <w:rFonts w:hint="eastAsia" w:ascii="宋体" w:hAnsi="宋体" w:eastAsia="宋体" w:cs="宋体"/>
                <w:kern w:val="0"/>
                <w:szCs w:val="21"/>
              </w:rPr>
              <w:t>7、不少于2套出门按钮：不锈钢出门按钮，配套门禁使用，每套门出门处配置，无需身份验证</w:t>
            </w:r>
            <w:r>
              <w:rPr>
                <w:rFonts w:hint="eastAsia" w:ascii="宋体" w:hAnsi="宋体" w:eastAsia="宋体" w:cs="宋体"/>
                <w:kern w:val="0"/>
                <w:szCs w:val="21"/>
              </w:rPr>
              <w:br w:type="textWrapping"/>
            </w:r>
            <w:r>
              <w:rPr>
                <w:rFonts w:hint="eastAsia" w:ascii="宋体" w:hAnsi="宋体" w:eastAsia="宋体" w:cs="宋体"/>
                <w:kern w:val="0"/>
                <w:szCs w:val="21"/>
              </w:rPr>
              <w:t>8、不少于2套单门门禁控制箱</w:t>
            </w:r>
          </w:p>
        </w:tc>
        <w:tc>
          <w:tcPr>
            <w:tcW w:w="311" w:type="pct"/>
            <w:noWrap w:val="0"/>
            <w:vAlign w:val="center"/>
          </w:tcPr>
          <w:p w14:paraId="7D724ACE">
            <w:pPr>
              <w:keepLines/>
              <w:widowControl/>
              <w:jc w:val="center"/>
              <w:rPr>
                <w:rFonts w:hint="eastAsia" w:ascii="宋体" w:hAnsi="宋体" w:eastAsia="宋体" w:cs="宋体"/>
                <w:kern w:val="0"/>
                <w:szCs w:val="21"/>
              </w:rPr>
            </w:pPr>
            <w:r>
              <w:rPr>
                <w:rFonts w:hint="eastAsia" w:ascii="宋体" w:hAnsi="宋体" w:eastAsia="宋体" w:cs="宋体"/>
                <w:kern w:val="0"/>
                <w:szCs w:val="21"/>
              </w:rPr>
              <w:t>1套</w:t>
            </w:r>
          </w:p>
        </w:tc>
        <w:tc>
          <w:tcPr>
            <w:tcW w:w="250" w:type="pct"/>
            <w:noWrap w:val="0"/>
            <w:vAlign w:val="center"/>
          </w:tcPr>
          <w:p w14:paraId="2BCF684E">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r>
      <w:tr w14:paraId="27EEE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719ED2B1">
            <w:pPr>
              <w:keepLines/>
              <w:widowControl/>
              <w:jc w:val="center"/>
              <w:rPr>
                <w:rFonts w:hint="eastAsia" w:ascii="宋体" w:hAnsi="宋体" w:eastAsia="宋体" w:cs="宋体"/>
                <w:kern w:val="0"/>
                <w:szCs w:val="21"/>
              </w:rPr>
            </w:pPr>
            <w:r>
              <w:rPr>
                <w:rFonts w:hint="eastAsia" w:ascii="宋体" w:hAnsi="宋体" w:eastAsia="宋体" w:cs="宋体"/>
                <w:kern w:val="0"/>
                <w:szCs w:val="21"/>
              </w:rPr>
              <w:t>11</w:t>
            </w:r>
          </w:p>
        </w:tc>
        <w:tc>
          <w:tcPr>
            <w:tcW w:w="533" w:type="pct"/>
            <w:noWrap w:val="0"/>
            <w:vAlign w:val="center"/>
          </w:tcPr>
          <w:p w14:paraId="641E040B">
            <w:pPr>
              <w:keepLines/>
              <w:widowControl/>
              <w:jc w:val="center"/>
              <w:rPr>
                <w:rFonts w:hint="eastAsia" w:ascii="宋体" w:hAnsi="宋体" w:eastAsia="宋体" w:cs="宋体"/>
                <w:kern w:val="0"/>
                <w:szCs w:val="21"/>
              </w:rPr>
            </w:pPr>
            <w:r>
              <w:rPr>
                <w:rFonts w:hint="eastAsia" w:ascii="宋体" w:hAnsi="宋体" w:eastAsia="宋体" w:cs="宋体"/>
                <w:kern w:val="0"/>
                <w:szCs w:val="21"/>
              </w:rPr>
              <w:t>市电输入配电柜</w:t>
            </w:r>
          </w:p>
        </w:tc>
        <w:tc>
          <w:tcPr>
            <w:tcW w:w="3655" w:type="pct"/>
            <w:noWrap w:val="0"/>
            <w:vAlign w:val="center"/>
          </w:tcPr>
          <w:p w14:paraId="5DF93230">
            <w:pPr>
              <w:keepLines/>
              <w:widowControl/>
              <w:jc w:val="left"/>
              <w:rPr>
                <w:rFonts w:ascii="宋体" w:hAnsi="宋体" w:eastAsia="宋体" w:cs="宋体"/>
                <w:kern w:val="0"/>
                <w:szCs w:val="21"/>
              </w:rPr>
            </w:pPr>
            <w:r>
              <w:rPr>
                <w:rFonts w:hint="eastAsia" w:ascii="宋体" w:hAnsi="宋体" w:eastAsia="宋体" w:cs="宋体"/>
                <w:kern w:val="0"/>
                <w:szCs w:val="21"/>
              </w:rPr>
              <w:t>1、</w:t>
            </w:r>
            <w:r>
              <w:rPr>
                <w:rFonts w:ascii="宋体" w:hAnsi="宋体" w:eastAsia="宋体" w:cs="宋体"/>
                <w:kern w:val="0"/>
                <w:szCs w:val="21"/>
              </w:rPr>
              <w:t>投标人</w:t>
            </w:r>
            <w:r>
              <w:rPr>
                <w:rFonts w:hint="eastAsia" w:ascii="宋体" w:hAnsi="宋体" w:eastAsia="宋体" w:cs="宋体"/>
                <w:kern w:val="0"/>
                <w:szCs w:val="21"/>
              </w:rPr>
              <w:t>需负责提供为使设备达到安全可靠的运行，所有必需的配件及辅助设施，并保证设备在各方面均能达到正常运行的要求。满足输入总开关配置≥1250A/3P*1，输出配置≥1000/3P*4。配置三相电源指示灯、智能电量仪表等必要辅助配件，接入动力环境监控，与不间断电源需同一品牌。如无特殊说明，630A以上电流等级采用框架断路器，630A及以下采用塑壳断路器，63A及以下采用微型断路器。配电柜需按系统设计内置SPD(电涌保护器)。柜体颜色要求与不间断电源主机一致，高度、尺寸与其他配电柜一致。</w:t>
            </w:r>
            <w:r>
              <w:rPr>
                <w:rFonts w:hint="eastAsia" w:ascii="宋体" w:hAnsi="宋体" w:eastAsia="宋体" w:cs="宋体"/>
                <w:kern w:val="0"/>
                <w:szCs w:val="21"/>
              </w:rPr>
              <w:br w:type="textWrapping"/>
            </w:r>
            <w:r>
              <w:rPr>
                <w:rFonts w:hint="eastAsia" w:ascii="宋体" w:hAnsi="宋体" w:eastAsia="宋体" w:cs="宋体"/>
                <w:kern w:val="0"/>
                <w:szCs w:val="21"/>
              </w:rPr>
              <w:t>2、</w:t>
            </w:r>
            <w:r>
              <w:rPr>
                <w:rFonts w:hint="eastAsia" w:ascii="Calibri" w:hAnsi="Calibri" w:eastAsia="宋体" w:cs="Times New Roman"/>
              </w:rPr>
              <w:t>★</w:t>
            </w:r>
            <w:r>
              <w:rPr>
                <w:rFonts w:hint="eastAsia" w:ascii="宋体" w:hAnsi="宋体" w:eastAsia="宋体" w:cs="宋体"/>
                <w:kern w:val="0"/>
                <w:szCs w:val="21"/>
              </w:rPr>
              <w:t>投标设备（市电输入配电柜、UPSA输出配电柜、UPSB输出配电柜、动力配电柜、智算精密列头柜），不接受贴牌或者授权盘厂生产产品，提供同系列产品的检验报告。要求提供不少于三年的原厂售后服务。</w:t>
            </w:r>
          </w:p>
          <w:p w14:paraId="02DB816B">
            <w:pPr>
              <w:keepLines/>
              <w:widowControl/>
              <w:jc w:val="left"/>
              <w:rPr>
                <w:rFonts w:hint="eastAsia" w:ascii="宋体" w:hAnsi="宋体" w:eastAsia="宋体" w:cs="宋体"/>
                <w:kern w:val="0"/>
                <w:szCs w:val="21"/>
              </w:rPr>
            </w:pPr>
            <w:r>
              <w:rPr>
                <w:rFonts w:hint="eastAsia" w:ascii="宋体" w:hAnsi="宋体" w:eastAsia="宋体" w:cs="宋体"/>
                <w:kern w:val="0"/>
                <w:szCs w:val="21"/>
              </w:rPr>
              <w:t>3、为了确保柜体镀层质量，所有结构件必须在原厂喷涂，投标制造商工厂必须具备完整喷涂生产线，提供喷涂设备资产证明文件。</w:t>
            </w:r>
            <w:r>
              <w:rPr>
                <w:rFonts w:hint="eastAsia" w:ascii="宋体" w:hAnsi="宋体" w:eastAsia="宋体" w:cs="宋体"/>
                <w:kern w:val="0"/>
                <w:szCs w:val="21"/>
              </w:rPr>
              <w:br w:type="textWrapping"/>
            </w:r>
            <w:r>
              <w:rPr>
                <w:rFonts w:hint="eastAsia" w:ascii="宋体" w:hAnsi="宋体" w:eastAsia="宋体" w:cs="宋体"/>
                <w:kern w:val="0"/>
                <w:szCs w:val="21"/>
              </w:rPr>
              <w:t>4、柜体母线应采用高导电率铜制导体。机架内一、二次连接铜排，铜导线均从正规厂家购买，铜排纯度达到99.97%以上，并提供《中国有色金属工业产品质量监督检验中心检测报告》证明。</w:t>
            </w:r>
            <w:r>
              <w:rPr>
                <w:rFonts w:hint="eastAsia" w:ascii="宋体" w:hAnsi="宋体" w:eastAsia="宋体" w:cs="宋体"/>
                <w:kern w:val="0"/>
                <w:szCs w:val="21"/>
              </w:rPr>
              <w:br w:type="textWrapping"/>
            </w:r>
            <w:r>
              <w:rPr>
                <w:rFonts w:hint="eastAsia" w:ascii="宋体" w:hAnsi="宋体" w:eastAsia="宋体" w:cs="宋体"/>
                <w:kern w:val="0"/>
                <w:szCs w:val="21"/>
              </w:rPr>
              <w:t>5、需要提供同系列产品第三方检测机构出具的开关柜壳体盐雾测试及电弧试验报告、节能产品认证试验报告、抗震（不低于7级烈度抗震测试）。</w:t>
            </w:r>
          </w:p>
        </w:tc>
        <w:tc>
          <w:tcPr>
            <w:tcW w:w="311" w:type="pct"/>
            <w:noWrap w:val="0"/>
            <w:vAlign w:val="center"/>
          </w:tcPr>
          <w:p w14:paraId="4A99956A">
            <w:pPr>
              <w:keepLines/>
              <w:widowControl/>
              <w:jc w:val="center"/>
              <w:rPr>
                <w:rFonts w:hint="eastAsia" w:ascii="宋体" w:hAnsi="宋体" w:eastAsia="宋体" w:cs="宋体"/>
                <w:kern w:val="0"/>
                <w:szCs w:val="21"/>
              </w:rPr>
            </w:pPr>
            <w:r>
              <w:rPr>
                <w:rFonts w:hint="eastAsia" w:ascii="宋体" w:hAnsi="宋体" w:eastAsia="宋体" w:cs="宋体"/>
                <w:kern w:val="0"/>
                <w:szCs w:val="21"/>
              </w:rPr>
              <w:t>1台</w:t>
            </w:r>
          </w:p>
        </w:tc>
        <w:tc>
          <w:tcPr>
            <w:tcW w:w="250" w:type="pct"/>
            <w:noWrap w:val="0"/>
            <w:vAlign w:val="center"/>
          </w:tcPr>
          <w:p w14:paraId="1F0D14B1">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r>
      <w:tr w14:paraId="747A2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0E56EF0D">
            <w:pPr>
              <w:keepLines/>
              <w:widowControl/>
              <w:jc w:val="center"/>
              <w:rPr>
                <w:rFonts w:hint="eastAsia" w:ascii="宋体" w:hAnsi="宋体" w:eastAsia="宋体" w:cs="宋体"/>
                <w:kern w:val="0"/>
                <w:szCs w:val="21"/>
              </w:rPr>
            </w:pPr>
            <w:r>
              <w:rPr>
                <w:rFonts w:hint="eastAsia" w:ascii="宋体" w:hAnsi="宋体" w:eastAsia="宋体" w:cs="宋体"/>
                <w:kern w:val="0"/>
                <w:szCs w:val="21"/>
              </w:rPr>
              <w:t>12</w:t>
            </w:r>
          </w:p>
        </w:tc>
        <w:tc>
          <w:tcPr>
            <w:tcW w:w="533" w:type="pct"/>
            <w:noWrap w:val="0"/>
            <w:vAlign w:val="center"/>
          </w:tcPr>
          <w:p w14:paraId="57475B81">
            <w:pPr>
              <w:keepLines/>
              <w:widowControl/>
              <w:jc w:val="center"/>
              <w:rPr>
                <w:rFonts w:ascii="宋体" w:hAnsi="宋体" w:eastAsia="宋体" w:cs="宋体"/>
                <w:kern w:val="0"/>
                <w:szCs w:val="21"/>
              </w:rPr>
            </w:pPr>
          </w:p>
          <w:p w14:paraId="76EFDACD">
            <w:pPr>
              <w:keepLines/>
              <w:widowControl/>
              <w:jc w:val="center"/>
              <w:rPr>
                <w:rFonts w:hint="eastAsia" w:ascii="宋体" w:hAnsi="宋体" w:eastAsia="宋体" w:cs="宋体"/>
                <w:kern w:val="0"/>
                <w:szCs w:val="21"/>
              </w:rPr>
            </w:pPr>
            <w:r>
              <w:rPr>
                <w:rFonts w:hint="eastAsia" w:ascii="宋体" w:hAnsi="宋体" w:eastAsia="宋体" w:cs="宋体"/>
                <w:kern w:val="0"/>
                <w:szCs w:val="21"/>
              </w:rPr>
              <w:t>UPSA输出配电柜</w:t>
            </w:r>
          </w:p>
        </w:tc>
        <w:tc>
          <w:tcPr>
            <w:tcW w:w="3655" w:type="pct"/>
            <w:noWrap w:val="0"/>
            <w:vAlign w:val="center"/>
          </w:tcPr>
          <w:p w14:paraId="456BCA42">
            <w:pPr>
              <w:keepLines/>
              <w:widowControl/>
              <w:jc w:val="left"/>
              <w:rPr>
                <w:rFonts w:ascii="宋体" w:hAnsi="宋体" w:eastAsia="宋体" w:cs="宋体"/>
                <w:kern w:val="0"/>
                <w:szCs w:val="21"/>
              </w:rPr>
            </w:pPr>
            <w:r>
              <w:rPr>
                <w:rFonts w:hint="eastAsia" w:ascii="宋体" w:hAnsi="宋体" w:eastAsia="宋体" w:cs="宋体"/>
                <w:kern w:val="0"/>
                <w:szCs w:val="21"/>
              </w:rPr>
              <w:t>1、投标人需负责提供为使设备达到安全可靠的运行，所有必需的配件及辅助设施，并保证设备在各方面均能达到正常运行的要求。满足输入总开关配置≥1000A/3P*1，输出配置≥250/3P*3，400A/3P*2，32A/3P*6。配置三相电源指示灯、智能电量仪表等必要辅助配件，接入动力环境监控，与不间断电源需同一品牌。如无特殊说明，630A以上电流等级采用框架断路器，630A及以下采用塑壳断路器，63A及以下采用微型断路器。配电柜需按系统设计内置SPD(电涌保护器)。柜体颜色要求与不间断电源主机一致，高度、尺寸与其他配电柜一致。</w:t>
            </w:r>
          </w:p>
          <w:p w14:paraId="6D2DA08A">
            <w:pPr>
              <w:keepLines/>
              <w:widowControl/>
              <w:jc w:val="left"/>
              <w:rPr>
                <w:rFonts w:hint="eastAsia" w:ascii="宋体" w:hAnsi="宋体" w:eastAsia="宋体" w:cs="宋体"/>
                <w:kern w:val="0"/>
                <w:szCs w:val="21"/>
              </w:rPr>
            </w:pPr>
            <w:r>
              <w:rPr>
                <w:rFonts w:hint="eastAsia" w:ascii="宋体" w:hAnsi="宋体" w:eastAsia="宋体" w:cs="宋体"/>
                <w:kern w:val="0"/>
                <w:szCs w:val="21"/>
              </w:rPr>
              <w:t>2、为了确保柜体镀层质量，所有结构件必须在原厂喷涂，投标制造商工厂必须具备完整喷涂生产线，提供喷涂设备资产证明文件。</w:t>
            </w:r>
            <w:r>
              <w:rPr>
                <w:rFonts w:hint="eastAsia" w:ascii="宋体" w:hAnsi="宋体" w:eastAsia="宋体" w:cs="宋体"/>
                <w:kern w:val="0"/>
                <w:szCs w:val="21"/>
              </w:rPr>
              <w:br w:type="textWrapping"/>
            </w:r>
            <w:r>
              <w:rPr>
                <w:rFonts w:hint="eastAsia" w:ascii="宋体" w:hAnsi="宋体" w:eastAsia="宋体" w:cs="宋体"/>
                <w:kern w:val="0"/>
                <w:szCs w:val="21"/>
              </w:rPr>
              <w:t>3、柜体母线应采用高导电率铜制导体。机架内一、二次连接铜排，铜导线均从正规厂家购买，铜排纯度达到99.97%以上，并提供《中国有色金属工业产品质量监督检验中心检测报告》证明。</w:t>
            </w:r>
            <w:r>
              <w:rPr>
                <w:rFonts w:hint="eastAsia" w:ascii="宋体" w:hAnsi="宋体" w:eastAsia="宋体" w:cs="宋体"/>
                <w:kern w:val="0"/>
                <w:szCs w:val="21"/>
              </w:rPr>
              <w:br w:type="textWrapping"/>
            </w:r>
            <w:r>
              <w:rPr>
                <w:rFonts w:hint="eastAsia" w:ascii="宋体" w:hAnsi="宋体" w:eastAsia="宋体" w:cs="宋体"/>
                <w:kern w:val="0"/>
                <w:szCs w:val="21"/>
              </w:rPr>
              <w:t>4、需要提供同系列产品第三方检测机构出具的开关柜壳体盐雾测试及电弧试验报告、节能产品认证试验报告、抗震（不低于7级烈度抗震测试）。</w:t>
            </w:r>
          </w:p>
        </w:tc>
        <w:tc>
          <w:tcPr>
            <w:tcW w:w="311" w:type="pct"/>
            <w:noWrap w:val="0"/>
            <w:vAlign w:val="center"/>
          </w:tcPr>
          <w:p w14:paraId="10F41D13">
            <w:pPr>
              <w:keepLines/>
              <w:widowControl/>
              <w:jc w:val="center"/>
              <w:rPr>
                <w:rFonts w:hint="eastAsia" w:ascii="宋体" w:hAnsi="宋体" w:eastAsia="宋体" w:cs="宋体"/>
                <w:kern w:val="0"/>
                <w:szCs w:val="21"/>
              </w:rPr>
            </w:pPr>
            <w:r>
              <w:rPr>
                <w:rFonts w:hint="eastAsia" w:ascii="宋体" w:hAnsi="宋体" w:eastAsia="宋体" w:cs="宋体"/>
                <w:kern w:val="0"/>
                <w:szCs w:val="21"/>
              </w:rPr>
              <w:t>1台</w:t>
            </w:r>
          </w:p>
        </w:tc>
        <w:tc>
          <w:tcPr>
            <w:tcW w:w="250" w:type="pct"/>
            <w:noWrap w:val="0"/>
            <w:vAlign w:val="center"/>
          </w:tcPr>
          <w:p w14:paraId="5E7FD1E6">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r>
      <w:tr w14:paraId="589F4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58F8D842">
            <w:pPr>
              <w:keepLines/>
              <w:widowControl/>
              <w:jc w:val="center"/>
              <w:rPr>
                <w:rFonts w:hint="eastAsia" w:ascii="宋体" w:hAnsi="宋体" w:eastAsia="宋体" w:cs="宋体"/>
                <w:kern w:val="0"/>
                <w:szCs w:val="21"/>
              </w:rPr>
            </w:pPr>
            <w:r>
              <w:rPr>
                <w:rFonts w:hint="eastAsia" w:ascii="宋体" w:hAnsi="宋体" w:eastAsia="宋体" w:cs="宋体"/>
                <w:kern w:val="0"/>
                <w:szCs w:val="21"/>
              </w:rPr>
              <w:t>13</w:t>
            </w:r>
          </w:p>
        </w:tc>
        <w:tc>
          <w:tcPr>
            <w:tcW w:w="533" w:type="pct"/>
            <w:noWrap w:val="0"/>
            <w:vAlign w:val="center"/>
          </w:tcPr>
          <w:p w14:paraId="6F0C89F9">
            <w:pPr>
              <w:keepLines/>
              <w:widowControl/>
              <w:jc w:val="center"/>
              <w:rPr>
                <w:rFonts w:hint="eastAsia" w:ascii="宋体" w:hAnsi="宋体" w:eastAsia="宋体" w:cs="宋体"/>
                <w:kern w:val="0"/>
                <w:szCs w:val="21"/>
              </w:rPr>
            </w:pPr>
            <w:r>
              <w:rPr>
                <w:rFonts w:hint="eastAsia" w:ascii="宋体" w:hAnsi="宋体" w:eastAsia="宋体" w:cs="宋体"/>
                <w:kern w:val="0"/>
                <w:szCs w:val="21"/>
              </w:rPr>
              <w:t>UPSB输出配电柜</w:t>
            </w:r>
          </w:p>
        </w:tc>
        <w:tc>
          <w:tcPr>
            <w:tcW w:w="3655" w:type="pct"/>
            <w:noWrap w:val="0"/>
            <w:vAlign w:val="center"/>
          </w:tcPr>
          <w:p w14:paraId="2EC46D4B">
            <w:pPr>
              <w:keepLines/>
              <w:widowControl/>
              <w:jc w:val="left"/>
              <w:rPr>
                <w:rFonts w:ascii="宋体" w:hAnsi="宋体" w:eastAsia="宋体" w:cs="宋体"/>
                <w:kern w:val="0"/>
                <w:szCs w:val="21"/>
              </w:rPr>
            </w:pPr>
            <w:r>
              <w:rPr>
                <w:rFonts w:hint="eastAsia" w:ascii="宋体" w:hAnsi="宋体" w:eastAsia="宋体" w:cs="宋体"/>
                <w:kern w:val="0"/>
                <w:szCs w:val="21"/>
              </w:rPr>
              <w:t>1、投标人需负责提供为使设备达到安全可靠的运行，所有必需的配件及辅助设施，并保证设备在各方面均能达到正常运行的要求。满足输入总开关配置≥1000A/3P*1，输出配置≥250/3P*3，400A/3P*2，32A/3P*6。配置三相电源指示灯、智能电量仪表等必要辅助配件，接入动力环境监控，与不间断电源需同一品牌。如无特殊说明，630A以上电流等级采用框架断路器，630A及以下采用塑壳断路器，63A及以下采用微型断路器。配电柜需按系统设计内置SPD(电涌保护器)。柜体颜色要求与不间断电源主机一致，高度、尺寸与其他配电柜一致。</w:t>
            </w:r>
          </w:p>
          <w:p w14:paraId="3898D818">
            <w:pPr>
              <w:keepLines/>
              <w:widowControl/>
              <w:jc w:val="left"/>
              <w:rPr>
                <w:rFonts w:hint="eastAsia" w:ascii="宋体" w:hAnsi="宋体" w:eastAsia="宋体" w:cs="宋体"/>
                <w:kern w:val="0"/>
                <w:szCs w:val="21"/>
              </w:rPr>
            </w:pPr>
            <w:r>
              <w:rPr>
                <w:rFonts w:hint="eastAsia" w:ascii="宋体" w:hAnsi="宋体" w:eastAsia="宋体" w:cs="宋体"/>
                <w:kern w:val="0"/>
                <w:szCs w:val="21"/>
              </w:rPr>
              <w:t>2、为了确保柜体镀层质量，所有结构件必须在原厂喷涂，投标制造商工厂必须具备完整喷涂生产线，提供喷涂设备资产证明文件。</w:t>
            </w:r>
            <w:r>
              <w:rPr>
                <w:rFonts w:hint="eastAsia" w:ascii="宋体" w:hAnsi="宋体" w:eastAsia="宋体" w:cs="宋体"/>
                <w:kern w:val="0"/>
                <w:szCs w:val="21"/>
              </w:rPr>
              <w:br w:type="textWrapping"/>
            </w:r>
            <w:r>
              <w:rPr>
                <w:rFonts w:hint="eastAsia" w:ascii="宋体" w:hAnsi="宋体" w:eastAsia="宋体" w:cs="宋体"/>
                <w:kern w:val="0"/>
                <w:szCs w:val="21"/>
              </w:rPr>
              <w:t>3、柜体母线应采用高导电率铜制导体。机架内一、二次连接铜排，铜导线均从正规厂家购买，铜排纯度达到99.97%以上，并提供《中国有色金属工业产品质量监督检验中心检测报告》证明。</w:t>
            </w:r>
            <w:r>
              <w:rPr>
                <w:rFonts w:hint="eastAsia" w:ascii="宋体" w:hAnsi="宋体" w:eastAsia="宋体" w:cs="宋体"/>
                <w:kern w:val="0"/>
                <w:szCs w:val="21"/>
              </w:rPr>
              <w:br w:type="textWrapping"/>
            </w:r>
            <w:r>
              <w:rPr>
                <w:rFonts w:hint="eastAsia" w:ascii="宋体" w:hAnsi="宋体" w:eastAsia="宋体" w:cs="宋体"/>
                <w:kern w:val="0"/>
                <w:szCs w:val="21"/>
              </w:rPr>
              <w:t>4、需要提供同系列产品第三方检测机构出具的开关柜壳体盐雾测试及电弧试验报告、节能产品认证试验报告、抗震（不低于7级烈度抗震测试）。</w:t>
            </w:r>
          </w:p>
        </w:tc>
        <w:tc>
          <w:tcPr>
            <w:tcW w:w="311" w:type="pct"/>
            <w:noWrap w:val="0"/>
            <w:vAlign w:val="center"/>
          </w:tcPr>
          <w:p w14:paraId="1D21AD32">
            <w:pPr>
              <w:keepLines/>
              <w:widowControl/>
              <w:jc w:val="center"/>
              <w:rPr>
                <w:rFonts w:hint="eastAsia" w:ascii="宋体" w:hAnsi="宋体" w:eastAsia="宋体" w:cs="宋体"/>
                <w:kern w:val="0"/>
                <w:szCs w:val="21"/>
              </w:rPr>
            </w:pPr>
            <w:r>
              <w:rPr>
                <w:rFonts w:hint="eastAsia" w:ascii="宋体" w:hAnsi="宋体" w:eastAsia="宋体" w:cs="宋体"/>
                <w:kern w:val="0"/>
                <w:szCs w:val="21"/>
              </w:rPr>
              <w:t>1台</w:t>
            </w:r>
          </w:p>
        </w:tc>
        <w:tc>
          <w:tcPr>
            <w:tcW w:w="250" w:type="pct"/>
            <w:noWrap w:val="0"/>
            <w:vAlign w:val="center"/>
          </w:tcPr>
          <w:p w14:paraId="454A43CF">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r>
      <w:tr w14:paraId="514E2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2FD14C17">
            <w:pPr>
              <w:keepLines/>
              <w:widowControl/>
              <w:jc w:val="center"/>
              <w:rPr>
                <w:rFonts w:hint="eastAsia" w:ascii="宋体" w:hAnsi="宋体" w:eastAsia="宋体" w:cs="宋体"/>
                <w:kern w:val="0"/>
                <w:szCs w:val="21"/>
              </w:rPr>
            </w:pPr>
            <w:r>
              <w:rPr>
                <w:rFonts w:hint="eastAsia" w:ascii="宋体" w:hAnsi="宋体" w:eastAsia="宋体" w:cs="宋体"/>
                <w:kern w:val="0"/>
                <w:szCs w:val="21"/>
              </w:rPr>
              <w:t>14</w:t>
            </w:r>
          </w:p>
        </w:tc>
        <w:tc>
          <w:tcPr>
            <w:tcW w:w="533" w:type="pct"/>
            <w:noWrap w:val="0"/>
            <w:vAlign w:val="center"/>
          </w:tcPr>
          <w:p w14:paraId="49C82794">
            <w:pPr>
              <w:keepLines/>
              <w:widowControl/>
              <w:jc w:val="center"/>
              <w:rPr>
                <w:rFonts w:hint="eastAsia" w:ascii="宋体" w:hAnsi="宋体" w:eastAsia="宋体" w:cs="宋体"/>
                <w:kern w:val="0"/>
                <w:szCs w:val="21"/>
              </w:rPr>
            </w:pPr>
            <w:r>
              <w:rPr>
                <w:rFonts w:hint="eastAsia" w:ascii="宋体" w:hAnsi="宋体" w:eastAsia="宋体" w:cs="宋体"/>
                <w:kern w:val="0"/>
                <w:szCs w:val="21"/>
              </w:rPr>
              <w:t>动力配电柜</w:t>
            </w:r>
          </w:p>
        </w:tc>
        <w:tc>
          <w:tcPr>
            <w:tcW w:w="3655" w:type="pct"/>
            <w:noWrap w:val="0"/>
            <w:vAlign w:val="center"/>
          </w:tcPr>
          <w:p w14:paraId="097CE7C2">
            <w:pPr>
              <w:keepLines/>
              <w:widowControl/>
              <w:jc w:val="left"/>
              <w:rPr>
                <w:rFonts w:ascii="宋体" w:hAnsi="宋体" w:eastAsia="宋体" w:cs="宋体"/>
                <w:kern w:val="0"/>
                <w:szCs w:val="21"/>
              </w:rPr>
            </w:pPr>
            <w:r>
              <w:rPr>
                <w:rFonts w:hint="eastAsia" w:ascii="宋体" w:hAnsi="宋体" w:eastAsia="宋体" w:cs="宋体"/>
                <w:kern w:val="0"/>
                <w:szCs w:val="21"/>
              </w:rPr>
              <w:t>1、投标人需负责提供为使设备达到安全可靠的运行，所有必需的配件及辅助设施，并保证设备在各方面均能达到正常运行的要求。满足输入总开关配置≥630A/3P*1，输出配置≥63/3P*15，32A/3P*2，32A/1P*9。配置三相电源指示灯、智能电量仪表等必要辅助配件，接入动力环境监控，与不间断电源需同一品牌。如无特殊说明，630A以上电流等级采用框架断路器，630A及以下采用塑壳断路器，63A及以下采用微型断路器。配电柜需按系统设计内置SPD(电涌保护器)。柜体颜色要求与不间断电源主机一致，高度、尺寸与其他配电柜一致。</w:t>
            </w:r>
          </w:p>
          <w:p w14:paraId="1D3461E9">
            <w:pPr>
              <w:keepLines/>
              <w:widowControl/>
              <w:jc w:val="left"/>
              <w:rPr>
                <w:rFonts w:hint="eastAsia" w:ascii="宋体" w:hAnsi="宋体" w:eastAsia="宋体" w:cs="宋体"/>
                <w:kern w:val="0"/>
                <w:szCs w:val="21"/>
              </w:rPr>
            </w:pPr>
            <w:r>
              <w:rPr>
                <w:rFonts w:hint="eastAsia" w:ascii="宋体" w:hAnsi="宋体" w:eastAsia="宋体" w:cs="宋体"/>
                <w:kern w:val="0"/>
                <w:szCs w:val="21"/>
              </w:rPr>
              <w:t>2、为了确保柜体镀层质量，所有结构件必须在原厂喷涂，投标制造商工厂必须具备完整喷涂生产线，提供喷涂设备资产证明文件。</w:t>
            </w:r>
            <w:r>
              <w:rPr>
                <w:rFonts w:hint="eastAsia" w:ascii="宋体" w:hAnsi="宋体" w:eastAsia="宋体" w:cs="宋体"/>
                <w:kern w:val="0"/>
                <w:szCs w:val="21"/>
              </w:rPr>
              <w:br w:type="textWrapping"/>
            </w:r>
            <w:r>
              <w:rPr>
                <w:rFonts w:hint="eastAsia" w:ascii="宋体" w:hAnsi="宋体" w:eastAsia="宋体" w:cs="宋体"/>
                <w:kern w:val="0"/>
                <w:szCs w:val="21"/>
              </w:rPr>
              <w:t>3、柜体母线应采用高导电率铜制导体。机架内一、二次连接铜排，铜导线均从正规厂家购买，铜排纯度达到99.97%以上，并提供《中国有色金属工业产品质量监督检验中心检测报告》证明。</w:t>
            </w:r>
            <w:r>
              <w:rPr>
                <w:rFonts w:hint="eastAsia" w:ascii="宋体" w:hAnsi="宋体" w:eastAsia="宋体" w:cs="宋体"/>
                <w:kern w:val="0"/>
                <w:szCs w:val="21"/>
              </w:rPr>
              <w:br w:type="textWrapping"/>
            </w:r>
            <w:r>
              <w:rPr>
                <w:rFonts w:hint="eastAsia" w:ascii="宋体" w:hAnsi="宋体" w:eastAsia="宋体" w:cs="宋体"/>
                <w:kern w:val="0"/>
                <w:szCs w:val="21"/>
              </w:rPr>
              <w:t>4、需要提供同系列产品第三方检测机构出具的开关柜壳体盐雾测试及电弧试验报告、节能产品认证试验报告、抗震（不低于7级烈度抗震测试）。</w:t>
            </w:r>
          </w:p>
        </w:tc>
        <w:tc>
          <w:tcPr>
            <w:tcW w:w="311" w:type="pct"/>
            <w:noWrap w:val="0"/>
            <w:vAlign w:val="center"/>
          </w:tcPr>
          <w:p w14:paraId="44659C17">
            <w:pPr>
              <w:keepLines/>
              <w:widowControl/>
              <w:jc w:val="center"/>
              <w:rPr>
                <w:rFonts w:hint="eastAsia" w:ascii="宋体" w:hAnsi="宋体" w:eastAsia="宋体" w:cs="宋体"/>
                <w:kern w:val="0"/>
                <w:szCs w:val="21"/>
              </w:rPr>
            </w:pPr>
            <w:r>
              <w:rPr>
                <w:rFonts w:hint="eastAsia" w:ascii="宋体" w:hAnsi="宋体" w:eastAsia="宋体" w:cs="宋体"/>
                <w:kern w:val="0"/>
                <w:szCs w:val="21"/>
              </w:rPr>
              <w:t>1台</w:t>
            </w:r>
          </w:p>
        </w:tc>
        <w:tc>
          <w:tcPr>
            <w:tcW w:w="250" w:type="pct"/>
            <w:noWrap w:val="0"/>
            <w:vAlign w:val="center"/>
          </w:tcPr>
          <w:p w14:paraId="0F807145">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r>
      <w:tr w14:paraId="5E0AF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73E93B70">
            <w:pPr>
              <w:keepLines/>
              <w:widowControl/>
              <w:jc w:val="center"/>
              <w:rPr>
                <w:rFonts w:hint="eastAsia" w:ascii="宋体" w:hAnsi="宋体" w:eastAsia="宋体" w:cs="宋体"/>
                <w:kern w:val="0"/>
                <w:szCs w:val="21"/>
              </w:rPr>
            </w:pPr>
            <w:r>
              <w:rPr>
                <w:rFonts w:hint="eastAsia" w:ascii="宋体" w:hAnsi="宋体" w:eastAsia="宋体" w:cs="宋体"/>
                <w:kern w:val="0"/>
                <w:szCs w:val="21"/>
              </w:rPr>
              <w:t>15</w:t>
            </w:r>
          </w:p>
        </w:tc>
        <w:tc>
          <w:tcPr>
            <w:tcW w:w="533" w:type="pct"/>
            <w:noWrap w:val="0"/>
            <w:vAlign w:val="center"/>
          </w:tcPr>
          <w:p w14:paraId="5CB5E102">
            <w:pPr>
              <w:keepLines/>
              <w:widowControl/>
              <w:jc w:val="center"/>
              <w:rPr>
                <w:rFonts w:hint="eastAsia" w:ascii="宋体" w:hAnsi="宋体" w:eastAsia="宋体" w:cs="宋体"/>
                <w:kern w:val="0"/>
                <w:szCs w:val="21"/>
              </w:rPr>
            </w:pPr>
            <w:r>
              <w:rPr>
                <w:rFonts w:hint="eastAsia" w:ascii="宋体" w:hAnsi="宋体" w:eastAsia="宋体" w:cs="宋体"/>
                <w:kern w:val="0"/>
                <w:szCs w:val="21"/>
              </w:rPr>
              <w:t>智算精密列头柜</w:t>
            </w:r>
          </w:p>
        </w:tc>
        <w:tc>
          <w:tcPr>
            <w:tcW w:w="3655" w:type="pct"/>
            <w:noWrap w:val="0"/>
            <w:vAlign w:val="center"/>
          </w:tcPr>
          <w:p w14:paraId="15E12563">
            <w:pPr>
              <w:keepLines/>
              <w:widowControl/>
              <w:jc w:val="left"/>
              <w:rPr>
                <w:rFonts w:hint="eastAsia" w:ascii="宋体" w:hAnsi="宋体" w:eastAsia="宋体" w:cs="宋体"/>
                <w:kern w:val="0"/>
                <w:szCs w:val="21"/>
              </w:rPr>
            </w:pPr>
            <w:r>
              <w:rPr>
                <w:rFonts w:hint="eastAsia" w:ascii="宋体" w:hAnsi="宋体" w:eastAsia="宋体" w:cs="宋体"/>
                <w:kern w:val="0"/>
                <w:szCs w:val="21"/>
              </w:rPr>
              <w:t>1、精密配电柜的外观、颜色和尺寸必须与模块化机房整体保持一致，要求入列安装。输入空开400A/3P*2路，分路采用模块化设计，每个分路不少于每路32/1P*24，63/3P*7。采用原厂生产产品，不接受OEM或ODM产品。要求提供不少于三年的原厂售后服务。</w:t>
            </w:r>
          </w:p>
          <w:p w14:paraId="7F3B1D04">
            <w:pPr>
              <w:keepLines/>
              <w:widowControl/>
              <w:jc w:val="left"/>
              <w:rPr>
                <w:rFonts w:ascii="宋体" w:hAnsi="宋体" w:eastAsia="宋体" w:cs="宋体"/>
                <w:kern w:val="0"/>
                <w:szCs w:val="21"/>
              </w:rPr>
            </w:pPr>
            <w:r>
              <w:rPr>
                <w:rFonts w:hint="eastAsia" w:ascii="宋体" w:hAnsi="宋体" w:eastAsia="宋体" w:cs="宋体"/>
                <w:kern w:val="0"/>
                <w:szCs w:val="21"/>
              </w:rPr>
              <w:t>2、柜体外壳采用优质冷轧钢板，具备良好的人机交互操作界面，9寸及以上LCD屏显示，采用DSP数字信号处理器，方便查看和操作。</w:t>
            </w:r>
            <w:r>
              <w:rPr>
                <w:rFonts w:hint="eastAsia" w:ascii="宋体" w:hAnsi="宋体" w:eastAsia="宋体" w:cs="宋体"/>
                <w:kern w:val="0"/>
                <w:szCs w:val="21"/>
              </w:rPr>
              <w:br w:type="textWrapping"/>
            </w:r>
            <w:r>
              <w:rPr>
                <w:rFonts w:hint="eastAsia" w:ascii="宋体" w:hAnsi="宋体" w:eastAsia="宋体" w:cs="宋体"/>
                <w:kern w:val="0"/>
                <w:szCs w:val="21"/>
              </w:rPr>
              <w:t>3、配电柜中所使用的断路器需头部品牌。除特殊说明外，63A及以下断路器全部采用微型断路器，63A以上采用塑壳断路器。</w:t>
            </w:r>
          </w:p>
          <w:p w14:paraId="15C7C20C">
            <w:pPr>
              <w:keepLines/>
              <w:widowControl/>
              <w:jc w:val="left"/>
              <w:rPr>
                <w:rFonts w:ascii="宋体" w:hAnsi="宋体" w:eastAsia="宋体" w:cs="宋体"/>
                <w:kern w:val="0"/>
                <w:szCs w:val="21"/>
              </w:rPr>
            </w:pPr>
            <w:r>
              <w:rPr>
                <w:rFonts w:hint="eastAsia" w:ascii="宋体" w:hAnsi="宋体" w:eastAsia="宋体" w:cs="宋体"/>
                <w:kern w:val="0"/>
                <w:szCs w:val="21"/>
              </w:rPr>
              <w:t>浪涌保护器SPD，标称工作电压需为三相，380Vac，50Hz，最大持续运行电压385V。</w:t>
            </w:r>
          </w:p>
          <w:p w14:paraId="60A7E133">
            <w:pPr>
              <w:keepLines/>
              <w:widowControl/>
              <w:jc w:val="left"/>
              <w:rPr>
                <w:rFonts w:ascii="宋体" w:hAnsi="宋体" w:eastAsia="宋体" w:cs="宋体"/>
                <w:kern w:val="0"/>
                <w:szCs w:val="21"/>
              </w:rPr>
            </w:pPr>
            <w:r>
              <w:rPr>
                <w:rFonts w:hint="eastAsia" w:ascii="宋体" w:hAnsi="宋体" w:eastAsia="宋体" w:cs="宋体"/>
                <w:kern w:val="0"/>
                <w:szCs w:val="21"/>
              </w:rPr>
              <w:t>4、柜体母线应采用高电导率纯铜导体，机架内所有一、二次连接铜母排、铜导线均从正规厂购买，为优质电解铜生产而成，铜排纯度大于99.97%，并且提供《中国有色金属工业产品质量监督检验中心检测报告》</w:t>
            </w:r>
            <w:r>
              <w:rPr>
                <w:rFonts w:hint="eastAsia" w:ascii="宋体" w:hAnsi="宋体" w:eastAsia="宋体" w:cs="宋体"/>
                <w:kern w:val="0"/>
                <w:szCs w:val="21"/>
              </w:rPr>
              <w:br w:type="textWrapping"/>
            </w:r>
            <w:r>
              <w:rPr>
                <w:rFonts w:hint="eastAsia" w:ascii="宋体" w:hAnsi="宋体" w:eastAsia="宋体" w:cs="宋体"/>
                <w:kern w:val="0"/>
                <w:szCs w:val="21"/>
              </w:rPr>
              <w:t>5、精密配电柜的监控系统：</w:t>
            </w:r>
          </w:p>
          <w:p w14:paraId="09B7DC3C">
            <w:pPr>
              <w:keepLines/>
              <w:widowControl/>
              <w:jc w:val="left"/>
              <w:rPr>
                <w:rFonts w:ascii="宋体" w:hAnsi="宋体" w:eastAsia="宋体" w:cs="宋体"/>
                <w:kern w:val="0"/>
                <w:szCs w:val="21"/>
              </w:rPr>
            </w:pPr>
            <w:r>
              <w:rPr>
                <w:rFonts w:hint="eastAsia" w:ascii="宋体" w:hAnsi="宋体" w:eastAsia="宋体" w:cs="宋体"/>
                <w:kern w:val="0"/>
                <w:szCs w:val="21"/>
              </w:rPr>
              <w:t>（1）主进回路部分监控的电气参数需至少包括：三相电压，三相电流，电流百分比，频率，功率因数，电量，电压谐波，电流谐波，有功功率，无功功率，视在功率，中线电流，开关状态等。</w:t>
            </w:r>
          </w:p>
          <w:p w14:paraId="5CCC10F6">
            <w:pPr>
              <w:keepLines/>
              <w:widowControl/>
              <w:jc w:val="left"/>
              <w:rPr>
                <w:rFonts w:ascii="宋体" w:hAnsi="宋体" w:eastAsia="宋体" w:cs="宋体"/>
                <w:kern w:val="0"/>
                <w:szCs w:val="21"/>
              </w:rPr>
            </w:pPr>
            <w:r>
              <w:rPr>
                <w:rFonts w:hint="eastAsia" w:ascii="宋体" w:hAnsi="宋体" w:eastAsia="宋体" w:cs="宋体"/>
                <w:kern w:val="0"/>
                <w:szCs w:val="21"/>
              </w:rPr>
              <w:t>（2）支路监控和显示参数至少包括:各支路电流，额定电流，电流百分比，电量，电流谐波百分比，开关状态，有功功率，无功功率，视在功率，功率因数等。</w:t>
            </w:r>
          </w:p>
          <w:p w14:paraId="00FD7F24">
            <w:pPr>
              <w:keepLines/>
              <w:widowControl/>
              <w:jc w:val="left"/>
              <w:rPr>
                <w:rFonts w:ascii="宋体" w:hAnsi="宋体" w:eastAsia="宋体" w:cs="宋体"/>
                <w:kern w:val="0"/>
                <w:szCs w:val="21"/>
              </w:rPr>
            </w:pPr>
            <w:r>
              <w:rPr>
                <w:rFonts w:hint="eastAsia" w:ascii="宋体" w:hAnsi="宋体" w:eastAsia="宋体" w:cs="宋体"/>
                <w:kern w:val="0"/>
                <w:szCs w:val="21"/>
              </w:rPr>
              <w:t>（3）主路及各支路的电量参数应能以图形可视化界面按周、按月、按年进行计量，在后台监控系统中，可根据需要对任意时间段的电量进行分段计量。在柜体本地的监控及显示系统中，需具备主路及各支路电压、电流波形的录波功能，可根据存储卡容量存取一定时间段的波形历史记录。</w:t>
            </w:r>
          </w:p>
          <w:p w14:paraId="09F8F083">
            <w:pPr>
              <w:keepLines/>
              <w:widowControl/>
              <w:jc w:val="left"/>
              <w:rPr>
                <w:rFonts w:ascii="宋体" w:hAnsi="宋体" w:eastAsia="宋体" w:cs="宋体"/>
                <w:kern w:val="0"/>
                <w:szCs w:val="21"/>
              </w:rPr>
            </w:pPr>
            <w:r>
              <w:rPr>
                <w:rFonts w:hint="eastAsia" w:ascii="宋体" w:hAnsi="宋体" w:eastAsia="宋体" w:cs="宋体"/>
                <w:kern w:val="0"/>
                <w:szCs w:val="21"/>
              </w:rPr>
              <w:t>（4）当主路或支路断路器因故障而跳闸脱扣时，该功能应能抓取并记录跳闸时间段的电压、电流波形，方便运维人员分析比对，查找故障原因。主进回路及各支路的监控参数应能自动存储，并且所有数据在系统掉电时仍能保持，本地存储所有监控信息不少于2000条。</w:t>
            </w:r>
          </w:p>
          <w:p w14:paraId="4894E924">
            <w:pPr>
              <w:keepLines/>
              <w:widowControl/>
              <w:jc w:val="left"/>
              <w:rPr>
                <w:rFonts w:hint="eastAsia" w:ascii="宋体" w:hAnsi="宋体" w:eastAsia="宋体" w:cs="宋体"/>
                <w:kern w:val="0"/>
                <w:szCs w:val="21"/>
              </w:rPr>
            </w:pPr>
            <w:r>
              <w:rPr>
                <w:rFonts w:hint="eastAsia" w:ascii="宋体" w:hAnsi="宋体" w:eastAsia="宋体" w:cs="宋体"/>
                <w:kern w:val="0"/>
                <w:szCs w:val="21"/>
              </w:rPr>
              <w:t>（5）</w:t>
            </w:r>
            <w:r>
              <w:rPr>
                <w:rFonts w:hint="eastAsia" w:ascii="Calibri" w:hAnsi="Calibri" w:eastAsia="宋体" w:cs="Times New Roman"/>
              </w:rPr>
              <w:t>★配电柜</w:t>
            </w:r>
            <w:r>
              <w:rPr>
                <w:rFonts w:hint="eastAsia" w:ascii="宋体" w:hAnsi="宋体" w:eastAsia="宋体" w:cs="宋体"/>
                <w:kern w:val="0"/>
                <w:szCs w:val="21"/>
              </w:rPr>
              <w:t>各主路、支路的电压、电流、电能测量精度不低于1%。提供第三方检测报告。</w:t>
            </w:r>
            <w:r>
              <w:rPr>
                <w:rFonts w:hint="eastAsia" w:ascii="宋体" w:hAnsi="宋体" w:eastAsia="宋体" w:cs="宋体"/>
                <w:kern w:val="0"/>
                <w:szCs w:val="21"/>
              </w:rPr>
              <w:br w:type="textWrapping"/>
            </w:r>
            <w:r>
              <w:rPr>
                <w:rFonts w:hint="eastAsia" w:ascii="宋体" w:hAnsi="宋体" w:eastAsia="宋体" w:cs="宋体"/>
                <w:kern w:val="0"/>
                <w:szCs w:val="21"/>
              </w:rPr>
              <w:t>6、地震烈度：不低于7级烈度抗震，需提供第三方测试报告和合格证书。</w:t>
            </w:r>
          </w:p>
        </w:tc>
        <w:tc>
          <w:tcPr>
            <w:tcW w:w="311" w:type="pct"/>
            <w:noWrap w:val="0"/>
            <w:vAlign w:val="center"/>
          </w:tcPr>
          <w:p w14:paraId="3BA6E515">
            <w:pPr>
              <w:keepLines/>
              <w:widowControl/>
              <w:jc w:val="center"/>
              <w:rPr>
                <w:rFonts w:hint="eastAsia" w:ascii="宋体" w:hAnsi="宋体" w:eastAsia="宋体" w:cs="宋体"/>
                <w:kern w:val="0"/>
                <w:szCs w:val="21"/>
              </w:rPr>
            </w:pPr>
            <w:r>
              <w:rPr>
                <w:rFonts w:hint="eastAsia" w:ascii="宋体" w:hAnsi="宋体" w:eastAsia="宋体" w:cs="宋体"/>
                <w:kern w:val="0"/>
                <w:szCs w:val="21"/>
              </w:rPr>
              <w:t>1台</w:t>
            </w:r>
          </w:p>
        </w:tc>
        <w:tc>
          <w:tcPr>
            <w:tcW w:w="250" w:type="pct"/>
            <w:noWrap w:val="0"/>
            <w:vAlign w:val="center"/>
          </w:tcPr>
          <w:p w14:paraId="1E382F7B">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r>
      <w:tr w14:paraId="4B13F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508D3BB0">
            <w:pPr>
              <w:keepLines/>
              <w:widowControl/>
              <w:jc w:val="center"/>
              <w:rPr>
                <w:rFonts w:hint="eastAsia" w:ascii="宋体" w:hAnsi="宋体" w:eastAsia="宋体" w:cs="宋体"/>
                <w:kern w:val="0"/>
                <w:szCs w:val="21"/>
              </w:rPr>
            </w:pPr>
            <w:r>
              <w:rPr>
                <w:rFonts w:hint="eastAsia" w:ascii="宋体" w:hAnsi="宋体" w:eastAsia="宋体" w:cs="宋体"/>
                <w:kern w:val="0"/>
                <w:szCs w:val="21"/>
              </w:rPr>
              <w:t>16</w:t>
            </w:r>
          </w:p>
        </w:tc>
        <w:tc>
          <w:tcPr>
            <w:tcW w:w="533" w:type="pct"/>
            <w:noWrap w:val="0"/>
            <w:vAlign w:val="center"/>
          </w:tcPr>
          <w:p w14:paraId="35FADA6F">
            <w:pPr>
              <w:keepLines/>
              <w:widowControl/>
              <w:jc w:val="center"/>
              <w:rPr>
                <w:rFonts w:hint="eastAsia" w:ascii="宋体" w:hAnsi="宋体" w:eastAsia="宋体" w:cs="宋体"/>
                <w:kern w:val="0"/>
                <w:szCs w:val="21"/>
              </w:rPr>
            </w:pPr>
            <w:r>
              <w:rPr>
                <w:rFonts w:hint="eastAsia" w:ascii="宋体" w:hAnsi="宋体" w:eastAsia="宋体" w:cs="宋体"/>
                <w:kern w:val="0"/>
                <w:szCs w:val="21"/>
              </w:rPr>
              <w:t>IT设备主输入电缆</w:t>
            </w:r>
          </w:p>
        </w:tc>
        <w:tc>
          <w:tcPr>
            <w:tcW w:w="3655" w:type="pct"/>
            <w:noWrap w:val="0"/>
            <w:vAlign w:val="center"/>
          </w:tcPr>
          <w:p w14:paraId="6407153D">
            <w:pPr>
              <w:keepLines/>
              <w:widowControl/>
              <w:jc w:val="left"/>
              <w:rPr>
                <w:rFonts w:hint="eastAsia" w:ascii="宋体" w:hAnsi="宋体" w:eastAsia="宋体" w:cs="宋体"/>
                <w:kern w:val="0"/>
                <w:szCs w:val="21"/>
              </w:rPr>
            </w:pPr>
            <w:r>
              <w:rPr>
                <w:rFonts w:hint="eastAsia" w:ascii="宋体" w:hAnsi="宋体" w:eastAsia="宋体" w:cs="宋体"/>
                <w:kern w:val="0"/>
                <w:szCs w:val="21"/>
              </w:rPr>
              <w:t>WDZ-YJY(4*185+95mm2)</w:t>
            </w:r>
          </w:p>
        </w:tc>
        <w:tc>
          <w:tcPr>
            <w:tcW w:w="311" w:type="pct"/>
            <w:noWrap w:val="0"/>
            <w:vAlign w:val="center"/>
          </w:tcPr>
          <w:p w14:paraId="4139D25A">
            <w:pPr>
              <w:keepLines/>
              <w:widowControl/>
              <w:jc w:val="center"/>
              <w:rPr>
                <w:rFonts w:hint="eastAsia" w:ascii="宋体" w:hAnsi="宋体" w:eastAsia="宋体" w:cs="宋体"/>
                <w:kern w:val="0"/>
                <w:szCs w:val="21"/>
              </w:rPr>
            </w:pPr>
            <w:r>
              <w:rPr>
                <w:rFonts w:hint="eastAsia" w:ascii="宋体" w:hAnsi="宋体" w:eastAsia="宋体" w:cs="宋体"/>
                <w:kern w:val="0"/>
                <w:szCs w:val="21"/>
              </w:rPr>
              <w:t>610米</w:t>
            </w:r>
          </w:p>
        </w:tc>
        <w:tc>
          <w:tcPr>
            <w:tcW w:w="250" w:type="pct"/>
            <w:noWrap w:val="0"/>
            <w:vAlign w:val="center"/>
          </w:tcPr>
          <w:p w14:paraId="34B4633E">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r>
      <w:tr w14:paraId="49FC3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1837A930">
            <w:pPr>
              <w:keepLines/>
              <w:widowControl/>
              <w:jc w:val="center"/>
              <w:rPr>
                <w:rFonts w:hint="eastAsia" w:ascii="宋体" w:hAnsi="宋体" w:eastAsia="宋体" w:cs="宋体"/>
                <w:kern w:val="0"/>
                <w:szCs w:val="21"/>
              </w:rPr>
            </w:pPr>
            <w:r>
              <w:rPr>
                <w:rFonts w:hint="eastAsia" w:ascii="宋体" w:hAnsi="宋体" w:eastAsia="宋体" w:cs="宋体"/>
                <w:kern w:val="0"/>
                <w:szCs w:val="21"/>
              </w:rPr>
              <w:t>17</w:t>
            </w:r>
          </w:p>
        </w:tc>
        <w:tc>
          <w:tcPr>
            <w:tcW w:w="533" w:type="pct"/>
            <w:noWrap w:val="0"/>
            <w:vAlign w:val="center"/>
          </w:tcPr>
          <w:p w14:paraId="7AF75ACB">
            <w:pPr>
              <w:keepLines/>
              <w:widowControl/>
              <w:jc w:val="center"/>
              <w:rPr>
                <w:rFonts w:hint="eastAsia" w:ascii="宋体" w:hAnsi="宋体" w:eastAsia="宋体" w:cs="宋体"/>
                <w:kern w:val="0"/>
                <w:szCs w:val="21"/>
              </w:rPr>
            </w:pPr>
            <w:r>
              <w:rPr>
                <w:rFonts w:hint="eastAsia" w:ascii="宋体" w:hAnsi="宋体" w:eastAsia="宋体" w:cs="宋体"/>
                <w:kern w:val="0"/>
                <w:szCs w:val="21"/>
              </w:rPr>
              <w:t>动力设备主输入电缆</w:t>
            </w:r>
          </w:p>
        </w:tc>
        <w:tc>
          <w:tcPr>
            <w:tcW w:w="3655" w:type="pct"/>
            <w:noWrap w:val="0"/>
            <w:vAlign w:val="center"/>
          </w:tcPr>
          <w:p w14:paraId="2095CAA0">
            <w:pPr>
              <w:keepLines/>
              <w:widowControl/>
              <w:jc w:val="left"/>
              <w:rPr>
                <w:rFonts w:hint="eastAsia" w:ascii="宋体" w:hAnsi="宋体" w:eastAsia="宋体" w:cs="宋体"/>
                <w:kern w:val="0"/>
                <w:szCs w:val="21"/>
              </w:rPr>
            </w:pPr>
            <w:r>
              <w:rPr>
                <w:rFonts w:hint="eastAsia" w:ascii="宋体" w:hAnsi="宋体" w:eastAsia="宋体" w:cs="宋体"/>
                <w:kern w:val="0"/>
                <w:szCs w:val="21"/>
              </w:rPr>
              <w:t>利用原有电缆，本次只做设备端接工作</w:t>
            </w:r>
          </w:p>
        </w:tc>
        <w:tc>
          <w:tcPr>
            <w:tcW w:w="311" w:type="pct"/>
            <w:noWrap w:val="0"/>
            <w:vAlign w:val="center"/>
          </w:tcPr>
          <w:p w14:paraId="4283ECFD">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c>
          <w:tcPr>
            <w:tcW w:w="250" w:type="pct"/>
            <w:noWrap w:val="0"/>
            <w:vAlign w:val="center"/>
          </w:tcPr>
          <w:p w14:paraId="61532EB8">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r>
      <w:tr w14:paraId="291EA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1D9A197B">
            <w:pPr>
              <w:keepLines/>
              <w:widowControl/>
              <w:jc w:val="center"/>
              <w:rPr>
                <w:rFonts w:hint="eastAsia" w:ascii="宋体" w:hAnsi="宋体" w:eastAsia="宋体" w:cs="宋体"/>
                <w:kern w:val="0"/>
                <w:szCs w:val="21"/>
              </w:rPr>
            </w:pPr>
            <w:r>
              <w:rPr>
                <w:rFonts w:hint="eastAsia" w:ascii="宋体" w:hAnsi="宋体" w:eastAsia="宋体" w:cs="宋体"/>
                <w:kern w:val="0"/>
                <w:szCs w:val="21"/>
              </w:rPr>
              <w:t>18</w:t>
            </w:r>
          </w:p>
        </w:tc>
        <w:tc>
          <w:tcPr>
            <w:tcW w:w="533" w:type="pct"/>
            <w:noWrap w:val="0"/>
            <w:vAlign w:val="center"/>
          </w:tcPr>
          <w:p w14:paraId="1C0334F1">
            <w:pPr>
              <w:keepLines/>
              <w:widowControl/>
              <w:jc w:val="center"/>
              <w:rPr>
                <w:rFonts w:hint="eastAsia" w:ascii="宋体" w:hAnsi="宋体" w:eastAsia="宋体" w:cs="宋体"/>
                <w:kern w:val="0"/>
                <w:szCs w:val="21"/>
              </w:rPr>
            </w:pPr>
            <w:r>
              <w:rPr>
                <w:rFonts w:hint="eastAsia" w:ascii="宋体" w:hAnsi="宋体" w:eastAsia="宋体" w:cs="宋体"/>
                <w:kern w:val="0"/>
                <w:szCs w:val="21"/>
              </w:rPr>
              <w:t>UPS输入输出电力电缆</w:t>
            </w:r>
          </w:p>
        </w:tc>
        <w:tc>
          <w:tcPr>
            <w:tcW w:w="3655" w:type="pct"/>
            <w:noWrap w:val="0"/>
            <w:vAlign w:val="center"/>
          </w:tcPr>
          <w:p w14:paraId="047E9734">
            <w:pPr>
              <w:keepLines/>
              <w:widowControl/>
              <w:jc w:val="left"/>
              <w:rPr>
                <w:rFonts w:hint="eastAsia" w:ascii="宋体" w:hAnsi="宋体" w:eastAsia="宋体" w:cs="宋体"/>
                <w:kern w:val="0"/>
                <w:szCs w:val="21"/>
              </w:rPr>
            </w:pPr>
            <w:r>
              <w:rPr>
                <w:rFonts w:hint="eastAsia" w:ascii="宋体" w:hAnsi="宋体" w:eastAsia="宋体" w:cs="宋体"/>
                <w:kern w:val="0"/>
                <w:szCs w:val="21"/>
              </w:rPr>
              <w:t>WDZ-YJY(4*185+95mm2)</w:t>
            </w:r>
          </w:p>
        </w:tc>
        <w:tc>
          <w:tcPr>
            <w:tcW w:w="311" w:type="pct"/>
            <w:noWrap w:val="0"/>
            <w:vAlign w:val="center"/>
          </w:tcPr>
          <w:p w14:paraId="53B20B61">
            <w:pPr>
              <w:keepLines/>
              <w:widowControl/>
              <w:jc w:val="center"/>
              <w:rPr>
                <w:rFonts w:hint="eastAsia" w:ascii="宋体" w:hAnsi="宋体" w:eastAsia="宋体" w:cs="宋体"/>
                <w:kern w:val="0"/>
                <w:szCs w:val="21"/>
              </w:rPr>
            </w:pPr>
            <w:r>
              <w:rPr>
                <w:rFonts w:hint="eastAsia" w:ascii="宋体" w:hAnsi="宋体" w:eastAsia="宋体" w:cs="宋体"/>
                <w:kern w:val="0"/>
                <w:szCs w:val="21"/>
              </w:rPr>
              <w:t>92米</w:t>
            </w:r>
          </w:p>
        </w:tc>
        <w:tc>
          <w:tcPr>
            <w:tcW w:w="250" w:type="pct"/>
            <w:noWrap w:val="0"/>
            <w:vAlign w:val="center"/>
          </w:tcPr>
          <w:p w14:paraId="57475ABC">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r>
      <w:tr w14:paraId="28425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4E7C9077">
            <w:pPr>
              <w:keepLines/>
              <w:widowControl/>
              <w:jc w:val="center"/>
              <w:rPr>
                <w:rFonts w:hint="eastAsia" w:ascii="宋体" w:hAnsi="宋体" w:eastAsia="宋体" w:cs="宋体"/>
                <w:kern w:val="0"/>
                <w:szCs w:val="21"/>
              </w:rPr>
            </w:pPr>
            <w:r>
              <w:rPr>
                <w:rFonts w:hint="eastAsia" w:ascii="宋体" w:hAnsi="宋体" w:eastAsia="宋体" w:cs="宋体"/>
                <w:kern w:val="0"/>
                <w:szCs w:val="21"/>
              </w:rPr>
              <w:t>19</w:t>
            </w:r>
          </w:p>
        </w:tc>
        <w:tc>
          <w:tcPr>
            <w:tcW w:w="533" w:type="pct"/>
            <w:noWrap w:val="0"/>
            <w:vAlign w:val="center"/>
          </w:tcPr>
          <w:p w14:paraId="1488D38A">
            <w:pPr>
              <w:keepLines/>
              <w:widowControl/>
              <w:jc w:val="center"/>
              <w:rPr>
                <w:rFonts w:hint="eastAsia" w:ascii="宋体" w:hAnsi="宋体" w:eastAsia="宋体" w:cs="宋体"/>
                <w:kern w:val="0"/>
                <w:szCs w:val="21"/>
              </w:rPr>
            </w:pPr>
            <w:r>
              <w:rPr>
                <w:rFonts w:hint="eastAsia" w:ascii="宋体" w:hAnsi="宋体" w:eastAsia="宋体" w:cs="宋体"/>
                <w:kern w:val="0"/>
                <w:szCs w:val="21"/>
              </w:rPr>
              <w:t>UPS到电池汇流盒连接线电力电缆</w:t>
            </w:r>
          </w:p>
        </w:tc>
        <w:tc>
          <w:tcPr>
            <w:tcW w:w="3655" w:type="pct"/>
            <w:noWrap w:val="0"/>
            <w:vAlign w:val="center"/>
          </w:tcPr>
          <w:p w14:paraId="17C99BCB">
            <w:pPr>
              <w:keepLines/>
              <w:widowControl/>
              <w:jc w:val="left"/>
              <w:rPr>
                <w:rFonts w:hint="eastAsia" w:ascii="宋体" w:hAnsi="宋体" w:eastAsia="宋体" w:cs="宋体"/>
                <w:kern w:val="0"/>
                <w:szCs w:val="21"/>
              </w:rPr>
            </w:pPr>
            <w:r>
              <w:rPr>
                <w:rFonts w:hint="eastAsia" w:ascii="宋体" w:hAnsi="宋体" w:eastAsia="宋体" w:cs="宋体"/>
                <w:kern w:val="0"/>
                <w:szCs w:val="21"/>
              </w:rPr>
              <w:t>ZR-BVR(185mm2)</w:t>
            </w:r>
          </w:p>
        </w:tc>
        <w:tc>
          <w:tcPr>
            <w:tcW w:w="311" w:type="pct"/>
            <w:noWrap w:val="0"/>
            <w:vAlign w:val="center"/>
          </w:tcPr>
          <w:p w14:paraId="20B830B0">
            <w:pPr>
              <w:keepLines/>
              <w:widowControl/>
              <w:jc w:val="center"/>
              <w:rPr>
                <w:rFonts w:hint="eastAsia" w:ascii="宋体" w:hAnsi="宋体" w:eastAsia="宋体" w:cs="宋体"/>
                <w:kern w:val="0"/>
                <w:szCs w:val="21"/>
              </w:rPr>
            </w:pPr>
            <w:r>
              <w:rPr>
                <w:rFonts w:hint="eastAsia" w:ascii="宋体" w:hAnsi="宋体" w:eastAsia="宋体" w:cs="宋体"/>
                <w:kern w:val="0"/>
                <w:szCs w:val="21"/>
              </w:rPr>
              <w:t>64米</w:t>
            </w:r>
          </w:p>
        </w:tc>
        <w:tc>
          <w:tcPr>
            <w:tcW w:w="250" w:type="pct"/>
            <w:noWrap w:val="0"/>
            <w:vAlign w:val="center"/>
          </w:tcPr>
          <w:p w14:paraId="43B99B11">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r>
      <w:tr w14:paraId="6B512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4210B5B4">
            <w:pPr>
              <w:keepLines/>
              <w:widowControl/>
              <w:jc w:val="center"/>
              <w:rPr>
                <w:rFonts w:hint="eastAsia" w:ascii="宋体" w:hAnsi="宋体" w:eastAsia="宋体" w:cs="宋体"/>
                <w:kern w:val="0"/>
                <w:szCs w:val="21"/>
              </w:rPr>
            </w:pPr>
            <w:r>
              <w:rPr>
                <w:rFonts w:hint="eastAsia" w:ascii="宋体" w:hAnsi="宋体" w:eastAsia="宋体" w:cs="宋体"/>
                <w:kern w:val="0"/>
                <w:szCs w:val="21"/>
              </w:rPr>
              <w:t>20</w:t>
            </w:r>
          </w:p>
        </w:tc>
        <w:tc>
          <w:tcPr>
            <w:tcW w:w="533" w:type="pct"/>
            <w:noWrap w:val="0"/>
            <w:vAlign w:val="center"/>
          </w:tcPr>
          <w:p w14:paraId="56E68BC8">
            <w:pPr>
              <w:keepLines/>
              <w:widowControl/>
              <w:jc w:val="center"/>
              <w:rPr>
                <w:rFonts w:hint="eastAsia" w:ascii="宋体" w:hAnsi="宋体" w:eastAsia="宋体" w:cs="宋体"/>
                <w:kern w:val="0"/>
                <w:szCs w:val="21"/>
              </w:rPr>
            </w:pPr>
            <w:r>
              <w:rPr>
                <w:rFonts w:hint="eastAsia" w:ascii="宋体" w:hAnsi="宋体" w:eastAsia="宋体" w:cs="宋体"/>
                <w:kern w:val="0"/>
                <w:szCs w:val="21"/>
              </w:rPr>
              <w:t>电池汇流盒到蓄电池连接线电力电缆</w:t>
            </w:r>
          </w:p>
        </w:tc>
        <w:tc>
          <w:tcPr>
            <w:tcW w:w="3655" w:type="pct"/>
            <w:noWrap w:val="0"/>
            <w:vAlign w:val="center"/>
          </w:tcPr>
          <w:p w14:paraId="5731E1C0">
            <w:pPr>
              <w:keepLines/>
              <w:widowControl/>
              <w:jc w:val="left"/>
              <w:rPr>
                <w:rFonts w:hint="eastAsia" w:ascii="宋体" w:hAnsi="宋体" w:eastAsia="宋体" w:cs="宋体"/>
                <w:kern w:val="0"/>
                <w:szCs w:val="21"/>
              </w:rPr>
            </w:pPr>
            <w:r>
              <w:rPr>
                <w:rFonts w:hint="eastAsia" w:ascii="宋体" w:hAnsi="宋体" w:eastAsia="宋体" w:cs="宋体"/>
                <w:kern w:val="0"/>
                <w:szCs w:val="21"/>
              </w:rPr>
              <w:t>ZR-BVR(185mm2)</w:t>
            </w:r>
          </w:p>
        </w:tc>
        <w:tc>
          <w:tcPr>
            <w:tcW w:w="311" w:type="pct"/>
            <w:noWrap w:val="0"/>
            <w:vAlign w:val="center"/>
          </w:tcPr>
          <w:p w14:paraId="3004DF0F">
            <w:pPr>
              <w:keepLines/>
              <w:widowControl/>
              <w:jc w:val="center"/>
              <w:rPr>
                <w:rFonts w:hint="eastAsia" w:ascii="宋体" w:hAnsi="宋体" w:eastAsia="宋体" w:cs="宋体"/>
                <w:kern w:val="0"/>
                <w:szCs w:val="21"/>
              </w:rPr>
            </w:pPr>
            <w:r>
              <w:rPr>
                <w:rFonts w:hint="eastAsia" w:ascii="宋体" w:hAnsi="宋体" w:eastAsia="宋体" w:cs="宋体"/>
                <w:kern w:val="0"/>
                <w:szCs w:val="21"/>
              </w:rPr>
              <w:t>100米</w:t>
            </w:r>
          </w:p>
        </w:tc>
        <w:tc>
          <w:tcPr>
            <w:tcW w:w="250" w:type="pct"/>
            <w:noWrap w:val="0"/>
            <w:vAlign w:val="center"/>
          </w:tcPr>
          <w:p w14:paraId="0A027E32">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r>
      <w:tr w14:paraId="47E86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63AADFBE">
            <w:pPr>
              <w:keepLines/>
              <w:widowControl/>
              <w:jc w:val="center"/>
              <w:rPr>
                <w:rFonts w:hint="eastAsia" w:ascii="宋体" w:hAnsi="宋体" w:eastAsia="宋体" w:cs="宋体"/>
                <w:kern w:val="0"/>
                <w:szCs w:val="21"/>
              </w:rPr>
            </w:pPr>
            <w:r>
              <w:rPr>
                <w:rFonts w:hint="eastAsia" w:ascii="宋体" w:hAnsi="宋体" w:eastAsia="宋体" w:cs="宋体"/>
                <w:kern w:val="0"/>
                <w:szCs w:val="21"/>
              </w:rPr>
              <w:t>21</w:t>
            </w:r>
          </w:p>
        </w:tc>
        <w:tc>
          <w:tcPr>
            <w:tcW w:w="533" w:type="pct"/>
            <w:noWrap w:val="0"/>
            <w:vAlign w:val="center"/>
          </w:tcPr>
          <w:p w14:paraId="314822CE">
            <w:pPr>
              <w:keepLines/>
              <w:widowControl/>
              <w:jc w:val="center"/>
              <w:rPr>
                <w:rFonts w:hint="eastAsia" w:ascii="宋体" w:hAnsi="宋体" w:eastAsia="宋体" w:cs="宋体"/>
                <w:kern w:val="0"/>
                <w:szCs w:val="21"/>
              </w:rPr>
            </w:pPr>
            <w:r>
              <w:rPr>
                <w:rFonts w:hint="eastAsia" w:ascii="宋体" w:hAnsi="宋体" w:eastAsia="宋体" w:cs="宋体"/>
                <w:kern w:val="0"/>
                <w:szCs w:val="21"/>
              </w:rPr>
              <w:t>UPS到智算冷通道模块电力电缆</w:t>
            </w:r>
          </w:p>
        </w:tc>
        <w:tc>
          <w:tcPr>
            <w:tcW w:w="3655" w:type="pct"/>
            <w:noWrap w:val="0"/>
            <w:vAlign w:val="center"/>
          </w:tcPr>
          <w:p w14:paraId="56B43756">
            <w:pPr>
              <w:keepLines/>
              <w:widowControl/>
              <w:jc w:val="left"/>
              <w:rPr>
                <w:rFonts w:hint="eastAsia" w:ascii="宋体" w:hAnsi="宋体" w:eastAsia="宋体" w:cs="宋体"/>
                <w:kern w:val="0"/>
                <w:szCs w:val="21"/>
              </w:rPr>
            </w:pPr>
            <w:r>
              <w:rPr>
                <w:rFonts w:hint="eastAsia" w:ascii="宋体" w:hAnsi="宋体" w:eastAsia="宋体" w:cs="宋体"/>
                <w:kern w:val="0"/>
                <w:szCs w:val="21"/>
              </w:rPr>
              <w:t>WDZ－YJY(4*185+95mm2)</w:t>
            </w:r>
          </w:p>
        </w:tc>
        <w:tc>
          <w:tcPr>
            <w:tcW w:w="311" w:type="pct"/>
            <w:noWrap w:val="0"/>
            <w:vAlign w:val="center"/>
          </w:tcPr>
          <w:p w14:paraId="4130DE29">
            <w:pPr>
              <w:keepLines/>
              <w:widowControl/>
              <w:jc w:val="center"/>
              <w:rPr>
                <w:rFonts w:hint="eastAsia" w:ascii="宋体" w:hAnsi="宋体" w:eastAsia="宋体" w:cs="宋体"/>
                <w:kern w:val="0"/>
                <w:szCs w:val="21"/>
              </w:rPr>
            </w:pPr>
            <w:r>
              <w:rPr>
                <w:rFonts w:hint="eastAsia" w:ascii="宋体" w:hAnsi="宋体" w:eastAsia="宋体" w:cs="宋体"/>
                <w:kern w:val="0"/>
                <w:szCs w:val="21"/>
              </w:rPr>
              <w:t>50米</w:t>
            </w:r>
          </w:p>
        </w:tc>
        <w:tc>
          <w:tcPr>
            <w:tcW w:w="250" w:type="pct"/>
            <w:noWrap w:val="0"/>
            <w:vAlign w:val="center"/>
          </w:tcPr>
          <w:p w14:paraId="1B0C5A8A">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r>
      <w:tr w14:paraId="3FF5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2B984EF6">
            <w:pPr>
              <w:keepLines/>
              <w:widowControl/>
              <w:jc w:val="center"/>
              <w:rPr>
                <w:rFonts w:hint="eastAsia" w:ascii="宋体" w:hAnsi="宋体" w:eastAsia="宋体" w:cs="宋体"/>
                <w:kern w:val="0"/>
                <w:szCs w:val="21"/>
              </w:rPr>
            </w:pPr>
            <w:r>
              <w:rPr>
                <w:rFonts w:hint="eastAsia" w:ascii="宋体" w:hAnsi="宋体" w:eastAsia="宋体" w:cs="宋体"/>
                <w:kern w:val="0"/>
                <w:szCs w:val="21"/>
              </w:rPr>
              <w:t>22</w:t>
            </w:r>
          </w:p>
        </w:tc>
        <w:tc>
          <w:tcPr>
            <w:tcW w:w="533" w:type="pct"/>
            <w:noWrap w:val="0"/>
            <w:vAlign w:val="center"/>
          </w:tcPr>
          <w:p w14:paraId="552154BD">
            <w:pPr>
              <w:keepLines/>
              <w:widowControl/>
              <w:jc w:val="center"/>
              <w:rPr>
                <w:rFonts w:hint="eastAsia" w:ascii="宋体" w:hAnsi="宋体" w:eastAsia="宋体" w:cs="宋体"/>
                <w:kern w:val="0"/>
                <w:szCs w:val="21"/>
              </w:rPr>
            </w:pPr>
            <w:r>
              <w:rPr>
                <w:rFonts w:hint="eastAsia" w:ascii="宋体" w:hAnsi="宋体" w:eastAsia="宋体" w:cs="宋体"/>
                <w:kern w:val="0"/>
                <w:szCs w:val="21"/>
              </w:rPr>
              <w:t>精密空调电力电缆</w:t>
            </w:r>
          </w:p>
        </w:tc>
        <w:tc>
          <w:tcPr>
            <w:tcW w:w="3655" w:type="pct"/>
            <w:noWrap w:val="0"/>
            <w:vAlign w:val="center"/>
          </w:tcPr>
          <w:p w14:paraId="7714336E">
            <w:pPr>
              <w:keepLines/>
              <w:widowControl/>
              <w:jc w:val="left"/>
              <w:rPr>
                <w:rFonts w:hint="eastAsia" w:ascii="宋体" w:hAnsi="宋体" w:eastAsia="宋体" w:cs="宋体"/>
                <w:kern w:val="0"/>
                <w:szCs w:val="21"/>
              </w:rPr>
            </w:pPr>
            <w:r>
              <w:rPr>
                <w:rFonts w:hint="eastAsia" w:ascii="宋体" w:hAnsi="宋体" w:eastAsia="宋体" w:cs="宋体"/>
                <w:kern w:val="0"/>
                <w:szCs w:val="21"/>
              </w:rPr>
              <w:t>RVV5*16mm2</w:t>
            </w:r>
          </w:p>
        </w:tc>
        <w:tc>
          <w:tcPr>
            <w:tcW w:w="311" w:type="pct"/>
            <w:noWrap w:val="0"/>
            <w:vAlign w:val="center"/>
          </w:tcPr>
          <w:p w14:paraId="52B700CA">
            <w:pPr>
              <w:keepLines/>
              <w:widowControl/>
              <w:jc w:val="center"/>
              <w:rPr>
                <w:rFonts w:hint="eastAsia" w:ascii="宋体" w:hAnsi="宋体" w:eastAsia="宋体" w:cs="宋体"/>
                <w:kern w:val="0"/>
                <w:szCs w:val="21"/>
              </w:rPr>
            </w:pPr>
            <w:r>
              <w:rPr>
                <w:rFonts w:hint="eastAsia" w:ascii="宋体" w:hAnsi="宋体" w:eastAsia="宋体" w:cs="宋体"/>
                <w:kern w:val="0"/>
                <w:szCs w:val="21"/>
              </w:rPr>
              <w:t>175米</w:t>
            </w:r>
          </w:p>
        </w:tc>
        <w:tc>
          <w:tcPr>
            <w:tcW w:w="250" w:type="pct"/>
            <w:noWrap w:val="0"/>
            <w:vAlign w:val="center"/>
          </w:tcPr>
          <w:p w14:paraId="32303383">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r>
      <w:tr w14:paraId="0762C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3658E57E">
            <w:pPr>
              <w:keepLines/>
              <w:widowControl/>
              <w:jc w:val="center"/>
              <w:rPr>
                <w:rFonts w:hint="eastAsia" w:ascii="宋体" w:hAnsi="宋体" w:eastAsia="宋体" w:cs="宋体"/>
                <w:kern w:val="0"/>
                <w:szCs w:val="21"/>
              </w:rPr>
            </w:pPr>
            <w:r>
              <w:rPr>
                <w:rFonts w:hint="eastAsia" w:ascii="宋体" w:hAnsi="宋体" w:eastAsia="宋体" w:cs="宋体"/>
                <w:kern w:val="0"/>
                <w:szCs w:val="21"/>
              </w:rPr>
              <w:t>23</w:t>
            </w:r>
          </w:p>
        </w:tc>
        <w:tc>
          <w:tcPr>
            <w:tcW w:w="533" w:type="pct"/>
            <w:noWrap w:val="0"/>
            <w:vAlign w:val="center"/>
          </w:tcPr>
          <w:p w14:paraId="7419803F">
            <w:pPr>
              <w:keepLines/>
              <w:widowControl/>
              <w:jc w:val="center"/>
              <w:rPr>
                <w:rFonts w:hint="eastAsia" w:ascii="宋体" w:hAnsi="宋体" w:eastAsia="宋体" w:cs="宋体"/>
                <w:kern w:val="0"/>
                <w:szCs w:val="21"/>
              </w:rPr>
            </w:pPr>
            <w:r>
              <w:rPr>
                <w:rFonts w:hint="eastAsia" w:ascii="宋体" w:hAnsi="宋体" w:eastAsia="宋体" w:cs="宋体"/>
                <w:kern w:val="0"/>
                <w:szCs w:val="21"/>
              </w:rPr>
              <w:t>机柜线缆电力电缆</w:t>
            </w:r>
          </w:p>
        </w:tc>
        <w:tc>
          <w:tcPr>
            <w:tcW w:w="3655" w:type="pct"/>
            <w:noWrap w:val="0"/>
            <w:vAlign w:val="center"/>
          </w:tcPr>
          <w:p w14:paraId="6BBCB3D3">
            <w:pPr>
              <w:keepLines/>
              <w:widowControl/>
              <w:jc w:val="left"/>
              <w:rPr>
                <w:rFonts w:hint="eastAsia" w:ascii="宋体" w:hAnsi="宋体" w:eastAsia="宋体" w:cs="宋体"/>
                <w:kern w:val="0"/>
                <w:szCs w:val="21"/>
              </w:rPr>
            </w:pPr>
            <w:r>
              <w:rPr>
                <w:rFonts w:hint="eastAsia" w:ascii="宋体" w:hAnsi="宋体" w:eastAsia="宋体" w:cs="宋体"/>
                <w:kern w:val="0"/>
                <w:szCs w:val="21"/>
              </w:rPr>
              <w:t>ZRYJV3*6mm2</w:t>
            </w:r>
          </w:p>
        </w:tc>
        <w:tc>
          <w:tcPr>
            <w:tcW w:w="311" w:type="pct"/>
            <w:noWrap w:val="0"/>
            <w:vAlign w:val="center"/>
          </w:tcPr>
          <w:p w14:paraId="6E3BB605">
            <w:pPr>
              <w:keepLines/>
              <w:widowControl/>
              <w:jc w:val="center"/>
              <w:rPr>
                <w:rFonts w:hint="eastAsia" w:ascii="宋体" w:hAnsi="宋体" w:eastAsia="宋体" w:cs="宋体"/>
                <w:kern w:val="0"/>
                <w:szCs w:val="21"/>
              </w:rPr>
            </w:pPr>
            <w:r>
              <w:rPr>
                <w:rFonts w:hint="eastAsia" w:ascii="宋体" w:hAnsi="宋体" w:eastAsia="宋体" w:cs="宋体"/>
                <w:kern w:val="0"/>
                <w:szCs w:val="21"/>
              </w:rPr>
              <w:t>480米</w:t>
            </w:r>
          </w:p>
        </w:tc>
        <w:tc>
          <w:tcPr>
            <w:tcW w:w="250" w:type="pct"/>
            <w:noWrap w:val="0"/>
            <w:vAlign w:val="center"/>
          </w:tcPr>
          <w:p w14:paraId="7A44038F">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r>
      <w:tr w14:paraId="4502C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noWrap w:val="0"/>
            <w:vAlign w:val="center"/>
          </w:tcPr>
          <w:p w14:paraId="56B567A4">
            <w:pPr>
              <w:keepLines/>
              <w:widowControl/>
              <w:jc w:val="center"/>
              <w:rPr>
                <w:rFonts w:hint="eastAsia" w:ascii="宋体" w:hAnsi="宋体" w:eastAsia="宋体" w:cs="宋体"/>
                <w:kern w:val="0"/>
                <w:szCs w:val="21"/>
              </w:rPr>
            </w:pPr>
            <w:r>
              <w:rPr>
                <w:rFonts w:hint="eastAsia" w:ascii="宋体" w:hAnsi="宋体" w:eastAsia="宋体" w:cs="宋体"/>
                <w:kern w:val="0"/>
                <w:szCs w:val="21"/>
              </w:rPr>
              <w:t>24</w:t>
            </w:r>
          </w:p>
        </w:tc>
        <w:tc>
          <w:tcPr>
            <w:tcW w:w="533" w:type="pct"/>
            <w:noWrap w:val="0"/>
            <w:vAlign w:val="center"/>
          </w:tcPr>
          <w:p w14:paraId="2661FBE4">
            <w:pPr>
              <w:keepLines/>
              <w:widowControl/>
              <w:jc w:val="center"/>
              <w:rPr>
                <w:rFonts w:hint="eastAsia" w:ascii="宋体" w:hAnsi="宋体" w:eastAsia="宋体" w:cs="宋体"/>
                <w:kern w:val="0"/>
                <w:szCs w:val="21"/>
              </w:rPr>
            </w:pPr>
            <w:r>
              <w:rPr>
                <w:rFonts w:hint="eastAsia" w:ascii="宋体" w:hAnsi="宋体" w:eastAsia="宋体" w:cs="宋体"/>
                <w:kern w:val="0"/>
                <w:szCs w:val="21"/>
              </w:rPr>
              <w:t>系统集成、安装调试</w:t>
            </w:r>
          </w:p>
        </w:tc>
        <w:tc>
          <w:tcPr>
            <w:tcW w:w="3655" w:type="pct"/>
            <w:noWrap w:val="0"/>
            <w:vAlign w:val="center"/>
          </w:tcPr>
          <w:p w14:paraId="573A9C25">
            <w:pPr>
              <w:keepLines/>
              <w:widowControl/>
              <w:jc w:val="left"/>
              <w:rPr>
                <w:rFonts w:ascii="宋体" w:hAnsi="宋体" w:eastAsia="宋体" w:cs="宋体"/>
                <w:kern w:val="0"/>
                <w:szCs w:val="21"/>
              </w:rPr>
            </w:pPr>
            <w:r>
              <w:rPr>
                <w:rFonts w:hint="eastAsia" w:ascii="宋体" w:hAnsi="宋体" w:eastAsia="宋体" w:cs="宋体"/>
                <w:kern w:val="0"/>
                <w:szCs w:val="21"/>
              </w:rPr>
              <w:t>包含但不限于：</w:t>
            </w:r>
          </w:p>
          <w:p w14:paraId="443BB215">
            <w:pPr>
              <w:keepLines/>
              <w:widowControl/>
              <w:jc w:val="left"/>
              <w:rPr>
                <w:rFonts w:hint="eastAsia" w:ascii="宋体" w:hAnsi="宋体" w:eastAsia="宋体" w:cs="宋体"/>
                <w:kern w:val="0"/>
                <w:szCs w:val="21"/>
              </w:rPr>
            </w:pPr>
            <w:r>
              <w:rPr>
                <w:rFonts w:hint="eastAsia" w:ascii="宋体" w:hAnsi="宋体" w:eastAsia="宋体" w:cs="宋体"/>
                <w:kern w:val="0"/>
                <w:szCs w:val="21"/>
              </w:rPr>
              <w:t>1、完成工作监控区与核心机房区域之间的物理隔离玻璃隔断安装（面积约60平方米）；</w:t>
            </w:r>
            <w:r>
              <w:rPr>
                <w:rFonts w:hint="eastAsia" w:ascii="宋体" w:hAnsi="宋体" w:eastAsia="宋体" w:cs="宋体"/>
                <w:kern w:val="0"/>
                <w:szCs w:val="21"/>
              </w:rPr>
              <w:br w:type="textWrapping"/>
            </w:r>
            <w:r>
              <w:rPr>
                <w:rFonts w:hint="eastAsia" w:ascii="宋体" w:hAnsi="宋体" w:eastAsia="宋体" w:cs="宋体"/>
                <w:kern w:val="0"/>
                <w:szCs w:val="21"/>
              </w:rPr>
              <w:t>2、完成上述设备的安装及联调工作。</w:t>
            </w:r>
          </w:p>
        </w:tc>
        <w:tc>
          <w:tcPr>
            <w:tcW w:w="311" w:type="pct"/>
            <w:noWrap w:val="0"/>
            <w:vAlign w:val="center"/>
          </w:tcPr>
          <w:p w14:paraId="7898F5ED">
            <w:pPr>
              <w:keepLines/>
              <w:widowControl/>
              <w:jc w:val="center"/>
              <w:rPr>
                <w:rFonts w:hint="eastAsia" w:ascii="宋体" w:hAnsi="宋体" w:eastAsia="宋体" w:cs="宋体"/>
                <w:kern w:val="0"/>
                <w:szCs w:val="21"/>
              </w:rPr>
            </w:pPr>
            <w:r>
              <w:rPr>
                <w:rFonts w:hint="eastAsia" w:ascii="宋体" w:hAnsi="宋体" w:eastAsia="宋体" w:cs="宋体"/>
                <w:kern w:val="0"/>
                <w:szCs w:val="21"/>
              </w:rPr>
              <w:t>1项</w:t>
            </w:r>
          </w:p>
        </w:tc>
        <w:tc>
          <w:tcPr>
            <w:tcW w:w="250" w:type="pct"/>
            <w:noWrap w:val="0"/>
            <w:vAlign w:val="center"/>
          </w:tcPr>
          <w:p w14:paraId="45C8B4C2">
            <w:pPr>
              <w:keepLines/>
              <w:widowControl/>
              <w:jc w:val="center"/>
              <w:rPr>
                <w:rFonts w:hint="eastAsia" w:ascii="宋体" w:hAnsi="宋体" w:eastAsia="宋体" w:cs="宋体"/>
                <w:kern w:val="0"/>
                <w:szCs w:val="21"/>
              </w:rPr>
            </w:pPr>
            <w:r>
              <w:rPr>
                <w:rFonts w:hint="eastAsia" w:ascii="宋体" w:hAnsi="宋体" w:eastAsia="宋体" w:cs="宋体"/>
                <w:kern w:val="0"/>
                <w:szCs w:val="21"/>
              </w:rPr>
              <w:t>　</w:t>
            </w:r>
          </w:p>
        </w:tc>
      </w:tr>
    </w:tbl>
    <w:p w14:paraId="72924319">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F25EE0"/>
    <w:multiLevelType w:val="singleLevel"/>
    <w:tmpl w:val="16F25E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6B0CBD"/>
    <w:rsid w:val="766B0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2026-08-06T03:04:00Z</dcterms:created>
  <dc:creator>阿蒙</dc:creator>
  <cp:lastModifiedBy>阿蒙</cp:lastModifiedBy>
  <dcterms:modified xsi:type="dcterms:W3CDTF">2026-08-06T03:04:29Z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6BB5F3D845624F179812464B1ED6FACF_11</vt:lpwstr>
  </property>
  <property fmtid="{D5CDD505-2E9C-101B-9397-08002B2CF9AE}" pid="4" name="KSOTemplateDocerSaveRecord">
    <vt:lpwstr>eyJoZGlkIjoiZTI5MDU2NjMxNDkyNGYyZDM1NDc4MzdjYWFjYTcyYzEiLCJ1c2VySWQiOiI0NjMyMzE5MzAifQ==</vt:lpwstr>
  </property>
</Properties>
</file>