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FAEEF">
      <w:pPr>
        <w:pStyle w:val="16"/>
        <w:ind w:firstLine="0" w:firstLineChars="0"/>
        <w:rPr>
          <w:rFonts w:hint="eastAsia"/>
          <w:color w:val="auto"/>
          <w:highlight w:val="none"/>
        </w:rPr>
      </w:pPr>
    </w:p>
    <w:p w14:paraId="23B6EAC8">
      <w:pPr>
        <w:snapToGrid w:val="0"/>
        <w:spacing w:line="360" w:lineRule="auto"/>
        <w:jc w:val="center"/>
        <w:rPr>
          <w:rFonts w:hint="eastAsia" w:ascii="宋体" w:hAnsi="宋体" w:cs="宋体"/>
          <w:b/>
          <w:bCs/>
          <w:color w:val="auto"/>
          <w:sz w:val="48"/>
          <w:szCs w:val="56"/>
          <w:highlight w:val="none"/>
          <w:lang w:eastAsia="zh-CN"/>
        </w:rPr>
      </w:pPr>
      <w:r>
        <w:rPr>
          <w:rFonts w:hint="eastAsia" w:ascii="宋体" w:hAnsi="宋体" w:cs="宋体"/>
          <w:b/>
          <w:bCs/>
          <w:color w:val="auto"/>
          <w:sz w:val="48"/>
          <w:szCs w:val="56"/>
          <w:highlight w:val="none"/>
          <w:lang w:eastAsia="zh-CN"/>
        </w:rPr>
        <w:t>信阳师范大学2026-2027学年普通高等教育学生教材项目</w:t>
      </w:r>
    </w:p>
    <w:p w14:paraId="43171DBE">
      <w:pPr>
        <w:rPr>
          <w:rFonts w:hint="eastAsia"/>
          <w:color w:val="auto"/>
          <w:highlight w:val="none"/>
        </w:rPr>
      </w:pPr>
    </w:p>
    <w:p w14:paraId="642D1C14">
      <w:pPr>
        <w:pStyle w:val="3"/>
        <w:rPr>
          <w:rFonts w:hint="eastAsia"/>
          <w:color w:val="auto"/>
        </w:rPr>
      </w:pPr>
    </w:p>
    <w:p w14:paraId="156ED667">
      <w:pPr>
        <w:rPr>
          <w:rFonts w:hint="eastAsia"/>
        </w:rPr>
      </w:pPr>
    </w:p>
    <w:p w14:paraId="752FDCFB">
      <w:pPr>
        <w:pStyle w:val="35"/>
        <w:rPr>
          <w:rFonts w:hint="eastAsia" w:hAnsi="宋体" w:cs="宋体"/>
          <w:b/>
          <w:bCs/>
          <w:color w:val="auto"/>
          <w:sz w:val="48"/>
          <w:szCs w:val="56"/>
          <w:highlight w:val="none"/>
        </w:rPr>
      </w:pPr>
    </w:p>
    <w:p w14:paraId="5E907A6B">
      <w:pPr>
        <w:pStyle w:val="13"/>
        <w:rPr>
          <w:rFonts w:hint="eastAsia"/>
          <w:color w:val="auto"/>
        </w:rPr>
      </w:pPr>
    </w:p>
    <w:p w14:paraId="43492A52">
      <w:pPr>
        <w:spacing w:line="360" w:lineRule="auto"/>
        <w:jc w:val="center"/>
        <w:rPr>
          <w:rFonts w:hint="eastAsia" w:ascii="宋体" w:hAnsi="宋体" w:eastAsia="宋体" w:cs="宋体"/>
          <w:b/>
          <w:bCs/>
          <w:color w:val="auto"/>
          <w:sz w:val="96"/>
          <w:szCs w:val="96"/>
          <w:highlight w:val="none"/>
          <w:lang w:val="en-US" w:eastAsia="zh-CN"/>
        </w:rPr>
      </w:pPr>
      <w:r>
        <w:rPr>
          <w:rFonts w:hint="eastAsia" w:ascii="宋体" w:hAnsi="宋体" w:eastAsia="宋体" w:cs="宋体"/>
          <w:b/>
          <w:bCs/>
          <w:color w:val="auto"/>
          <w:sz w:val="96"/>
          <w:szCs w:val="96"/>
          <w:highlight w:val="none"/>
          <w:lang w:val="en-US" w:eastAsia="zh-CN"/>
        </w:rPr>
        <w:t>竞争性磋商文件</w:t>
      </w:r>
    </w:p>
    <w:p w14:paraId="6D2DD5D8">
      <w:pPr>
        <w:spacing w:line="560" w:lineRule="exact"/>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lang w:eastAsia="zh-CN"/>
        </w:rPr>
        <w:t>：豫财磋商采购-2026-757</w:t>
      </w:r>
    </w:p>
    <w:p w14:paraId="7AAE3F15">
      <w:pPr>
        <w:pStyle w:val="7"/>
        <w:rPr>
          <w:rFonts w:hint="eastAsia" w:ascii="宋体" w:hAnsi="宋体" w:cs="宋体"/>
          <w:color w:val="auto"/>
          <w:highlight w:val="none"/>
        </w:rPr>
      </w:pPr>
    </w:p>
    <w:p w14:paraId="0B1708E7">
      <w:pPr>
        <w:spacing w:line="400" w:lineRule="exact"/>
        <w:jc w:val="center"/>
        <w:rPr>
          <w:rFonts w:hint="eastAsia" w:ascii="宋体" w:hAnsi="宋体" w:cs="宋体"/>
          <w:color w:val="auto"/>
          <w:highlight w:val="none"/>
        </w:rPr>
      </w:pPr>
    </w:p>
    <w:p w14:paraId="32D33421">
      <w:pPr>
        <w:pStyle w:val="6"/>
        <w:rPr>
          <w:rFonts w:hint="eastAsia" w:ascii="宋体" w:hAnsi="宋体" w:cs="宋体"/>
          <w:color w:val="auto"/>
          <w:highlight w:val="none"/>
        </w:rPr>
      </w:pPr>
    </w:p>
    <w:p w14:paraId="6130A579">
      <w:pPr>
        <w:pStyle w:val="7"/>
        <w:rPr>
          <w:rFonts w:hint="eastAsia" w:ascii="宋体" w:hAnsi="宋体" w:cs="宋体"/>
          <w:color w:val="auto"/>
          <w:highlight w:val="none"/>
        </w:rPr>
      </w:pPr>
    </w:p>
    <w:p w14:paraId="1D0441CE">
      <w:pPr>
        <w:rPr>
          <w:rFonts w:hint="eastAsia" w:ascii="宋体" w:hAnsi="宋体" w:cs="宋体"/>
          <w:color w:val="auto"/>
          <w:highlight w:val="none"/>
        </w:rPr>
      </w:pPr>
    </w:p>
    <w:p w14:paraId="61651C3D">
      <w:pPr>
        <w:pStyle w:val="3"/>
        <w:rPr>
          <w:rFonts w:hint="eastAsia" w:ascii="宋体" w:hAnsi="宋体" w:cs="宋体"/>
          <w:color w:val="auto"/>
          <w:highlight w:val="none"/>
        </w:rPr>
      </w:pPr>
    </w:p>
    <w:p w14:paraId="477B234C">
      <w:pPr>
        <w:rPr>
          <w:rFonts w:hint="eastAsia"/>
        </w:rPr>
      </w:pPr>
    </w:p>
    <w:p w14:paraId="2A09ED00">
      <w:pPr>
        <w:spacing w:line="400" w:lineRule="exact"/>
        <w:rPr>
          <w:rFonts w:hint="eastAsia" w:ascii="宋体" w:hAnsi="宋体" w:cs="宋体"/>
          <w:color w:val="auto"/>
          <w:highlight w:val="none"/>
        </w:rPr>
      </w:pPr>
    </w:p>
    <w:p w14:paraId="7D64E76C">
      <w:pPr>
        <w:pStyle w:val="16"/>
        <w:ind w:firstLine="210"/>
        <w:rPr>
          <w:rFonts w:hint="eastAsia"/>
          <w:color w:val="auto"/>
          <w:highlight w:val="none"/>
        </w:rPr>
      </w:pPr>
    </w:p>
    <w:p w14:paraId="3995A4A0">
      <w:pPr>
        <w:spacing w:line="700" w:lineRule="exact"/>
        <w:ind w:firstLine="1263" w:firstLineChars="393"/>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信阳师范大学</w:t>
      </w:r>
    </w:p>
    <w:p w14:paraId="29DCED9C">
      <w:pPr>
        <w:spacing w:line="700" w:lineRule="exact"/>
        <w:ind w:firstLine="1263" w:firstLineChars="393"/>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采购代理机构：中金泰富工程管理有限公司</w:t>
      </w:r>
    </w:p>
    <w:p w14:paraId="183C52DC">
      <w:pPr>
        <w:spacing w:line="700" w:lineRule="exact"/>
        <w:ind w:firstLine="1263" w:firstLineChars="393"/>
        <w:rPr>
          <w:rFonts w:hint="eastAsia" w:ascii="宋体" w:hAnsi="宋体" w:cs="宋体"/>
          <w:b/>
          <w:color w:val="auto"/>
          <w:sz w:val="32"/>
          <w:szCs w:val="32"/>
          <w:highlight w:val="none"/>
        </w:rPr>
      </w:pPr>
      <w:r>
        <w:rPr>
          <w:rFonts w:hint="eastAsia" w:ascii="宋体" w:hAnsi="宋体" w:cs="宋体"/>
          <w:b/>
          <w:color w:val="auto"/>
          <w:sz w:val="32"/>
          <w:szCs w:val="32"/>
          <w:highlight w:val="none"/>
        </w:rPr>
        <w:t>日        期：二〇二</w:t>
      </w:r>
      <w:r>
        <w:rPr>
          <w:rFonts w:hint="eastAsia" w:ascii="宋体" w:hAnsi="宋体" w:cs="宋体"/>
          <w:b/>
          <w:color w:val="auto"/>
          <w:sz w:val="32"/>
          <w:szCs w:val="32"/>
          <w:highlight w:val="none"/>
          <w:lang w:val="en-US" w:eastAsia="zh-CN"/>
        </w:rPr>
        <w:t>六</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七</w:t>
      </w:r>
      <w:r>
        <w:rPr>
          <w:rFonts w:hint="eastAsia" w:ascii="宋体" w:hAnsi="宋体" w:cs="宋体"/>
          <w:b/>
          <w:color w:val="auto"/>
          <w:sz w:val="32"/>
          <w:szCs w:val="32"/>
          <w:highlight w:val="none"/>
        </w:rPr>
        <w:t>月</w:t>
      </w:r>
    </w:p>
    <w:p w14:paraId="7E11A53E">
      <w:pPr>
        <w:rPr>
          <w:rFonts w:hint="eastAsia" w:ascii="宋体" w:hAnsi="宋体" w:cs="宋体"/>
          <w:b/>
          <w:color w:val="auto"/>
          <w:sz w:val="32"/>
          <w:szCs w:val="32"/>
          <w:highlight w:val="none"/>
        </w:rPr>
      </w:pPr>
    </w:p>
    <w:p w14:paraId="69C7A726">
      <w:pPr>
        <w:pStyle w:val="15"/>
        <w:widowControl/>
        <w:snapToGrid w:val="0"/>
        <w:spacing w:beforeAutospacing="0" w:afterAutospacing="0" w:line="360" w:lineRule="auto"/>
        <w:ind w:left="450" w:right="450"/>
        <w:jc w:val="center"/>
        <w:rPr>
          <w:rFonts w:hint="eastAsia" w:ascii="宋体" w:hAnsi="宋体" w:cs="宋体"/>
          <w:color w:val="auto"/>
          <w:sz w:val="32"/>
          <w:szCs w:val="32"/>
          <w:highlight w:val="none"/>
          <w:shd w:val="clear" w:color="auto" w:fill="FFFFFF"/>
        </w:rPr>
        <w:sectPr>
          <w:headerReference r:id="rId3" w:type="default"/>
          <w:footerReference r:id="rId4" w:type="default"/>
          <w:pgSz w:w="11907" w:h="16840"/>
          <w:pgMar w:top="1440" w:right="1080" w:bottom="1440" w:left="108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09F2C565">
      <w:pPr>
        <w:pStyle w:val="15"/>
        <w:spacing w:line="360" w:lineRule="auto"/>
        <w:ind w:left="0" w:firstLine="0" w:firstLineChars="0"/>
        <w:jc w:val="center"/>
        <w:rPr>
          <w:rFonts w:hint="eastAsia" w:ascii="宋体" w:hAnsi="宋体" w:eastAsia="宋体" w:cs="宋体"/>
          <w:color w:val="auto"/>
          <w:szCs w:val="21"/>
          <w:highlight w:val="none"/>
          <w:shd w:val="clear" w:color="auto" w:fill="FFFFFF"/>
        </w:rPr>
      </w:pPr>
      <w:r>
        <w:rPr>
          <w:rFonts w:hint="eastAsia" w:ascii="宋体" w:hAnsi="宋体" w:cs="宋体"/>
          <w:color w:val="auto"/>
          <w:sz w:val="32"/>
          <w:szCs w:val="32"/>
          <w:highlight w:val="none"/>
          <w:shd w:val="clear" w:color="auto" w:fill="FFFFFF"/>
        </w:rPr>
        <w:t>目录</w:t>
      </w:r>
    </w:p>
    <w:p w14:paraId="2B5B51AF">
      <w:pPr>
        <w:pStyle w:val="12"/>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TOC \o "1-3" \h \u </w:instrText>
      </w:r>
      <w:r>
        <w:rPr>
          <w:rFonts w:hint="eastAsia" w:ascii="宋体" w:hAnsi="宋体" w:eastAsia="宋体" w:cs="宋体"/>
          <w:color w:val="auto"/>
        </w:rPr>
        <w:fldChar w:fldCharType="separate"/>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_Toc14083 </w:instrText>
      </w:r>
      <w:r>
        <w:rPr>
          <w:rFonts w:hint="eastAsia" w:ascii="宋体" w:hAnsi="宋体" w:eastAsia="宋体" w:cs="宋体"/>
          <w:color w:val="auto"/>
        </w:rPr>
        <w:fldChar w:fldCharType="separate"/>
      </w:r>
      <w:r>
        <w:rPr>
          <w:rFonts w:hint="eastAsia" w:ascii="宋体" w:hAnsi="宋体" w:eastAsia="宋体" w:cs="宋体"/>
          <w:color w:val="auto"/>
          <w:highlight w:val="none"/>
        </w:rPr>
        <w:t>第一章竞争性磋商公告</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_Toc14083 \h </w:instrText>
      </w:r>
      <w:r>
        <w:rPr>
          <w:rFonts w:hint="eastAsia" w:ascii="宋体" w:hAnsi="宋体" w:eastAsia="宋体" w:cs="宋体"/>
          <w:color w:val="auto"/>
        </w:rPr>
        <w:fldChar w:fldCharType="separate"/>
      </w:r>
      <w:r>
        <w:rPr>
          <w:rFonts w:hint="eastAsia" w:ascii="宋体" w:hAnsi="宋体" w:eastAsia="宋体" w:cs="宋体"/>
          <w:color w:val="auto"/>
        </w:rPr>
        <w:t>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16224BF">
      <w:pPr>
        <w:pStyle w:val="12"/>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_Toc14449 </w:instrText>
      </w:r>
      <w:r>
        <w:rPr>
          <w:rFonts w:hint="eastAsia" w:ascii="宋体" w:hAnsi="宋体" w:eastAsia="宋体" w:cs="宋体"/>
          <w:color w:val="auto"/>
        </w:rPr>
        <w:fldChar w:fldCharType="separate"/>
      </w:r>
      <w:r>
        <w:rPr>
          <w:rFonts w:hint="eastAsia" w:ascii="宋体" w:hAnsi="宋体" w:eastAsia="宋体" w:cs="宋体"/>
          <w:color w:val="auto"/>
          <w:highlight w:val="none"/>
        </w:rPr>
        <w:t>第二章供应商须知</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_Toc14449 \h </w:instrText>
      </w:r>
      <w:r>
        <w:rPr>
          <w:rFonts w:hint="eastAsia" w:ascii="宋体" w:hAnsi="宋体" w:eastAsia="宋体" w:cs="宋体"/>
          <w:color w:val="auto"/>
        </w:rPr>
        <w:fldChar w:fldCharType="separate"/>
      </w:r>
      <w:r>
        <w:rPr>
          <w:rFonts w:hint="eastAsia" w:ascii="宋体" w:hAnsi="宋体" w:eastAsia="宋体" w:cs="宋体"/>
          <w:color w:val="auto"/>
        </w:rPr>
        <w:t>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1E3036C8">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_Toc30330 </w:instrText>
      </w:r>
      <w:r>
        <w:rPr>
          <w:rFonts w:hint="eastAsia" w:ascii="宋体" w:hAnsi="宋体" w:eastAsia="宋体" w:cs="宋体"/>
          <w:color w:val="auto"/>
        </w:rPr>
        <w:fldChar w:fldCharType="separate"/>
      </w:r>
      <w:r>
        <w:rPr>
          <w:rFonts w:hint="eastAsia" w:ascii="宋体" w:hAnsi="宋体" w:eastAsia="宋体" w:cs="宋体"/>
          <w:color w:val="auto"/>
          <w:szCs w:val="24"/>
          <w:highlight w:val="none"/>
          <w:shd w:val="clear" w:color="auto" w:fill="FFFFFF"/>
        </w:rPr>
        <w:t>供应商须知前附表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_Toc30330 \h </w:instrText>
      </w:r>
      <w:r>
        <w:rPr>
          <w:rFonts w:hint="eastAsia" w:ascii="宋体" w:hAnsi="宋体" w:eastAsia="宋体" w:cs="宋体"/>
          <w:color w:val="auto"/>
        </w:rPr>
        <w:fldChar w:fldCharType="separate"/>
      </w:r>
      <w:r>
        <w:rPr>
          <w:rFonts w:hint="eastAsia" w:ascii="宋体" w:hAnsi="宋体" w:eastAsia="宋体" w:cs="宋体"/>
          <w:color w:val="auto"/>
        </w:rPr>
        <w:t>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D7FC2DD">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_Toc15063 </w:instrText>
      </w:r>
      <w:r>
        <w:rPr>
          <w:rFonts w:hint="eastAsia" w:ascii="宋体" w:hAnsi="宋体" w:eastAsia="宋体" w:cs="宋体"/>
          <w:color w:val="auto"/>
        </w:rPr>
        <w:fldChar w:fldCharType="separate"/>
      </w:r>
      <w:r>
        <w:rPr>
          <w:rFonts w:hint="eastAsia" w:ascii="宋体" w:hAnsi="宋体" w:eastAsia="宋体" w:cs="宋体"/>
          <w:color w:val="auto"/>
          <w:szCs w:val="24"/>
          <w:highlight w:val="none"/>
          <w:shd w:val="clear" w:color="auto" w:fill="FFFFFF"/>
        </w:rPr>
        <w:t>一、总则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_Toc15063 \h </w:instrText>
      </w:r>
      <w:r>
        <w:rPr>
          <w:rFonts w:hint="eastAsia" w:ascii="宋体" w:hAnsi="宋体" w:eastAsia="宋体" w:cs="宋体"/>
          <w:color w:val="auto"/>
        </w:rPr>
        <w:fldChar w:fldCharType="separate"/>
      </w:r>
      <w:r>
        <w:rPr>
          <w:rFonts w:hint="eastAsia" w:ascii="宋体" w:hAnsi="宋体" w:eastAsia="宋体" w:cs="宋体"/>
          <w:color w:val="auto"/>
        </w:rPr>
        <w:t>10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3AEE1F6">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_Toc25095 </w:instrText>
      </w:r>
      <w:r>
        <w:rPr>
          <w:rFonts w:hint="eastAsia" w:ascii="宋体" w:hAnsi="宋体" w:eastAsia="宋体" w:cs="宋体"/>
          <w:color w:val="auto"/>
        </w:rPr>
        <w:fldChar w:fldCharType="separate"/>
      </w:r>
      <w:r>
        <w:rPr>
          <w:rFonts w:hint="eastAsia" w:ascii="宋体" w:hAnsi="宋体" w:eastAsia="宋体" w:cs="宋体"/>
          <w:color w:val="auto"/>
          <w:szCs w:val="24"/>
          <w:highlight w:val="none"/>
          <w:shd w:val="clear" w:color="auto" w:fill="FFFFFF"/>
        </w:rPr>
        <w:t>二、磋商文件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_Toc25095 \h </w:instrText>
      </w:r>
      <w:r>
        <w:rPr>
          <w:rFonts w:hint="eastAsia" w:ascii="宋体" w:hAnsi="宋体" w:eastAsia="宋体" w:cs="宋体"/>
          <w:color w:val="auto"/>
        </w:rPr>
        <w:fldChar w:fldCharType="separate"/>
      </w:r>
      <w:r>
        <w:rPr>
          <w:rFonts w:hint="eastAsia" w:ascii="宋体" w:hAnsi="宋体" w:eastAsia="宋体" w:cs="宋体"/>
          <w:color w:val="auto"/>
        </w:rPr>
        <w:t>11</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775E4C7">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_Toc144 </w:instrText>
      </w:r>
      <w:r>
        <w:rPr>
          <w:rFonts w:hint="eastAsia" w:ascii="宋体" w:hAnsi="宋体" w:eastAsia="宋体" w:cs="宋体"/>
          <w:color w:val="auto"/>
        </w:rPr>
        <w:fldChar w:fldCharType="separate"/>
      </w:r>
      <w:r>
        <w:rPr>
          <w:rFonts w:hint="eastAsia" w:ascii="宋体" w:hAnsi="宋体" w:eastAsia="宋体" w:cs="宋体"/>
          <w:color w:val="auto"/>
          <w:szCs w:val="24"/>
          <w:highlight w:val="none"/>
          <w:shd w:val="clear" w:color="auto" w:fill="FFFFFF"/>
        </w:rPr>
        <w:t>三、响应文件的编制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_Toc144 \h </w:instrText>
      </w:r>
      <w:r>
        <w:rPr>
          <w:rFonts w:hint="eastAsia" w:ascii="宋体" w:hAnsi="宋体" w:eastAsia="宋体" w:cs="宋体"/>
          <w:color w:val="auto"/>
        </w:rPr>
        <w:fldChar w:fldCharType="separate"/>
      </w:r>
      <w:r>
        <w:rPr>
          <w:rFonts w:hint="eastAsia" w:ascii="宋体" w:hAnsi="宋体" w:eastAsia="宋体" w:cs="宋体"/>
          <w:color w:val="auto"/>
        </w:rPr>
        <w:t>12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410D114">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_Toc21977 </w:instrText>
      </w:r>
      <w:r>
        <w:rPr>
          <w:rFonts w:hint="eastAsia" w:ascii="宋体" w:hAnsi="宋体" w:eastAsia="宋体" w:cs="宋体"/>
          <w:color w:val="auto"/>
        </w:rPr>
        <w:fldChar w:fldCharType="separate"/>
      </w:r>
      <w:r>
        <w:rPr>
          <w:rFonts w:hint="eastAsia" w:ascii="宋体" w:hAnsi="宋体" w:eastAsia="宋体" w:cs="宋体"/>
          <w:color w:val="auto"/>
          <w:szCs w:val="24"/>
          <w:highlight w:val="none"/>
          <w:shd w:val="clear" w:color="auto" w:fill="FFFFFF"/>
        </w:rPr>
        <w:t>四、响应文件的提交</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_Toc21977 \h </w:instrText>
      </w:r>
      <w:r>
        <w:rPr>
          <w:rFonts w:hint="eastAsia" w:ascii="宋体" w:hAnsi="宋体" w:eastAsia="宋体" w:cs="宋体"/>
          <w:color w:val="auto"/>
        </w:rPr>
        <w:fldChar w:fldCharType="separate"/>
      </w:r>
      <w:r>
        <w:rPr>
          <w:rFonts w:hint="eastAsia" w:ascii="宋体" w:hAnsi="宋体" w:eastAsia="宋体" w:cs="宋体"/>
          <w:color w:val="auto"/>
        </w:rPr>
        <w:t>13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A113FB1">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_Toc15300 </w:instrText>
      </w:r>
      <w:r>
        <w:rPr>
          <w:rFonts w:hint="eastAsia" w:ascii="宋体" w:hAnsi="宋体" w:eastAsia="宋体" w:cs="宋体"/>
          <w:color w:val="auto"/>
        </w:rPr>
        <w:fldChar w:fldCharType="separate"/>
      </w:r>
      <w:r>
        <w:rPr>
          <w:rFonts w:hint="eastAsia" w:ascii="宋体" w:hAnsi="宋体" w:eastAsia="宋体" w:cs="宋体"/>
          <w:bCs/>
          <w:color w:val="auto"/>
          <w:szCs w:val="28"/>
          <w:highlight w:val="none"/>
          <w:lang w:val="zh-CN"/>
        </w:rPr>
        <w:t>五、磋商及评审</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_Toc15300 \h </w:instrText>
      </w:r>
      <w:r>
        <w:rPr>
          <w:rFonts w:hint="eastAsia" w:ascii="宋体" w:hAnsi="宋体" w:eastAsia="宋体" w:cs="宋体"/>
          <w:color w:val="auto"/>
        </w:rPr>
        <w:fldChar w:fldCharType="separate"/>
      </w:r>
      <w:r>
        <w:rPr>
          <w:rFonts w:hint="eastAsia" w:ascii="宋体" w:hAnsi="宋体" w:eastAsia="宋体" w:cs="宋体"/>
          <w:color w:val="auto"/>
        </w:rPr>
        <w:t>14</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1AC4267D">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_Toc12129 </w:instrText>
      </w:r>
      <w:r>
        <w:rPr>
          <w:rFonts w:hint="eastAsia" w:ascii="宋体" w:hAnsi="宋体" w:eastAsia="宋体" w:cs="宋体"/>
          <w:color w:val="auto"/>
        </w:rPr>
        <w:fldChar w:fldCharType="separate"/>
      </w:r>
      <w:r>
        <w:rPr>
          <w:rFonts w:hint="eastAsia" w:ascii="宋体" w:hAnsi="宋体" w:eastAsia="宋体" w:cs="宋体"/>
          <w:bCs/>
          <w:color w:val="auto"/>
          <w:szCs w:val="28"/>
          <w:highlight w:val="none"/>
          <w:lang w:val="zh-CN"/>
        </w:rPr>
        <w:t>六、合同授予</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_Toc12129 \h </w:instrText>
      </w:r>
      <w:r>
        <w:rPr>
          <w:rFonts w:hint="eastAsia" w:ascii="宋体" w:hAnsi="宋体" w:eastAsia="宋体" w:cs="宋体"/>
          <w:color w:val="auto"/>
        </w:rPr>
        <w:fldChar w:fldCharType="separate"/>
      </w:r>
      <w:r>
        <w:rPr>
          <w:rFonts w:hint="eastAsia" w:ascii="宋体" w:hAnsi="宋体" w:eastAsia="宋体" w:cs="宋体"/>
          <w:color w:val="auto"/>
        </w:rPr>
        <w:t>16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F621232">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_Toc8286 </w:instrText>
      </w:r>
      <w:r>
        <w:rPr>
          <w:rFonts w:hint="eastAsia" w:ascii="宋体" w:hAnsi="宋体" w:eastAsia="宋体" w:cs="宋体"/>
          <w:color w:val="auto"/>
        </w:rPr>
        <w:fldChar w:fldCharType="separate"/>
      </w:r>
      <w:r>
        <w:rPr>
          <w:rFonts w:hint="eastAsia" w:ascii="宋体" w:hAnsi="宋体" w:eastAsia="宋体" w:cs="宋体"/>
          <w:bCs/>
          <w:color w:val="auto"/>
          <w:szCs w:val="28"/>
          <w:highlight w:val="none"/>
          <w:lang w:val="zh-CN"/>
        </w:rPr>
        <w:t>七、质疑与投诉</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_Toc8286 \h </w:instrText>
      </w:r>
      <w:r>
        <w:rPr>
          <w:rFonts w:hint="eastAsia" w:ascii="宋体" w:hAnsi="宋体" w:eastAsia="宋体" w:cs="宋体"/>
          <w:color w:val="auto"/>
        </w:rPr>
        <w:fldChar w:fldCharType="separate"/>
      </w:r>
      <w:r>
        <w:rPr>
          <w:rFonts w:hint="eastAsia" w:ascii="宋体" w:hAnsi="宋体" w:eastAsia="宋体" w:cs="宋体"/>
          <w:color w:val="auto"/>
        </w:rPr>
        <w:t>16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D243BDE">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_Toc30232 </w:instrText>
      </w:r>
      <w:r>
        <w:rPr>
          <w:rFonts w:hint="eastAsia" w:ascii="宋体" w:hAnsi="宋体" w:eastAsia="宋体" w:cs="宋体"/>
          <w:color w:val="auto"/>
        </w:rPr>
        <w:fldChar w:fldCharType="separate"/>
      </w:r>
      <w:r>
        <w:rPr>
          <w:rFonts w:hint="eastAsia" w:ascii="宋体" w:hAnsi="宋体" w:eastAsia="宋体" w:cs="宋体"/>
          <w:bCs/>
          <w:color w:val="auto"/>
          <w:szCs w:val="28"/>
          <w:highlight w:val="none"/>
          <w:lang w:val="zh-CN"/>
        </w:rPr>
        <w:t>八、需要补充的其他内容</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_Toc30232 \h </w:instrText>
      </w:r>
      <w:r>
        <w:rPr>
          <w:rFonts w:hint="eastAsia" w:ascii="宋体" w:hAnsi="宋体" w:eastAsia="宋体" w:cs="宋体"/>
          <w:color w:val="auto"/>
        </w:rPr>
        <w:fldChar w:fldCharType="separate"/>
      </w:r>
      <w:r>
        <w:rPr>
          <w:rFonts w:hint="eastAsia" w:ascii="宋体" w:hAnsi="宋体" w:eastAsia="宋体" w:cs="宋体"/>
          <w:color w:val="auto"/>
        </w:rPr>
        <w:t>17</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854CB1A">
      <w:pPr>
        <w:pStyle w:val="12"/>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_Toc5707 </w:instrText>
      </w:r>
      <w:r>
        <w:rPr>
          <w:rFonts w:hint="eastAsia" w:ascii="宋体" w:hAnsi="宋体" w:eastAsia="宋体" w:cs="宋体"/>
          <w:color w:val="auto"/>
        </w:rPr>
        <w:fldChar w:fldCharType="separate"/>
      </w:r>
      <w:r>
        <w:rPr>
          <w:rFonts w:hint="eastAsia" w:ascii="宋体" w:hAnsi="宋体" w:eastAsia="宋体" w:cs="宋体"/>
          <w:color w:val="auto"/>
          <w:szCs w:val="20"/>
          <w:highlight w:val="none"/>
        </w:rPr>
        <w:t>第三章 评审方法和标准</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_Toc5707 \h </w:instrText>
      </w:r>
      <w:r>
        <w:rPr>
          <w:rFonts w:hint="eastAsia" w:ascii="宋体" w:hAnsi="宋体" w:eastAsia="宋体" w:cs="宋体"/>
          <w:color w:val="auto"/>
        </w:rPr>
        <w:fldChar w:fldCharType="separate"/>
      </w:r>
      <w:r>
        <w:rPr>
          <w:rFonts w:hint="eastAsia" w:ascii="宋体" w:hAnsi="宋体" w:eastAsia="宋体" w:cs="宋体"/>
          <w:color w:val="auto"/>
        </w:rPr>
        <w:t>18</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390665C">
      <w:pPr>
        <w:pStyle w:val="12"/>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_Toc16195 </w:instrText>
      </w:r>
      <w:r>
        <w:rPr>
          <w:rFonts w:hint="eastAsia" w:ascii="宋体" w:hAnsi="宋体" w:eastAsia="宋体" w:cs="宋体"/>
          <w:color w:val="auto"/>
        </w:rPr>
        <w:fldChar w:fldCharType="separate"/>
      </w:r>
      <w:r>
        <w:rPr>
          <w:rFonts w:hint="eastAsia" w:ascii="宋体" w:hAnsi="宋体" w:eastAsia="宋体" w:cs="宋体"/>
          <w:color w:val="auto"/>
          <w:kern w:val="44"/>
          <w:szCs w:val="20"/>
        </w:rPr>
        <w:t xml:space="preserve">第四章 </w:t>
      </w:r>
      <w:r>
        <w:rPr>
          <w:rFonts w:hint="eastAsia" w:ascii="宋体" w:hAnsi="宋体" w:eastAsia="宋体" w:cs="宋体"/>
          <w:color w:val="auto"/>
          <w:kern w:val="44"/>
          <w:szCs w:val="20"/>
          <w:highlight w:val="none"/>
        </w:rPr>
        <w:t>合同条款和格式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_Toc16195 \h </w:instrText>
      </w:r>
      <w:r>
        <w:rPr>
          <w:rFonts w:hint="eastAsia" w:ascii="宋体" w:hAnsi="宋体" w:eastAsia="宋体" w:cs="宋体"/>
          <w:color w:val="auto"/>
        </w:rPr>
        <w:fldChar w:fldCharType="separate"/>
      </w:r>
      <w:r>
        <w:rPr>
          <w:rFonts w:hint="eastAsia" w:ascii="宋体" w:hAnsi="宋体" w:eastAsia="宋体" w:cs="宋体"/>
          <w:color w:val="auto"/>
        </w:rPr>
        <w:t>26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B2F9976">
      <w:pPr>
        <w:pStyle w:val="12"/>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_Toc7831 </w:instrText>
      </w:r>
      <w:r>
        <w:rPr>
          <w:rFonts w:hint="eastAsia" w:ascii="宋体" w:hAnsi="宋体" w:eastAsia="宋体" w:cs="宋体"/>
          <w:color w:val="auto"/>
        </w:rPr>
        <w:fldChar w:fldCharType="separate"/>
      </w:r>
      <w:r>
        <w:rPr>
          <w:rFonts w:hint="eastAsia" w:ascii="宋体" w:hAnsi="宋体" w:eastAsia="宋体" w:cs="宋体"/>
          <w:color w:val="auto"/>
          <w:szCs w:val="20"/>
        </w:rPr>
        <w:t>第五章 采购需求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_Toc7831 \h </w:instrText>
      </w:r>
      <w:r>
        <w:rPr>
          <w:rFonts w:hint="eastAsia" w:ascii="宋体" w:hAnsi="宋体" w:eastAsia="宋体" w:cs="宋体"/>
          <w:color w:val="auto"/>
        </w:rPr>
        <w:fldChar w:fldCharType="separate"/>
      </w:r>
      <w:r>
        <w:rPr>
          <w:rFonts w:hint="eastAsia" w:ascii="宋体" w:hAnsi="宋体" w:eastAsia="宋体" w:cs="宋体"/>
          <w:color w:val="auto"/>
        </w:rPr>
        <w:t>29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F161B55">
      <w:pPr>
        <w:pStyle w:val="12"/>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_Toc20465 </w:instrText>
      </w:r>
      <w:r>
        <w:rPr>
          <w:rFonts w:hint="eastAsia" w:ascii="宋体" w:hAnsi="宋体" w:eastAsia="宋体" w:cs="宋体"/>
          <w:color w:val="auto"/>
        </w:rPr>
        <w:fldChar w:fldCharType="separate"/>
      </w:r>
      <w:r>
        <w:rPr>
          <w:rFonts w:hint="eastAsia" w:ascii="宋体" w:hAnsi="宋体" w:eastAsia="宋体" w:cs="宋体"/>
          <w:color w:val="auto"/>
          <w:szCs w:val="20"/>
          <w:highlight w:val="none"/>
        </w:rPr>
        <w:t>第六章 磋商内容、磋商过程中可能实质性变动的内容</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_Toc20465 \h </w:instrText>
      </w:r>
      <w:r>
        <w:rPr>
          <w:rFonts w:hint="eastAsia" w:ascii="宋体" w:hAnsi="宋体" w:eastAsia="宋体" w:cs="宋体"/>
          <w:color w:val="auto"/>
        </w:rPr>
        <w:fldChar w:fldCharType="separate"/>
      </w:r>
      <w:r>
        <w:rPr>
          <w:rFonts w:hint="eastAsia" w:ascii="宋体" w:hAnsi="宋体" w:eastAsia="宋体" w:cs="宋体"/>
          <w:color w:val="auto"/>
        </w:rPr>
        <w:t>29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009C353C">
      <w:pPr>
        <w:pStyle w:val="12"/>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_Toc17992 </w:instrText>
      </w:r>
      <w:r>
        <w:rPr>
          <w:rFonts w:hint="eastAsia" w:ascii="宋体" w:hAnsi="宋体" w:eastAsia="宋体" w:cs="宋体"/>
          <w:color w:val="auto"/>
        </w:rPr>
        <w:fldChar w:fldCharType="separate"/>
      </w:r>
      <w:r>
        <w:rPr>
          <w:rFonts w:hint="eastAsia" w:ascii="宋体" w:hAnsi="宋体" w:eastAsia="宋体" w:cs="宋体"/>
          <w:bCs/>
          <w:color w:val="auto"/>
          <w:kern w:val="2"/>
          <w:szCs w:val="24"/>
          <w:highlight w:val="none"/>
        </w:rPr>
        <w:t>第七章 响应文件格式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_Toc17992 \h </w:instrText>
      </w:r>
      <w:r>
        <w:rPr>
          <w:rFonts w:hint="eastAsia" w:ascii="宋体" w:hAnsi="宋体" w:eastAsia="宋体" w:cs="宋体"/>
          <w:color w:val="auto"/>
        </w:rPr>
        <w:fldChar w:fldCharType="separate"/>
      </w:r>
      <w:r>
        <w:rPr>
          <w:rFonts w:hint="eastAsia" w:ascii="宋体" w:hAnsi="宋体" w:eastAsia="宋体" w:cs="宋体"/>
          <w:color w:val="auto"/>
        </w:rPr>
        <w:t>33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6A5155B">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_Toc11869 </w:instrText>
      </w:r>
      <w:r>
        <w:rPr>
          <w:rFonts w:hint="eastAsia" w:ascii="宋体" w:hAnsi="宋体" w:eastAsia="宋体" w:cs="宋体"/>
          <w:color w:val="auto"/>
        </w:rPr>
        <w:fldChar w:fldCharType="separate"/>
      </w:r>
      <w:r>
        <w:rPr>
          <w:rFonts w:hint="eastAsia" w:ascii="宋体" w:hAnsi="宋体" w:eastAsia="宋体" w:cs="宋体"/>
          <w:color w:val="auto"/>
          <w:szCs w:val="32"/>
          <w:highlight w:val="none"/>
        </w:rPr>
        <w:t>目录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_Toc11869 \h </w:instrText>
      </w:r>
      <w:r>
        <w:rPr>
          <w:rFonts w:hint="eastAsia" w:ascii="宋体" w:hAnsi="宋体" w:eastAsia="宋体" w:cs="宋体"/>
          <w:color w:val="auto"/>
        </w:rPr>
        <w:fldChar w:fldCharType="separate"/>
      </w:r>
      <w:r>
        <w:rPr>
          <w:rFonts w:hint="eastAsia" w:ascii="宋体" w:hAnsi="宋体" w:eastAsia="宋体" w:cs="宋体"/>
          <w:color w:val="auto"/>
        </w:rPr>
        <w:t>35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944B030">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_Toc27909 </w:instrText>
      </w:r>
      <w:r>
        <w:rPr>
          <w:rFonts w:hint="eastAsia" w:ascii="宋体" w:hAnsi="宋体" w:eastAsia="宋体" w:cs="宋体"/>
          <w:color w:val="auto"/>
        </w:rPr>
        <w:fldChar w:fldCharType="separate"/>
      </w:r>
      <w:r>
        <w:rPr>
          <w:rFonts w:hint="eastAsia" w:ascii="宋体" w:hAnsi="宋体" w:eastAsia="宋体" w:cs="宋体"/>
          <w:color w:val="auto"/>
          <w:kern w:val="0"/>
          <w:szCs w:val="30"/>
          <w:highlight w:val="none"/>
        </w:rPr>
        <w:t>一、法定代表人身份证明及授权委托书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_Toc27909 \h </w:instrText>
      </w:r>
      <w:r>
        <w:rPr>
          <w:rFonts w:hint="eastAsia" w:ascii="宋体" w:hAnsi="宋体" w:eastAsia="宋体" w:cs="宋体"/>
          <w:color w:val="auto"/>
        </w:rPr>
        <w:fldChar w:fldCharType="separate"/>
      </w:r>
      <w:r>
        <w:rPr>
          <w:rFonts w:hint="eastAsia" w:ascii="宋体" w:hAnsi="宋体" w:eastAsia="宋体" w:cs="宋体"/>
          <w:color w:val="auto"/>
        </w:rPr>
        <w:t>36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8F73A1D">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_Toc22467 </w:instrText>
      </w:r>
      <w:r>
        <w:rPr>
          <w:rFonts w:hint="eastAsia" w:ascii="宋体" w:hAnsi="宋体" w:eastAsia="宋体" w:cs="宋体"/>
          <w:color w:val="auto"/>
        </w:rPr>
        <w:fldChar w:fldCharType="separate"/>
      </w:r>
      <w:r>
        <w:rPr>
          <w:rFonts w:hint="eastAsia" w:ascii="宋体" w:hAnsi="宋体" w:eastAsia="宋体" w:cs="宋体"/>
          <w:color w:val="auto"/>
          <w:szCs w:val="26"/>
          <w:highlight w:val="none"/>
        </w:rPr>
        <w:t>二、磋商函</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_Toc22467 \h </w:instrText>
      </w:r>
      <w:r>
        <w:rPr>
          <w:rFonts w:hint="eastAsia" w:ascii="宋体" w:hAnsi="宋体" w:eastAsia="宋体" w:cs="宋体"/>
          <w:color w:val="auto"/>
        </w:rPr>
        <w:fldChar w:fldCharType="separate"/>
      </w:r>
      <w:r>
        <w:rPr>
          <w:rFonts w:hint="eastAsia" w:ascii="宋体" w:hAnsi="宋体" w:eastAsia="宋体" w:cs="宋体"/>
          <w:color w:val="auto"/>
        </w:rPr>
        <w:t>38</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7BC002E">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_Toc12124 </w:instrText>
      </w:r>
      <w:r>
        <w:rPr>
          <w:rFonts w:hint="eastAsia" w:ascii="宋体" w:hAnsi="宋体" w:eastAsia="宋体" w:cs="宋体"/>
          <w:color w:val="auto"/>
        </w:rPr>
        <w:fldChar w:fldCharType="separate"/>
      </w:r>
      <w:r>
        <w:rPr>
          <w:rFonts w:hint="eastAsia" w:ascii="宋体" w:hAnsi="宋体" w:eastAsia="宋体" w:cs="宋体"/>
          <w:color w:val="auto"/>
          <w:kern w:val="0"/>
          <w:szCs w:val="30"/>
          <w:highlight w:val="none"/>
        </w:rPr>
        <w:t>三、竞争性磋商报价表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_Toc12124 \h </w:instrText>
      </w:r>
      <w:r>
        <w:rPr>
          <w:rFonts w:hint="eastAsia" w:ascii="宋体" w:hAnsi="宋体" w:eastAsia="宋体" w:cs="宋体"/>
          <w:color w:val="auto"/>
        </w:rPr>
        <w:fldChar w:fldCharType="separate"/>
      </w:r>
      <w:r>
        <w:rPr>
          <w:rFonts w:hint="eastAsia" w:ascii="宋体" w:hAnsi="宋体" w:eastAsia="宋体" w:cs="宋体"/>
          <w:color w:val="auto"/>
        </w:rPr>
        <w:t>39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20E706E">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_Toc32610 </w:instrText>
      </w:r>
      <w:r>
        <w:rPr>
          <w:rFonts w:hint="eastAsia" w:ascii="宋体" w:hAnsi="宋体" w:eastAsia="宋体" w:cs="宋体"/>
          <w:color w:val="auto"/>
        </w:rPr>
        <w:fldChar w:fldCharType="separate"/>
      </w:r>
      <w:r>
        <w:rPr>
          <w:rFonts w:hint="eastAsia" w:ascii="宋体" w:hAnsi="宋体" w:eastAsia="宋体" w:cs="宋体"/>
          <w:color w:val="auto"/>
          <w:kern w:val="0"/>
          <w:szCs w:val="30"/>
          <w:highlight w:val="none"/>
        </w:rPr>
        <w:t>四、资格证明文件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_Toc32610 \h </w:instrText>
      </w:r>
      <w:r>
        <w:rPr>
          <w:rFonts w:hint="eastAsia" w:ascii="宋体" w:hAnsi="宋体" w:eastAsia="宋体" w:cs="宋体"/>
          <w:color w:val="auto"/>
        </w:rPr>
        <w:fldChar w:fldCharType="separate"/>
      </w:r>
      <w:r>
        <w:rPr>
          <w:rFonts w:hint="eastAsia" w:ascii="宋体" w:hAnsi="宋体" w:eastAsia="宋体" w:cs="宋体"/>
          <w:color w:val="auto"/>
        </w:rPr>
        <w:t>40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115A6818">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_Toc11150 </w:instrText>
      </w:r>
      <w:r>
        <w:rPr>
          <w:rFonts w:hint="eastAsia" w:ascii="宋体" w:hAnsi="宋体" w:eastAsia="宋体" w:cs="宋体"/>
          <w:color w:val="auto"/>
        </w:rPr>
        <w:fldChar w:fldCharType="separate"/>
      </w:r>
      <w:r>
        <w:rPr>
          <w:rFonts w:hint="eastAsia" w:ascii="宋体" w:hAnsi="宋体" w:eastAsia="宋体" w:cs="宋体"/>
          <w:color w:val="auto"/>
        </w:rPr>
        <w:t xml:space="preserve">五、 </w:t>
      </w:r>
      <w:r>
        <w:rPr>
          <w:rFonts w:hint="eastAsia" w:ascii="宋体" w:hAnsi="宋体" w:cs="宋体"/>
          <w:color w:val="auto"/>
          <w:highlight w:val="none"/>
          <w:lang w:val="en-US" w:eastAsia="zh-CN"/>
        </w:rPr>
        <w:t>技术</w:t>
      </w:r>
      <w:r>
        <w:rPr>
          <w:rFonts w:hint="eastAsia" w:ascii="宋体" w:hAnsi="宋体" w:eastAsia="宋体" w:cs="宋体"/>
          <w:color w:val="auto"/>
          <w:highlight w:val="none"/>
          <w:lang w:val="en-US" w:eastAsia="zh-CN"/>
        </w:rPr>
        <w:t>部分</w:t>
      </w:r>
      <w:r>
        <w:rPr>
          <w:rFonts w:hint="eastAsia" w:ascii="宋体" w:hAnsi="宋体" w:eastAsia="宋体" w:cs="宋体"/>
          <w:color w:val="auto"/>
          <w:highlight w:val="none"/>
        </w:rPr>
        <w:t>文件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_Toc11150 \h </w:instrText>
      </w:r>
      <w:r>
        <w:rPr>
          <w:rFonts w:hint="eastAsia" w:ascii="宋体" w:hAnsi="宋体" w:eastAsia="宋体" w:cs="宋体"/>
          <w:color w:val="auto"/>
        </w:rPr>
        <w:fldChar w:fldCharType="separate"/>
      </w:r>
      <w:r>
        <w:rPr>
          <w:rFonts w:hint="eastAsia" w:ascii="宋体" w:hAnsi="宋体" w:eastAsia="宋体" w:cs="宋体"/>
          <w:color w:val="auto"/>
        </w:rPr>
        <w:t>42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9C90121">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_Toc12349 </w:instrText>
      </w:r>
      <w:r>
        <w:rPr>
          <w:rFonts w:hint="eastAsia" w:ascii="宋体" w:hAnsi="宋体" w:eastAsia="宋体" w:cs="宋体"/>
          <w:color w:val="auto"/>
        </w:rPr>
        <w:fldChar w:fldCharType="separate"/>
      </w:r>
      <w:r>
        <w:rPr>
          <w:rFonts w:hint="eastAsia" w:ascii="宋体" w:hAnsi="宋体" w:eastAsia="宋体" w:cs="宋体"/>
          <w:color w:val="auto"/>
        </w:rPr>
        <w:t xml:space="preserve">六、 </w:t>
      </w:r>
      <w:r>
        <w:rPr>
          <w:rFonts w:hint="eastAsia" w:ascii="宋体" w:hAnsi="宋体" w:cs="宋体"/>
          <w:bCs/>
          <w:color w:val="auto"/>
          <w:szCs w:val="21"/>
          <w:highlight w:val="none"/>
          <w:lang w:val="en-US" w:eastAsia="zh-CN"/>
        </w:rPr>
        <w:t>综合</w:t>
      </w:r>
      <w:r>
        <w:rPr>
          <w:rFonts w:hint="eastAsia" w:ascii="宋体" w:hAnsi="宋体" w:eastAsia="宋体" w:cs="宋体"/>
          <w:color w:val="auto"/>
          <w:highlight w:val="none"/>
          <w:lang w:val="en-US" w:eastAsia="zh-CN"/>
        </w:rPr>
        <w:t>部分</w:t>
      </w:r>
      <w:r>
        <w:rPr>
          <w:rFonts w:ascii="宋体" w:hAnsi="宋体" w:eastAsia="宋体" w:cs="宋体"/>
          <w:color w:val="auto"/>
          <w:highlight w:val="none"/>
        </w:rPr>
        <w:t>文件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_Toc12349 \h </w:instrText>
      </w:r>
      <w:r>
        <w:rPr>
          <w:rFonts w:hint="eastAsia" w:ascii="宋体" w:hAnsi="宋体" w:eastAsia="宋体" w:cs="宋体"/>
          <w:color w:val="auto"/>
        </w:rPr>
        <w:fldChar w:fldCharType="separate"/>
      </w:r>
      <w:r>
        <w:rPr>
          <w:rFonts w:hint="eastAsia" w:ascii="宋体" w:hAnsi="宋体" w:eastAsia="宋体" w:cs="宋体"/>
          <w:color w:val="auto"/>
        </w:rPr>
        <w:t>43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4841318">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_Toc11461 </w:instrText>
      </w:r>
      <w:r>
        <w:rPr>
          <w:rFonts w:hint="eastAsia" w:ascii="宋体" w:hAnsi="宋体" w:eastAsia="宋体" w:cs="宋体"/>
          <w:color w:val="auto"/>
        </w:rPr>
        <w:fldChar w:fldCharType="separate"/>
      </w:r>
      <w:r>
        <w:rPr>
          <w:rFonts w:hint="eastAsia" w:ascii="宋体" w:hAnsi="宋体" w:eastAsia="宋体" w:cs="宋体"/>
          <w:color w:val="auto"/>
          <w:kern w:val="0"/>
          <w:szCs w:val="30"/>
          <w:highlight w:val="none"/>
          <w:lang w:val="en-US" w:eastAsia="zh-CN"/>
        </w:rPr>
        <w:t>七</w:t>
      </w:r>
      <w:r>
        <w:rPr>
          <w:rFonts w:hint="eastAsia" w:ascii="宋体" w:hAnsi="宋体" w:eastAsia="宋体" w:cs="宋体"/>
          <w:color w:val="auto"/>
          <w:kern w:val="0"/>
          <w:szCs w:val="30"/>
          <w:highlight w:val="none"/>
        </w:rPr>
        <w:t>、反商业贿赂承诺书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_Toc11461 \h </w:instrText>
      </w:r>
      <w:r>
        <w:rPr>
          <w:rFonts w:hint="eastAsia" w:ascii="宋体" w:hAnsi="宋体" w:eastAsia="宋体" w:cs="宋体"/>
          <w:color w:val="auto"/>
        </w:rPr>
        <w:fldChar w:fldCharType="separate"/>
      </w:r>
      <w:r>
        <w:rPr>
          <w:rFonts w:hint="eastAsia" w:ascii="宋体" w:hAnsi="宋体" w:eastAsia="宋体" w:cs="宋体"/>
          <w:color w:val="auto"/>
        </w:rPr>
        <w:t>45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36E5E21">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_Toc2855 </w:instrText>
      </w:r>
      <w:r>
        <w:rPr>
          <w:rFonts w:hint="eastAsia" w:ascii="宋体" w:hAnsi="宋体" w:eastAsia="宋体" w:cs="宋体"/>
          <w:color w:val="auto"/>
        </w:rPr>
        <w:fldChar w:fldCharType="separate"/>
      </w:r>
      <w:r>
        <w:rPr>
          <w:rFonts w:hint="eastAsia" w:ascii="宋体" w:hAnsi="宋体" w:eastAsia="宋体" w:cs="宋体"/>
          <w:color w:val="auto"/>
          <w:kern w:val="0"/>
          <w:szCs w:val="30"/>
          <w:highlight w:val="none"/>
          <w:lang w:val="en-US" w:eastAsia="zh-CN"/>
        </w:rPr>
        <w:t>九</w:t>
      </w:r>
      <w:r>
        <w:rPr>
          <w:rFonts w:hint="eastAsia" w:ascii="宋体" w:hAnsi="宋体" w:eastAsia="宋体" w:cs="宋体"/>
          <w:color w:val="auto"/>
          <w:kern w:val="0"/>
          <w:szCs w:val="30"/>
          <w:highlight w:val="none"/>
        </w:rPr>
        <w:t>、其他材料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_Toc2855 \h </w:instrText>
      </w:r>
      <w:r>
        <w:rPr>
          <w:rFonts w:hint="eastAsia" w:ascii="宋体" w:hAnsi="宋体" w:eastAsia="宋体" w:cs="宋体"/>
          <w:color w:val="auto"/>
        </w:rPr>
        <w:fldChar w:fldCharType="separate"/>
      </w:r>
      <w:r>
        <w:rPr>
          <w:rFonts w:hint="eastAsia" w:ascii="宋体" w:hAnsi="宋体" w:eastAsia="宋体" w:cs="宋体"/>
          <w:color w:val="auto"/>
        </w:rPr>
        <w:t>47</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1CE0D44">
      <w:pPr>
        <w:pStyle w:val="14"/>
        <w:tabs>
          <w:tab w:val="right" w:leader="dot" w:pos="8250"/>
        </w:tabs>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_Toc25974 </w:instrText>
      </w:r>
      <w:r>
        <w:rPr>
          <w:rFonts w:hint="eastAsia" w:ascii="宋体" w:hAnsi="宋体" w:eastAsia="宋体" w:cs="宋体"/>
          <w:color w:val="auto"/>
        </w:rPr>
        <w:fldChar w:fldCharType="separate"/>
      </w:r>
      <w:r>
        <w:rPr>
          <w:rFonts w:hint="eastAsia" w:ascii="宋体" w:hAnsi="宋体" w:eastAsia="宋体" w:cs="宋体"/>
          <w:color w:val="auto"/>
          <w:kern w:val="0"/>
          <w:szCs w:val="30"/>
          <w:highlight w:val="none"/>
        </w:rPr>
        <w:t>十、中小微企业、残疾人福利企业、监狱企业</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_Toc25974 \h </w:instrText>
      </w:r>
      <w:r>
        <w:rPr>
          <w:rFonts w:hint="eastAsia" w:ascii="宋体" w:hAnsi="宋体" w:eastAsia="宋体" w:cs="宋体"/>
          <w:color w:val="auto"/>
        </w:rPr>
        <w:fldChar w:fldCharType="separate"/>
      </w:r>
      <w:r>
        <w:rPr>
          <w:rFonts w:hint="eastAsia" w:ascii="宋体" w:hAnsi="宋体" w:eastAsia="宋体" w:cs="宋体"/>
          <w:color w:val="auto"/>
        </w:rPr>
        <w:t>48</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E7B2134">
      <w:pPr>
        <w:rPr>
          <w:rFonts w:hint="eastAsia"/>
          <w:color w:val="auto"/>
        </w:rPr>
      </w:pPr>
      <w:r>
        <w:rPr>
          <w:rFonts w:hint="eastAsia" w:ascii="宋体" w:hAnsi="宋体" w:eastAsia="宋体" w:cs="宋体"/>
          <w:color w:val="auto"/>
        </w:rPr>
        <w:fldChar w:fldCharType="end"/>
      </w:r>
    </w:p>
    <w:p w14:paraId="784FB5C8">
      <w:pPr>
        <w:pStyle w:val="12"/>
        <w:keepNext w:val="0"/>
        <w:keepLines w:val="0"/>
        <w:pageBreakBefore w:val="0"/>
        <w:widowControl/>
        <w:tabs>
          <w:tab w:val="center" w:pos="4342"/>
          <w:tab w:val="left" w:pos="7795"/>
          <w:tab w:val="right" w:leader="dot" w:pos="8257"/>
        </w:tabs>
        <w:kinsoku/>
        <w:wordWrap/>
        <w:overflowPunct/>
        <w:topLinePunct w:val="0"/>
        <w:autoSpaceDE/>
        <w:autoSpaceDN/>
        <w:bidi w:val="0"/>
        <w:adjustRightInd/>
        <w:snapToGrid w:val="0"/>
        <w:spacing w:line="480" w:lineRule="auto"/>
        <w:ind w:right="450"/>
        <w:jc w:val="left"/>
        <w:textAlignment w:val="auto"/>
        <w:rPr>
          <w:rStyle w:val="36"/>
          <w:rFonts w:hint="eastAsia" w:eastAsia="宋体"/>
          <w:color w:val="auto"/>
          <w:highlight w:val="none"/>
          <w:lang w:eastAsia="zh-CN"/>
        </w:rPr>
      </w:pPr>
      <w:r>
        <w:rPr>
          <w:rFonts w:hint="eastAsia" w:ascii="宋体" w:hAnsi="宋体" w:cs="宋体"/>
          <w:color w:val="auto"/>
          <w:szCs w:val="21"/>
          <w:highlight w:val="none"/>
          <w:shd w:val="clear" w:color="auto" w:fill="FFFFFF"/>
        </w:rPr>
        <w:br w:type="page"/>
      </w:r>
      <w:bookmarkStart w:id="0" w:name="_Toc13293"/>
      <w:bookmarkStart w:id="1" w:name="_Toc22505"/>
      <w:bookmarkStart w:id="2" w:name="_Toc13848"/>
      <w:bookmarkStart w:id="3" w:name="_Toc23049"/>
      <w:bookmarkStart w:id="4" w:name="_Toc14083"/>
      <w:r>
        <w:rPr>
          <w:rFonts w:hint="eastAsia" w:ascii="宋体" w:hAnsi="宋体" w:cs="宋体"/>
          <w:color w:val="auto"/>
          <w:szCs w:val="21"/>
          <w:highlight w:val="none"/>
          <w:shd w:val="clear" w:color="auto" w:fill="FFFFFF"/>
          <w:lang w:eastAsia="zh-CN"/>
        </w:rPr>
        <w:tab/>
      </w:r>
      <w:r>
        <w:rPr>
          <w:rStyle w:val="36"/>
          <w:rFonts w:hint="default" w:ascii="宋体" w:hAnsi="宋体" w:eastAsia="宋体" w:cs="Times New Roman"/>
          <w:color w:val="auto"/>
          <w:highlight w:val="none"/>
        </w:rPr>
        <w:t>第一章竞争性磋商公告</w:t>
      </w:r>
      <w:bookmarkEnd w:id="0"/>
      <w:bookmarkEnd w:id="1"/>
      <w:bookmarkEnd w:id="2"/>
      <w:r>
        <w:rPr>
          <w:rStyle w:val="36"/>
          <w:rFonts w:hint="eastAsia" w:ascii="宋体" w:hAnsi="宋体" w:cs="Times New Roman"/>
          <w:color w:val="auto"/>
          <w:highlight w:val="none"/>
          <w:lang w:eastAsia="zh-CN"/>
        </w:rPr>
        <w:tab/>
      </w:r>
    </w:p>
    <w:bookmarkEnd w:id="3"/>
    <w:bookmarkEnd w:id="4"/>
    <w:p w14:paraId="4730D7F7">
      <w:pPr>
        <w:spacing w:line="400" w:lineRule="exact"/>
        <w:ind w:firstLine="420" w:firstLineChars="200"/>
        <w:rPr>
          <w:rFonts w:hint="eastAsia" w:ascii="宋体" w:hAnsi="宋体" w:cs="宋体"/>
          <w:b/>
          <w:bCs/>
          <w:color w:val="auto"/>
          <w:szCs w:val="21"/>
          <w:highlight w:val="none"/>
        </w:rPr>
      </w:pPr>
      <w:bookmarkStart w:id="5" w:name="_Toc12573"/>
      <w:r>
        <w:rPr>
          <w:rFonts w:hint="eastAsia" w:ascii="宋体" w:hAnsi="宋体" w:cs="宋体"/>
          <w:b/>
          <w:bCs/>
          <w:color w:val="auto"/>
          <w:szCs w:val="21"/>
          <w:highlight w:val="none"/>
        </w:rPr>
        <w:t>一、项目基本情况</w:t>
      </w:r>
    </w:p>
    <w:p w14:paraId="27E4605A">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1、项目编号：</w:t>
      </w:r>
      <w:r>
        <w:rPr>
          <w:rFonts w:hint="eastAsia" w:ascii="宋体" w:hAnsi="宋体" w:cs="宋体"/>
          <w:color w:val="auto"/>
          <w:szCs w:val="21"/>
          <w:highlight w:val="none"/>
          <w:lang w:eastAsia="zh-CN"/>
        </w:rPr>
        <w:t>豫财磋商采购-2026-757</w:t>
      </w:r>
    </w:p>
    <w:p w14:paraId="2DCCAD92">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2、项目名称：</w:t>
      </w:r>
      <w:r>
        <w:rPr>
          <w:rFonts w:hint="eastAsia" w:ascii="宋体" w:hAnsi="宋体" w:cs="宋体"/>
          <w:color w:val="auto"/>
          <w:szCs w:val="21"/>
          <w:highlight w:val="none"/>
          <w:lang w:eastAsia="zh-CN"/>
        </w:rPr>
        <w:t xml:space="preserve">信阳师范大学2026-2027学年普通高等教育学生教材项目 </w:t>
      </w:r>
    </w:p>
    <w:p w14:paraId="67F98C85">
      <w:pPr>
        <w:tabs>
          <w:tab w:val="left" w:pos="6362"/>
        </w:tabs>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3、采购方式：竞争性磋商</w:t>
      </w:r>
      <w:r>
        <w:rPr>
          <w:rFonts w:hint="eastAsia" w:ascii="宋体" w:hAnsi="宋体" w:cs="宋体"/>
          <w:color w:val="auto"/>
          <w:szCs w:val="21"/>
          <w:highlight w:val="none"/>
          <w:lang w:eastAsia="zh-CN"/>
        </w:rPr>
        <w:tab/>
      </w:r>
    </w:p>
    <w:p w14:paraId="2C9C940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4、预算金额：</w:t>
      </w:r>
      <w:r>
        <w:rPr>
          <w:rFonts w:hint="eastAsia" w:ascii="宋体" w:hAnsi="宋体" w:cs="宋体"/>
          <w:color w:val="auto"/>
          <w:szCs w:val="21"/>
          <w:highlight w:val="none"/>
          <w:lang w:eastAsia="zh-CN"/>
        </w:rPr>
        <w:t>3600000.00</w:t>
      </w:r>
      <w:r>
        <w:rPr>
          <w:rFonts w:hint="eastAsia" w:ascii="宋体" w:hAnsi="宋体" w:cs="宋体"/>
          <w:color w:val="auto"/>
          <w:szCs w:val="21"/>
          <w:highlight w:val="none"/>
        </w:rPr>
        <w:t>元</w:t>
      </w:r>
    </w:p>
    <w:p w14:paraId="552227D7">
      <w:pPr>
        <w:spacing w:line="400" w:lineRule="exact"/>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3600000.00</w:t>
      </w:r>
      <w:r>
        <w:rPr>
          <w:rFonts w:hint="eastAsia" w:ascii="宋体" w:hAnsi="宋体" w:cs="宋体"/>
          <w:color w:val="auto"/>
          <w:szCs w:val="21"/>
          <w:highlight w:val="none"/>
        </w:rPr>
        <w:t>元</w:t>
      </w:r>
    </w:p>
    <w:tbl>
      <w:tblPr>
        <w:tblStyle w:val="18"/>
        <w:tblW w:w="48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633"/>
        <w:gridCol w:w="3085"/>
        <w:gridCol w:w="2032"/>
        <w:gridCol w:w="2160"/>
      </w:tblGrid>
      <w:tr w14:paraId="0CEE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02" w:type="pct"/>
            <w:vAlign w:val="center"/>
          </w:tcPr>
          <w:p w14:paraId="679C8D15">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序号</w:t>
            </w:r>
          </w:p>
        </w:tc>
        <w:tc>
          <w:tcPr>
            <w:tcW w:w="842" w:type="pct"/>
            <w:vAlign w:val="center"/>
          </w:tcPr>
          <w:p w14:paraId="111AADEF">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包号</w:t>
            </w:r>
          </w:p>
        </w:tc>
        <w:tc>
          <w:tcPr>
            <w:tcW w:w="1591" w:type="pct"/>
            <w:vAlign w:val="center"/>
          </w:tcPr>
          <w:p w14:paraId="0406CCC2">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包名称</w:t>
            </w:r>
          </w:p>
        </w:tc>
        <w:tc>
          <w:tcPr>
            <w:tcW w:w="1048" w:type="pct"/>
            <w:vAlign w:val="center"/>
          </w:tcPr>
          <w:p w14:paraId="1DF26F5A">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包预算（元）</w:t>
            </w:r>
          </w:p>
        </w:tc>
        <w:tc>
          <w:tcPr>
            <w:tcW w:w="1114" w:type="pct"/>
            <w:vAlign w:val="center"/>
          </w:tcPr>
          <w:p w14:paraId="75BC51D9">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包最高限价（元）</w:t>
            </w:r>
          </w:p>
        </w:tc>
      </w:tr>
      <w:tr w14:paraId="0D72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402" w:type="pct"/>
            <w:vAlign w:val="center"/>
          </w:tcPr>
          <w:p w14:paraId="563C1E57">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1</w:t>
            </w:r>
          </w:p>
        </w:tc>
        <w:tc>
          <w:tcPr>
            <w:tcW w:w="842" w:type="pct"/>
            <w:vAlign w:val="center"/>
          </w:tcPr>
          <w:p w14:paraId="6E189F0B">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豫政采(2)20261286-1</w:t>
            </w:r>
          </w:p>
        </w:tc>
        <w:tc>
          <w:tcPr>
            <w:tcW w:w="1591" w:type="pct"/>
            <w:vAlign w:val="center"/>
          </w:tcPr>
          <w:p w14:paraId="1D27AFB7">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信阳师范大学2026-2027学年教</w:t>
            </w:r>
            <w:bookmarkStart w:id="514" w:name="_GoBack"/>
            <w:bookmarkEnd w:id="514"/>
            <w:r>
              <w:rPr>
                <w:rFonts w:hint="eastAsia"/>
                <w:color w:val="auto"/>
                <w:sz w:val="21"/>
                <w:szCs w:val="21"/>
                <w:shd w:val="clear" w:color="auto" w:fill="FFFFFF"/>
              </w:rPr>
              <w:t>材采购项目包1</w:t>
            </w:r>
          </w:p>
        </w:tc>
        <w:tc>
          <w:tcPr>
            <w:tcW w:w="1048" w:type="pct"/>
            <w:vAlign w:val="center"/>
          </w:tcPr>
          <w:p w14:paraId="08B0DF4B">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1800000.00</w:t>
            </w:r>
          </w:p>
        </w:tc>
        <w:tc>
          <w:tcPr>
            <w:tcW w:w="1114" w:type="pct"/>
            <w:vAlign w:val="center"/>
          </w:tcPr>
          <w:p w14:paraId="42F2854A">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1800000.00</w:t>
            </w:r>
          </w:p>
        </w:tc>
      </w:tr>
      <w:tr w14:paraId="5A33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402" w:type="pct"/>
            <w:vAlign w:val="center"/>
          </w:tcPr>
          <w:p w14:paraId="33D115A8">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2</w:t>
            </w:r>
          </w:p>
        </w:tc>
        <w:tc>
          <w:tcPr>
            <w:tcW w:w="842" w:type="pct"/>
            <w:vAlign w:val="center"/>
          </w:tcPr>
          <w:p w14:paraId="1B38627E">
            <w:pPr>
              <w:pStyle w:val="35"/>
              <w:autoSpaceDE/>
              <w:autoSpaceDN/>
              <w:spacing w:line="360" w:lineRule="auto"/>
              <w:jc w:val="center"/>
              <w:rPr>
                <w:rFonts w:hint="eastAsia" w:eastAsia="宋体"/>
                <w:color w:val="auto"/>
                <w:sz w:val="21"/>
                <w:szCs w:val="21"/>
                <w:shd w:val="clear" w:color="auto" w:fill="FFFFFF"/>
                <w:lang w:eastAsia="zh-CN"/>
              </w:rPr>
            </w:pPr>
            <w:r>
              <w:rPr>
                <w:rFonts w:hint="eastAsia"/>
                <w:color w:val="auto"/>
                <w:sz w:val="21"/>
                <w:szCs w:val="21"/>
                <w:shd w:val="clear" w:color="auto" w:fill="FFFFFF"/>
              </w:rPr>
              <w:t>豫政采(2)20261286-</w:t>
            </w:r>
            <w:r>
              <w:rPr>
                <w:rFonts w:hint="eastAsia"/>
                <w:color w:val="auto"/>
                <w:sz w:val="21"/>
                <w:szCs w:val="21"/>
                <w:shd w:val="clear" w:color="auto" w:fill="FFFFFF"/>
                <w:lang w:val="en-US" w:eastAsia="zh-CN"/>
              </w:rPr>
              <w:t>2</w:t>
            </w:r>
          </w:p>
        </w:tc>
        <w:tc>
          <w:tcPr>
            <w:tcW w:w="1591" w:type="pct"/>
            <w:vAlign w:val="center"/>
          </w:tcPr>
          <w:p w14:paraId="25B70CAB">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信阳师范大学2026-2027学年教材采购项目包2</w:t>
            </w:r>
          </w:p>
        </w:tc>
        <w:tc>
          <w:tcPr>
            <w:tcW w:w="1048" w:type="pct"/>
            <w:vAlign w:val="center"/>
          </w:tcPr>
          <w:p w14:paraId="40D95E13">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1800000.00</w:t>
            </w:r>
          </w:p>
        </w:tc>
        <w:tc>
          <w:tcPr>
            <w:tcW w:w="1114" w:type="pct"/>
            <w:vAlign w:val="center"/>
          </w:tcPr>
          <w:p w14:paraId="43EE8265">
            <w:pPr>
              <w:pStyle w:val="35"/>
              <w:autoSpaceDE/>
              <w:autoSpaceDN/>
              <w:spacing w:line="360" w:lineRule="auto"/>
              <w:jc w:val="center"/>
              <w:rPr>
                <w:color w:val="auto"/>
                <w:sz w:val="21"/>
                <w:szCs w:val="21"/>
                <w:shd w:val="clear" w:color="auto" w:fill="FFFFFF"/>
              </w:rPr>
            </w:pPr>
            <w:r>
              <w:rPr>
                <w:rFonts w:hint="eastAsia"/>
                <w:color w:val="auto"/>
                <w:sz w:val="21"/>
                <w:szCs w:val="21"/>
                <w:shd w:val="clear" w:color="auto" w:fill="FFFFFF"/>
              </w:rPr>
              <w:t>1800000.00</w:t>
            </w:r>
          </w:p>
        </w:tc>
      </w:tr>
    </w:tbl>
    <w:p w14:paraId="0A22281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5、采购需求（包括但不限于标的的名称、数量、简要技术需求或服务要求等）</w:t>
      </w:r>
    </w:p>
    <w:p w14:paraId="7D4DC36E">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5.1采购内容：</w:t>
      </w:r>
    </w:p>
    <w:p w14:paraId="6A36F73C">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包1：谭山校区：马克思主义学院、文学院、外国语学院、体育学院、音乐与舞蹈学院、美术与设计学院、传媒学院、历史文化学院、教师教育学院、旅游学院；淮河校区等教材；</w:t>
      </w:r>
    </w:p>
    <w:p w14:paraId="15B6AA71">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包2：谭山校区：数学与统计学院、物理电子工程学院、化学化工学院、生命科学学院、医学院、地理科学学院、法学与社会学学院、建筑与土木工程学院、计算机与信息技术学院、茶学与食品学院、新能源科学与技术学院、国际教育学院、拉斯维亚斯学院、教育科学学院、商学院；信阳理工学院校区等教材。</w:t>
      </w:r>
    </w:p>
    <w:p w14:paraId="599B2578">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5.2 交货期：接采购人通知后7日历天内完成采购内容的交货、验收。</w:t>
      </w:r>
    </w:p>
    <w:p w14:paraId="0FEDEA7E">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5.3交货地点：采购人指定地点。</w:t>
      </w:r>
    </w:p>
    <w:p w14:paraId="3095A465">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5.4质量要求：供应商提供的教材必须符合国家或行业的合格标准，满足采购人提出的技术标准及要求；提供的教材必须是国家正规出版物，不得提供盗版、缺页、污损、装订不合格等，或不符合要求的图书。</w:t>
      </w:r>
    </w:p>
    <w:p w14:paraId="69C59164">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5.5 质保期：自验收合格之日起12个月，质保期内无条件免费更换。</w:t>
      </w:r>
    </w:p>
    <w:p w14:paraId="5313C6D6">
      <w:pPr>
        <w:numPr>
          <w:ilvl w:val="0"/>
          <w:numId w:val="1"/>
        </w:num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合同履行期限：合同签订之日起至质保期满</w:t>
      </w:r>
    </w:p>
    <w:p w14:paraId="07286C9C">
      <w:pPr>
        <w:numPr>
          <w:ilvl w:val="0"/>
          <w:numId w:val="1"/>
        </w:numPr>
        <w:spacing w:line="400" w:lineRule="exact"/>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本项目是否接受联合体投标：否</w:t>
      </w:r>
    </w:p>
    <w:p w14:paraId="5CC04BC7">
      <w:pPr>
        <w:numPr>
          <w:ilvl w:val="0"/>
          <w:numId w:val="1"/>
        </w:numPr>
        <w:spacing w:line="400" w:lineRule="exact"/>
        <w:ind w:left="0" w:leftChars="0"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是否接受进口产品：否</w:t>
      </w:r>
    </w:p>
    <w:p w14:paraId="45AD5DD4">
      <w:pPr>
        <w:numPr>
          <w:ilvl w:val="0"/>
          <w:numId w:val="1"/>
        </w:numPr>
        <w:spacing w:line="400" w:lineRule="exact"/>
        <w:ind w:left="0" w:leftChars="0"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是否专门面向中小企业：否</w:t>
      </w:r>
    </w:p>
    <w:p w14:paraId="0CAFECC6">
      <w:pPr>
        <w:numPr>
          <w:ilvl w:val="0"/>
          <w:numId w:val="0"/>
        </w:numPr>
        <w:spacing w:line="400" w:lineRule="exact"/>
        <w:ind w:leftChars="200"/>
        <w:rPr>
          <w:rFonts w:hint="eastAsia" w:ascii="宋体" w:hAnsi="宋体" w:cs="宋体"/>
          <w:b/>
          <w:bCs/>
          <w:color w:val="auto"/>
          <w:szCs w:val="21"/>
          <w:highlight w:val="none"/>
        </w:rPr>
      </w:pPr>
      <w:r>
        <w:rPr>
          <w:rFonts w:hint="eastAsia" w:ascii="宋体" w:hAnsi="宋体" w:cs="宋体"/>
          <w:b/>
          <w:bCs/>
          <w:color w:val="auto"/>
          <w:szCs w:val="21"/>
          <w:highlight w:val="none"/>
        </w:rPr>
        <w:t>二、申请人资格要求：</w:t>
      </w:r>
    </w:p>
    <w:p w14:paraId="2A4EB11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4DECE56E">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2、落实政府采购政策满足的资格要求：</w:t>
      </w:r>
      <w:r>
        <w:rPr>
          <w:rFonts w:hint="eastAsia" w:ascii="宋体" w:hAnsi="宋体" w:cs="宋体"/>
          <w:color w:val="auto"/>
          <w:szCs w:val="21"/>
          <w:highlight w:val="none"/>
          <w:lang w:val="en-US" w:eastAsia="zh-CN"/>
        </w:rPr>
        <w:t>无</w:t>
      </w:r>
    </w:p>
    <w:p w14:paraId="454E03A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p>
    <w:p w14:paraId="0E9FE9F2">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3.1供应商须具有行政主管部门颁发的有效的《中华人民共和国出版物经营许可证》；</w:t>
      </w:r>
    </w:p>
    <w:p w14:paraId="3E90204E">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3.2对被“信用中国”网站（www.creditchina.gov.cn）列入“失信被执行人”或“重大税收违法失信主体”，被“中国政府采购”网站（www.ccgp.gov.cn）列入“政府采购严重违法失信行为记录名单”的供应商，不得参与本次政府采购活动。具体查询渠道请查看以下链接：</w:t>
      </w:r>
    </w:p>
    <w:p w14:paraId="614EE001">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①失信被执行人查询地址：http://zxgk.court.gov.cn/shixin/</w:t>
      </w:r>
    </w:p>
    <w:p w14:paraId="1CB8E893">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②重大税收违法失信主体查询地址：</w:t>
      </w:r>
    </w:p>
    <w:p w14:paraId="69DC026D">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https://www.creditchina.gov.cn/zhuanxiangchaxun/zhongdashuishouweifaanjian/</w:t>
      </w:r>
    </w:p>
    <w:p w14:paraId="4A24300A">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③政府采购严重违法失信行为记录名单查询地址：</w:t>
      </w:r>
    </w:p>
    <w:p w14:paraId="0314398F">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http://www.ccgp.gov.cn/search/cr/</w:t>
      </w:r>
    </w:p>
    <w:p w14:paraId="36CCB629">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注：采购人或采购代理机构在开标后对所有供应商信用记录进行查询，并将查询结果网页打印存档，供应商不良信用记录以采购代理机构开标后查询结果为准。</w:t>
      </w:r>
    </w:p>
    <w:p w14:paraId="575B3C92">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3.3单位负责人为同一人或者存在直接控股、管理关系的不同单位，不得参加同一合同项下的政府采购活动。</w:t>
      </w:r>
    </w:p>
    <w:p w14:paraId="1B659221">
      <w:pPr>
        <w:spacing w:line="400" w:lineRule="exact"/>
        <w:ind w:left="0" w:leftChars="0"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3.4 除单一来源采购项目外，为采购项目提供整体设计、规范编制或者项目管理、监理、检测等服务的供应商，不得再参加该采购项目的其他采购活动。</w:t>
      </w:r>
    </w:p>
    <w:p w14:paraId="25A36B3F">
      <w:pPr>
        <w:spacing w:line="40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三、获取采购文件</w:t>
      </w:r>
    </w:p>
    <w:p w14:paraId="1F63433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07</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06</w:t>
      </w:r>
      <w:r>
        <w:rPr>
          <w:rFonts w:hint="eastAsia" w:ascii="宋体" w:hAnsi="宋体" w:cs="宋体"/>
          <w:color w:val="auto"/>
          <w:szCs w:val="21"/>
          <w:highlight w:val="none"/>
        </w:rPr>
        <w:t>日，每天上午00:00至12:00，下午12:00至23:59（北京时间，法定节假日除外。）</w:t>
      </w:r>
    </w:p>
    <w:p w14:paraId="3BA1F0A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2.地点：“河南省公共资源交易中心（</w:t>
      </w:r>
      <w:r>
        <w:rPr>
          <w:rFonts w:hint="eastAsia" w:ascii="宋体" w:hAnsi="宋体" w:cs="宋体"/>
          <w:color w:val="auto"/>
          <w:szCs w:val="21"/>
          <w:highlight w:val="none"/>
          <w:lang w:eastAsia="zh-CN"/>
        </w:rPr>
        <w:t>hnsggzyjy.henan.gov.cn</w:t>
      </w:r>
      <w:r>
        <w:rPr>
          <w:rFonts w:hint="eastAsia" w:ascii="宋体" w:hAnsi="宋体" w:cs="宋体"/>
          <w:color w:val="auto"/>
          <w:szCs w:val="21"/>
          <w:highlight w:val="none"/>
        </w:rPr>
        <w:t>）”网站。</w:t>
      </w:r>
    </w:p>
    <w:p w14:paraId="3AC15B5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3.方式：网上获取。</w:t>
      </w:r>
      <w:r>
        <w:rPr>
          <w:rFonts w:hint="eastAsia" w:ascii="宋体" w:hAnsi="宋体" w:cs="宋体"/>
          <w:color w:val="auto"/>
          <w:szCs w:val="21"/>
          <w:highlight w:val="none"/>
          <w:lang w:val="en-US" w:eastAsia="zh-CN"/>
        </w:rPr>
        <w:t>潜在</w:t>
      </w:r>
      <w:r>
        <w:rPr>
          <w:rFonts w:hint="eastAsia" w:ascii="宋体" w:hAnsi="宋体" w:cs="宋体"/>
          <w:color w:val="auto"/>
          <w:szCs w:val="21"/>
          <w:highlight w:val="none"/>
        </w:rPr>
        <w:t>供应商初次登记的，应首先办理CA数字证书，登录河南省公共资源交易中心网站-市场主体系统注册用户名及密码；办理CA数字证书后，办理市场主体信息库登记；凡有意参加投标者，请完成市场主体信息库登记后，于采购文件获取期限内登录“河南省公共资源交易中心（hnsggzyjy.henan.gov.cn）”网，凭领取的企业身份认证锁（CA密钥）并按网上提示自行下载采购文件及资料。</w:t>
      </w:r>
    </w:p>
    <w:p w14:paraId="4387857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4.售价：0元</w:t>
      </w:r>
    </w:p>
    <w:p w14:paraId="2789707D">
      <w:pPr>
        <w:spacing w:line="40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四、响应文件提交</w:t>
      </w:r>
    </w:p>
    <w:p w14:paraId="7272188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11</w:t>
      </w:r>
      <w:r>
        <w:rPr>
          <w:rFonts w:hint="eastAsia" w:ascii="宋体" w:hAnsi="宋体" w:cs="宋体"/>
          <w:color w:val="auto"/>
          <w:szCs w:val="21"/>
          <w:highlight w:val="none"/>
        </w:rPr>
        <w:t>日09时00分（北京时间）</w:t>
      </w:r>
    </w:p>
    <w:p w14:paraId="1B7E31F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地点：河南省公共资源交易中心交易系统平台。潜在供应商应在响应文件提交截止时间前，通过河南省公共资源交易中心交易系统上传加密的电子响应文件。请潜在供应商在上传前务必认真检查上传电子响应文件是否完整、正确，加密电子响应文件逾期上传，采购人不予受理。</w:t>
      </w:r>
    </w:p>
    <w:p w14:paraId="57A9F3BA">
      <w:pPr>
        <w:spacing w:line="40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五、响应文件开启</w:t>
      </w:r>
    </w:p>
    <w:p w14:paraId="060EF4C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11</w:t>
      </w:r>
      <w:r>
        <w:rPr>
          <w:rFonts w:hint="eastAsia" w:ascii="宋体" w:hAnsi="宋体" w:cs="宋体"/>
          <w:color w:val="auto"/>
          <w:szCs w:val="21"/>
          <w:highlight w:val="none"/>
        </w:rPr>
        <w:t>日09时00分（北京时间）</w:t>
      </w:r>
    </w:p>
    <w:p w14:paraId="2D85EBD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2.地点：河南省公共资源交易中心</w:t>
      </w:r>
      <w:r>
        <w:rPr>
          <w:rFonts w:hint="eastAsia" w:ascii="宋体" w:hAnsi="宋体" w:cs="宋体"/>
          <w:color w:val="auto"/>
          <w:szCs w:val="21"/>
          <w:highlight w:val="none"/>
          <w:lang w:eastAsia="zh-CN"/>
        </w:rPr>
        <w:t>远程开标室(</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lang w:eastAsia="zh-CN"/>
        </w:rPr>
        <w:t>)-6</w:t>
      </w:r>
      <w:r>
        <w:rPr>
          <w:rFonts w:hint="eastAsia" w:ascii="宋体" w:hAnsi="宋体" w:cs="宋体"/>
          <w:color w:val="auto"/>
          <w:szCs w:val="21"/>
          <w:highlight w:val="none"/>
        </w:rPr>
        <w:t>（郑州市经二路12号，经二路与纬四路向南50米路西）。</w:t>
      </w:r>
    </w:p>
    <w:p w14:paraId="60141A53">
      <w:pPr>
        <w:spacing w:line="40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六、发布公告的媒介及招标公告期限</w:t>
      </w:r>
    </w:p>
    <w:p w14:paraId="7CD32A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本次</w:t>
      </w:r>
      <w:r>
        <w:rPr>
          <w:rFonts w:hint="eastAsia" w:ascii="宋体" w:hAnsi="宋体" w:cs="宋体"/>
          <w:color w:val="auto"/>
          <w:szCs w:val="21"/>
          <w:highlight w:val="none"/>
          <w:lang w:val="en-US" w:eastAsia="zh-CN"/>
        </w:rPr>
        <w:t>招标</w:t>
      </w:r>
      <w:r>
        <w:rPr>
          <w:rFonts w:hint="eastAsia" w:ascii="宋体" w:hAnsi="宋体" w:cs="宋体"/>
          <w:color w:val="auto"/>
          <w:szCs w:val="21"/>
          <w:highlight w:val="none"/>
        </w:rPr>
        <w:t>公告在《河南省政府采购网》《河南省公共资源交易中心网》上发布，</w:t>
      </w:r>
      <w:r>
        <w:rPr>
          <w:rFonts w:hint="eastAsia" w:ascii="宋体" w:hAnsi="宋体" w:cs="宋体"/>
          <w:color w:val="auto"/>
          <w:szCs w:val="21"/>
          <w:highlight w:val="none"/>
          <w:lang w:val="en-US" w:eastAsia="zh-CN"/>
        </w:rPr>
        <w:t>招标</w:t>
      </w:r>
      <w:r>
        <w:rPr>
          <w:rFonts w:hint="eastAsia" w:ascii="宋体" w:hAnsi="宋体" w:cs="宋体"/>
          <w:color w:val="auto"/>
          <w:szCs w:val="21"/>
          <w:highlight w:val="none"/>
        </w:rPr>
        <w:t>公告期限为三个工作日。</w:t>
      </w:r>
    </w:p>
    <w:p w14:paraId="5955A357">
      <w:pPr>
        <w:spacing w:line="40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七、其他补充事宜</w:t>
      </w:r>
    </w:p>
    <w:p w14:paraId="1387145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1.本项目需要执行的政府采购政策：</w:t>
      </w:r>
    </w:p>
    <w:p w14:paraId="6247A2F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1.1关于印发节能产品政府采购品目清单的通知（财库〔2019〕19号）；</w:t>
      </w:r>
    </w:p>
    <w:p w14:paraId="318A203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1.2关于印发环境标志产品政府采购品目清单的通知（财库〔2019〕18号）；</w:t>
      </w:r>
    </w:p>
    <w:p w14:paraId="4DD2825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1.3政府采购促进中小企业发展管理办法 (财库〔2020〕46号）；</w:t>
      </w:r>
    </w:p>
    <w:p w14:paraId="195B233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1.4《财政部、司法部关于政府采购支持监狱企业发展有关问题的通知》（财库[2014]68号）；</w:t>
      </w:r>
    </w:p>
    <w:p w14:paraId="1E3F74C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1.5《三部门联合发布关于促进残疾人就业政府采购政策的通知》（财库[2017]141号）；</w:t>
      </w:r>
    </w:p>
    <w:p w14:paraId="2985D46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1.6《关于调整优化节能产品、环境标志产品政府采购执行机制的通知》（财库〔2019〕9 号）、《关于印发节能产品政府采购品目清单的通知》（财库〔2019〕19 号）、《关于印发环境标志产品政府采购品目清单的通知》（财库〔2019〕18 号）</w:t>
      </w:r>
    </w:p>
    <w:p w14:paraId="112E0DF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1.7《财政部关于在政府采购活动中对自欧盟进口的医疗器械采取相关措施的通知》(财库〔2025〕19号)</w:t>
      </w:r>
    </w:p>
    <w:p w14:paraId="61A57CD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1.8《国务院办公厅关于在政府采购中实施本国产品标准及相关政策的通知》（国办发〔2025〕34 号）及《财政部关于贯彻落实&lt;国务院办公厅关于在政府采购中实施本国产品标准及相关政策的通知&gt;的意见》（财库〔2025〕30 号）；</w:t>
      </w:r>
    </w:p>
    <w:p w14:paraId="3D26799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1.9《关于推动解决政府采购异常低价问题的通知》(财库〔2026〕2 号)。</w:t>
      </w:r>
    </w:p>
    <w:p w14:paraId="36BEF90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.规定的截止时间前，潜在供应商在河南省公共资源交易中心网系统内进行网上上传响应文件。</w:t>
      </w:r>
    </w:p>
    <w:p w14:paraId="0CD21BF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.潜在供应商无需到现场</w:t>
      </w:r>
      <w:r>
        <w:rPr>
          <w:rFonts w:hint="eastAsia" w:ascii="宋体" w:hAnsi="宋体" w:cs="宋体"/>
          <w:color w:val="auto"/>
          <w:szCs w:val="21"/>
          <w:highlight w:val="none"/>
          <w:lang w:eastAsia="zh-CN"/>
        </w:rPr>
        <w:t>。</w:t>
      </w:r>
      <w:r>
        <w:rPr>
          <w:rFonts w:hint="eastAsia" w:ascii="宋体" w:hAnsi="宋体" w:cs="宋体"/>
          <w:color w:val="auto"/>
          <w:szCs w:val="21"/>
          <w:highlight w:val="none"/>
        </w:rPr>
        <w:t>到开启时间</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潜在</w:t>
      </w:r>
      <w:r>
        <w:rPr>
          <w:rFonts w:hint="eastAsia" w:ascii="宋体" w:hAnsi="宋体" w:cs="宋体"/>
          <w:color w:val="auto"/>
          <w:szCs w:val="21"/>
          <w:highlight w:val="none"/>
        </w:rPr>
        <w:t>供应商凭 CA 秘钥进入河南省公共资源交易中心系统平台，按提示进行响应文件的解密（详细流程见河南省公共资源交易中心网站-公共服务-办事指南-河南省公共资源交易平台不见面服务系统使用指南）。</w:t>
      </w:r>
    </w:p>
    <w:p w14:paraId="716C8E7C">
      <w:pPr>
        <w:wordWrap w:val="0"/>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潜在</w:t>
      </w:r>
      <w:r>
        <w:rPr>
          <w:rFonts w:hint="eastAsia" w:ascii="宋体" w:hAnsi="宋体" w:eastAsia="宋体" w:cs="宋体"/>
          <w:color w:val="auto"/>
          <w:szCs w:val="21"/>
          <w:highlight w:val="none"/>
        </w:rPr>
        <w:t>供应商需要在响应文件提交的截止时间前在河南省公共资源交易中心交易系统中将加密电子响应文件加密上传。本项目采用“远程不见面”开标方式，远程开标大厅网址为（http://hnsggzyjy.henan.gov.cn/BidOpening/bidopeninghallaction/hall/login），</w:t>
      </w:r>
      <w:r>
        <w:rPr>
          <w:rFonts w:hint="eastAsia" w:ascii="宋体" w:hAnsi="宋体" w:cs="宋体"/>
          <w:color w:val="auto"/>
          <w:szCs w:val="21"/>
          <w:highlight w:val="none"/>
          <w:lang w:val="en-US" w:eastAsia="zh-CN"/>
        </w:rPr>
        <w:t>各潜在</w:t>
      </w:r>
      <w:r>
        <w:rPr>
          <w:rFonts w:hint="eastAsia" w:ascii="宋体" w:hAnsi="宋体" w:eastAsia="宋体" w:cs="宋体"/>
          <w:color w:val="auto"/>
          <w:szCs w:val="21"/>
          <w:highlight w:val="none"/>
        </w:rPr>
        <w:t>供应商无需到河南省公共资源交易中心现场参加开标会议。</w:t>
      </w:r>
      <w:r>
        <w:rPr>
          <w:rFonts w:hint="eastAsia" w:ascii="宋体" w:hAnsi="宋体" w:cs="宋体"/>
          <w:color w:val="auto"/>
          <w:szCs w:val="21"/>
          <w:highlight w:val="none"/>
          <w:lang w:val="en-US" w:eastAsia="zh-CN"/>
        </w:rPr>
        <w:t>潜在</w:t>
      </w:r>
      <w:r>
        <w:rPr>
          <w:rFonts w:hint="eastAsia" w:ascii="宋体" w:hAnsi="宋体" w:eastAsia="宋体" w:cs="宋体"/>
          <w:color w:val="auto"/>
          <w:szCs w:val="21"/>
          <w:highlight w:val="none"/>
        </w:rPr>
        <w:t>供应商应当在响应文件提交的截止时间，登录远程开标大厅，在线准时参加开标活动并进行文件解密、答疑澄清等。在规定时间内响应文件未解密的供应商，视为放弃响应。</w:t>
      </w:r>
    </w:p>
    <w:p w14:paraId="75437CF3">
      <w:pPr>
        <w:tabs>
          <w:tab w:val="left" w:pos="420"/>
        </w:tabs>
        <w:adjustRightInd/>
        <w:snapToGrid/>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.代理服务费参照河南省招投标协会关于印发豫招协【2023】002号《河南省招标代理服务收费指导意见》的通知</w:t>
      </w:r>
      <w:r>
        <w:rPr>
          <w:rFonts w:hint="eastAsia" w:ascii="宋体" w:hAnsi="宋体" w:cs="宋体"/>
          <w:color w:val="auto"/>
          <w:szCs w:val="21"/>
          <w:highlight w:val="none"/>
          <w:lang w:val="en-US" w:eastAsia="zh-CN"/>
        </w:rPr>
        <w:t>，按照预算金额收费，</w:t>
      </w:r>
      <w:r>
        <w:rPr>
          <w:rFonts w:hint="eastAsia" w:ascii="宋体" w:hAnsi="宋体" w:eastAsia="宋体" w:cs="宋体"/>
          <w:color w:val="auto"/>
          <w:szCs w:val="21"/>
          <w:highlight w:val="none"/>
          <w:lang w:val="en-US" w:eastAsia="zh-CN"/>
        </w:rPr>
        <w:t>由成交</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lang w:val="en-US" w:eastAsia="zh-CN"/>
        </w:rPr>
        <w:t>向采购代理机构支付</w:t>
      </w:r>
      <w:r>
        <w:rPr>
          <w:rFonts w:hint="eastAsia" w:ascii="宋体" w:hAnsi="宋体" w:eastAsia="宋体" w:cs="宋体"/>
          <w:color w:val="auto"/>
          <w:szCs w:val="21"/>
          <w:highlight w:val="none"/>
        </w:rPr>
        <w:t>。</w:t>
      </w:r>
    </w:p>
    <w:p w14:paraId="62373FB2">
      <w:pPr>
        <w:spacing w:line="40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八、凡对本次招标提出询问，请按照以下方式联系</w:t>
      </w:r>
    </w:p>
    <w:p w14:paraId="16C2F2B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4F51F04A">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信阳师范大学</w:t>
      </w:r>
    </w:p>
    <w:p w14:paraId="151FC537">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color w:val="auto"/>
          <w:szCs w:val="21"/>
          <w:highlight w:val="none"/>
          <w:lang w:eastAsia="zh-CN"/>
        </w:rPr>
        <w:t>信阳市南湖路237号</w:t>
      </w:r>
    </w:p>
    <w:p w14:paraId="237F0267">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朱老师、郭老师</w:t>
      </w:r>
    </w:p>
    <w:p w14:paraId="2C71755A">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w:t>
      </w:r>
      <w:r>
        <w:rPr>
          <w:rFonts w:hint="eastAsia" w:ascii="宋体" w:hAnsi="宋体" w:cs="宋体"/>
          <w:color w:val="auto"/>
          <w:szCs w:val="21"/>
          <w:highlight w:val="none"/>
          <w:lang w:val="en-US" w:eastAsia="zh-CN"/>
        </w:rPr>
        <w:t>方式</w:t>
      </w:r>
      <w:r>
        <w:rPr>
          <w:rFonts w:hint="eastAsia" w:ascii="宋体" w:hAnsi="宋体" w:cs="宋体"/>
          <w:color w:val="auto"/>
          <w:szCs w:val="21"/>
          <w:highlight w:val="none"/>
        </w:rPr>
        <w:t>：</w:t>
      </w:r>
      <w:r>
        <w:rPr>
          <w:rFonts w:hint="eastAsia" w:ascii="宋体" w:hAnsi="宋体" w:cs="宋体"/>
          <w:color w:val="auto"/>
          <w:szCs w:val="21"/>
          <w:highlight w:val="none"/>
          <w:lang w:eastAsia="zh-CN"/>
        </w:rPr>
        <w:t xml:space="preserve">0376-6392826、6390778 </w:t>
      </w:r>
    </w:p>
    <w:p w14:paraId="271F90F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2.采购代理机构信息（如有）</w:t>
      </w:r>
    </w:p>
    <w:p w14:paraId="2AEC2DBE">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kern w:val="0"/>
          <w:szCs w:val="21"/>
          <w:highlight w:val="none"/>
          <w:lang w:eastAsia="zh-CN"/>
        </w:rPr>
        <w:t>中金泰富工程管理有限公司</w:t>
      </w:r>
    </w:p>
    <w:p w14:paraId="2B785E8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kern w:val="0"/>
          <w:szCs w:val="21"/>
          <w:highlight w:val="none"/>
        </w:rPr>
        <w:t>郑州市经七路15号中亨大厦7楼</w:t>
      </w:r>
    </w:p>
    <w:p w14:paraId="1F3F89A9">
      <w:pPr>
        <w:tabs>
          <w:tab w:val="left" w:pos="7339"/>
        </w:tabs>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周浩然、吴伟丽</w:t>
      </w:r>
      <w:r>
        <w:rPr>
          <w:rFonts w:hint="eastAsia" w:ascii="宋体" w:hAnsi="宋体" w:cs="宋体"/>
          <w:color w:val="auto"/>
          <w:szCs w:val="21"/>
          <w:highlight w:val="none"/>
          <w:lang w:val="en-US" w:eastAsia="zh-CN"/>
        </w:rPr>
        <w:t xml:space="preserve">      </w:t>
      </w:r>
    </w:p>
    <w:p w14:paraId="2D21BDD1">
      <w:pPr>
        <w:tabs>
          <w:tab w:val="left" w:pos="7339"/>
        </w:tabs>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0371-55022101  0371-55022102</w:t>
      </w:r>
    </w:p>
    <w:p w14:paraId="72F4149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543D86E9">
      <w:pPr>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周浩然、吴伟丽</w:t>
      </w:r>
      <w:r>
        <w:rPr>
          <w:rFonts w:hint="eastAsia" w:ascii="宋体" w:hAnsi="宋体" w:cs="宋体"/>
          <w:color w:val="auto"/>
          <w:szCs w:val="21"/>
          <w:highlight w:val="none"/>
          <w:lang w:val="en-US" w:eastAsia="zh-CN"/>
        </w:rPr>
        <w:t xml:space="preserve">    </w:t>
      </w:r>
    </w:p>
    <w:p w14:paraId="5998B85E">
      <w:pPr>
        <w:spacing w:line="400" w:lineRule="exact"/>
        <w:ind w:firstLine="420" w:firstLineChars="200"/>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0371-55022101  0371-55022102</w:t>
      </w:r>
    </w:p>
    <w:p w14:paraId="0BD99365">
      <w:pPr>
        <w:pStyle w:val="35"/>
        <w:rPr>
          <w:color w:val="auto"/>
          <w:highlight w:val="none"/>
        </w:rPr>
      </w:pPr>
    </w:p>
    <w:p w14:paraId="1DB97099">
      <w:pPr>
        <w:widowControl/>
        <w:tabs>
          <w:tab w:val="left" w:pos="420"/>
        </w:tabs>
        <w:adjustRightInd w:val="0"/>
        <w:snapToGrid w:val="0"/>
        <w:spacing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br w:type="page"/>
      </w:r>
      <w:bookmarkStart w:id="6" w:name="_Toc30859"/>
      <w:bookmarkStart w:id="7" w:name="_Toc26688"/>
      <w:bookmarkStart w:id="8" w:name="_Toc14449"/>
      <w:bookmarkStart w:id="9" w:name="_Toc17429"/>
      <w:bookmarkStart w:id="10" w:name="_Toc30778"/>
      <w:bookmarkStart w:id="11" w:name="_Toc7208"/>
      <w:bookmarkStart w:id="12" w:name="_Toc17007"/>
      <w:bookmarkStart w:id="13" w:name="_Toc29874"/>
      <w:bookmarkStart w:id="14" w:name="_Toc23262"/>
      <w:bookmarkStart w:id="15" w:name="_Toc28436"/>
      <w:bookmarkStart w:id="16" w:name="_Toc131"/>
      <w:r>
        <w:rPr>
          <w:rStyle w:val="36"/>
          <w:rFonts w:hint="default"/>
          <w:color w:val="auto"/>
          <w:highlight w:val="none"/>
        </w:rPr>
        <w:t>第二章供应商须知</w:t>
      </w:r>
      <w:bookmarkEnd w:id="5"/>
      <w:bookmarkEnd w:id="6"/>
      <w:bookmarkEnd w:id="7"/>
      <w:bookmarkEnd w:id="8"/>
      <w:bookmarkEnd w:id="9"/>
      <w:bookmarkEnd w:id="10"/>
      <w:bookmarkEnd w:id="11"/>
      <w:bookmarkEnd w:id="12"/>
      <w:bookmarkEnd w:id="13"/>
      <w:bookmarkEnd w:id="14"/>
      <w:bookmarkEnd w:id="15"/>
      <w:bookmarkEnd w:id="16"/>
    </w:p>
    <w:p w14:paraId="0DD21ACA">
      <w:pPr>
        <w:pStyle w:val="3"/>
        <w:widowControl/>
        <w:spacing w:beforeAutospacing="0" w:after="240" w:afterAutospacing="0" w:line="336" w:lineRule="atLeast"/>
        <w:jc w:val="center"/>
        <w:rPr>
          <w:rStyle w:val="21"/>
          <w:rFonts w:cs="宋体"/>
          <w:b/>
          <w:color w:val="auto"/>
          <w:sz w:val="24"/>
          <w:szCs w:val="24"/>
          <w:highlight w:val="none"/>
          <w:shd w:val="clear" w:color="auto" w:fill="FFFFFF"/>
        </w:rPr>
      </w:pPr>
      <w:bookmarkStart w:id="17" w:name="_Toc31552"/>
      <w:bookmarkStart w:id="18" w:name="_Toc18641"/>
      <w:bookmarkStart w:id="19" w:name="_Toc9878"/>
      <w:bookmarkStart w:id="20" w:name="_Toc5649"/>
      <w:bookmarkStart w:id="21" w:name="_Toc6654"/>
      <w:bookmarkStart w:id="22" w:name="_Toc882"/>
      <w:bookmarkStart w:id="23" w:name="_Toc4805"/>
      <w:bookmarkStart w:id="24" w:name="_Toc18440"/>
      <w:bookmarkStart w:id="25" w:name="_Toc30330"/>
      <w:bookmarkStart w:id="26" w:name="_Toc24374"/>
      <w:bookmarkStart w:id="27" w:name="_Toc26494"/>
      <w:bookmarkStart w:id="28" w:name="_Toc25057"/>
      <w:bookmarkStart w:id="29" w:name="_Toc26081"/>
      <w:r>
        <w:rPr>
          <w:rStyle w:val="21"/>
          <w:rFonts w:cs="宋体"/>
          <w:b/>
          <w:color w:val="auto"/>
          <w:sz w:val="24"/>
          <w:szCs w:val="24"/>
          <w:highlight w:val="none"/>
          <w:shd w:val="clear" w:color="auto" w:fill="FFFFFF"/>
        </w:rPr>
        <w:t>供应商须知前附表</w:t>
      </w:r>
      <w:bookmarkEnd w:id="17"/>
      <w:bookmarkEnd w:id="18"/>
      <w:bookmarkEnd w:id="19"/>
      <w:bookmarkEnd w:id="20"/>
      <w:bookmarkEnd w:id="21"/>
      <w:bookmarkEnd w:id="22"/>
      <w:bookmarkEnd w:id="23"/>
      <w:bookmarkEnd w:id="24"/>
      <w:bookmarkEnd w:id="25"/>
      <w:bookmarkEnd w:id="26"/>
      <w:bookmarkEnd w:id="27"/>
      <w:bookmarkEnd w:id="28"/>
      <w:bookmarkEnd w:id="29"/>
    </w:p>
    <w:tbl>
      <w:tblPr>
        <w:tblStyle w:val="18"/>
        <w:tblW w:w="92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906"/>
        <w:gridCol w:w="6506"/>
      </w:tblGrid>
      <w:tr w14:paraId="36C9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noWrap w:val="0"/>
            <w:vAlign w:val="center"/>
          </w:tcPr>
          <w:p w14:paraId="22EBA9BC">
            <w:pPr>
              <w:tabs>
                <w:tab w:val="left" w:pos="420"/>
              </w:tabs>
              <w:adjustRightInd w:val="0"/>
              <w:snapToGri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906" w:type="dxa"/>
            <w:noWrap w:val="0"/>
            <w:vAlign w:val="center"/>
          </w:tcPr>
          <w:p w14:paraId="12AAF2CE">
            <w:pPr>
              <w:tabs>
                <w:tab w:val="left" w:pos="420"/>
              </w:tabs>
              <w:adjustRightInd w:val="0"/>
              <w:snapToGri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条款名称</w:t>
            </w:r>
          </w:p>
        </w:tc>
        <w:tc>
          <w:tcPr>
            <w:tcW w:w="6506" w:type="dxa"/>
            <w:noWrap w:val="0"/>
            <w:vAlign w:val="center"/>
          </w:tcPr>
          <w:p w14:paraId="3390CCBC">
            <w:pPr>
              <w:tabs>
                <w:tab w:val="left" w:pos="420"/>
              </w:tabs>
              <w:adjustRightInd w:val="0"/>
              <w:snapToGri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编列内容</w:t>
            </w:r>
          </w:p>
        </w:tc>
      </w:tr>
      <w:tr w14:paraId="5B7D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noWrap w:val="0"/>
            <w:vAlign w:val="center"/>
          </w:tcPr>
          <w:p w14:paraId="7D01BDEE">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1.2</w:t>
            </w:r>
          </w:p>
        </w:tc>
        <w:tc>
          <w:tcPr>
            <w:tcW w:w="1906" w:type="dxa"/>
            <w:noWrap w:val="0"/>
            <w:vAlign w:val="center"/>
          </w:tcPr>
          <w:p w14:paraId="460E356C">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采购人</w:t>
            </w:r>
          </w:p>
        </w:tc>
        <w:tc>
          <w:tcPr>
            <w:tcW w:w="6506" w:type="dxa"/>
            <w:noWrap w:val="0"/>
            <w:vAlign w:val="top"/>
          </w:tcPr>
          <w:p w14:paraId="7F3AF6C5">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信阳师范大学</w:t>
            </w:r>
          </w:p>
          <w:p w14:paraId="0E951B7A">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信阳市南湖路237号</w:t>
            </w:r>
          </w:p>
          <w:p w14:paraId="5CC07F9B">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朱老师、郭老师</w:t>
            </w:r>
          </w:p>
          <w:p w14:paraId="2293B0B2">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 xml:space="preserve">0376-6392826、6390778 </w:t>
            </w:r>
          </w:p>
        </w:tc>
      </w:tr>
      <w:tr w14:paraId="5BB6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noWrap w:val="0"/>
            <w:vAlign w:val="center"/>
          </w:tcPr>
          <w:p w14:paraId="3EBC7D2B">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1.3</w:t>
            </w:r>
          </w:p>
        </w:tc>
        <w:tc>
          <w:tcPr>
            <w:tcW w:w="1906" w:type="dxa"/>
            <w:noWrap w:val="0"/>
            <w:vAlign w:val="center"/>
          </w:tcPr>
          <w:p w14:paraId="7D860079">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采购代理机构</w:t>
            </w:r>
          </w:p>
        </w:tc>
        <w:tc>
          <w:tcPr>
            <w:tcW w:w="6506" w:type="dxa"/>
            <w:noWrap w:val="0"/>
            <w:vAlign w:val="top"/>
          </w:tcPr>
          <w:p w14:paraId="4665F7C3">
            <w:pPr>
              <w:tabs>
                <w:tab w:val="left" w:pos="420"/>
              </w:tabs>
              <w:autoSpaceDE w:val="0"/>
              <w:autoSpaceDN w:val="0"/>
              <w:adjustRightInd w:val="0"/>
              <w:snapToGrid w:val="0"/>
              <w:spacing w:line="360" w:lineRule="auto"/>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名  称：</w:t>
            </w:r>
            <w:r>
              <w:rPr>
                <w:rFonts w:hint="eastAsia" w:ascii="宋体" w:hAnsi="宋体" w:cs="宋体"/>
                <w:color w:val="auto"/>
                <w:szCs w:val="21"/>
                <w:highlight w:val="none"/>
                <w:shd w:val="clear" w:color="auto" w:fill="FFFFFF"/>
                <w:lang w:eastAsia="zh-CN"/>
              </w:rPr>
              <w:t>中金泰富工程管理有限公司</w:t>
            </w:r>
          </w:p>
          <w:p w14:paraId="27BED631">
            <w:pPr>
              <w:tabs>
                <w:tab w:val="left" w:pos="420"/>
              </w:tabs>
              <w:autoSpaceDE w:val="0"/>
              <w:autoSpaceDN w:val="0"/>
              <w:adjustRightInd w:val="0"/>
              <w:snapToGrid w:val="0"/>
              <w:spacing w:line="360" w:lineRule="auto"/>
              <w:jc w:val="left"/>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地址：郑州市经七路15号中亨大厦7楼</w:t>
            </w:r>
          </w:p>
          <w:p w14:paraId="401912A6">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shd w:val="clear" w:color="auto" w:fill="FFFFFF"/>
                <w:lang w:eastAsia="zh-CN"/>
              </w:rPr>
            </w:pPr>
            <w:r>
              <w:rPr>
                <w:rFonts w:hint="eastAsia" w:ascii="宋体" w:hAnsi="宋体" w:cs="宋体"/>
                <w:color w:val="auto"/>
                <w:szCs w:val="21"/>
                <w:highlight w:val="none"/>
                <w:shd w:val="clear" w:color="auto" w:fill="FFFFFF"/>
              </w:rPr>
              <w:t>联系人：</w:t>
            </w:r>
            <w:r>
              <w:rPr>
                <w:rFonts w:hint="eastAsia" w:ascii="宋体" w:hAnsi="宋体" w:cs="宋体"/>
                <w:color w:val="auto"/>
                <w:szCs w:val="21"/>
                <w:highlight w:val="none"/>
                <w:shd w:val="clear" w:color="auto" w:fill="FFFFFF"/>
                <w:lang w:eastAsia="zh-CN"/>
              </w:rPr>
              <w:t>周浩然、吴伟丽</w:t>
            </w:r>
          </w:p>
          <w:p w14:paraId="6F59B1A8">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shd w:val="clear" w:color="auto" w:fill="FFFFFF"/>
                <w:lang w:eastAsia="zh-CN"/>
              </w:rPr>
            </w:pPr>
            <w:r>
              <w:rPr>
                <w:rFonts w:hint="eastAsia" w:ascii="宋体" w:hAnsi="宋体" w:cs="宋体"/>
                <w:color w:val="auto"/>
                <w:szCs w:val="21"/>
                <w:highlight w:val="none"/>
                <w:shd w:val="clear" w:color="auto" w:fill="FFFFFF"/>
              </w:rPr>
              <w:t>联系方式：</w:t>
            </w:r>
            <w:r>
              <w:rPr>
                <w:rFonts w:hint="eastAsia" w:ascii="宋体" w:hAnsi="宋体" w:cs="宋体"/>
                <w:color w:val="auto"/>
                <w:szCs w:val="21"/>
                <w:highlight w:val="none"/>
                <w:shd w:val="clear" w:color="auto" w:fill="FFFFFF"/>
                <w:lang w:eastAsia="zh-CN"/>
              </w:rPr>
              <w:t>0371-55022101  0371-55022102</w:t>
            </w:r>
          </w:p>
          <w:p w14:paraId="087CECF4">
            <w:pPr>
              <w:tabs>
                <w:tab w:val="left" w:pos="420"/>
              </w:tabs>
              <w:autoSpaceDE w:val="0"/>
              <w:autoSpaceDN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shd w:val="clear" w:color="auto" w:fill="FFFFFF"/>
              </w:rPr>
              <w:t>邮  箱：</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"mailto:hndm998829@126.com" </w:instrText>
            </w:r>
            <w:r>
              <w:rPr>
                <w:rFonts w:hint="eastAsia" w:ascii="宋体" w:hAnsi="宋体" w:cs="宋体"/>
                <w:color w:val="auto"/>
                <w:highlight w:val="none"/>
              </w:rPr>
              <w:fldChar w:fldCharType="separate"/>
            </w:r>
            <w:r>
              <w:rPr>
                <w:rStyle w:val="29"/>
                <w:rFonts w:hint="eastAsia" w:ascii="宋体" w:hAnsi="宋体" w:cs="宋体"/>
                <w:color w:val="auto"/>
                <w:szCs w:val="21"/>
                <w:highlight w:val="none"/>
                <w:shd w:val="clear" w:color="auto" w:fill="FFFFFF"/>
              </w:rPr>
              <w:t>jt-zb@163.com</w:t>
            </w:r>
            <w:r>
              <w:rPr>
                <w:rFonts w:hint="eastAsia" w:ascii="宋体" w:hAnsi="宋体" w:cs="宋体"/>
                <w:color w:val="auto"/>
                <w:szCs w:val="21"/>
                <w:highlight w:val="none"/>
                <w:shd w:val="clear" w:color="auto" w:fill="FFFFFF"/>
              </w:rPr>
              <w:fldChar w:fldCharType="end"/>
            </w:r>
          </w:p>
        </w:tc>
      </w:tr>
      <w:tr w14:paraId="7D64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noWrap w:val="0"/>
            <w:vAlign w:val="center"/>
          </w:tcPr>
          <w:p w14:paraId="0F560961">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1.4</w:t>
            </w:r>
          </w:p>
        </w:tc>
        <w:tc>
          <w:tcPr>
            <w:tcW w:w="1906" w:type="dxa"/>
            <w:noWrap w:val="0"/>
            <w:vAlign w:val="center"/>
          </w:tcPr>
          <w:p w14:paraId="172DDAD4">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项目名称及项目</w:t>
            </w:r>
          </w:p>
          <w:p w14:paraId="1C07D1C6">
            <w:pPr>
              <w:tabs>
                <w:tab w:val="left" w:pos="420"/>
              </w:tabs>
              <w:autoSpaceDE w:val="0"/>
              <w:autoSpaceDN w:val="0"/>
              <w:adjustRightInd w:val="0"/>
              <w:snapToGrid w:val="0"/>
              <w:spacing w:line="360" w:lineRule="auto"/>
              <w:jc w:val="center"/>
              <w:rPr>
                <w:rFonts w:hint="eastAsia" w:ascii="宋体" w:hAnsi="宋体" w:cs="宋体"/>
                <w:color w:val="auto"/>
                <w:szCs w:val="21"/>
                <w:highlight w:val="none"/>
              </w:rPr>
            </w:pPr>
            <w:r>
              <w:rPr>
                <w:rFonts w:hint="eastAsia" w:ascii="宋体" w:hAnsi="宋体" w:eastAsia="宋体" w:cs="宋体"/>
                <w:color w:val="auto"/>
                <w:szCs w:val="21"/>
                <w:highlight w:val="none"/>
              </w:rPr>
              <w:t>编号</w:t>
            </w:r>
          </w:p>
        </w:tc>
        <w:tc>
          <w:tcPr>
            <w:tcW w:w="6506" w:type="dxa"/>
            <w:noWrap w:val="0"/>
            <w:vAlign w:val="center"/>
          </w:tcPr>
          <w:p w14:paraId="7B6998A1">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信阳师范大学2026-2027学年普通高等教育学生教材项目</w:t>
            </w:r>
            <w:r>
              <w:rPr>
                <w:rFonts w:hint="eastAsia" w:ascii="宋体" w:hAnsi="宋体" w:eastAsia="宋体" w:cs="宋体"/>
                <w:color w:val="auto"/>
                <w:szCs w:val="21"/>
                <w:highlight w:val="none"/>
                <w:lang w:eastAsia="zh-CN"/>
              </w:rPr>
              <w:t xml:space="preserve"> </w:t>
            </w:r>
          </w:p>
          <w:p w14:paraId="6D119B9F">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shd w:val="clear" w:color="auto" w:fill="FFFFFF"/>
                <w:lang w:eastAsia="zh-CN"/>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豫财磋商采购-2026-757</w:t>
            </w:r>
          </w:p>
        </w:tc>
      </w:tr>
      <w:tr w14:paraId="2362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noWrap w:val="0"/>
            <w:vAlign w:val="center"/>
          </w:tcPr>
          <w:p w14:paraId="6487CBDA">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1906" w:type="dxa"/>
            <w:noWrap w:val="0"/>
            <w:vAlign w:val="center"/>
          </w:tcPr>
          <w:p w14:paraId="4D1656B2">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★预算金额及最高</w:t>
            </w:r>
          </w:p>
          <w:p w14:paraId="6921888D">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限价</w:t>
            </w:r>
          </w:p>
        </w:tc>
        <w:tc>
          <w:tcPr>
            <w:tcW w:w="6506" w:type="dxa"/>
            <w:noWrap w:val="0"/>
            <w:vAlign w:val="center"/>
          </w:tcPr>
          <w:p w14:paraId="6892626C">
            <w:pPr>
              <w:tabs>
                <w:tab w:val="left" w:pos="420"/>
              </w:tabs>
              <w:autoSpaceDE w:val="0"/>
              <w:autoSpaceDN w:val="0"/>
              <w:adjustRightInd w:val="0"/>
              <w:snapToGrid w:val="0"/>
              <w:spacing w:line="360" w:lineRule="auto"/>
              <w:jc w:val="left"/>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预算金额：</w:t>
            </w:r>
            <w:r>
              <w:rPr>
                <w:rFonts w:hint="default" w:ascii="宋体" w:hAnsi="宋体" w:eastAsia="宋体" w:cs="宋体"/>
                <w:b/>
                <w:bCs/>
                <w:color w:val="auto"/>
                <w:szCs w:val="21"/>
                <w:highlight w:val="none"/>
                <w:lang w:val="en-US" w:eastAsia="zh-CN"/>
              </w:rPr>
              <w:t>3600000.00元</w:t>
            </w:r>
            <w:r>
              <w:rPr>
                <w:rFonts w:hint="default" w:ascii="宋体" w:hAnsi="宋体" w:eastAsia="宋体" w:cs="宋体"/>
                <w:color w:val="auto"/>
                <w:szCs w:val="21"/>
                <w:highlight w:val="none"/>
                <w:lang w:val="en-US" w:eastAsia="zh-CN"/>
              </w:rPr>
              <w:t>，具体采购数量及金额以学生实际订购数量为准</w:t>
            </w:r>
            <w:r>
              <w:rPr>
                <w:rFonts w:hint="eastAsia" w:ascii="宋体" w:hAnsi="宋体" w:cs="宋体"/>
                <w:color w:val="auto"/>
                <w:szCs w:val="21"/>
                <w:highlight w:val="none"/>
                <w:lang w:val="en-US" w:eastAsia="zh-CN"/>
              </w:rPr>
              <w:t>，</w:t>
            </w:r>
            <w:r>
              <w:rPr>
                <w:rFonts w:hint="default" w:ascii="宋体" w:hAnsi="宋体" w:eastAsia="宋体" w:cs="宋体"/>
                <w:color w:val="auto"/>
                <w:szCs w:val="21"/>
                <w:highlight w:val="none"/>
                <w:lang w:val="en-US" w:eastAsia="zh-CN"/>
              </w:rPr>
              <w:t>其中：包1：1800000.00元；包2：1800000.00元。</w:t>
            </w:r>
          </w:p>
          <w:p w14:paraId="6F78C55A">
            <w:pPr>
              <w:tabs>
                <w:tab w:val="left" w:pos="420"/>
              </w:tabs>
              <w:autoSpaceDE w:val="0"/>
              <w:autoSpaceDN w:val="0"/>
              <w:adjustRightInd w:val="0"/>
              <w:snapToGrid w:val="0"/>
              <w:spacing w:line="360" w:lineRule="auto"/>
              <w:jc w:val="left"/>
              <w:rPr>
                <w:rFonts w:hint="default" w:ascii="宋体" w:hAnsi="宋体" w:eastAsia="宋体" w:cs="宋体"/>
                <w:b/>
                <w:bCs/>
                <w:color w:val="auto"/>
                <w:szCs w:val="21"/>
                <w:highlight w:val="none"/>
                <w:lang w:val="en-US" w:eastAsia="zh-CN"/>
              </w:rPr>
            </w:pPr>
            <w:r>
              <w:rPr>
                <w:rFonts w:hint="default" w:ascii="宋体" w:hAnsi="宋体" w:eastAsia="宋体" w:cs="宋体"/>
                <w:b/>
                <w:bCs/>
                <w:color w:val="auto"/>
                <w:szCs w:val="21"/>
                <w:highlight w:val="none"/>
                <w:lang w:val="en-US" w:eastAsia="zh-CN"/>
              </w:rPr>
              <w:t>本项目最高限价：</w:t>
            </w:r>
          </w:p>
          <w:p w14:paraId="2A4AD8D1">
            <w:pPr>
              <w:tabs>
                <w:tab w:val="left" w:pos="420"/>
              </w:tabs>
              <w:autoSpaceDE w:val="0"/>
              <w:autoSpaceDN w:val="0"/>
              <w:adjustRightInd w:val="0"/>
              <w:snapToGrid w:val="0"/>
              <w:spacing w:line="360" w:lineRule="auto"/>
              <w:jc w:val="left"/>
              <w:rPr>
                <w:rFonts w:hint="default" w:ascii="宋体" w:hAnsi="宋体" w:eastAsia="宋体" w:cs="宋体"/>
                <w:b/>
                <w:bCs/>
                <w:color w:val="auto"/>
                <w:szCs w:val="21"/>
                <w:highlight w:val="none"/>
                <w:lang w:val="en-US" w:eastAsia="zh-CN"/>
              </w:rPr>
            </w:pPr>
            <w:r>
              <w:rPr>
                <w:rFonts w:hint="default" w:ascii="宋体" w:hAnsi="宋体" w:eastAsia="宋体" w:cs="宋体"/>
                <w:b/>
                <w:bCs/>
                <w:color w:val="auto"/>
                <w:szCs w:val="21"/>
                <w:highlight w:val="none"/>
                <w:lang w:val="en-US" w:eastAsia="zh-CN"/>
              </w:rPr>
              <w:t>包1：折扣率78%；</w:t>
            </w:r>
          </w:p>
          <w:p w14:paraId="697058D2">
            <w:pPr>
              <w:tabs>
                <w:tab w:val="left" w:pos="420"/>
              </w:tabs>
              <w:autoSpaceDE w:val="0"/>
              <w:autoSpaceDN w:val="0"/>
              <w:adjustRightInd w:val="0"/>
              <w:snapToGrid w:val="0"/>
              <w:spacing w:line="360" w:lineRule="auto"/>
              <w:jc w:val="left"/>
              <w:rPr>
                <w:rFonts w:hint="default" w:ascii="宋体" w:hAnsi="宋体" w:eastAsia="宋体" w:cs="宋体"/>
                <w:b/>
                <w:bCs/>
                <w:color w:val="auto"/>
                <w:szCs w:val="21"/>
                <w:highlight w:val="none"/>
                <w:lang w:val="en-US" w:eastAsia="zh-CN"/>
              </w:rPr>
            </w:pPr>
            <w:r>
              <w:rPr>
                <w:rFonts w:hint="default" w:ascii="宋体" w:hAnsi="宋体" w:eastAsia="宋体" w:cs="宋体"/>
                <w:b/>
                <w:bCs/>
                <w:color w:val="auto"/>
                <w:szCs w:val="21"/>
                <w:highlight w:val="none"/>
                <w:lang w:val="en-US" w:eastAsia="zh-CN"/>
              </w:rPr>
              <w:t>包2：折扣率78%；</w:t>
            </w:r>
          </w:p>
          <w:p w14:paraId="11579D25">
            <w:pPr>
              <w:tabs>
                <w:tab w:val="left" w:pos="420"/>
              </w:tabs>
              <w:autoSpaceDE w:val="0"/>
              <w:autoSpaceDN w:val="0"/>
              <w:adjustRightInd w:val="0"/>
              <w:snapToGrid w:val="0"/>
              <w:spacing w:line="360" w:lineRule="auto"/>
              <w:jc w:val="left"/>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供应商报价不得超过相应包段最高投标限价，否则视为无效投标。</w:t>
            </w:r>
          </w:p>
        </w:tc>
      </w:tr>
      <w:tr w14:paraId="2BEB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60" w:type="dxa"/>
            <w:noWrap w:val="0"/>
            <w:vAlign w:val="center"/>
          </w:tcPr>
          <w:p w14:paraId="7B280EB2">
            <w:pPr>
              <w:tabs>
                <w:tab w:val="left" w:pos="4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2.2</w:t>
            </w:r>
          </w:p>
        </w:tc>
        <w:tc>
          <w:tcPr>
            <w:tcW w:w="1906" w:type="dxa"/>
            <w:noWrap w:val="0"/>
            <w:vAlign w:val="center"/>
          </w:tcPr>
          <w:p w14:paraId="143DAA2E">
            <w:pPr>
              <w:tabs>
                <w:tab w:val="left" w:pos="420"/>
              </w:tabs>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资金来源</w:t>
            </w:r>
          </w:p>
        </w:tc>
        <w:tc>
          <w:tcPr>
            <w:tcW w:w="6506" w:type="dxa"/>
            <w:noWrap w:val="0"/>
            <w:vAlign w:val="center"/>
          </w:tcPr>
          <w:p w14:paraId="2C6D09D2">
            <w:pPr>
              <w:tabs>
                <w:tab w:val="left" w:pos="420"/>
              </w:tabs>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自筹资金（学生自愿采购支付资金）</w:t>
            </w:r>
          </w:p>
        </w:tc>
      </w:tr>
      <w:tr w14:paraId="64F8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0" w:type="dxa"/>
            <w:noWrap w:val="0"/>
            <w:vAlign w:val="center"/>
          </w:tcPr>
          <w:p w14:paraId="03F6A4E6">
            <w:pPr>
              <w:tabs>
                <w:tab w:val="left" w:pos="4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1906" w:type="dxa"/>
            <w:noWrap w:val="0"/>
            <w:vAlign w:val="center"/>
          </w:tcPr>
          <w:p w14:paraId="527ED9DB">
            <w:pPr>
              <w:widowControl/>
              <w:tabs>
                <w:tab w:val="left" w:pos="420"/>
              </w:tabs>
              <w:adjustRightInd w:val="0"/>
              <w:snapToGrid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采购内容</w:t>
            </w:r>
          </w:p>
        </w:tc>
        <w:tc>
          <w:tcPr>
            <w:tcW w:w="6506" w:type="dxa"/>
            <w:noWrap w:val="0"/>
            <w:vAlign w:val="center"/>
          </w:tcPr>
          <w:p w14:paraId="5274FEEF">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包1：谭山校区：马克思主义学院、文学院、外国语学院、体育学院、音乐与舞蹈学院、美术与设计学院、传媒学院、历史文化学院、教师教育学院、旅游学院；淮河校区等教材；</w:t>
            </w:r>
          </w:p>
          <w:p w14:paraId="5908049F">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2：谭山校区：数学与统计学院、物理电子工程学院、化学化工学院、生命科学学院、医学院、地理科学学院、法学与社会学学院、建筑与土木工程学院、计算机与信息技术学院、茶学与食品学院、新能源科学与技术学院、国际教育学院、拉斯维亚斯学院、教育科学学院、商学院；信阳理工学院校区等教材。</w:t>
            </w:r>
          </w:p>
        </w:tc>
      </w:tr>
      <w:tr w14:paraId="74F8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0" w:type="dxa"/>
            <w:noWrap w:val="0"/>
            <w:vAlign w:val="center"/>
          </w:tcPr>
          <w:p w14:paraId="18088184">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3.2</w:t>
            </w:r>
          </w:p>
        </w:tc>
        <w:tc>
          <w:tcPr>
            <w:tcW w:w="1906" w:type="dxa"/>
            <w:noWrap w:val="0"/>
            <w:vAlign w:val="center"/>
          </w:tcPr>
          <w:p w14:paraId="08EF54BE">
            <w:pPr>
              <w:widowControl/>
              <w:tabs>
                <w:tab w:val="left" w:pos="420"/>
              </w:tabs>
              <w:adjustRightInd w:val="0"/>
              <w:snapToGrid w:val="0"/>
              <w:spacing w:line="360" w:lineRule="auto"/>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交货期</w:t>
            </w:r>
          </w:p>
        </w:tc>
        <w:tc>
          <w:tcPr>
            <w:tcW w:w="6506" w:type="dxa"/>
            <w:noWrap w:val="0"/>
            <w:vAlign w:val="center"/>
          </w:tcPr>
          <w:p w14:paraId="05002E72">
            <w:pPr>
              <w:widowControl/>
              <w:tabs>
                <w:tab w:val="left" w:pos="420"/>
              </w:tabs>
              <w:adjustRightInd w:val="0"/>
              <w:snapToGrid w:val="0"/>
              <w:spacing w:line="360" w:lineRule="auto"/>
              <w:jc w:val="both"/>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合同签订后，接采购人通知 7 日历天内完成采购内容的交货、验收</w:t>
            </w:r>
          </w:p>
        </w:tc>
      </w:tr>
      <w:tr w14:paraId="3AB8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noWrap w:val="0"/>
            <w:vAlign w:val="center"/>
          </w:tcPr>
          <w:p w14:paraId="156B06ED">
            <w:pPr>
              <w:tabs>
                <w:tab w:val="left" w:pos="420"/>
              </w:tabs>
              <w:adjustRightInd w:val="0"/>
              <w:snapToGrid w:val="0"/>
              <w:spacing w:line="360" w:lineRule="auto"/>
              <w:jc w:val="center"/>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w:t>
            </w:r>
          </w:p>
        </w:tc>
        <w:tc>
          <w:tcPr>
            <w:tcW w:w="1906" w:type="dxa"/>
            <w:noWrap w:val="0"/>
            <w:vAlign w:val="center"/>
          </w:tcPr>
          <w:p w14:paraId="2056E2D5">
            <w:pPr>
              <w:snapToGrid w:val="0"/>
              <w:spacing w:line="360" w:lineRule="exact"/>
              <w:jc w:val="center"/>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交货地点</w:t>
            </w:r>
          </w:p>
        </w:tc>
        <w:tc>
          <w:tcPr>
            <w:tcW w:w="6506" w:type="dxa"/>
            <w:noWrap w:val="0"/>
            <w:vAlign w:val="center"/>
          </w:tcPr>
          <w:p w14:paraId="407A81E4">
            <w:pPr>
              <w:snapToGrid w:val="0"/>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采购人指定地点</w:t>
            </w:r>
          </w:p>
        </w:tc>
      </w:tr>
      <w:tr w14:paraId="1E38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noWrap w:val="0"/>
            <w:vAlign w:val="center"/>
          </w:tcPr>
          <w:p w14:paraId="097E016C">
            <w:pPr>
              <w:tabs>
                <w:tab w:val="left" w:pos="420"/>
              </w:tabs>
              <w:adjustRightInd w:val="0"/>
              <w:snapToGrid w:val="0"/>
              <w:spacing w:line="360" w:lineRule="auto"/>
              <w:jc w:val="center"/>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3.4</w:t>
            </w:r>
          </w:p>
        </w:tc>
        <w:tc>
          <w:tcPr>
            <w:tcW w:w="1906" w:type="dxa"/>
            <w:noWrap w:val="0"/>
            <w:vAlign w:val="center"/>
          </w:tcPr>
          <w:p w14:paraId="487A75FB">
            <w:pPr>
              <w:snapToGrid w:val="0"/>
              <w:spacing w:line="360" w:lineRule="exact"/>
              <w:jc w:val="center"/>
              <w:rPr>
                <w:rFonts w:hint="default" w:ascii="宋体" w:hAnsi="宋体" w:eastAsia="宋体" w:cs="宋体"/>
                <w:color w:val="auto"/>
                <w:kern w:val="0"/>
                <w:sz w:val="21"/>
                <w:szCs w:val="21"/>
                <w:highlight w:val="none"/>
                <w:lang w:val="en-US" w:eastAsia="zh-CN" w:bidi="ar-SA"/>
              </w:rPr>
            </w:pPr>
            <w:r>
              <w:rPr>
                <w:rFonts w:hint="eastAsia"/>
                <w:color w:val="000000"/>
                <w:szCs w:val="21"/>
              </w:rPr>
              <w:t>质量要求</w:t>
            </w:r>
          </w:p>
        </w:tc>
        <w:tc>
          <w:tcPr>
            <w:tcW w:w="6506" w:type="dxa"/>
            <w:noWrap w:val="0"/>
            <w:vAlign w:val="center"/>
          </w:tcPr>
          <w:p w14:paraId="65A15206">
            <w:pPr>
              <w:snapToGrid w:val="0"/>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供应商提供的教材必须符合国家或行业的合格标准，满足采购人提出的技术标准及要求；提供的教材必须是国家正规出版物，不得提供盗版、缺页、污损、装订不合格等，或不符合要求的图书。</w:t>
            </w:r>
          </w:p>
        </w:tc>
      </w:tr>
      <w:tr w14:paraId="5EFB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 w:type="dxa"/>
            <w:noWrap w:val="0"/>
            <w:vAlign w:val="center"/>
          </w:tcPr>
          <w:p w14:paraId="573591D4">
            <w:pPr>
              <w:tabs>
                <w:tab w:val="left" w:pos="420"/>
              </w:tabs>
              <w:adjustRightInd w:val="0"/>
              <w:snapToGrid w:val="0"/>
              <w:spacing w:line="360" w:lineRule="auto"/>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3.5</w:t>
            </w:r>
          </w:p>
        </w:tc>
        <w:tc>
          <w:tcPr>
            <w:tcW w:w="1906" w:type="dxa"/>
            <w:noWrap w:val="0"/>
            <w:vAlign w:val="center"/>
          </w:tcPr>
          <w:p w14:paraId="2A77866F">
            <w:pPr>
              <w:snapToGrid w:val="0"/>
              <w:spacing w:line="360" w:lineRule="exact"/>
              <w:jc w:val="center"/>
              <w:rPr>
                <w:rFonts w:hint="eastAsia"/>
                <w:color w:val="000000"/>
                <w:szCs w:val="21"/>
              </w:rPr>
            </w:pPr>
            <w:r>
              <w:rPr>
                <w:rFonts w:hint="eastAsia"/>
                <w:color w:val="000000"/>
                <w:szCs w:val="21"/>
              </w:rPr>
              <w:t>质保期</w:t>
            </w:r>
          </w:p>
        </w:tc>
        <w:tc>
          <w:tcPr>
            <w:tcW w:w="6506" w:type="dxa"/>
            <w:noWrap w:val="0"/>
            <w:vAlign w:val="center"/>
          </w:tcPr>
          <w:p w14:paraId="44273E1D">
            <w:pPr>
              <w:snapToGrid w:val="0"/>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自验收合格之日起12个月，质保期内无条件免费更换</w:t>
            </w:r>
          </w:p>
        </w:tc>
      </w:tr>
      <w:tr w14:paraId="4D24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noWrap w:val="0"/>
            <w:vAlign w:val="center"/>
          </w:tcPr>
          <w:p w14:paraId="74CF40DC">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4.1</w:t>
            </w:r>
          </w:p>
        </w:tc>
        <w:tc>
          <w:tcPr>
            <w:tcW w:w="1906" w:type="dxa"/>
            <w:noWrap w:val="0"/>
            <w:vAlign w:val="center"/>
          </w:tcPr>
          <w:p w14:paraId="120AA2DB">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合格供应商资格</w:t>
            </w:r>
          </w:p>
          <w:p w14:paraId="28C73F4E">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条件</w:t>
            </w:r>
          </w:p>
        </w:tc>
        <w:tc>
          <w:tcPr>
            <w:tcW w:w="6506" w:type="dxa"/>
            <w:noWrap w:val="0"/>
            <w:vAlign w:val="center"/>
          </w:tcPr>
          <w:p w14:paraId="5C8DFCB1">
            <w:pPr>
              <w:tabs>
                <w:tab w:val="left" w:pos="420"/>
              </w:tabs>
              <w:autoSpaceDE w:val="0"/>
              <w:autoSpaceDN w:val="0"/>
              <w:adjustRightInd w:val="0"/>
              <w:snapToGrid w:val="0"/>
              <w:spacing w:line="360" w:lineRule="auto"/>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详见第一章 竞争性磋商公告 二、申请人资格要求</w:t>
            </w:r>
          </w:p>
        </w:tc>
      </w:tr>
      <w:tr w14:paraId="577D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860" w:type="dxa"/>
            <w:noWrap w:val="0"/>
            <w:vAlign w:val="center"/>
          </w:tcPr>
          <w:p w14:paraId="066C86E7">
            <w:pPr>
              <w:tabs>
                <w:tab w:val="left" w:pos="4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4.2</w:t>
            </w:r>
          </w:p>
        </w:tc>
        <w:tc>
          <w:tcPr>
            <w:tcW w:w="1906" w:type="dxa"/>
            <w:noWrap w:val="0"/>
            <w:vAlign w:val="center"/>
          </w:tcPr>
          <w:p w14:paraId="1A38FF67">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是否接受联合体</w:t>
            </w:r>
          </w:p>
          <w:p w14:paraId="78E5AEB5">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投标</w:t>
            </w:r>
          </w:p>
        </w:tc>
        <w:tc>
          <w:tcPr>
            <w:tcW w:w="6506" w:type="dxa"/>
            <w:noWrap w:val="0"/>
            <w:vAlign w:val="center"/>
          </w:tcPr>
          <w:p w14:paraId="48F49B7D">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不接受</w:t>
            </w:r>
          </w:p>
        </w:tc>
      </w:tr>
      <w:tr w14:paraId="08BE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jc w:val="center"/>
        </w:trPr>
        <w:tc>
          <w:tcPr>
            <w:tcW w:w="860" w:type="dxa"/>
            <w:noWrap w:val="0"/>
            <w:vAlign w:val="center"/>
          </w:tcPr>
          <w:p w14:paraId="0940AECC">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5.1</w:t>
            </w:r>
          </w:p>
        </w:tc>
        <w:tc>
          <w:tcPr>
            <w:tcW w:w="1906" w:type="dxa"/>
            <w:noWrap w:val="0"/>
            <w:vAlign w:val="center"/>
          </w:tcPr>
          <w:p w14:paraId="5224D603">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分包、转包</w:t>
            </w:r>
          </w:p>
        </w:tc>
        <w:tc>
          <w:tcPr>
            <w:tcW w:w="6506" w:type="dxa"/>
            <w:noWrap w:val="0"/>
            <w:vAlign w:val="center"/>
          </w:tcPr>
          <w:p w14:paraId="2A40D5D5">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不允许</w:t>
            </w:r>
          </w:p>
        </w:tc>
      </w:tr>
      <w:tr w14:paraId="0CAF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60" w:type="dxa"/>
            <w:noWrap w:val="0"/>
            <w:vAlign w:val="center"/>
          </w:tcPr>
          <w:p w14:paraId="2EE43858">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7.1</w:t>
            </w:r>
          </w:p>
        </w:tc>
        <w:tc>
          <w:tcPr>
            <w:tcW w:w="1906" w:type="dxa"/>
            <w:noWrap w:val="0"/>
            <w:vAlign w:val="center"/>
          </w:tcPr>
          <w:p w14:paraId="57BBA5EE">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现场考察及答疑会</w:t>
            </w:r>
          </w:p>
        </w:tc>
        <w:tc>
          <w:tcPr>
            <w:tcW w:w="6506" w:type="dxa"/>
            <w:noWrap w:val="0"/>
            <w:vAlign w:val="center"/>
          </w:tcPr>
          <w:p w14:paraId="7CC881D6">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不组织现场考察和磋商前答疑会。</w:t>
            </w:r>
          </w:p>
        </w:tc>
      </w:tr>
      <w:tr w14:paraId="67F5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0" w:type="dxa"/>
            <w:noWrap w:val="0"/>
            <w:vAlign w:val="center"/>
          </w:tcPr>
          <w:p w14:paraId="338E5160">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17.1</w:t>
            </w:r>
          </w:p>
        </w:tc>
        <w:tc>
          <w:tcPr>
            <w:tcW w:w="1906" w:type="dxa"/>
            <w:noWrap w:val="0"/>
            <w:vAlign w:val="center"/>
          </w:tcPr>
          <w:p w14:paraId="6F3BC184">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磋商保证金</w:t>
            </w:r>
          </w:p>
        </w:tc>
        <w:tc>
          <w:tcPr>
            <w:tcW w:w="6506" w:type="dxa"/>
            <w:noWrap w:val="0"/>
            <w:vAlign w:val="center"/>
          </w:tcPr>
          <w:p w14:paraId="4F8555FF">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本项目不需缴纳磋商保证金。</w:t>
            </w:r>
          </w:p>
        </w:tc>
      </w:tr>
      <w:tr w14:paraId="43CF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60" w:type="dxa"/>
            <w:noWrap w:val="0"/>
            <w:vAlign w:val="center"/>
          </w:tcPr>
          <w:p w14:paraId="22B2BDBB">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18.1</w:t>
            </w:r>
          </w:p>
        </w:tc>
        <w:tc>
          <w:tcPr>
            <w:tcW w:w="1906" w:type="dxa"/>
            <w:noWrap w:val="0"/>
            <w:vAlign w:val="center"/>
          </w:tcPr>
          <w:p w14:paraId="44EEDEA1">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磋商有效期</w:t>
            </w:r>
          </w:p>
        </w:tc>
        <w:tc>
          <w:tcPr>
            <w:tcW w:w="6506" w:type="dxa"/>
            <w:noWrap w:val="0"/>
            <w:vAlign w:val="center"/>
          </w:tcPr>
          <w:p w14:paraId="41CE9D90">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lang w:eastAsia="zh-CN"/>
              </w:rPr>
              <w:t>日历天（从提交首次响应文件的截止之日起算）</w:t>
            </w:r>
          </w:p>
        </w:tc>
      </w:tr>
      <w:tr w14:paraId="661D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860" w:type="dxa"/>
            <w:noWrap w:val="0"/>
            <w:vAlign w:val="center"/>
          </w:tcPr>
          <w:p w14:paraId="795F3BCA">
            <w:pPr>
              <w:tabs>
                <w:tab w:val="left" w:pos="4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19.3</w:t>
            </w:r>
          </w:p>
        </w:tc>
        <w:tc>
          <w:tcPr>
            <w:tcW w:w="1906" w:type="dxa"/>
            <w:noWrap w:val="0"/>
            <w:vAlign w:val="center"/>
          </w:tcPr>
          <w:p w14:paraId="5BB8BA15">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签字或盖章要求</w:t>
            </w:r>
          </w:p>
        </w:tc>
        <w:tc>
          <w:tcPr>
            <w:tcW w:w="6506" w:type="dxa"/>
            <w:noWrap w:val="0"/>
            <w:vAlign w:val="center"/>
          </w:tcPr>
          <w:p w14:paraId="4E1A40AC">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（1）所有要求投标供应商加盖公章的地方都应用投标供应商单位的CA 印章。</w:t>
            </w:r>
          </w:p>
          <w:p w14:paraId="434AA4F8">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（2）所有要求法定代表人签字的地方都应用法定代表人的CA 印章。若有委托代理人，且委托代理人没有CA锁，则</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文件需上传有手写签名的扫描件。</w:t>
            </w:r>
          </w:p>
        </w:tc>
      </w:tr>
      <w:tr w14:paraId="124C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noWrap w:val="0"/>
            <w:vAlign w:val="center"/>
          </w:tcPr>
          <w:p w14:paraId="596E9AE1">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21.1</w:t>
            </w:r>
          </w:p>
        </w:tc>
        <w:tc>
          <w:tcPr>
            <w:tcW w:w="1906" w:type="dxa"/>
            <w:noWrap w:val="0"/>
            <w:vAlign w:val="center"/>
          </w:tcPr>
          <w:p w14:paraId="11318F02">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提交首次响应文件</w:t>
            </w:r>
          </w:p>
          <w:p w14:paraId="112F733F">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的截止时间</w:t>
            </w:r>
          </w:p>
        </w:tc>
        <w:tc>
          <w:tcPr>
            <w:tcW w:w="6506" w:type="dxa"/>
            <w:noWrap w:val="0"/>
            <w:vAlign w:val="center"/>
          </w:tcPr>
          <w:p w14:paraId="34D4B498">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08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rPr>
              <w:t>日09时00分（北京时间）</w:t>
            </w:r>
          </w:p>
        </w:tc>
      </w:tr>
      <w:tr w14:paraId="196A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60" w:type="dxa"/>
            <w:noWrap w:val="0"/>
            <w:vAlign w:val="center"/>
          </w:tcPr>
          <w:p w14:paraId="7AB31DB8">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21.2</w:t>
            </w:r>
          </w:p>
        </w:tc>
        <w:tc>
          <w:tcPr>
            <w:tcW w:w="1906" w:type="dxa"/>
            <w:noWrap w:val="0"/>
            <w:vAlign w:val="center"/>
          </w:tcPr>
          <w:p w14:paraId="36AEB134">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提交首次响应文件</w:t>
            </w:r>
          </w:p>
          <w:p w14:paraId="24FE159B">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的地点</w:t>
            </w:r>
          </w:p>
        </w:tc>
        <w:tc>
          <w:tcPr>
            <w:tcW w:w="6506" w:type="dxa"/>
            <w:noWrap w:val="0"/>
            <w:vAlign w:val="center"/>
          </w:tcPr>
          <w:p w14:paraId="3C3AFF2F">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加密电子磋商响应文件须在首次磋商响应文件递交截止时间前通过“河南省公共资源交易中心（</w:t>
            </w:r>
            <w:r>
              <w:rPr>
                <w:rFonts w:hint="eastAsia" w:ascii="宋体" w:hAnsi="宋体" w:eastAsia="宋体" w:cs="宋体"/>
                <w:color w:val="auto"/>
                <w:szCs w:val="21"/>
                <w:highlight w:val="none"/>
                <w:lang w:eastAsia="zh-CN"/>
              </w:rPr>
              <w:t>hnsggzyjy.henan.gov.cn</w:t>
            </w:r>
            <w:r>
              <w:rPr>
                <w:rFonts w:hint="eastAsia" w:ascii="宋体" w:hAnsi="宋体" w:eastAsia="宋体" w:cs="宋体"/>
                <w:color w:val="auto"/>
                <w:szCs w:val="21"/>
                <w:highlight w:val="none"/>
              </w:rPr>
              <w:t>）”电子交易平台加密上传</w:t>
            </w:r>
          </w:p>
        </w:tc>
      </w:tr>
      <w:tr w14:paraId="4CC7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860" w:type="dxa"/>
            <w:noWrap w:val="0"/>
            <w:vAlign w:val="center"/>
          </w:tcPr>
          <w:p w14:paraId="5C547B18">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23.1</w:t>
            </w:r>
          </w:p>
        </w:tc>
        <w:tc>
          <w:tcPr>
            <w:tcW w:w="1906" w:type="dxa"/>
            <w:noWrap w:val="0"/>
            <w:vAlign w:val="center"/>
          </w:tcPr>
          <w:p w14:paraId="562FF55F">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响应文件开启时间</w:t>
            </w:r>
          </w:p>
          <w:p w14:paraId="114EF92C">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和地点</w:t>
            </w:r>
          </w:p>
        </w:tc>
        <w:tc>
          <w:tcPr>
            <w:tcW w:w="6506" w:type="dxa"/>
            <w:noWrap w:val="0"/>
            <w:vAlign w:val="center"/>
          </w:tcPr>
          <w:p w14:paraId="7F5D70D3">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08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rPr>
              <w:t>日09时00分（北京时间）；</w:t>
            </w:r>
          </w:p>
          <w:p w14:paraId="6217C94F">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地点：河南省公共资源交易中心</w:t>
            </w:r>
            <w:r>
              <w:rPr>
                <w:rFonts w:hint="eastAsia" w:ascii="宋体" w:hAnsi="宋体" w:cs="宋体"/>
                <w:color w:val="auto"/>
                <w:szCs w:val="21"/>
                <w:highlight w:val="none"/>
                <w:lang w:eastAsia="zh-CN"/>
              </w:rPr>
              <w:t>远程开标室(</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lang w:eastAsia="zh-CN"/>
              </w:rPr>
              <w:t>)-6</w:t>
            </w:r>
            <w:r>
              <w:rPr>
                <w:rFonts w:hint="eastAsia" w:ascii="宋体" w:hAnsi="宋体" w:eastAsia="宋体" w:cs="宋体"/>
                <w:color w:val="auto"/>
                <w:szCs w:val="21"/>
                <w:highlight w:val="none"/>
              </w:rPr>
              <w:t>（郑州市经二路12号，经二路与纬四路向南50米路西)。</w:t>
            </w:r>
          </w:p>
          <w:p w14:paraId="66179D28">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注：（1）加密电子磋商响应文件须在首次磋商响应文件递交截止时间前通过“河南省公共资源交易中心（</w:t>
            </w:r>
            <w:r>
              <w:rPr>
                <w:rFonts w:hint="eastAsia" w:ascii="宋体" w:hAnsi="宋体" w:eastAsia="宋体" w:cs="宋体"/>
                <w:color w:val="auto"/>
                <w:szCs w:val="21"/>
                <w:highlight w:val="none"/>
                <w:lang w:eastAsia="zh-CN"/>
              </w:rPr>
              <w:t>hnsggzyjy.henan.gov.cn</w:t>
            </w:r>
            <w:r>
              <w:rPr>
                <w:rFonts w:hint="eastAsia" w:ascii="宋体" w:hAnsi="宋体" w:eastAsia="宋体" w:cs="宋体"/>
                <w:color w:val="auto"/>
                <w:szCs w:val="21"/>
                <w:highlight w:val="none"/>
              </w:rPr>
              <w:t>）”电子交易平台加密上传。</w:t>
            </w:r>
          </w:p>
          <w:p w14:paraId="2E20D402">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（2）本项目采用“远程不见面”开标方式，远程开标大厅网址http://hnsggzyjy.henan.gov.cn/BidOpening/bidopeninghallaction/hall/login，</w:t>
            </w:r>
            <w:r>
              <w:rPr>
                <w:rFonts w:hint="eastAsia" w:ascii="宋体" w:hAnsi="宋体" w:cs="宋体"/>
                <w:color w:val="auto"/>
                <w:szCs w:val="21"/>
                <w:highlight w:val="none"/>
                <w:lang w:val="en-US" w:eastAsia="zh-CN"/>
              </w:rPr>
              <w:t>各潜在</w:t>
            </w:r>
            <w:r>
              <w:rPr>
                <w:rFonts w:hint="eastAsia" w:ascii="宋体" w:hAnsi="宋体" w:eastAsia="宋体" w:cs="宋体"/>
                <w:color w:val="auto"/>
                <w:szCs w:val="21"/>
                <w:highlight w:val="none"/>
              </w:rPr>
              <w:t>供应商无需到河南省公共资源交易中心现场参加开标会议，无需到达现场提交原件资料。</w:t>
            </w:r>
            <w:r>
              <w:rPr>
                <w:rFonts w:hint="eastAsia" w:ascii="宋体" w:hAnsi="宋体" w:cs="宋体"/>
                <w:color w:val="auto"/>
                <w:szCs w:val="21"/>
                <w:highlight w:val="none"/>
                <w:lang w:val="en-US" w:eastAsia="zh-CN"/>
              </w:rPr>
              <w:t>各潜在</w:t>
            </w:r>
            <w:r>
              <w:rPr>
                <w:rFonts w:hint="eastAsia" w:ascii="宋体" w:hAnsi="宋体" w:eastAsia="宋体" w:cs="宋体"/>
                <w:color w:val="auto"/>
                <w:szCs w:val="21"/>
                <w:highlight w:val="none"/>
              </w:rPr>
              <w:t>供应商应当在磋商截止时间前，登录远程开标大厅，在线准时参加开标活动并进行磋商响应文件解密等。</w:t>
            </w:r>
          </w:p>
          <w:p w14:paraId="06D3F91C">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各潜在</w:t>
            </w:r>
            <w:r>
              <w:rPr>
                <w:rFonts w:hint="eastAsia" w:ascii="宋体" w:hAnsi="宋体" w:eastAsia="宋体" w:cs="宋体"/>
                <w:color w:val="auto"/>
                <w:szCs w:val="21"/>
                <w:highlight w:val="none"/>
              </w:rPr>
              <w:t>供应商应当在磋商截止时间前,登录远程开标大厅,在线准时参加开标活动并进行文件解密、答疑澄清等。</w:t>
            </w:r>
          </w:p>
          <w:p w14:paraId="57889941">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（4）逾期上传/送达的或者未上传/未送达指定地点的磋商响应文件，采购人不予受理。</w:t>
            </w:r>
          </w:p>
        </w:tc>
      </w:tr>
      <w:tr w14:paraId="72F1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0" w:type="dxa"/>
            <w:noWrap w:val="0"/>
            <w:vAlign w:val="center"/>
          </w:tcPr>
          <w:p w14:paraId="5AE8BDF8">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24.1</w:t>
            </w:r>
          </w:p>
        </w:tc>
        <w:tc>
          <w:tcPr>
            <w:tcW w:w="1906" w:type="dxa"/>
            <w:noWrap w:val="0"/>
            <w:vAlign w:val="center"/>
          </w:tcPr>
          <w:p w14:paraId="42211CCD">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磋商小组的组成</w:t>
            </w:r>
          </w:p>
        </w:tc>
        <w:tc>
          <w:tcPr>
            <w:tcW w:w="6506" w:type="dxa"/>
            <w:noWrap w:val="0"/>
            <w:vAlign w:val="center"/>
          </w:tcPr>
          <w:p w14:paraId="7D673884">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磋商小组组成：采购人代表1人和评审专家2人，共3人组成。</w:t>
            </w:r>
          </w:p>
          <w:p w14:paraId="23FDBFED">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评审专家确定方式：从河南省政府采购专家库中随机抽取。</w:t>
            </w:r>
          </w:p>
        </w:tc>
      </w:tr>
      <w:tr w14:paraId="1BC7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0" w:type="dxa"/>
            <w:noWrap w:val="0"/>
            <w:vAlign w:val="center"/>
          </w:tcPr>
          <w:p w14:paraId="16E7E660">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26.3</w:t>
            </w:r>
          </w:p>
        </w:tc>
        <w:tc>
          <w:tcPr>
            <w:tcW w:w="1906" w:type="dxa"/>
            <w:noWrap w:val="0"/>
            <w:vAlign w:val="center"/>
          </w:tcPr>
          <w:p w14:paraId="3D6BDD1E">
            <w:pPr>
              <w:tabs>
                <w:tab w:val="left" w:pos="420"/>
              </w:tabs>
              <w:autoSpaceDE w:val="0"/>
              <w:autoSpaceDN w:val="0"/>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磋商小组是否确定成交人</w:t>
            </w:r>
          </w:p>
        </w:tc>
        <w:tc>
          <w:tcPr>
            <w:tcW w:w="6506" w:type="dxa"/>
            <w:noWrap w:val="0"/>
            <w:vAlign w:val="center"/>
          </w:tcPr>
          <w:p w14:paraId="15C60155">
            <w:pPr>
              <w:tabs>
                <w:tab w:val="left" w:pos="420"/>
              </w:tabs>
              <w:autoSpaceDE w:val="0"/>
              <w:autoSpaceDN w:val="0"/>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否，推荐</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名成交候选人</w:t>
            </w:r>
          </w:p>
        </w:tc>
      </w:tr>
      <w:tr w14:paraId="0A35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0" w:type="dxa"/>
            <w:noWrap w:val="0"/>
            <w:vAlign w:val="center"/>
          </w:tcPr>
          <w:p w14:paraId="6C25A2EC">
            <w:pPr>
              <w:tabs>
                <w:tab w:val="left" w:pos="420"/>
              </w:tabs>
              <w:adjustRightInd w:val="0"/>
              <w:snapToGri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35</w:t>
            </w:r>
          </w:p>
        </w:tc>
        <w:tc>
          <w:tcPr>
            <w:tcW w:w="8412" w:type="dxa"/>
            <w:gridSpan w:val="2"/>
            <w:noWrap w:val="0"/>
            <w:vAlign w:val="center"/>
          </w:tcPr>
          <w:p w14:paraId="4E98735F">
            <w:pPr>
              <w:tabs>
                <w:tab w:val="left" w:pos="420"/>
              </w:tabs>
              <w:adjustRightInd w:val="0"/>
              <w:snapToGri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需要补充的其他内容</w:t>
            </w:r>
          </w:p>
        </w:tc>
      </w:tr>
      <w:tr w14:paraId="0C70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72" w:type="dxa"/>
            <w:gridSpan w:val="3"/>
            <w:noWrap w:val="0"/>
            <w:vAlign w:val="center"/>
          </w:tcPr>
          <w:p w14:paraId="335122EC">
            <w:pPr>
              <w:tabs>
                <w:tab w:val="left" w:pos="420"/>
              </w:tabs>
              <w:adjustRightInd w:val="0"/>
              <w:snapToGrid w:val="0"/>
              <w:spacing w:line="360" w:lineRule="auto"/>
              <w:jc w:val="both"/>
              <w:textAlignment w:val="baseline"/>
              <w:rPr>
                <w:rFonts w:hint="eastAsia" w:ascii="宋体" w:hAnsi="宋体" w:cs="宋体"/>
                <w:b w:val="0"/>
                <w:bCs/>
                <w:color w:val="auto"/>
                <w:szCs w:val="21"/>
                <w:highlight w:val="none"/>
                <w:lang w:val="en-US" w:eastAsia="zh-CN"/>
              </w:rPr>
            </w:pPr>
            <w:r>
              <w:rPr>
                <w:rFonts w:hint="eastAsia" w:ascii="宋体" w:hAnsi="宋体" w:cs="宋体"/>
                <w:b/>
                <w:color w:val="auto"/>
                <w:szCs w:val="21"/>
                <w:highlight w:val="none"/>
                <w:lang w:val="en-US" w:eastAsia="zh-CN"/>
              </w:rPr>
              <w:t>报价方式：</w:t>
            </w:r>
            <w:r>
              <w:rPr>
                <w:rFonts w:hint="eastAsia" w:ascii="宋体" w:hAnsi="宋体" w:cs="宋体"/>
                <w:b/>
                <w:bCs w:val="0"/>
                <w:color w:val="auto"/>
                <w:szCs w:val="21"/>
                <w:highlight w:val="none"/>
                <w:lang w:val="en-US" w:eastAsia="zh-CN"/>
              </w:rPr>
              <w:t>本项目采用折扣率。</w:t>
            </w:r>
          </w:p>
          <w:p w14:paraId="41D22DA5">
            <w:pPr>
              <w:tabs>
                <w:tab w:val="left" w:pos="420"/>
              </w:tabs>
              <w:adjustRightInd w:val="0"/>
              <w:snapToGrid w:val="0"/>
              <w:spacing w:line="360" w:lineRule="auto"/>
              <w:jc w:val="both"/>
              <w:textAlignment w:val="baseline"/>
              <w:rPr>
                <w:rFonts w:hint="eastAsia"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报价应是采购人指定地点交货价，包含完成该项目的教材采购价（实洋），包含货物的（含相关附件、材料）价款、运输费、装卸费、配送费、检测费、保险费用、税费及其技术和售后服务费等一切有关费用，采购人无须向中标人另外支付任何费用。应结合采购预算，考虑教材价格、运保费、服务、中标服务费等。</w:t>
            </w:r>
          </w:p>
          <w:p w14:paraId="089BAD40">
            <w:pPr>
              <w:tabs>
                <w:tab w:val="left" w:pos="420"/>
              </w:tabs>
              <w:adjustRightInd w:val="0"/>
              <w:snapToGrid w:val="0"/>
              <w:spacing w:line="360" w:lineRule="auto"/>
              <w:jc w:val="both"/>
              <w:textAlignment w:val="baseline"/>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最终合同支付金额为目的地交货价（包含教材费用、运保费、各种服务费等）。</w:t>
            </w:r>
          </w:p>
          <w:p w14:paraId="0D385034">
            <w:pPr>
              <w:tabs>
                <w:tab w:val="left" w:pos="420"/>
              </w:tabs>
              <w:adjustRightInd w:val="0"/>
              <w:snapToGrid w:val="0"/>
              <w:spacing w:line="360" w:lineRule="auto"/>
              <w:jc w:val="both"/>
              <w:textAlignment w:val="baseline"/>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 xml:space="preserve">特别说明：1.由于采购人无法确定最终采购的具体教材品种及数量，投标供应商应参照第5章中项目采购需求中的描述，综合考量，投标供应商根据项目情况，自行综合折算各出版社的折扣率，报出唯一的折扣率（其中“两课”教材按照教育部规定执行，保留2位小数），该折扣率为最终结算时的唯一计价比率。 </w:t>
            </w:r>
          </w:p>
          <w:p w14:paraId="2CF928FE">
            <w:pPr>
              <w:tabs>
                <w:tab w:val="left" w:pos="420"/>
              </w:tabs>
              <w:adjustRightInd w:val="0"/>
              <w:snapToGrid w:val="0"/>
              <w:spacing w:line="360" w:lineRule="auto"/>
              <w:jc w:val="both"/>
              <w:textAlignment w:val="baseline"/>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2.投标供应商的所报折扣率不得超过78%，否则按无效响应处理。</w:t>
            </w:r>
          </w:p>
          <w:p w14:paraId="7CF94F4F">
            <w:pPr>
              <w:tabs>
                <w:tab w:val="left" w:pos="420"/>
              </w:tabs>
              <w:adjustRightInd w:val="0"/>
              <w:snapToGrid w:val="0"/>
              <w:spacing w:line="360" w:lineRule="auto"/>
              <w:jc w:val="both"/>
              <w:textAlignment w:val="baseline"/>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3.折扣率计算方式：折扣率=实洋／码洋×100%；（折扣率：若投标供应商投标折扣率为70.5%，表示码洋为100元人民币的书投标供应商愿意以 70.5元的价格出售。）</w:t>
            </w:r>
          </w:p>
        </w:tc>
      </w:tr>
      <w:tr w14:paraId="0E08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72" w:type="dxa"/>
            <w:gridSpan w:val="3"/>
            <w:noWrap w:val="0"/>
            <w:vAlign w:val="center"/>
          </w:tcPr>
          <w:p w14:paraId="31D1066D">
            <w:pPr>
              <w:spacing w:line="360" w:lineRule="auto"/>
              <w:rPr>
                <w:rFonts w:hint="eastAsia" w:ascii="宋体" w:hAnsi="宋体" w:eastAsia="宋体" w:cs="宋体"/>
                <w:szCs w:val="21"/>
                <w:highlight w:val="none"/>
              </w:rPr>
            </w:pPr>
            <w:r>
              <w:rPr>
                <w:rFonts w:hint="eastAsia" w:ascii="宋体" w:hAnsi="宋体" w:cs="宋体"/>
                <w:b/>
                <w:color w:val="auto"/>
                <w:szCs w:val="21"/>
                <w:highlight w:val="none"/>
                <w:lang w:val="en-US" w:eastAsia="zh-CN"/>
              </w:rPr>
              <w:t>履约保证金：</w:t>
            </w:r>
            <w:r>
              <w:rPr>
                <w:rFonts w:hint="eastAsia" w:ascii="宋体" w:hAnsi="宋体" w:eastAsia="宋体" w:cs="宋体"/>
                <w:szCs w:val="21"/>
                <w:highlight w:val="none"/>
              </w:rPr>
              <w:t>合同总金额的5%</w:t>
            </w:r>
          </w:p>
          <w:p w14:paraId="64D1865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履约保证金递交时间：合同签订前向采购人提供</w:t>
            </w:r>
          </w:p>
          <w:p w14:paraId="2F64EDD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履约保证金递交方式：转账/银行保函</w:t>
            </w:r>
          </w:p>
          <w:p w14:paraId="6642538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中标人与采购人签订采购合同前交纳至以下账户： </w:t>
            </w:r>
          </w:p>
          <w:p w14:paraId="134BF54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户名：信阳师范大学</w:t>
            </w:r>
          </w:p>
          <w:p w14:paraId="71EEE01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开户银行：中国工商银行信阳南湖路支行</w:t>
            </w:r>
          </w:p>
          <w:p w14:paraId="53C66A5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帐号：1718421419064000218</w:t>
            </w:r>
          </w:p>
          <w:p w14:paraId="11C1A491">
            <w:pPr>
              <w:tabs>
                <w:tab w:val="left" w:pos="420"/>
              </w:tabs>
              <w:adjustRightInd w:val="0"/>
              <w:snapToGrid w:val="0"/>
              <w:spacing w:line="360" w:lineRule="auto"/>
              <w:jc w:val="both"/>
              <w:textAlignment w:val="baseline"/>
              <w:rPr>
                <w:rFonts w:hint="eastAsia" w:ascii="宋体" w:hAnsi="宋体" w:cs="宋体"/>
                <w:b/>
                <w:color w:val="auto"/>
                <w:szCs w:val="21"/>
                <w:highlight w:val="none"/>
                <w:lang w:val="en-US" w:eastAsia="zh-CN"/>
              </w:rPr>
            </w:pPr>
            <w:r>
              <w:rPr>
                <w:rFonts w:hint="eastAsia" w:ascii="宋体" w:hAnsi="宋体" w:eastAsia="宋体" w:cs="宋体"/>
                <w:szCs w:val="21"/>
                <w:highlight w:val="none"/>
              </w:rPr>
              <w:t>履约保证金退还：合同履约期结束后无息退还。</w:t>
            </w:r>
          </w:p>
        </w:tc>
      </w:tr>
      <w:tr w14:paraId="113A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72" w:type="dxa"/>
            <w:gridSpan w:val="3"/>
            <w:noWrap w:val="0"/>
            <w:vAlign w:val="center"/>
          </w:tcPr>
          <w:p w14:paraId="18387673">
            <w:pPr>
              <w:tabs>
                <w:tab w:val="left" w:pos="420"/>
              </w:tabs>
              <w:adjustRightInd w:val="0"/>
              <w:snapToGrid w:val="0"/>
              <w:spacing w:line="360" w:lineRule="auto"/>
              <w:jc w:val="both"/>
              <w:textAlignment w:val="baseline"/>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付款方式：</w:t>
            </w:r>
            <w:r>
              <w:rPr>
                <w:rFonts w:hint="eastAsia"/>
                <w:szCs w:val="21"/>
                <w:highlight w:val="none"/>
              </w:rPr>
              <w:t>详见合同</w:t>
            </w:r>
          </w:p>
        </w:tc>
      </w:tr>
      <w:tr w14:paraId="2CBE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72" w:type="dxa"/>
            <w:gridSpan w:val="3"/>
            <w:noWrap w:val="0"/>
            <w:vAlign w:val="center"/>
          </w:tcPr>
          <w:p w14:paraId="326BB71D">
            <w:pPr>
              <w:tabs>
                <w:tab w:val="left" w:pos="420"/>
              </w:tabs>
              <w:adjustRightInd w:val="0"/>
              <w:snapToGrid w:val="0"/>
              <w:spacing w:line="360" w:lineRule="auto"/>
              <w:jc w:val="both"/>
              <w:textAlignment w:val="baseline"/>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验收方式：</w:t>
            </w:r>
            <w:r>
              <w:rPr>
                <w:rFonts w:hint="eastAsia" w:ascii="宋体" w:hAnsi="宋体" w:cs="宋体"/>
                <w:b w:val="0"/>
                <w:bCs/>
                <w:color w:val="auto"/>
                <w:szCs w:val="21"/>
                <w:highlight w:val="none"/>
                <w:lang w:val="en-US" w:eastAsia="zh-CN"/>
              </w:rPr>
              <w:t>根据竞争性磋商文件 第五章 采购需求，学校组织校内外专家验收，或委托第三方资质机构组织专家验收，验收费用由中标方按委托协议和有关收费标准支付。</w:t>
            </w:r>
          </w:p>
        </w:tc>
      </w:tr>
      <w:tr w14:paraId="2408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72" w:type="dxa"/>
            <w:gridSpan w:val="3"/>
            <w:noWrap w:val="0"/>
            <w:vAlign w:val="center"/>
          </w:tcPr>
          <w:p w14:paraId="0412300B">
            <w:pPr>
              <w:widowControl/>
              <w:tabs>
                <w:tab w:val="left" w:pos="420"/>
              </w:tabs>
              <w:adjustRightInd w:val="0"/>
              <w:snapToGrid w:val="0"/>
              <w:spacing w:line="360" w:lineRule="auto"/>
              <w:jc w:val="left"/>
              <w:rPr>
                <w:rFonts w:hint="eastAsia" w:ascii="宋体" w:hAnsi="宋体" w:eastAsia="宋体" w:cs="宋体"/>
                <w:b/>
                <w:bCs/>
                <w:color w:val="auto"/>
                <w:highlight w:val="none"/>
                <w:lang w:eastAsia="zh-CN"/>
              </w:rPr>
            </w:pPr>
            <w:r>
              <w:rPr>
                <w:rFonts w:hint="eastAsia" w:ascii="宋体" w:hAnsi="宋体" w:cs="宋体"/>
                <w:b/>
                <w:bCs/>
                <w:color w:val="auto"/>
                <w:highlight w:val="none"/>
              </w:rPr>
              <w:t>采购代理服务费</w:t>
            </w:r>
            <w:r>
              <w:rPr>
                <w:rFonts w:hint="eastAsia" w:ascii="宋体" w:hAnsi="宋体" w:cs="宋体"/>
                <w:b/>
                <w:bCs/>
                <w:color w:val="auto"/>
                <w:highlight w:val="none"/>
                <w:lang w:eastAsia="zh-CN"/>
              </w:rPr>
              <w:t>：</w:t>
            </w:r>
          </w:p>
          <w:p w14:paraId="7A71ACFB">
            <w:pPr>
              <w:tabs>
                <w:tab w:val="left" w:pos="420"/>
              </w:tabs>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本项目采购代理服务费由成交人向采购代理机构予以支付。</w:t>
            </w:r>
          </w:p>
          <w:p w14:paraId="36CA449C">
            <w:pPr>
              <w:tabs>
                <w:tab w:val="left" w:pos="420"/>
              </w:tabs>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支付标准：参考《河南省招标代理服务收费指导意见》（豫招协［2023］002号）收费标准，按差额定率累进法计算，</w:t>
            </w:r>
            <w:r>
              <w:rPr>
                <w:rFonts w:hint="eastAsia" w:cs="宋体"/>
                <w:szCs w:val="21"/>
                <w:shd w:val="clear" w:color="auto" w:fill="FFFFFF"/>
              </w:rPr>
              <w:t>按照预算金额收费</w:t>
            </w:r>
            <w:r>
              <w:rPr>
                <w:rFonts w:hint="eastAsia" w:cs="宋体"/>
                <w:szCs w:val="21"/>
                <w:shd w:val="clear" w:color="auto" w:fill="FFFFFF"/>
                <w:lang w:eastAsia="zh-CN"/>
              </w:rPr>
              <w:t>，</w:t>
            </w:r>
            <w:r>
              <w:rPr>
                <w:rFonts w:hint="eastAsia" w:ascii="宋体" w:hAnsi="宋体" w:eastAsia="宋体" w:cs="宋体"/>
                <w:color w:val="auto"/>
                <w:highlight w:val="none"/>
              </w:rPr>
              <w:t>向成交</w:t>
            </w:r>
            <w:r>
              <w:rPr>
                <w:rFonts w:hint="eastAsia" w:ascii="宋体" w:hAnsi="宋体" w:cs="宋体"/>
                <w:color w:val="auto"/>
                <w:highlight w:val="none"/>
                <w:lang w:val="en-US" w:eastAsia="zh-CN"/>
              </w:rPr>
              <w:t>人</w:t>
            </w:r>
            <w:r>
              <w:rPr>
                <w:rFonts w:hint="eastAsia" w:ascii="宋体" w:hAnsi="宋体" w:eastAsia="宋体" w:cs="宋体"/>
                <w:color w:val="auto"/>
                <w:highlight w:val="none"/>
              </w:rPr>
              <w:t>收取服务费。</w:t>
            </w:r>
          </w:p>
          <w:p w14:paraId="6D09A110">
            <w:pPr>
              <w:tabs>
                <w:tab w:val="left" w:pos="420"/>
              </w:tabs>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支付形式：电汇或转账</w:t>
            </w:r>
          </w:p>
          <w:p w14:paraId="2D1A52B5">
            <w:pPr>
              <w:tabs>
                <w:tab w:val="left" w:pos="420"/>
              </w:tabs>
              <w:adjustRightInd w:val="0"/>
              <w:snapToGrid w:val="0"/>
              <w:spacing w:line="360" w:lineRule="auto"/>
              <w:ind w:firstLine="420" w:firstLineChars="200"/>
              <w:rPr>
                <w:rFonts w:hint="eastAsia" w:ascii="宋体" w:hAnsi="宋体" w:cs="宋体"/>
                <w:color w:val="auto"/>
                <w:highlight w:val="none"/>
              </w:rPr>
            </w:pPr>
            <w:r>
              <w:rPr>
                <w:rFonts w:hint="eastAsia" w:ascii="宋体" w:hAnsi="宋体" w:eastAsia="宋体" w:cs="宋体"/>
                <w:color w:val="auto"/>
                <w:highlight w:val="none"/>
              </w:rPr>
              <w:t>支付时间：领取成交通知书时</w:t>
            </w:r>
          </w:p>
        </w:tc>
      </w:tr>
      <w:tr w14:paraId="529F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jc w:val="center"/>
        </w:trPr>
        <w:tc>
          <w:tcPr>
            <w:tcW w:w="9272" w:type="dxa"/>
            <w:gridSpan w:val="3"/>
            <w:noWrap w:val="0"/>
            <w:vAlign w:val="center"/>
          </w:tcPr>
          <w:p w14:paraId="0601ABC9">
            <w:pPr>
              <w:tabs>
                <w:tab w:val="left" w:pos="420"/>
              </w:tabs>
              <w:adjustRightInd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解释构成本磋商文件的各个组成文件应互为解释，互为说明；如有不明确或不一致，构成合同文件组成内容的，以合同文件约定内容为准；除磋商文件中有特别规定外，仅适用于招标投标阶段的规定，按磋商公告、供应商须知、评标办法、响应文件格式的先后顺序解释；同一组成文件中就同一事项的规定或约定不一致的，以编排顺序在后者为准；同一组成文件不同版本之间有不一致的，以形成时间在后者为准。按本款前述规定仍不能形成结论的，最终解释权归采购人。</w:t>
            </w:r>
          </w:p>
        </w:tc>
      </w:tr>
      <w:tr w14:paraId="383F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272" w:type="dxa"/>
            <w:gridSpan w:val="3"/>
            <w:noWrap w:val="0"/>
            <w:vAlign w:val="center"/>
          </w:tcPr>
          <w:p w14:paraId="2515A367">
            <w:pPr>
              <w:adjustRightInd w:val="0"/>
              <w:snapToGrid w:val="0"/>
              <w:spacing w:before="31" w:beforeLines="10" w:after="31" w:afterLines="10" w:line="360" w:lineRule="auto"/>
              <w:ind w:left="21" w:leftChars="10" w:right="21" w:rightChars="1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政府采购政策：</w:t>
            </w:r>
          </w:p>
          <w:p w14:paraId="2E6FEB04">
            <w:pPr>
              <w:adjustRightInd w:val="0"/>
              <w:snapToGrid w:val="0"/>
              <w:spacing w:before="31" w:beforeLines="10" w:after="31" w:afterLines="10" w:line="360" w:lineRule="auto"/>
              <w:ind w:left="21" w:leftChars="10" w:right="21" w:rightChars="1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1.是否允许采购进口产品：</w:t>
            </w:r>
            <w:r>
              <w:rPr>
                <w:rFonts w:hint="eastAsia" w:ascii="宋体" w:hAnsi="宋体" w:eastAsia="宋体" w:cs="Times New Roman"/>
                <w:b/>
                <w:bCs/>
                <w:color w:val="auto"/>
                <w:szCs w:val="21"/>
                <w:highlight w:val="none"/>
                <w:lang w:val="en-US" w:eastAsia="zh-CN"/>
              </w:rPr>
              <w:t>否</w:t>
            </w:r>
          </w:p>
          <w:p w14:paraId="2DD1877D">
            <w:pPr>
              <w:adjustRightInd w:val="0"/>
              <w:snapToGrid w:val="0"/>
              <w:spacing w:before="31" w:beforeLines="10" w:after="31" w:afterLines="10" w:line="360" w:lineRule="auto"/>
              <w:ind w:left="21" w:leftChars="10" w:right="21" w:rightChars="1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w:t>
            </w:r>
            <w:r>
              <w:rPr>
                <w:rFonts w:hint="default" w:ascii="宋体" w:hAnsi="宋体" w:eastAsia="宋体" w:cs="Times New Roman"/>
                <w:color w:val="auto"/>
                <w:szCs w:val="21"/>
                <w:highlight w:val="none"/>
                <w:lang w:val="en-US" w:eastAsia="zh-CN"/>
              </w:rPr>
              <w:t>是否为专门面向中小企业的预留份额的采购项目或者采购包及相关政府采购政策</w:t>
            </w:r>
            <w:r>
              <w:rPr>
                <w:rFonts w:hint="eastAsia" w:ascii="宋体" w:hAnsi="宋体" w:eastAsia="宋体" w:cs="Times New Roman"/>
                <w:color w:val="auto"/>
                <w:szCs w:val="21"/>
                <w:highlight w:val="none"/>
                <w:lang w:val="en-US" w:eastAsia="zh-CN"/>
              </w:rPr>
              <w:t xml:space="preserve">：否 </w:t>
            </w:r>
          </w:p>
          <w:p w14:paraId="66AC62C6">
            <w:pPr>
              <w:adjustRightInd w:val="0"/>
              <w:snapToGrid w:val="0"/>
              <w:spacing w:before="31" w:beforeLines="10" w:after="31" w:afterLines="10" w:line="360" w:lineRule="auto"/>
              <w:ind w:left="21" w:leftChars="10" w:right="21" w:rightChars="1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根据《中华人民共和国政府采购法实施条例》第六条、《政府采购促进中小企业发展管理办法》财库〔2020〕46 号、《关于进一步加大政府采购支持中小企业力度的通知》财库〔2022〕19 号的规定，本项目对小型和微型企业的响应报价给予</w:t>
            </w:r>
            <w:r>
              <w:rPr>
                <w:rFonts w:hint="eastAsia" w:ascii="宋体" w:hAnsi="宋体" w:cs="Times New Roman"/>
                <w:b/>
                <w:bCs/>
                <w:color w:val="auto"/>
                <w:szCs w:val="21"/>
                <w:highlight w:val="none"/>
                <w:lang w:val="en-US" w:eastAsia="zh-CN"/>
              </w:rPr>
              <w:t>10</w:t>
            </w:r>
            <w:r>
              <w:rPr>
                <w:rFonts w:hint="eastAsia" w:ascii="宋体" w:hAnsi="宋体" w:eastAsia="宋体" w:cs="Times New Roman"/>
                <w:b/>
                <w:bCs/>
                <w:color w:val="auto"/>
                <w:szCs w:val="21"/>
                <w:highlight w:val="none"/>
                <w:lang w:val="en-US" w:eastAsia="zh-CN"/>
              </w:rPr>
              <w:t>%</w:t>
            </w:r>
            <w:r>
              <w:rPr>
                <w:rFonts w:hint="eastAsia" w:ascii="宋体" w:hAnsi="宋体" w:eastAsia="宋体" w:cs="Times New Roman"/>
                <w:color w:val="auto"/>
                <w:szCs w:val="21"/>
                <w:highlight w:val="none"/>
                <w:lang w:val="en-US" w:eastAsia="zh-CN"/>
              </w:rPr>
              <w:t xml:space="preserve">的扣除（监狱企业、残疾人福利企业视为小微企业），用扣除后的价格参与评审。对于本项目小型和微型企业产品 以扣除优惠比率后的价格参与评审，不作为成交价和合同签 约价。成交价和合同签约价仍以其最终的报价为准。参加本项目的中小微企业应当提供中小微企业声明函（格式详见第六章）。 </w:t>
            </w:r>
          </w:p>
          <w:p w14:paraId="4A85EEF0">
            <w:pPr>
              <w:adjustRightInd w:val="0"/>
              <w:snapToGrid w:val="0"/>
              <w:spacing w:before="31" w:beforeLines="10" w:after="31" w:afterLines="10" w:line="360" w:lineRule="auto"/>
              <w:ind w:left="21" w:leftChars="10" w:right="21" w:rightChars="10" w:firstLine="420" w:firstLineChars="200"/>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本项目所属行业：</w:t>
            </w:r>
            <w:r>
              <w:rPr>
                <w:rFonts w:hint="eastAsia" w:ascii="宋体" w:hAnsi="宋体" w:cs="Times New Roman"/>
                <w:b/>
                <w:bCs/>
                <w:color w:val="auto"/>
                <w:szCs w:val="21"/>
                <w:highlight w:val="none"/>
                <w:lang w:val="en-US" w:eastAsia="zh-CN"/>
              </w:rPr>
              <w:t>批发业</w:t>
            </w:r>
            <w:r>
              <w:rPr>
                <w:rFonts w:hint="eastAsia" w:ascii="宋体" w:hAnsi="宋体" w:eastAsia="宋体" w:cs="Times New Roman"/>
                <w:b/>
                <w:bCs/>
                <w:color w:val="auto"/>
                <w:szCs w:val="21"/>
                <w:highlight w:val="none"/>
                <w:lang w:val="en-US" w:eastAsia="zh-CN"/>
              </w:rPr>
              <w:t xml:space="preserve">。 </w:t>
            </w:r>
          </w:p>
          <w:p w14:paraId="30019DC9">
            <w:pPr>
              <w:adjustRightInd w:val="0"/>
              <w:snapToGrid w:val="0"/>
              <w:spacing w:before="31" w:beforeLines="10" w:after="31" w:afterLines="10" w:line="360" w:lineRule="auto"/>
              <w:ind w:left="21" w:leftChars="10" w:right="21" w:rightChars="1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w:t>
            </w:r>
            <w:r>
              <w:rPr>
                <w:rFonts w:hint="default" w:ascii="宋体" w:hAnsi="宋体" w:eastAsia="宋体" w:cs="Times New Roman"/>
                <w:color w:val="auto"/>
                <w:szCs w:val="21"/>
                <w:highlight w:val="none"/>
                <w:lang w:val="en-US" w:eastAsia="zh-CN"/>
              </w:rPr>
              <w:t>是否有政府强制采购的节能产品</w:t>
            </w:r>
            <w:r>
              <w:rPr>
                <w:rFonts w:hint="eastAsia" w:ascii="宋体" w:hAnsi="宋体" w:eastAsia="宋体" w:cs="Times New Roman"/>
                <w:color w:val="auto"/>
                <w:szCs w:val="21"/>
                <w:highlight w:val="none"/>
                <w:lang w:val="en-US" w:eastAsia="zh-CN"/>
              </w:rPr>
              <w:t>：否</w:t>
            </w:r>
          </w:p>
          <w:p w14:paraId="6C87736B">
            <w:pPr>
              <w:adjustRightInd w:val="0"/>
              <w:snapToGrid w:val="0"/>
              <w:spacing w:before="31" w:beforeLines="10" w:after="31" w:afterLines="10" w:line="360" w:lineRule="auto"/>
              <w:ind w:left="21" w:leftChars="10" w:right="21" w:rightChars="10"/>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w:t>
            </w:r>
            <w:r>
              <w:rPr>
                <w:rFonts w:hint="default" w:ascii="宋体" w:hAnsi="宋体" w:eastAsia="宋体" w:cs="Times New Roman"/>
                <w:color w:val="auto"/>
                <w:szCs w:val="21"/>
                <w:highlight w:val="none"/>
                <w:lang w:val="en-US" w:eastAsia="zh-CN"/>
              </w:rPr>
              <w:t>是否有</w:t>
            </w:r>
            <w:r>
              <w:rPr>
                <w:rFonts w:hint="eastAsia" w:ascii="宋体" w:hAnsi="宋体" w:eastAsia="宋体" w:cs="Times New Roman"/>
                <w:color w:val="auto"/>
                <w:szCs w:val="21"/>
                <w:highlight w:val="none"/>
              </w:rPr>
              <w:t>节能产品、环境标志产品</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否</w:t>
            </w:r>
          </w:p>
          <w:p w14:paraId="46E5C7CC">
            <w:pPr>
              <w:adjustRightInd w:val="0"/>
              <w:snapToGrid w:val="0"/>
              <w:spacing w:before="31" w:beforeLines="10" w:after="31" w:afterLines="10" w:line="360" w:lineRule="auto"/>
              <w:ind w:left="21" w:leftChars="10" w:right="21" w:rightChars="10"/>
              <w:rPr>
                <w:rFonts w:hint="eastAsia" w:ascii="宋体" w:hAnsi="宋体"/>
                <w:color w:val="auto"/>
                <w:szCs w:val="21"/>
                <w:highlight w:val="none"/>
              </w:rPr>
            </w:pPr>
            <w:r>
              <w:rPr>
                <w:rFonts w:hint="eastAsia" w:ascii="宋体" w:hAnsi="宋体"/>
                <w:color w:val="auto"/>
                <w:szCs w:val="21"/>
                <w:highlight w:val="none"/>
              </w:rPr>
              <w:t>7.</w:t>
            </w:r>
            <w:r>
              <w:rPr>
                <w:rFonts w:hint="default" w:ascii="宋体" w:hAnsi="宋体" w:eastAsia="宋体" w:cs="Times New Roman"/>
                <w:color w:val="auto"/>
                <w:szCs w:val="21"/>
                <w:highlight w:val="none"/>
                <w:lang w:val="en-US" w:eastAsia="zh-CN"/>
              </w:rPr>
              <w:t>是否有</w:t>
            </w:r>
            <w:r>
              <w:rPr>
                <w:rFonts w:hint="eastAsia" w:ascii="宋体" w:hAnsi="宋体"/>
                <w:color w:val="auto"/>
                <w:szCs w:val="21"/>
                <w:highlight w:val="none"/>
              </w:rPr>
              <w:t>无线局域网产品</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否</w:t>
            </w:r>
            <w:r>
              <w:rPr>
                <w:rFonts w:hint="eastAsia" w:ascii="宋体" w:hAnsi="宋体"/>
                <w:color w:val="auto"/>
                <w:szCs w:val="21"/>
                <w:highlight w:val="none"/>
              </w:rPr>
              <w:t>。</w:t>
            </w:r>
          </w:p>
          <w:p w14:paraId="37EE1038">
            <w:pPr>
              <w:adjustRightInd w:val="0"/>
              <w:snapToGrid w:val="0"/>
              <w:spacing w:before="31" w:beforeLines="10" w:after="31" w:afterLines="10" w:line="360" w:lineRule="auto"/>
              <w:ind w:left="21" w:leftChars="10" w:right="21" w:rightChars="10"/>
              <w:rPr>
                <w:rFonts w:hint="eastAsia" w:ascii="宋体" w:hAnsi="宋体"/>
                <w:color w:val="auto"/>
                <w:szCs w:val="21"/>
                <w:highlight w:val="none"/>
              </w:rPr>
            </w:pPr>
            <w:r>
              <w:rPr>
                <w:rFonts w:hint="eastAsia" w:ascii="宋体" w:hAnsi="宋体"/>
                <w:color w:val="auto"/>
                <w:szCs w:val="21"/>
                <w:highlight w:val="none"/>
              </w:rPr>
              <w:t>8.</w:t>
            </w:r>
            <w:r>
              <w:rPr>
                <w:rFonts w:hint="eastAsia" w:ascii="宋体" w:hAnsi="宋体"/>
                <w:color w:val="auto"/>
                <w:szCs w:val="21"/>
                <w:highlight w:val="none"/>
                <w:lang w:val="en-US" w:eastAsia="zh-CN"/>
              </w:rPr>
              <w:t>是否有</w:t>
            </w:r>
            <w:r>
              <w:rPr>
                <w:rFonts w:hint="eastAsia" w:ascii="宋体" w:hAnsi="宋体"/>
                <w:color w:val="auto"/>
                <w:szCs w:val="21"/>
                <w:highlight w:val="none"/>
              </w:rPr>
              <w:t>计算机办公设备</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否</w:t>
            </w:r>
          </w:p>
          <w:p w14:paraId="42668086">
            <w:pPr>
              <w:adjustRightInd w:val="0"/>
              <w:snapToGrid w:val="0"/>
              <w:spacing w:before="31" w:beforeLines="10" w:after="31" w:afterLines="10" w:line="360" w:lineRule="auto"/>
              <w:ind w:left="21" w:leftChars="10" w:right="21" w:rightChars="10"/>
              <w:rPr>
                <w:rFonts w:hint="eastAsia"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w:t>
            </w:r>
            <w:r>
              <w:rPr>
                <w:rFonts w:hint="eastAsia" w:ascii="宋体" w:hAnsi="宋体"/>
                <w:color w:val="auto"/>
                <w:szCs w:val="21"/>
                <w:highlight w:val="none"/>
                <w:lang w:val="en-US" w:eastAsia="zh-CN"/>
              </w:rPr>
              <w:t>是否有</w:t>
            </w:r>
            <w:r>
              <w:rPr>
                <w:rFonts w:hint="eastAsia" w:ascii="宋体" w:hAnsi="宋体"/>
                <w:color w:val="auto"/>
                <w:szCs w:val="21"/>
                <w:highlight w:val="none"/>
              </w:rPr>
              <w:t>信息安全产品</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否</w:t>
            </w:r>
            <w:r>
              <w:rPr>
                <w:rFonts w:hint="eastAsia" w:ascii="宋体" w:hAnsi="宋体"/>
                <w:color w:val="auto"/>
                <w:szCs w:val="21"/>
                <w:highlight w:val="none"/>
              </w:rPr>
              <w:t>。</w:t>
            </w:r>
          </w:p>
          <w:p w14:paraId="5685514C">
            <w:pPr>
              <w:spacing w:line="360" w:lineRule="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10.支持本国产品政府采购政策：本项目不适用。</w:t>
            </w:r>
            <w:r>
              <w:rPr>
                <w:rFonts w:hint="eastAsia"/>
                <w:szCs w:val="21"/>
              </w:rPr>
              <w:t>本国产品标准适用于货物，包括政府采购货物项目和服务项目中涉及的货物。适用本国产品标准的货物具体是指《政府采购品目分类目录》中的货物类产品，但</w:t>
            </w:r>
            <w:r>
              <w:rPr>
                <w:rFonts w:hint="eastAsia"/>
                <w:b/>
                <w:bCs/>
                <w:szCs w:val="21"/>
              </w:rPr>
              <w:t>不包括其中的房屋和构筑物，文物和陈列品，图书和档案，特种动植物，农林牧渔业产品，矿与矿物，电力、城市燃气、蒸汽和热水、水，食品、饮料和烟草原料，无形资产</w:t>
            </w:r>
            <w:r>
              <w:rPr>
                <w:rFonts w:hint="eastAsia"/>
                <w:szCs w:val="21"/>
              </w:rPr>
              <w:t>。</w:t>
            </w:r>
          </w:p>
        </w:tc>
      </w:tr>
      <w:tr w14:paraId="3C46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272" w:type="dxa"/>
            <w:gridSpan w:val="3"/>
            <w:noWrap w:val="0"/>
            <w:vAlign w:val="center"/>
          </w:tcPr>
          <w:p w14:paraId="13BE20DD">
            <w:pPr>
              <w:widowControl/>
              <w:adjustRightInd w:val="0"/>
              <w:snapToGrid w:val="0"/>
              <w:spacing w:before="31" w:beforeLines="10" w:after="31" w:afterLines="10" w:line="360" w:lineRule="auto"/>
              <w:ind w:left="21" w:leftChars="10" w:right="21" w:rightChars="10" w:firstLine="420" w:firstLineChars="200"/>
              <w:jc w:val="center"/>
              <w:rPr>
                <w:rFonts w:hint="eastAsia" w:ascii="宋体" w:hAnsi="宋体"/>
                <w:color w:val="auto"/>
                <w:szCs w:val="21"/>
                <w:highlight w:val="none"/>
              </w:rPr>
            </w:pPr>
            <w:r>
              <w:rPr>
                <w:rFonts w:hint="eastAsia" w:ascii="宋体" w:hAnsi="宋体"/>
                <w:color w:val="auto"/>
                <w:szCs w:val="21"/>
                <w:highlight w:val="none"/>
                <w:lang w:bidi="ar"/>
              </w:rPr>
              <w:t>河南省政府采购合同融资政策告知函</w:t>
            </w:r>
          </w:p>
          <w:p w14:paraId="0ADF425E">
            <w:pPr>
              <w:widowControl/>
              <w:adjustRightInd w:val="0"/>
              <w:snapToGrid w:val="0"/>
              <w:spacing w:before="31" w:beforeLines="10" w:after="31" w:afterLines="10" w:line="360" w:lineRule="auto"/>
              <w:ind w:right="21" w:rightChars="10"/>
              <w:jc w:val="left"/>
              <w:rPr>
                <w:rFonts w:hint="eastAsia" w:ascii="宋体" w:hAnsi="宋体"/>
                <w:color w:val="auto"/>
                <w:szCs w:val="21"/>
                <w:highlight w:val="none"/>
                <w:lang w:bidi="ar"/>
              </w:rPr>
            </w:pPr>
            <w:r>
              <w:rPr>
                <w:rFonts w:hint="eastAsia" w:ascii="宋体" w:hAnsi="宋体"/>
                <w:color w:val="auto"/>
                <w:szCs w:val="21"/>
                <w:highlight w:val="none"/>
                <w:lang w:bidi="ar"/>
              </w:rPr>
              <w:t>各供应商：</w:t>
            </w:r>
          </w:p>
          <w:p w14:paraId="57149CD6">
            <w:pPr>
              <w:widowControl/>
              <w:adjustRightInd w:val="0"/>
              <w:snapToGrid w:val="0"/>
              <w:spacing w:before="31" w:beforeLines="10" w:after="31" w:afterLines="10" w:line="360" w:lineRule="auto"/>
              <w:ind w:left="21" w:leftChars="10" w:right="21" w:rightChars="10" w:firstLine="420" w:firstLineChars="200"/>
              <w:jc w:val="left"/>
              <w:rPr>
                <w:rFonts w:hint="eastAsia" w:ascii="宋体" w:hAnsi="宋体"/>
                <w:color w:val="auto"/>
                <w:szCs w:val="21"/>
                <w:highlight w:val="none"/>
              </w:rPr>
            </w:pPr>
            <w:r>
              <w:rPr>
                <w:rFonts w:hint="eastAsia" w:ascii="宋体" w:hAnsi="宋体"/>
                <w:color w:val="auto"/>
                <w:szCs w:val="21"/>
                <w:highlight w:val="none"/>
                <w:lang w:bidi="ar"/>
              </w:rPr>
              <w:t xml:space="preserve">欢迎贵公司参与河南省政府采购活动！ </w:t>
            </w:r>
          </w:p>
          <w:p w14:paraId="51AAD025">
            <w:pPr>
              <w:tabs>
                <w:tab w:val="left" w:pos="420"/>
              </w:tabs>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bidi="ar"/>
              </w:rPr>
              <w:t>政府采购合同融资是河南省财政厅支持中小微企业发展，针对参与政府采购活动的响应人融资难、融资贵问题推出的一项融资政策。贵公司若成为本次政府采购项目的中标响应人，可持政府采购合同向金融机构申请贷款，无需抵押、担保，融资机构将根据《河南省政府采购合同融资工作实施方案》（豫财购[2017]10号），按照双方自愿的原则提供便捷、优惠的贷款服务。贷款渠道和提供贷款的金融机构，可在河南省政府采购网“河南省政府采购合同融资平台”查询联系。</w:t>
            </w:r>
          </w:p>
        </w:tc>
      </w:tr>
    </w:tbl>
    <w:p w14:paraId="3FB521D9">
      <w:pPr>
        <w:rPr>
          <w:rFonts w:hint="eastAsia" w:ascii="宋体" w:hAnsi="宋体" w:cs="宋体"/>
          <w:color w:val="auto"/>
          <w:highlight w:val="none"/>
        </w:rPr>
      </w:pPr>
    </w:p>
    <w:p w14:paraId="23AC57F3">
      <w:pPr>
        <w:pStyle w:val="3"/>
        <w:widowControl/>
        <w:snapToGrid w:val="0"/>
        <w:spacing w:beforeAutospacing="0" w:afterAutospacing="0" w:line="500" w:lineRule="exact"/>
        <w:jc w:val="center"/>
        <w:rPr>
          <w:rStyle w:val="21"/>
          <w:rFonts w:cs="宋体"/>
          <w:b/>
          <w:color w:val="auto"/>
          <w:sz w:val="24"/>
          <w:szCs w:val="24"/>
          <w:highlight w:val="none"/>
          <w:shd w:val="clear" w:color="auto" w:fill="FFFFFF"/>
        </w:rPr>
      </w:pPr>
      <w:bookmarkStart w:id="30" w:name="_Toc3926"/>
      <w:bookmarkStart w:id="31" w:name="_Toc15364"/>
      <w:bookmarkStart w:id="32" w:name="_Toc31360"/>
      <w:bookmarkStart w:id="33" w:name="_Toc12523"/>
      <w:bookmarkStart w:id="34" w:name="_Toc2781"/>
      <w:bookmarkStart w:id="35" w:name="_Toc32449"/>
      <w:bookmarkStart w:id="36" w:name="_Toc16967"/>
      <w:bookmarkStart w:id="37" w:name="_Toc10968"/>
      <w:bookmarkStart w:id="38" w:name="_Toc23665"/>
      <w:bookmarkStart w:id="39" w:name="_Toc15063"/>
      <w:bookmarkStart w:id="40" w:name="_Toc20269"/>
      <w:bookmarkStart w:id="41" w:name="_Toc6718"/>
      <w:r>
        <w:rPr>
          <w:rStyle w:val="21"/>
          <w:rFonts w:cs="宋体"/>
          <w:b/>
          <w:color w:val="auto"/>
          <w:sz w:val="24"/>
          <w:szCs w:val="24"/>
          <w:highlight w:val="none"/>
          <w:shd w:val="clear" w:color="auto" w:fill="FFFFFF"/>
        </w:rPr>
        <w:t>一、总则</w:t>
      </w:r>
      <w:bookmarkEnd w:id="30"/>
      <w:bookmarkEnd w:id="31"/>
      <w:bookmarkEnd w:id="32"/>
      <w:bookmarkEnd w:id="33"/>
      <w:bookmarkEnd w:id="34"/>
      <w:bookmarkEnd w:id="35"/>
      <w:bookmarkEnd w:id="36"/>
      <w:bookmarkEnd w:id="37"/>
      <w:bookmarkEnd w:id="38"/>
      <w:bookmarkEnd w:id="39"/>
      <w:bookmarkEnd w:id="40"/>
      <w:bookmarkEnd w:id="41"/>
    </w:p>
    <w:p w14:paraId="2AEB518B">
      <w:pPr>
        <w:numPr>
          <w:ilvl w:val="0"/>
          <w:numId w:val="2"/>
        </w:numPr>
        <w:adjustRightInd w:val="0"/>
        <w:snapToGrid w:val="0"/>
        <w:spacing w:line="360" w:lineRule="auto"/>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项目概况</w:t>
      </w:r>
    </w:p>
    <w:p w14:paraId="75F144BD">
      <w:pPr>
        <w:numPr>
          <w:ilvl w:val="1"/>
          <w:numId w:val="3"/>
        </w:numPr>
        <w:tabs>
          <w:tab w:val="left" w:pos="0"/>
          <w:tab w:val="clear" w:pos="420"/>
        </w:tabs>
        <w:adjustRightInd w:val="0"/>
        <w:snapToGrid w:val="0"/>
        <w:spacing w:line="360" w:lineRule="auto"/>
        <w:ind w:lef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本项目已具备采购条件，现对本项目进行竞争性磋商采购，</w:t>
      </w:r>
      <w:r>
        <w:rPr>
          <w:rFonts w:hint="eastAsia" w:ascii="宋体" w:hAnsi="宋体" w:cs="宋体"/>
          <w:color w:val="auto"/>
          <w:szCs w:val="21"/>
          <w:highlight w:val="none"/>
          <w:lang w:val="zh-CN"/>
        </w:rPr>
        <w:t>本</w:t>
      </w:r>
      <w:r>
        <w:rPr>
          <w:rFonts w:hint="eastAsia" w:ascii="宋体" w:hAnsi="宋体" w:cs="宋体"/>
          <w:color w:val="auto"/>
          <w:szCs w:val="21"/>
          <w:highlight w:val="none"/>
        </w:rPr>
        <w:t>竞争性磋商</w:t>
      </w:r>
      <w:r>
        <w:rPr>
          <w:rFonts w:hint="eastAsia" w:ascii="宋体" w:hAnsi="宋体" w:cs="宋体"/>
          <w:color w:val="auto"/>
          <w:szCs w:val="21"/>
          <w:highlight w:val="none"/>
          <w:lang w:val="zh-CN"/>
        </w:rPr>
        <w:t>文件仅适用于本次</w:t>
      </w:r>
      <w:r>
        <w:rPr>
          <w:rFonts w:hint="eastAsia" w:ascii="宋体" w:hAnsi="宋体" w:cs="宋体"/>
          <w:color w:val="auto"/>
          <w:szCs w:val="21"/>
          <w:highlight w:val="none"/>
        </w:rPr>
        <w:t>采购</w:t>
      </w:r>
      <w:r>
        <w:rPr>
          <w:rFonts w:hint="eastAsia" w:ascii="宋体" w:hAnsi="宋体" w:cs="宋体"/>
          <w:color w:val="auto"/>
          <w:szCs w:val="21"/>
          <w:highlight w:val="none"/>
          <w:lang w:val="zh-CN"/>
        </w:rPr>
        <w:t>所述的服务。</w:t>
      </w:r>
    </w:p>
    <w:p w14:paraId="08E6C7FB">
      <w:pPr>
        <w:numPr>
          <w:ilvl w:val="1"/>
          <w:numId w:val="3"/>
        </w:numPr>
        <w:tabs>
          <w:tab w:val="left" w:pos="0"/>
          <w:tab w:val="clear" w:pos="420"/>
        </w:tabs>
        <w:adjustRightInd w:val="0"/>
        <w:snapToGrid w:val="0"/>
        <w:spacing w:line="360" w:lineRule="auto"/>
        <w:ind w:left="0" w:firstLine="420" w:firstLineChars="200"/>
        <w:rPr>
          <w:rFonts w:hint="eastAsia" w:ascii="宋体" w:hAnsi="宋体" w:cs="宋体"/>
          <w:color w:val="auto"/>
          <w:szCs w:val="21"/>
          <w:highlight w:val="none"/>
        </w:rPr>
      </w:pPr>
      <w:bookmarkStart w:id="42" w:name="_Toc16004"/>
      <w:r>
        <w:rPr>
          <w:rFonts w:hint="eastAsia" w:ascii="宋体" w:hAnsi="宋体" w:cs="宋体"/>
          <w:color w:val="auto"/>
          <w:szCs w:val="21"/>
          <w:highlight w:val="none"/>
        </w:rPr>
        <w:t>本招标项目采购人：见供应商须知前附表。</w:t>
      </w:r>
    </w:p>
    <w:p w14:paraId="1C57141E">
      <w:pPr>
        <w:numPr>
          <w:ilvl w:val="1"/>
          <w:numId w:val="3"/>
        </w:numPr>
        <w:tabs>
          <w:tab w:val="left" w:pos="0"/>
          <w:tab w:val="clear" w:pos="420"/>
        </w:tabs>
        <w:adjustRightInd w:val="0"/>
        <w:snapToGrid w:val="0"/>
        <w:spacing w:line="360" w:lineRule="auto"/>
        <w:ind w:lef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本招标项目采购代理机构：见供应商须知前附表。</w:t>
      </w:r>
    </w:p>
    <w:p w14:paraId="2352732F">
      <w:pPr>
        <w:numPr>
          <w:ilvl w:val="1"/>
          <w:numId w:val="3"/>
        </w:numPr>
        <w:tabs>
          <w:tab w:val="left" w:pos="0"/>
          <w:tab w:val="clear" w:pos="420"/>
        </w:tabs>
        <w:adjustRightInd w:val="0"/>
        <w:snapToGrid w:val="0"/>
        <w:spacing w:line="360" w:lineRule="auto"/>
        <w:ind w:lef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本招标项目名称和项目编号：见供应商须知前附表。</w:t>
      </w:r>
    </w:p>
    <w:p w14:paraId="0DC0C6E4">
      <w:pPr>
        <w:numPr>
          <w:ilvl w:val="0"/>
          <w:numId w:val="2"/>
        </w:numPr>
        <w:adjustRightInd w:val="0"/>
        <w:snapToGrid w:val="0"/>
        <w:spacing w:line="360" w:lineRule="auto"/>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资金</w:t>
      </w:r>
      <w:r>
        <w:rPr>
          <w:rFonts w:hint="eastAsia" w:ascii="宋体" w:hAnsi="宋体" w:cs="宋体"/>
          <w:b/>
          <w:bCs/>
          <w:color w:val="auto"/>
          <w:szCs w:val="21"/>
          <w:highlight w:val="none"/>
          <w:lang w:val="zh-CN"/>
        </w:rPr>
        <w:t>来源</w:t>
      </w:r>
    </w:p>
    <w:p w14:paraId="61FDB394">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color w:val="auto"/>
          <w:spacing w:val="-3"/>
          <w:szCs w:val="21"/>
          <w:highlight w:val="none"/>
          <w:lang w:val="zh-CN" w:bidi="zh-CN"/>
        </w:rPr>
      </w:pPr>
      <w:r>
        <w:rPr>
          <w:rFonts w:hint="eastAsia" w:ascii="宋体" w:hAnsi="宋体" w:cs="宋体"/>
          <w:color w:val="auto"/>
          <w:spacing w:val="-3"/>
          <w:szCs w:val="21"/>
          <w:highlight w:val="none"/>
          <w:lang w:val="zh-CN" w:bidi="zh-CN"/>
        </w:rPr>
        <w:t>本招标项目预算金额及最高限价：见供应商须知前附表。</w:t>
      </w:r>
    </w:p>
    <w:p w14:paraId="1E90C0EC">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color w:val="auto"/>
          <w:spacing w:val="-3"/>
          <w:szCs w:val="21"/>
          <w:highlight w:val="none"/>
          <w:lang w:val="zh-CN" w:bidi="zh-CN"/>
        </w:rPr>
      </w:pPr>
      <w:r>
        <w:rPr>
          <w:rFonts w:hint="eastAsia" w:ascii="宋体" w:hAnsi="宋体" w:cs="宋体"/>
          <w:color w:val="auto"/>
          <w:spacing w:val="-3"/>
          <w:szCs w:val="21"/>
          <w:highlight w:val="none"/>
          <w:lang w:val="zh-CN" w:bidi="zh-CN"/>
        </w:rPr>
        <w:t>本招标项目的资金来源：见供应商须知前附表。</w:t>
      </w:r>
    </w:p>
    <w:p w14:paraId="7FDFBF93">
      <w:pPr>
        <w:numPr>
          <w:ilvl w:val="0"/>
          <w:numId w:val="2"/>
        </w:numPr>
        <w:adjustRightInd w:val="0"/>
        <w:snapToGrid w:val="0"/>
        <w:spacing w:line="360" w:lineRule="auto"/>
        <w:rPr>
          <w:rFonts w:hint="eastAsia"/>
          <w:color w:val="auto"/>
          <w:lang w:val="zh-CN"/>
        </w:rPr>
      </w:pPr>
      <w:r>
        <w:rPr>
          <w:rFonts w:hint="eastAsia" w:ascii="宋体" w:hAnsi="宋体" w:cs="宋体"/>
          <w:b/>
          <w:bCs/>
          <w:color w:val="auto"/>
          <w:szCs w:val="21"/>
          <w:highlight w:val="none"/>
          <w:lang w:bidi="zh-CN"/>
        </w:rPr>
        <w:t>采购内容</w:t>
      </w:r>
      <w:r>
        <w:rPr>
          <w:rFonts w:hint="eastAsia" w:ascii="宋体" w:hAnsi="宋体" w:cs="宋体"/>
          <w:b/>
          <w:bCs/>
          <w:color w:val="auto"/>
          <w:szCs w:val="21"/>
          <w:highlight w:val="none"/>
          <w:lang w:val="zh-CN" w:bidi="zh-CN"/>
        </w:rPr>
        <w:t>、</w:t>
      </w:r>
      <w:r>
        <w:rPr>
          <w:rFonts w:hint="eastAsia" w:ascii="宋体" w:hAnsi="宋体" w:cs="宋体"/>
          <w:b/>
          <w:bCs/>
          <w:color w:val="auto"/>
          <w:szCs w:val="21"/>
          <w:highlight w:val="none"/>
          <w:lang w:val="en-US" w:bidi="zh-CN"/>
        </w:rPr>
        <w:t>交货期、交货地点</w:t>
      </w:r>
      <w:r>
        <w:rPr>
          <w:rFonts w:hint="eastAsia" w:ascii="宋体" w:hAnsi="宋体" w:cs="宋体"/>
          <w:b/>
          <w:bCs/>
          <w:color w:val="auto"/>
          <w:szCs w:val="21"/>
          <w:highlight w:val="none"/>
          <w:lang w:val="zh-CN" w:bidi="zh-CN"/>
        </w:rPr>
        <w:t>、</w:t>
      </w:r>
      <w:r>
        <w:rPr>
          <w:rFonts w:hint="eastAsia" w:ascii="宋体" w:hAnsi="宋体" w:cs="宋体"/>
          <w:b/>
          <w:bCs/>
          <w:color w:val="auto"/>
          <w:szCs w:val="21"/>
          <w:highlight w:val="none"/>
          <w:lang w:val="en-US" w:bidi="zh-CN"/>
        </w:rPr>
        <w:t>质量要求</w:t>
      </w:r>
      <w:r>
        <w:rPr>
          <w:rFonts w:hint="eastAsia" w:ascii="宋体" w:hAnsi="宋体" w:cs="宋体"/>
          <w:b/>
          <w:bCs/>
          <w:color w:val="auto"/>
          <w:szCs w:val="21"/>
          <w:highlight w:val="none"/>
          <w:lang w:val="zh-CN" w:bidi="zh-CN"/>
        </w:rPr>
        <w:t>、</w:t>
      </w:r>
      <w:r>
        <w:rPr>
          <w:rFonts w:hint="eastAsia" w:ascii="宋体" w:hAnsi="宋体" w:cs="宋体"/>
          <w:b/>
          <w:bCs/>
          <w:color w:val="auto"/>
          <w:szCs w:val="21"/>
          <w:highlight w:val="none"/>
          <w:lang w:val="en-US" w:bidi="zh-CN"/>
        </w:rPr>
        <w:t>质保期</w:t>
      </w:r>
    </w:p>
    <w:p w14:paraId="488235ED">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color w:val="auto"/>
          <w:spacing w:val="-3"/>
          <w:szCs w:val="21"/>
          <w:highlight w:val="none"/>
          <w:lang w:val="zh-CN" w:bidi="zh-CN"/>
        </w:rPr>
      </w:pPr>
      <w:r>
        <w:rPr>
          <w:rFonts w:hint="eastAsia" w:ascii="宋体" w:hAnsi="宋体" w:cs="宋体"/>
          <w:color w:val="auto"/>
          <w:spacing w:val="-3"/>
          <w:szCs w:val="21"/>
          <w:highlight w:val="none"/>
          <w:lang w:val="zh-CN" w:bidi="zh-CN"/>
        </w:rPr>
        <w:t>本招标项目采购内容：见供应商须知前附表，详细内容见第</w:t>
      </w:r>
      <w:r>
        <w:rPr>
          <w:rFonts w:hint="eastAsia" w:ascii="宋体" w:hAnsi="宋体" w:cs="宋体"/>
          <w:color w:val="auto"/>
          <w:spacing w:val="-3"/>
          <w:szCs w:val="21"/>
          <w:highlight w:val="none"/>
          <w:lang w:bidi="zh-CN"/>
        </w:rPr>
        <w:t>五</w:t>
      </w:r>
      <w:r>
        <w:rPr>
          <w:rFonts w:hint="eastAsia" w:ascii="宋体" w:hAnsi="宋体" w:cs="宋体"/>
          <w:color w:val="auto"/>
          <w:spacing w:val="-3"/>
          <w:szCs w:val="21"/>
          <w:highlight w:val="none"/>
          <w:lang w:val="zh-CN" w:bidi="zh-CN"/>
        </w:rPr>
        <w:t>章</w:t>
      </w:r>
      <w:r>
        <w:rPr>
          <w:rFonts w:hint="eastAsia" w:ascii="宋体" w:hAnsi="宋体" w:cs="宋体"/>
          <w:color w:val="auto"/>
          <w:spacing w:val="-3"/>
          <w:szCs w:val="21"/>
          <w:highlight w:val="none"/>
          <w:lang w:bidi="zh-CN"/>
        </w:rPr>
        <w:t>项目</w:t>
      </w:r>
      <w:r>
        <w:rPr>
          <w:rFonts w:hint="eastAsia" w:ascii="宋体" w:hAnsi="宋体" w:cs="宋体"/>
          <w:color w:val="auto"/>
          <w:spacing w:val="-3"/>
          <w:szCs w:val="21"/>
          <w:highlight w:val="none"/>
          <w:lang w:val="zh-CN" w:bidi="zh-CN"/>
        </w:rPr>
        <w:t>采购需求。</w:t>
      </w:r>
    </w:p>
    <w:p w14:paraId="5952E19A">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b w:val="0"/>
          <w:bCs w:val="0"/>
          <w:color w:val="auto"/>
          <w:spacing w:val="-3"/>
          <w:szCs w:val="21"/>
          <w:highlight w:val="none"/>
          <w:lang w:val="zh-CN" w:bidi="zh-CN"/>
        </w:rPr>
      </w:pPr>
      <w:r>
        <w:rPr>
          <w:rFonts w:hint="eastAsia" w:ascii="宋体" w:hAnsi="宋体" w:cs="宋体"/>
          <w:color w:val="auto"/>
          <w:spacing w:val="-3"/>
          <w:szCs w:val="21"/>
          <w:highlight w:val="none"/>
          <w:lang w:val="zh-CN" w:bidi="zh-CN"/>
        </w:rPr>
        <w:t>本</w:t>
      </w:r>
      <w:r>
        <w:rPr>
          <w:rFonts w:hint="eastAsia" w:ascii="宋体" w:hAnsi="宋体" w:cs="宋体"/>
          <w:b w:val="0"/>
          <w:bCs w:val="0"/>
          <w:color w:val="auto"/>
          <w:spacing w:val="-3"/>
          <w:szCs w:val="21"/>
          <w:highlight w:val="none"/>
          <w:lang w:val="zh-CN" w:bidi="zh-CN"/>
        </w:rPr>
        <w:t>招标项目</w:t>
      </w:r>
      <w:r>
        <w:rPr>
          <w:rFonts w:hint="eastAsia" w:ascii="宋体" w:hAnsi="宋体" w:cs="宋体"/>
          <w:b w:val="0"/>
          <w:bCs w:val="0"/>
          <w:color w:val="auto"/>
          <w:szCs w:val="21"/>
          <w:highlight w:val="none"/>
          <w:lang w:val="en-US" w:bidi="zh-CN"/>
        </w:rPr>
        <w:t>交货期</w:t>
      </w:r>
      <w:r>
        <w:rPr>
          <w:rFonts w:hint="eastAsia" w:ascii="宋体" w:hAnsi="宋体" w:cs="宋体"/>
          <w:b w:val="0"/>
          <w:bCs w:val="0"/>
          <w:color w:val="auto"/>
          <w:spacing w:val="-3"/>
          <w:szCs w:val="21"/>
          <w:highlight w:val="none"/>
          <w:lang w:val="zh-CN" w:bidi="zh-CN"/>
        </w:rPr>
        <w:t>：见供应商须知前附表。</w:t>
      </w:r>
    </w:p>
    <w:p w14:paraId="0AF2BD5A">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b w:val="0"/>
          <w:bCs w:val="0"/>
          <w:color w:val="auto"/>
          <w:spacing w:val="-3"/>
          <w:szCs w:val="21"/>
          <w:highlight w:val="none"/>
          <w:lang w:val="zh-CN" w:bidi="zh-CN"/>
        </w:rPr>
      </w:pPr>
      <w:r>
        <w:rPr>
          <w:rFonts w:hint="eastAsia" w:ascii="宋体" w:hAnsi="宋体" w:cs="宋体"/>
          <w:b w:val="0"/>
          <w:bCs w:val="0"/>
          <w:color w:val="auto"/>
          <w:spacing w:val="-3"/>
          <w:szCs w:val="21"/>
          <w:highlight w:val="none"/>
          <w:lang w:val="zh-CN" w:bidi="zh-CN"/>
        </w:rPr>
        <w:t>本招标项目</w:t>
      </w:r>
      <w:r>
        <w:rPr>
          <w:rFonts w:hint="eastAsia" w:ascii="宋体" w:hAnsi="宋体" w:cs="宋体"/>
          <w:b w:val="0"/>
          <w:bCs w:val="0"/>
          <w:color w:val="auto"/>
          <w:szCs w:val="21"/>
          <w:highlight w:val="none"/>
          <w:lang w:val="en-US" w:bidi="zh-CN"/>
        </w:rPr>
        <w:t>交货地点</w:t>
      </w:r>
      <w:r>
        <w:rPr>
          <w:rFonts w:hint="eastAsia" w:ascii="宋体" w:hAnsi="宋体" w:cs="宋体"/>
          <w:b w:val="0"/>
          <w:bCs w:val="0"/>
          <w:color w:val="auto"/>
          <w:spacing w:val="-3"/>
          <w:szCs w:val="21"/>
          <w:highlight w:val="none"/>
          <w:lang w:val="zh-CN" w:bidi="zh-CN"/>
        </w:rPr>
        <w:t>：见供应商须知前附表。</w:t>
      </w:r>
    </w:p>
    <w:p w14:paraId="2D1512D6">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color w:val="auto"/>
          <w:spacing w:val="-3"/>
          <w:szCs w:val="21"/>
          <w:highlight w:val="none"/>
          <w:lang w:val="zh-CN" w:bidi="zh-CN"/>
        </w:rPr>
      </w:pPr>
      <w:r>
        <w:rPr>
          <w:rFonts w:hint="eastAsia" w:ascii="宋体" w:hAnsi="宋体" w:cs="宋体"/>
          <w:b w:val="0"/>
          <w:bCs w:val="0"/>
          <w:color w:val="auto"/>
          <w:spacing w:val="-3"/>
          <w:szCs w:val="21"/>
          <w:highlight w:val="none"/>
          <w:lang w:val="zh-CN" w:bidi="zh-CN"/>
        </w:rPr>
        <w:t>本招标项目</w:t>
      </w:r>
      <w:r>
        <w:rPr>
          <w:rFonts w:hint="eastAsia" w:ascii="宋体" w:hAnsi="宋体" w:cs="宋体"/>
          <w:b w:val="0"/>
          <w:bCs w:val="0"/>
          <w:color w:val="auto"/>
          <w:szCs w:val="21"/>
          <w:highlight w:val="none"/>
          <w:lang w:val="en-US" w:bidi="zh-CN"/>
        </w:rPr>
        <w:t>质量要求</w:t>
      </w:r>
      <w:r>
        <w:rPr>
          <w:rFonts w:hint="eastAsia" w:ascii="宋体" w:hAnsi="宋体" w:cs="宋体"/>
          <w:b w:val="0"/>
          <w:bCs w:val="0"/>
          <w:color w:val="auto"/>
          <w:spacing w:val="-3"/>
          <w:szCs w:val="21"/>
          <w:highlight w:val="none"/>
          <w:lang w:val="zh-CN" w:bidi="zh-CN"/>
        </w:rPr>
        <w:t>：见供应商须知前附表</w:t>
      </w:r>
      <w:r>
        <w:rPr>
          <w:rFonts w:hint="eastAsia" w:ascii="宋体" w:hAnsi="宋体" w:cs="宋体"/>
          <w:color w:val="auto"/>
          <w:spacing w:val="-3"/>
          <w:szCs w:val="21"/>
          <w:highlight w:val="none"/>
          <w:lang w:val="zh-CN" w:bidi="zh-CN"/>
        </w:rPr>
        <w:t>。</w:t>
      </w:r>
    </w:p>
    <w:p w14:paraId="56FCA886">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color w:val="auto"/>
          <w:spacing w:val="-3"/>
          <w:szCs w:val="21"/>
          <w:highlight w:val="none"/>
          <w:lang w:val="zh-CN" w:bidi="zh-CN"/>
        </w:rPr>
      </w:pPr>
      <w:r>
        <w:rPr>
          <w:rFonts w:hint="eastAsia" w:ascii="宋体" w:hAnsi="宋体" w:cs="宋体"/>
          <w:b w:val="0"/>
          <w:bCs w:val="0"/>
          <w:color w:val="auto"/>
          <w:spacing w:val="-3"/>
          <w:szCs w:val="21"/>
          <w:highlight w:val="none"/>
          <w:lang w:val="zh-CN" w:bidi="zh-CN"/>
        </w:rPr>
        <w:t>本招标项目</w:t>
      </w:r>
      <w:r>
        <w:rPr>
          <w:rFonts w:hint="eastAsia" w:ascii="宋体" w:hAnsi="宋体" w:cs="宋体"/>
          <w:b w:val="0"/>
          <w:bCs w:val="0"/>
          <w:color w:val="auto"/>
          <w:szCs w:val="21"/>
          <w:highlight w:val="none"/>
          <w:lang w:val="en-US" w:bidi="zh-CN"/>
        </w:rPr>
        <w:t>质保期</w:t>
      </w:r>
      <w:r>
        <w:rPr>
          <w:rFonts w:hint="eastAsia" w:ascii="宋体" w:hAnsi="宋体" w:cs="宋体"/>
          <w:b w:val="0"/>
          <w:bCs w:val="0"/>
          <w:color w:val="auto"/>
          <w:spacing w:val="-3"/>
          <w:szCs w:val="21"/>
          <w:highlight w:val="none"/>
          <w:lang w:val="zh-CN" w:bidi="zh-CN"/>
        </w:rPr>
        <w:t>：见供应商须知前附表</w:t>
      </w:r>
      <w:r>
        <w:rPr>
          <w:rFonts w:hint="eastAsia" w:ascii="宋体" w:hAnsi="宋体" w:cs="宋体"/>
          <w:color w:val="auto"/>
          <w:spacing w:val="-3"/>
          <w:szCs w:val="21"/>
          <w:highlight w:val="none"/>
          <w:lang w:val="zh-CN" w:bidi="zh-CN"/>
        </w:rPr>
        <w:t>。</w:t>
      </w:r>
    </w:p>
    <w:bookmarkEnd w:id="42"/>
    <w:p w14:paraId="47639E17">
      <w:pPr>
        <w:numPr>
          <w:ilvl w:val="0"/>
          <w:numId w:val="2"/>
        </w:numPr>
        <w:adjustRightInd w:val="0"/>
        <w:snapToGrid w:val="0"/>
        <w:spacing w:line="360" w:lineRule="auto"/>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合格的供应商</w:t>
      </w:r>
    </w:p>
    <w:p w14:paraId="6710F9DB">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b/>
          <w:bCs/>
          <w:color w:val="auto"/>
          <w:spacing w:val="-3"/>
          <w:szCs w:val="21"/>
          <w:highlight w:val="none"/>
          <w:u w:val="single"/>
          <w:lang w:val="zh-CN" w:bidi="zh-CN"/>
        </w:rPr>
      </w:pPr>
      <w:r>
        <w:rPr>
          <w:rFonts w:hint="eastAsia" w:ascii="宋体" w:hAnsi="宋体" w:cs="宋体"/>
          <w:color w:val="auto"/>
          <w:spacing w:val="-3"/>
          <w:szCs w:val="21"/>
          <w:highlight w:val="none"/>
          <w:lang w:val="zh-CN" w:bidi="zh-CN"/>
        </w:rPr>
        <w:t>供应商应具备承担本项目的资格条件：见供应商须知前附表。</w:t>
      </w:r>
      <w:bookmarkStart w:id="43" w:name="_Toc22792"/>
    </w:p>
    <w:p w14:paraId="175A16C8">
      <w:pPr>
        <w:tabs>
          <w:tab w:val="left" w:pos="1488"/>
        </w:tabs>
        <w:autoSpaceDE w:val="0"/>
        <w:autoSpaceDN w:val="0"/>
        <w:adjustRightInd w:val="0"/>
        <w:snapToGrid w:val="0"/>
        <w:spacing w:line="360" w:lineRule="auto"/>
        <w:ind w:firstLine="408" w:firstLineChars="200"/>
        <w:jc w:val="left"/>
        <w:rPr>
          <w:rFonts w:hint="eastAsia" w:ascii="宋体" w:hAnsi="宋体" w:cs="宋体"/>
          <w:b/>
          <w:bCs/>
          <w:color w:val="auto"/>
          <w:spacing w:val="-3"/>
          <w:szCs w:val="21"/>
          <w:highlight w:val="none"/>
          <w:u w:val="single"/>
          <w:lang w:val="zh-CN" w:bidi="zh-CN"/>
        </w:rPr>
      </w:pPr>
      <w:r>
        <w:rPr>
          <w:rFonts w:hint="eastAsia" w:ascii="宋体" w:hAnsi="宋体" w:cs="宋体"/>
          <w:b/>
          <w:bCs/>
          <w:color w:val="auto"/>
          <w:spacing w:val="-3"/>
          <w:szCs w:val="21"/>
          <w:highlight w:val="none"/>
          <w:u w:val="single"/>
          <w:lang w:val="zh-CN" w:bidi="zh-CN"/>
        </w:rPr>
        <w:t>信用查询方式：</w:t>
      </w:r>
      <w:r>
        <w:rPr>
          <w:rFonts w:hint="eastAsia" w:ascii="宋体" w:hAnsi="宋体" w:cs="宋体"/>
          <w:b/>
          <w:bCs/>
          <w:color w:val="auto"/>
          <w:spacing w:val="-3"/>
          <w:szCs w:val="21"/>
          <w:highlight w:val="none"/>
          <w:u w:val="single"/>
          <w:lang w:bidi="zh-CN"/>
        </w:rPr>
        <w:t>采购人或采购代理机构</w:t>
      </w:r>
      <w:r>
        <w:rPr>
          <w:rFonts w:hint="eastAsia" w:ascii="宋体" w:hAnsi="宋体" w:cs="宋体"/>
          <w:b/>
          <w:bCs/>
          <w:color w:val="auto"/>
          <w:spacing w:val="-3"/>
          <w:szCs w:val="21"/>
          <w:highlight w:val="none"/>
          <w:u w:val="single"/>
          <w:lang w:val="zh-CN" w:bidi="zh-CN"/>
        </w:rPr>
        <w:t>在</w:t>
      </w:r>
      <w:r>
        <w:rPr>
          <w:rFonts w:hint="eastAsia" w:ascii="宋体" w:hAnsi="宋体" w:cs="宋体"/>
          <w:b/>
          <w:bCs/>
          <w:color w:val="auto"/>
          <w:spacing w:val="-3"/>
          <w:szCs w:val="21"/>
          <w:highlight w:val="none"/>
          <w:u w:val="single"/>
          <w:lang w:bidi="zh-CN"/>
        </w:rPr>
        <w:t>开标后评标结束前</w:t>
      </w:r>
      <w:r>
        <w:rPr>
          <w:rFonts w:hint="eastAsia" w:ascii="宋体" w:hAnsi="宋体" w:cs="宋体"/>
          <w:b/>
          <w:bCs/>
          <w:color w:val="auto"/>
          <w:spacing w:val="-3"/>
          <w:szCs w:val="21"/>
          <w:highlight w:val="none"/>
          <w:u w:val="single"/>
          <w:lang w:val="zh-CN" w:bidi="zh-CN"/>
        </w:rPr>
        <w:t>在相关网站上即时查询相应信息，即时查询结果作为最终资格审查依据。</w:t>
      </w:r>
    </w:p>
    <w:p w14:paraId="1A1C1FAF">
      <w:pPr>
        <w:tabs>
          <w:tab w:val="left" w:pos="1488"/>
        </w:tabs>
        <w:autoSpaceDE w:val="0"/>
        <w:autoSpaceDN w:val="0"/>
        <w:adjustRightInd w:val="0"/>
        <w:snapToGrid w:val="0"/>
        <w:spacing w:line="360" w:lineRule="auto"/>
        <w:ind w:firstLine="408" w:firstLineChars="200"/>
        <w:jc w:val="left"/>
        <w:rPr>
          <w:rFonts w:hint="eastAsia" w:ascii="宋体" w:hAnsi="宋体" w:cs="宋体"/>
          <w:color w:val="auto"/>
          <w:highlight w:val="none"/>
          <w:lang w:val="zh-CN"/>
        </w:rPr>
      </w:pPr>
      <w:r>
        <w:rPr>
          <w:rFonts w:hint="eastAsia" w:ascii="宋体" w:hAnsi="宋体" w:cs="宋体"/>
          <w:b/>
          <w:bCs/>
          <w:color w:val="auto"/>
          <w:spacing w:val="-3"/>
          <w:szCs w:val="21"/>
          <w:highlight w:val="none"/>
          <w:lang w:val="en-US" w:bidi="zh-CN"/>
        </w:rPr>
        <w:t>4.2.</w:t>
      </w:r>
      <w:r>
        <w:rPr>
          <w:rFonts w:hint="eastAsia" w:ascii="宋体" w:hAnsi="宋体" w:cs="宋体"/>
          <w:color w:val="auto"/>
          <w:spacing w:val="-3"/>
          <w:szCs w:val="21"/>
          <w:highlight w:val="none"/>
          <w:lang w:val="en-US" w:bidi="zh-CN"/>
        </w:rPr>
        <w:t xml:space="preserve"> 本项目不接受联合体投标</w:t>
      </w:r>
      <w:bookmarkEnd w:id="43"/>
      <w:r>
        <w:rPr>
          <w:rFonts w:hint="eastAsia" w:ascii="宋体" w:hAnsi="宋体" w:cs="宋体"/>
          <w:color w:val="auto"/>
          <w:spacing w:val="-3"/>
          <w:szCs w:val="21"/>
          <w:highlight w:val="none"/>
          <w:lang w:val="zh-CN" w:bidi="zh-CN"/>
        </w:rPr>
        <w:t>。</w:t>
      </w:r>
    </w:p>
    <w:p w14:paraId="017A066C">
      <w:pPr>
        <w:numPr>
          <w:ilvl w:val="0"/>
          <w:numId w:val="2"/>
        </w:numPr>
        <w:adjustRightInd w:val="0"/>
        <w:snapToGrid w:val="0"/>
        <w:spacing w:line="360" w:lineRule="auto"/>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分包、转包</w:t>
      </w:r>
    </w:p>
    <w:p w14:paraId="5AC201E2">
      <w:pPr>
        <w:numPr>
          <w:ilvl w:val="1"/>
          <w:numId w:val="2"/>
        </w:numPr>
        <w:tabs>
          <w:tab w:val="left" w:pos="1488"/>
          <w:tab w:val="clear" w:pos="420"/>
        </w:tabs>
        <w:autoSpaceDE w:val="0"/>
        <w:autoSpaceDN w:val="0"/>
        <w:adjustRightInd w:val="0"/>
        <w:snapToGrid w:val="0"/>
        <w:spacing w:line="360" w:lineRule="auto"/>
        <w:ind w:left="0" w:firstLine="420" w:firstLineChars="200"/>
        <w:jc w:val="left"/>
        <w:rPr>
          <w:rFonts w:hint="eastAsia" w:ascii="宋体" w:hAnsi="宋体" w:cs="宋体"/>
          <w:color w:val="auto"/>
          <w:spacing w:val="-3"/>
          <w:szCs w:val="21"/>
          <w:highlight w:val="none"/>
          <w:lang w:val="zh-CN" w:bidi="zh-CN"/>
        </w:rPr>
      </w:pPr>
      <w:r>
        <w:rPr>
          <w:rFonts w:hint="eastAsia" w:ascii="宋体" w:hAnsi="宋体" w:eastAsia="宋体" w:cs="宋体"/>
          <w:color w:val="auto"/>
          <w:szCs w:val="21"/>
          <w:highlight w:val="none"/>
          <w:lang w:eastAsia="zh-CN"/>
        </w:rPr>
        <w:t>不允许转包，分包</w:t>
      </w:r>
      <w:r>
        <w:rPr>
          <w:rFonts w:hint="eastAsia" w:ascii="宋体" w:hAnsi="宋体" w:cs="宋体"/>
          <w:color w:val="auto"/>
          <w:spacing w:val="-3"/>
          <w:szCs w:val="21"/>
          <w:highlight w:val="none"/>
          <w:lang w:val="zh-CN" w:bidi="zh-CN"/>
        </w:rPr>
        <w:t>。</w:t>
      </w:r>
    </w:p>
    <w:p w14:paraId="151C6315">
      <w:pPr>
        <w:numPr>
          <w:ilvl w:val="0"/>
          <w:numId w:val="2"/>
        </w:numPr>
        <w:adjustRightInd w:val="0"/>
        <w:snapToGrid w:val="0"/>
        <w:spacing w:line="360" w:lineRule="auto"/>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磋商费用</w:t>
      </w:r>
    </w:p>
    <w:p w14:paraId="2CEDD3D3">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color w:val="auto"/>
          <w:spacing w:val="-3"/>
          <w:szCs w:val="21"/>
          <w:highlight w:val="none"/>
          <w:lang w:val="zh-CN" w:bidi="zh-CN"/>
        </w:rPr>
      </w:pPr>
      <w:r>
        <w:rPr>
          <w:rFonts w:hint="eastAsia" w:ascii="宋体" w:hAnsi="宋体" w:cs="宋体"/>
          <w:color w:val="auto"/>
          <w:spacing w:val="-3"/>
          <w:szCs w:val="21"/>
          <w:highlight w:val="none"/>
          <w:lang w:val="zh-CN" w:bidi="zh-CN"/>
        </w:rPr>
        <w:t>供应商须自行承担所有与参加磋商有关的费用，无论磋商的结果如何，采购人和采购代理机构在任何情况下均无义务和责任承担这些费用。</w:t>
      </w:r>
    </w:p>
    <w:p w14:paraId="2421A86E">
      <w:pPr>
        <w:numPr>
          <w:ilvl w:val="0"/>
          <w:numId w:val="2"/>
        </w:numPr>
        <w:adjustRightInd w:val="0"/>
        <w:snapToGrid w:val="0"/>
        <w:spacing w:line="360" w:lineRule="auto"/>
        <w:rPr>
          <w:rFonts w:hint="eastAsia" w:ascii="宋体" w:hAnsi="宋体" w:cs="宋体"/>
          <w:b/>
          <w:bCs/>
          <w:color w:val="auto"/>
          <w:szCs w:val="21"/>
          <w:highlight w:val="none"/>
          <w:lang w:bidi="zh-CN"/>
        </w:rPr>
      </w:pPr>
      <w:bookmarkStart w:id="44" w:name="_Toc22905"/>
      <w:r>
        <w:rPr>
          <w:rFonts w:hint="eastAsia" w:ascii="宋体" w:hAnsi="宋体" w:cs="宋体"/>
          <w:b/>
          <w:bCs/>
          <w:color w:val="auto"/>
          <w:szCs w:val="21"/>
          <w:highlight w:val="none"/>
          <w:lang w:bidi="zh-CN"/>
        </w:rPr>
        <w:t>现场考察、磋商前答疑会</w:t>
      </w:r>
      <w:bookmarkEnd w:id="44"/>
    </w:p>
    <w:p w14:paraId="44982EE8">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color w:val="auto"/>
          <w:spacing w:val="-3"/>
          <w:szCs w:val="21"/>
          <w:highlight w:val="none"/>
          <w:lang w:val="zh-CN" w:bidi="zh-CN"/>
        </w:rPr>
      </w:pPr>
      <w:r>
        <w:rPr>
          <w:rFonts w:hint="eastAsia" w:ascii="宋体" w:hAnsi="宋体" w:cs="宋体"/>
          <w:color w:val="auto"/>
          <w:spacing w:val="-3"/>
          <w:szCs w:val="21"/>
          <w:highlight w:val="none"/>
          <w:lang w:val="zh-CN" w:bidi="zh-CN"/>
        </w:rPr>
        <w:t>本项目不统一组织现场考察，不召开磋商前答疑会。供应商可根据需要，自行踏勘现场。</w:t>
      </w:r>
    </w:p>
    <w:p w14:paraId="471AACBA">
      <w:pPr>
        <w:numPr>
          <w:ilvl w:val="1"/>
          <w:numId w:val="2"/>
        </w:numPr>
        <w:tabs>
          <w:tab w:val="left" w:pos="1488"/>
          <w:tab w:val="clear" w:pos="420"/>
        </w:tabs>
        <w:autoSpaceDE w:val="0"/>
        <w:autoSpaceDN w:val="0"/>
        <w:adjustRightInd w:val="0"/>
        <w:snapToGrid w:val="0"/>
        <w:spacing w:line="360" w:lineRule="auto"/>
        <w:ind w:left="0" w:firstLine="408" w:firstLineChars="200"/>
        <w:jc w:val="left"/>
        <w:rPr>
          <w:rFonts w:hint="eastAsia" w:ascii="宋体" w:hAnsi="宋体" w:cs="宋体"/>
          <w:color w:val="auto"/>
          <w:spacing w:val="-3"/>
          <w:szCs w:val="21"/>
          <w:highlight w:val="none"/>
          <w:lang w:val="zh-CN" w:bidi="zh-CN"/>
        </w:rPr>
      </w:pPr>
      <w:r>
        <w:rPr>
          <w:rFonts w:hint="eastAsia" w:ascii="宋体" w:hAnsi="宋体" w:cs="宋体"/>
          <w:color w:val="auto"/>
          <w:spacing w:val="-3"/>
          <w:szCs w:val="21"/>
          <w:highlight w:val="none"/>
          <w:lang w:val="zh-CN" w:bidi="zh-CN"/>
        </w:rPr>
        <w:t>供应商考察现场所发生的一切费用及责任由供应商自行承担。</w:t>
      </w:r>
    </w:p>
    <w:p w14:paraId="7930555A">
      <w:pPr>
        <w:numPr>
          <w:ilvl w:val="0"/>
          <w:numId w:val="2"/>
        </w:numPr>
        <w:adjustRightInd w:val="0"/>
        <w:snapToGrid w:val="0"/>
        <w:spacing w:line="360" w:lineRule="auto"/>
        <w:rPr>
          <w:rFonts w:hint="eastAsia" w:ascii="宋体" w:hAnsi="宋体" w:cs="宋体"/>
          <w:b/>
          <w:bCs/>
          <w:color w:val="auto"/>
          <w:szCs w:val="21"/>
          <w:highlight w:val="none"/>
          <w:lang w:val="zh-CN" w:bidi="zh-CN"/>
        </w:rPr>
      </w:pPr>
      <w:bookmarkStart w:id="45" w:name="_Toc14044"/>
      <w:r>
        <w:rPr>
          <w:rFonts w:hint="eastAsia" w:ascii="宋体" w:hAnsi="宋体" w:cs="宋体"/>
          <w:b/>
          <w:bCs/>
          <w:color w:val="auto"/>
          <w:szCs w:val="21"/>
          <w:highlight w:val="none"/>
          <w:lang w:val="zh-CN" w:bidi="zh-CN"/>
        </w:rPr>
        <w:t>知识产权</w:t>
      </w:r>
      <w:bookmarkEnd w:id="45"/>
    </w:p>
    <w:p w14:paraId="3CE8B37A">
      <w:pPr>
        <w:numPr>
          <w:ilvl w:val="1"/>
          <w:numId w:val="2"/>
        </w:numPr>
        <w:tabs>
          <w:tab w:val="left" w:pos="1488"/>
          <w:tab w:val="clear" w:pos="420"/>
        </w:tabs>
        <w:autoSpaceDE w:val="0"/>
        <w:autoSpaceDN w:val="0"/>
        <w:adjustRightInd w:val="0"/>
        <w:snapToGrid w:val="0"/>
        <w:spacing w:line="360" w:lineRule="auto"/>
        <w:ind w:lef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供应商须保证采购人在</w:t>
      </w:r>
      <w:r>
        <w:rPr>
          <w:rFonts w:hint="eastAsia" w:ascii="宋体" w:hAnsi="宋体" w:cs="宋体"/>
          <w:color w:val="auto"/>
          <w:spacing w:val="-3"/>
          <w:szCs w:val="21"/>
          <w:highlight w:val="none"/>
          <w:lang w:bidi="zh-CN"/>
        </w:rPr>
        <w:t>中华人民共和国</w:t>
      </w:r>
      <w:r>
        <w:rPr>
          <w:rFonts w:hint="eastAsia" w:ascii="宋体" w:hAnsi="宋体" w:cs="宋体"/>
          <w:color w:val="auto"/>
          <w:szCs w:val="21"/>
          <w:highlight w:val="none"/>
        </w:rPr>
        <w:t>境内使用投标货物、资料、技术、服务或其任何一部分时，享有不受限制的无偿使用权，不会产生因第三方提出侵犯其专利权、商标权或其它知识产权而引起的法律或经济纠纷。如供应商不拥有投标的知识产权，则在投标报价中必须包括合法获取该知识产权的一切相关费用。如因此导致采购人损失的，供应商须承担全部赔偿责任。</w:t>
      </w:r>
    </w:p>
    <w:p w14:paraId="044EDBAD">
      <w:pPr>
        <w:widowControl/>
        <w:numPr>
          <w:ilvl w:val="1"/>
          <w:numId w:val="2"/>
        </w:numPr>
        <w:tabs>
          <w:tab w:val="left" w:pos="1488"/>
          <w:tab w:val="clear" w:pos="420"/>
        </w:tabs>
        <w:autoSpaceDE w:val="0"/>
        <w:autoSpaceDN w:val="0"/>
        <w:adjustRightInd w:val="0"/>
        <w:snapToGrid w:val="0"/>
        <w:spacing w:line="360" w:lineRule="auto"/>
        <w:ind w:lef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供应商如欲在项目实施</w:t>
      </w:r>
      <w:r>
        <w:rPr>
          <w:rFonts w:hint="eastAsia" w:ascii="宋体" w:hAnsi="宋体" w:cs="宋体"/>
          <w:color w:val="auto"/>
          <w:spacing w:val="-3"/>
          <w:szCs w:val="21"/>
          <w:highlight w:val="none"/>
          <w:lang w:bidi="zh-CN"/>
        </w:rPr>
        <w:t>过程</w:t>
      </w:r>
      <w:r>
        <w:rPr>
          <w:rFonts w:hint="eastAsia" w:ascii="宋体" w:hAnsi="宋体" w:cs="宋体"/>
          <w:color w:val="auto"/>
          <w:szCs w:val="21"/>
          <w:highlight w:val="none"/>
        </w:rPr>
        <w:t xml:space="preserve">中采用自有知识成果，须在响应文件中声明，并提供相关知识产权证明文件。使用该知识成果后，供应商须提供开发接口和开发手册等技术文档。  </w:t>
      </w:r>
    </w:p>
    <w:p w14:paraId="06F08185">
      <w:pPr>
        <w:widowControl/>
        <w:numPr>
          <w:ilvl w:val="0"/>
          <w:numId w:val="0"/>
        </w:numPr>
        <w:autoSpaceDE w:val="0"/>
        <w:autoSpaceDN w:val="0"/>
        <w:adjustRightInd w:val="0"/>
        <w:snapToGrid w:val="0"/>
        <w:spacing w:line="360" w:lineRule="auto"/>
        <w:ind w:left="0" w:leftChars="0" w:firstLine="420" w:firstLineChars="200"/>
        <w:jc w:val="left"/>
        <w:rPr>
          <w:rFonts w:hint="eastAsia"/>
          <w:color w:val="auto"/>
          <w:highlight w:val="none"/>
        </w:rPr>
      </w:pPr>
      <w:r>
        <w:rPr>
          <w:rFonts w:hint="eastAsia" w:ascii="宋体" w:hAnsi="宋体" w:eastAsia="宋体" w:cs="宋体"/>
          <w:color w:val="auto"/>
          <w:szCs w:val="21"/>
          <w:highlight w:val="none"/>
          <w:lang w:val="en-US" w:eastAsia="zh-CN"/>
        </w:rPr>
        <w:t xml:space="preserve">8.3 </w:t>
      </w:r>
      <w:r>
        <w:rPr>
          <w:rFonts w:hint="eastAsia" w:ascii="宋体" w:hAnsi="宋体" w:eastAsia="宋体" w:cs="宋体"/>
          <w:color w:val="auto"/>
          <w:szCs w:val="21"/>
          <w:highlight w:val="none"/>
        </w:rPr>
        <w:t>集成商提供的系统平台软件，该著作权的使用须征得所有人的许可，由此引发的著作使用权纠纷，由集成商负全部责任。投标人对该使用权许可须做出专项承诺,无专项承诺的，其投标文件将会被拒绝。</w:t>
      </w:r>
    </w:p>
    <w:p w14:paraId="34C3CB36">
      <w:pPr>
        <w:pStyle w:val="3"/>
        <w:widowControl/>
        <w:snapToGrid w:val="0"/>
        <w:spacing w:beforeAutospacing="0" w:afterAutospacing="0" w:line="500" w:lineRule="exact"/>
        <w:jc w:val="center"/>
        <w:rPr>
          <w:rFonts w:cs="宋体"/>
          <w:color w:val="auto"/>
          <w:sz w:val="24"/>
          <w:szCs w:val="24"/>
          <w:highlight w:val="none"/>
        </w:rPr>
      </w:pPr>
      <w:bookmarkStart w:id="46" w:name="_Toc22745"/>
      <w:bookmarkStart w:id="47" w:name="_Toc11506"/>
      <w:bookmarkStart w:id="48" w:name="_Toc18466"/>
      <w:bookmarkStart w:id="49" w:name="_Toc14723"/>
      <w:bookmarkStart w:id="50" w:name="_Toc25095"/>
      <w:bookmarkStart w:id="51" w:name="_Toc11311"/>
      <w:bookmarkStart w:id="52" w:name="_Toc18995"/>
      <w:bookmarkStart w:id="53" w:name="_Toc13676"/>
      <w:bookmarkStart w:id="54" w:name="_Toc14904"/>
      <w:bookmarkStart w:id="55" w:name="_Toc17420"/>
      <w:bookmarkStart w:id="56" w:name="_Toc20359"/>
      <w:bookmarkStart w:id="57" w:name="_Toc32387"/>
      <w:r>
        <w:rPr>
          <w:rFonts w:cs="宋体"/>
          <w:color w:val="auto"/>
          <w:sz w:val="24"/>
          <w:szCs w:val="24"/>
          <w:highlight w:val="none"/>
          <w:shd w:val="clear" w:color="auto" w:fill="FFFFFF"/>
        </w:rPr>
        <w:t>二、磋商文件</w:t>
      </w:r>
      <w:bookmarkEnd w:id="46"/>
      <w:bookmarkEnd w:id="47"/>
      <w:bookmarkEnd w:id="48"/>
      <w:bookmarkEnd w:id="49"/>
      <w:bookmarkEnd w:id="50"/>
      <w:bookmarkEnd w:id="51"/>
      <w:bookmarkEnd w:id="52"/>
      <w:bookmarkEnd w:id="53"/>
      <w:bookmarkEnd w:id="54"/>
      <w:bookmarkEnd w:id="55"/>
      <w:bookmarkEnd w:id="56"/>
      <w:bookmarkEnd w:id="57"/>
    </w:p>
    <w:p w14:paraId="1C819E24">
      <w:pPr>
        <w:numPr>
          <w:ilvl w:val="0"/>
          <w:numId w:val="2"/>
        </w:numPr>
        <w:adjustRightInd w:val="0"/>
        <w:snapToGrid w:val="0"/>
        <w:spacing w:line="360" w:lineRule="auto"/>
        <w:ind w:left="0" w:firstLine="0"/>
        <w:rPr>
          <w:rFonts w:hint="eastAsia" w:ascii="宋体" w:hAnsi="宋体" w:cs="宋体"/>
          <w:b/>
          <w:bCs/>
          <w:color w:val="auto"/>
          <w:szCs w:val="21"/>
          <w:highlight w:val="none"/>
        </w:rPr>
      </w:pPr>
      <w:bookmarkStart w:id="58" w:name="_Toc10412"/>
      <w:r>
        <w:rPr>
          <w:rFonts w:hint="eastAsia" w:ascii="宋体" w:hAnsi="宋体" w:cs="宋体"/>
          <w:b/>
          <w:bCs/>
          <w:color w:val="auto"/>
          <w:szCs w:val="21"/>
          <w:highlight w:val="none"/>
        </w:rPr>
        <w:t>磋商文件的</w:t>
      </w:r>
      <w:r>
        <w:rPr>
          <w:rFonts w:hint="eastAsia" w:ascii="宋体" w:hAnsi="宋体" w:cs="宋体"/>
          <w:b/>
          <w:bCs/>
          <w:color w:val="auto"/>
          <w:szCs w:val="21"/>
          <w:highlight w:val="none"/>
          <w:lang w:val="zh-CN" w:bidi="zh-CN"/>
        </w:rPr>
        <w:t>组成</w:t>
      </w:r>
      <w:bookmarkEnd w:id="58"/>
    </w:p>
    <w:p w14:paraId="709DE08C">
      <w:pPr>
        <w:numPr>
          <w:ilvl w:val="1"/>
          <w:numId w:val="2"/>
        </w:num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磋商文件用以阐明本次采购的需求、磋商程序和合同条件。</w:t>
      </w:r>
    </w:p>
    <w:p w14:paraId="788BE0EE">
      <w:pPr>
        <w:tabs>
          <w:tab w:val="left" w:pos="420"/>
        </w:tabs>
        <w:snapToGrid w:val="0"/>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磋商文件包括下列内容：</w:t>
      </w:r>
    </w:p>
    <w:p w14:paraId="2F1551C3">
      <w:pPr>
        <w:tabs>
          <w:tab w:val="left" w:pos="420"/>
        </w:tabs>
        <w:snapToGrid w:val="0"/>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第一章 竞争性磋商公告</w:t>
      </w:r>
    </w:p>
    <w:p w14:paraId="0062FBE9">
      <w:pPr>
        <w:tabs>
          <w:tab w:val="left" w:pos="420"/>
        </w:tabs>
        <w:snapToGrid w:val="0"/>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第二章 供应商须知</w:t>
      </w:r>
    </w:p>
    <w:p w14:paraId="43B0467C">
      <w:pPr>
        <w:tabs>
          <w:tab w:val="left" w:pos="420"/>
        </w:tabs>
        <w:snapToGrid w:val="0"/>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第三章 评审标准及方法</w:t>
      </w:r>
    </w:p>
    <w:p w14:paraId="1EDF692E">
      <w:pPr>
        <w:tabs>
          <w:tab w:val="left" w:pos="420"/>
        </w:tabs>
        <w:snapToGrid w:val="0"/>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第四章 合同条款和格式</w:t>
      </w:r>
    </w:p>
    <w:p w14:paraId="37230A02">
      <w:pPr>
        <w:tabs>
          <w:tab w:val="left" w:pos="420"/>
        </w:tabs>
        <w:snapToGrid w:val="0"/>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第五章 项目采购需求</w:t>
      </w:r>
    </w:p>
    <w:p w14:paraId="0E8D5DD0">
      <w:pPr>
        <w:tabs>
          <w:tab w:val="left" w:pos="420"/>
        </w:tabs>
        <w:snapToGrid w:val="0"/>
        <w:spacing w:line="360" w:lineRule="auto"/>
        <w:ind w:left="420" w:leftChars="200" w:firstLine="420" w:firstLineChars="200"/>
        <w:rPr>
          <w:rFonts w:hint="eastAsia" w:ascii="宋体" w:hAnsi="宋体" w:cs="宋体"/>
          <w:color w:val="auto"/>
          <w:highlight w:val="none"/>
        </w:rPr>
      </w:pPr>
      <w:r>
        <w:rPr>
          <w:rFonts w:hint="eastAsia" w:ascii="宋体" w:hAnsi="宋体" w:cs="宋体"/>
          <w:color w:val="auto"/>
          <w:szCs w:val="21"/>
          <w:highlight w:val="none"/>
        </w:rPr>
        <w:t>第六章 磋商内容、磋商过程中可能实质性变动的内容</w:t>
      </w:r>
    </w:p>
    <w:p w14:paraId="79BF78A9">
      <w:pPr>
        <w:tabs>
          <w:tab w:val="left" w:pos="420"/>
        </w:tabs>
        <w:snapToGrid w:val="0"/>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第七章 响应文件格式</w:t>
      </w:r>
    </w:p>
    <w:p w14:paraId="11D2647B">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供应商应认真阅读磋商文件中所有的事项、格式、条款和磋商内容及要求等，并按照磋商文件的要求编制响应文件。若供应商不按照磋商文件要求编制响应文件，由此产生的风险和责任将由供应商自己承担。</w:t>
      </w:r>
    </w:p>
    <w:p w14:paraId="641C9419">
      <w:pPr>
        <w:numPr>
          <w:ilvl w:val="0"/>
          <w:numId w:val="2"/>
        </w:numPr>
        <w:snapToGrid w:val="0"/>
        <w:spacing w:line="360" w:lineRule="auto"/>
        <w:rPr>
          <w:rFonts w:hint="eastAsia" w:ascii="宋体" w:hAnsi="宋体" w:cs="宋体"/>
          <w:b/>
          <w:bCs/>
          <w:color w:val="auto"/>
          <w:szCs w:val="21"/>
          <w:highlight w:val="none"/>
          <w:lang w:val="zh-CN"/>
        </w:rPr>
      </w:pPr>
      <w:bookmarkStart w:id="59" w:name="_Toc32301"/>
      <w:r>
        <w:rPr>
          <w:rFonts w:hint="eastAsia" w:ascii="宋体" w:hAnsi="宋体" w:cs="宋体"/>
          <w:b/>
          <w:bCs/>
          <w:color w:val="auto"/>
          <w:szCs w:val="21"/>
          <w:highlight w:val="none"/>
          <w:lang w:val="zh-CN"/>
        </w:rPr>
        <w:t>磋商文件的异议</w:t>
      </w:r>
    </w:p>
    <w:p w14:paraId="792D079C">
      <w:pPr>
        <w:numPr>
          <w:ilvl w:val="1"/>
          <w:numId w:val="2"/>
        </w:numPr>
        <w:tabs>
          <w:tab w:val="left" w:pos="1488"/>
          <w:tab w:val="clear" w:pos="420"/>
        </w:tabs>
        <w:autoSpaceDE w:val="0"/>
        <w:autoSpaceDN w:val="0"/>
        <w:adjustRightInd w:val="0"/>
        <w:snapToGrid w:val="0"/>
        <w:spacing w:line="360" w:lineRule="auto"/>
        <w:ind w:left="0"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供应商对磋商文件有异议的，应在获取磋商文件之日或者</w:t>
      </w:r>
      <w:r>
        <w:rPr>
          <w:rFonts w:hint="eastAsia" w:ascii="宋体" w:hAnsi="宋体" w:cs="宋体"/>
          <w:color w:val="auto"/>
          <w:szCs w:val="21"/>
          <w:highlight w:val="none"/>
          <w:lang w:bidi="zh-CN"/>
        </w:rPr>
        <w:t>采购</w:t>
      </w:r>
      <w:r>
        <w:rPr>
          <w:rFonts w:hint="eastAsia" w:ascii="宋体" w:hAnsi="宋体" w:cs="宋体"/>
          <w:color w:val="auto"/>
          <w:szCs w:val="21"/>
          <w:highlight w:val="none"/>
          <w:lang w:val="zh-CN" w:bidi="zh-CN"/>
        </w:rPr>
        <w:t>公告期限届满之日起7个工作日内，</w:t>
      </w:r>
      <w:r>
        <w:rPr>
          <w:rFonts w:hint="eastAsia" w:ascii="宋体" w:hAnsi="宋体" w:cs="宋体"/>
          <w:color w:val="auto"/>
          <w:szCs w:val="21"/>
          <w:highlight w:val="none"/>
          <w:lang w:bidi="zh-CN"/>
        </w:rPr>
        <w:t>以书面形式向</w:t>
      </w:r>
      <w:r>
        <w:rPr>
          <w:rFonts w:hint="eastAsia" w:ascii="宋体" w:hAnsi="宋体" w:cs="宋体"/>
          <w:color w:val="auto"/>
          <w:szCs w:val="21"/>
          <w:highlight w:val="none"/>
          <w:lang w:val="zh-CN" w:bidi="zh-CN"/>
        </w:rPr>
        <w:t>采购代理机构提出，要求采购人对竞争性磋商文件予以澄清。供应商在规定的时间内未要求对竞争性磋商文件澄清或提出疑问的，采购人和代理机构将视其为无异议，响应文件递交截止时间后，采购人和代理机构不接受其对竞争性磋商文件内容的质疑。</w:t>
      </w:r>
    </w:p>
    <w:p w14:paraId="3AE5BD74">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磋商文件的澄清、修改及变动</w:t>
      </w:r>
    </w:p>
    <w:p w14:paraId="4AC92B52">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可以对已发出的磋商文件进行必要的澄清或者修改，澄清或者修改的内容作为磋商文件的组成部分。澄清或者修改的内容可能影响响应文件编制的，采购人、采购代理机构将在提交首次响应文件截止时间至少5日前，在交易平台上公布给供应商，但不指明澄清问题的来源。不足5日的，采购人、采购代理机构应当顺延提交首次响应文件截止时间。</w:t>
      </w:r>
    </w:p>
    <w:p w14:paraId="533283DB">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在收到澄清或修改后，应在12小时内通知采购人、采购代理机构，确认已收到该澄清或者修改。若供应商对澄清或者修改内容仍有疑问，应在澄清或者修改内容发出后12小时内通知采购人，否则视为同意澄清或修改内容。开标后，采购人和采购代理机构不接受其对磋商文件内容的质疑。</w:t>
      </w:r>
    </w:p>
    <w:p w14:paraId="05600D78">
      <w:pPr>
        <w:numPr>
          <w:ilvl w:val="1"/>
          <w:numId w:val="2"/>
        </w:numPr>
        <w:tabs>
          <w:tab w:val="left" w:pos="220"/>
          <w:tab w:val="clear" w:pos="420"/>
        </w:tabs>
        <w:snapToGrid w:val="0"/>
        <w:spacing w:line="360" w:lineRule="auto"/>
        <w:ind w:left="10" w:firstLine="387"/>
        <w:rPr>
          <w:rFonts w:hint="eastAsia"/>
          <w:color w:val="auto"/>
          <w:highlight w:val="none"/>
        </w:rPr>
      </w:pPr>
      <w:r>
        <w:rPr>
          <w:rFonts w:hint="eastAsia" w:ascii="宋体" w:hAnsi="宋体" w:cs="宋体"/>
          <w:color w:val="auto"/>
          <w:szCs w:val="21"/>
          <w:highlight w:val="none"/>
        </w:rPr>
        <w:t>在采购需求明确以后，采购人会依据磋商会议纪要及磋商小组要求对磋商文件进行变动。磋商文件的变动主要包括采购需求中的技术、服务要求以及合同草案条款等，并将磋商文件的全部变动内容发给参与磋商的供应商。</w:t>
      </w:r>
    </w:p>
    <w:bookmarkEnd w:id="59"/>
    <w:p w14:paraId="4B20DCEC">
      <w:pPr>
        <w:pStyle w:val="3"/>
        <w:widowControl/>
        <w:snapToGrid w:val="0"/>
        <w:spacing w:beforeAutospacing="0" w:afterAutospacing="0" w:line="500" w:lineRule="exact"/>
        <w:jc w:val="center"/>
        <w:rPr>
          <w:rFonts w:cs="宋体"/>
          <w:color w:val="auto"/>
          <w:sz w:val="24"/>
          <w:szCs w:val="24"/>
          <w:highlight w:val="none"/>
        </w:rPr>
      </w:pPr>
      <w:bookmarkStart w:id="60" w:name="_Toc17418"/>
      <w:bookmarkStart w:id="61" w:name="_Toc20760"/>
      <w:bookmarkStart w:id="62" w:name="_Toc29910"/>
      <w:bookmarkStart w:id="63" w:name="_Toc23177"/>
      <w:bookmarkStart w:id="64" w:name="_Toc18746"/>
      <w:bookmarkStart w:id="65" w:name="_Toc144"/>
      <w:bookmarkStart w:id="66" w:name="_Toc24304"/>
      <w:bookmarkStart w:id="67" w:name="_Toc18437"/>
      <w:bookmarkStart w:id="68" w:name="_Toc14866"/>
      <w:bookmarkStart w:id="69" w:name="_Toc22022"/>
      <w:bookmarkStart w:id="70" w:name="_Toc13893"/>
      <w:bookmarkStart w:id="71" w:name="_Toc18716"/>
      <w:r>
        <w:rPr>
          <w:rFonts w:cs="宋体"/>
          <w:color w:val="auto"/>
          <w:sz w:val="24"/>
          <w:szCs w:val="24"/>
          <w:highlight w:val="none"/>
          <w:shd w:val="clear" w:color="auto" w:fill="FFFFFF"/>
        </w:rPr>
        <w:t>三、响应文件的编制</w:t>
      </w:r>
      <w:bookmarkEnd w:id="60"/>
      <w:bookmarkEnd w:id="61"/>
      <w:bookmarkEnd w:id="62"/>
      <w:bookmarkEnd w:id="63"/>
      <w:bookmarkEnd w:id="64"/>
      <w:bookmarkEnd w:id="65"/>
      <w:bookmarkEnd w:id="66"/>
      <w:bookmarkEnd w:id="67"/>
      <w:bookmarkEnd w:id="68"/>
      <w:bookmarkEnd w:id="69"/>
      <w:bookmarkEnd w:id="70"/>
      <w:bookmarkEnd w:id="71"/>
    </w:p>
    <w:p w14:paraId="3F6C42F3">
      <w:pPr>
        <w:numPr>
          <w:ilvl w:val="0"/>
          <w:numId w:val="2"/>
        </w:numPr>
        <w:adjustRightInd w:val="0"/>
        <w:snapToGrid w:val="0"/>
        <w:spacing w:line="360" w:lineRule="auto"/>
        <w:ind w:left="0" w:firstLine="0"/>
        <w:rPr>
          <w:rFonts w:hint="eastAsia" w:ascii="宋体" w:hAnsi="宋体" w:cs="宋体"/>
          <w:b/>
          <w:bCs/>
          <w:color w:val="auto"/>
          <w:szCs w:val="21"/>
          <w:highlight w:val="none"/>
        </w:rPr>
      </w:pPr>
      <w:bookmarkStart w:id="72" w:name="_Toc18659"/>
      <w:r>
        <w:rPr>
          <w:rFonts w:hint="eastAsia" w:ascii="宋体" w:hAnsi="宋体" w:cs="宋体"/>
          <w:b/>
          <w:bCs/>
          <w:color w:val="auto"/>
          <w:szCs w:val="21"/>
          <w:highlight w:val="none"/>
        </w:rPr>
        <w:t>磋商的语言与计量</w:t>
      </w:r>
      <w:bookmarkEnd w:id="72"/>
    </w:p>
    <w:p w14:paraId="6168418F">
      <w:pPr>
        <w:widowControl/>
        <w:numPr>
          <w:ilvl w:val="1"/>
          <w:numId w:val="2"/>
        </w:numPr>
        <w:tabs>
          <w:tab w:val="left" w:pos="1488"/>
          <w:tab w:val="clear" w:pos="420"/>
        </w:tabs>
        <w:autoSpaceDE w:val="0"/>
        <w:autoSpaceDN w:val="0"/>
        <w:adjustRightInd w:val="0"/>
        <w:snapToGrid w:val="0"/>
        <w:spacing w:line="360" w:lineRule="auto"/>
        <w:ind w:lef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提交的响应文件以及供应商与采购人和采购代理机构就有关磋商的所有来往函电均以中文文字书写。供应商提交的支持资料和已印刷的证件或资料可以用另一种语言，但相应内容应附有中文的翻译本，在解释响应文件时以翻译文本为准。</w:t>
      </w:r>
    </w:p>
    <w:p w14:paraId="4D9FB959">
      <w:pPr>
        <w:widowControl/>
        <w:numPr>
          <w:ilvl w:val="1"/>
          <w:numId w:val="2"/>
        </w:numPr>
        <w:tabs>
          <w:tab w:val="left" w:pos="1488"/>
          <w:tab w:val="clear" w:pos="420"/>
        </w:tabs>
        <w:autoSpaceDE w:val="0"/>
        <w:autoSpaceDN w:val="0"/>
        <w:adjustRightInd w:val="0"/>
        <w:snapToGrid w:val="0"/>
        <w:spacing w:line="360" w:lineRule="auto"/>
        <w:ind w:lef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除在磋商文件的技术规格中另有规定外，计量单位应使用中华人民共和国法定计量单位。</w:t>
      </w:r>
    </w:p>
    <w:p w14:paraId="180FF7B6">
      <w:pPr>
        <w:numPr>
          <w:ilvl w:val="0"/>
          <w:numId w:val="2"/>
        </w:numPr>
        <w:adjustRightInd w:val="0"/>
        <w:snapToGrid w:val="0"/>
        <w:spacing w:line="360" w:lineRule="auto"/>
        <w:ind w:left="0" w:firstLine="0"/>
        <w:rPr>
          <w:rFonts w:hint="eastAsia" w:ascii="宋体" w:hAnsi="宋体" w:cs="宋体"/>
          <w:b/>
          <w:bCs/>
          <w:color w:val="auto"/>
          <w:szCs w:val="21"/>
          <w:highlight w:val="none"/>
        </w:rPr>
      </w:pPr>
      <w:bookmarkStart w:id="73" w:name="_Toc14823"/>
      <w:r>
        <w:rPr>
          <w:rFonts w:hint="eastAsia" w:ascii="宋体" w:hAnsi="宋体" w:cs="宋体"/>
          <w:b/>
          <w:bCs/>
          <w:color w:val="auto"/>
          <w:szCs w:val="21"/>
          <w:highlight w:val="none"/>
        </w:rPr>
        <w:t>响应文件的</w:t>
      </w:r>
      <w:bookmarkEnd w:id="73"/>
      <w:r>
        <w:rPr>
          <w:rFonts w:hint="eastAsia" w:ascii="宋体" w:hAnsi="宋体" w:cs="宋体"/>
          <w:b/>
          <w:bCs/>
          <w:color w:val="auto"/>
          <w:szCs w:val="21"/>
          <w:highlight w:val="none"/>
        </w:rPr>
        <w:t>编写</w:t>
      </w:r>
    </w:p>
    <w:p w14:paraId="23DD1E47">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供应商应按照第七章响应文件格式完整地填写响应文件，并对其提交的响应文件的真实性、合法性承担法律责任。磋商文件提供标准格式的按标准格式填列，未提供标准格式的可自行拟定。</w:t>
      </w:r>
    </w:p>
    <w:p w14:paraId="03A74751">
      <w:pPr>
        <w:numPr>
          <w:ilvl w:val="1"/>
          <w:numId w:val="2"/>
        </w:numPr>
        <w:tabs>
          <w:tab w:val="left" w:pos="220"/>
          <w:tab w:val="clear" w:pos="420"/>
        </w:tabs>
        <w:snapToGrid w:val="0"/>
        <w:spacing w:line="360" w:lineRule="auto"/>
        <w:ind w:left="10" w:firstLine="387"/>
        <w:rPr>
          <w:rFonts w:hint="eastAsia" w:ascii="宋体" w:hAnsi="宋体" w:cs="宋体"/>
          <w:color w:val="auto"/>
          <w:highlight w:val="none"/>
        </w:rPr>
      </w:pPr>
      <w:r>
        <w:rPr>
          <w:rFonts w:hint="eastAsia" w:ascii="宋体" w:hAnsi="宋体" w:cs="宋体"/>
          <w:color w:val="auto"/>
          <w:szCs w:val="21"/>
          <w:highlight w:val="none"/>
        </w:rPr>
        <w:t>供应商应将任何不同于磋商文件的磋商内容、要求和商务条款列于“偏离表”中，同时在“偏离表”中注明其他条款无偏离；若所有条款均无偏离也应在“偏离表”中注明所有条款均无偏离。未在“偏离表”中列明的偏离不予认可，在磋商以及后期合同谈判过程中以磋商文件为准。</w:t>
      </w:r>
    </w:p>
    <w:p w14:paraId="778EEA29">
      <w:pPr>
        <w:numPr>
          <w:ilvl w:val="0"/>
          <w:numId w:val="2"/>
        </w:numPr>
        <w:adjustRightInd w:val="0"/>
        <w:snapToGrid w:val="0"/>
        <w:spacing w:line="360" w:lineRule="auto"/>
        <w:ind w:left="0" w:firstLine="0"/>
        <w:rPr>
          <w:rFonts w:hint="eastAsia" w:ascii="宋体" w:hAnsi="宋体" w:cs="宋体"/>
          <w:b/>
          <w:bCs/>
          <w:color w:val="auto"/>
          <w:szCs w:val="21"/>
          <w:highlight w:val="none"/>
        </w:rPr>
      </w:pPr>
      <w:r>
        <w:rPr>
          <w:rFonts w:hint="eastAsia" w:ascii="宋体" w:hAnsi="宋体" w:cs="宋体"/>
          <w:b/>
          <w:bCs/>
          <w:color w:val="auto"/>
          <w:szCs w:val="21"/>
          <w:highlight w:val="none"/>
        </w:rPr>
        <w:t>响应范围</w:t>
      </w:r>
    </w:p>
    <w:p w14:paraId="2AFBDD9D">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供应商应当对磋商文件中“项目采购需求”所列的所有内容进行响应，如仅响应部分内容，其该包响应文件将被认定为无效响应。</w:t>
      </w:r>
    </w:p>
    <w:p w14:paraId="0B4EE49A">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无论磋商文件第五章项目采购需求中是否要求，供应商所响应的服务及货物均应符合国家强制性标准。</w:t>
      </w:r>
    </w:p>
    <w:p w14:paraId="196E85CA">
      <w:pPr>
        <w:numPr>
          <w:ilvl w:val="0"/>
          <w:numId w:val="2"/>
        </w:numPr>
        <w:adjustRightInd w:val="0"/>
        <w:snapToGrid w:val="0"/>
        <w:spacing w:line="360" w:lineRule="auto"/>
        <w:ind w:left="0" w:firstLine="0"/>
        <w:rPr>
          <w:rFonts w:hint="eastAsia" w:ascii="宋体" w:hAnsi="宋体" w:cs="宋体"/>
          <w:b/>
          <w:bCs/>
          <w:color w:val="auto"/>
          <w:szCs w:val="21"/>
          <w:highlight w:val="none"/>
        </w:rPr>
      </w:pPr>
      <w:bookmarkStart w:id="74" w:name="_Toc8087"/>
      <w:r>
        <w:rPr>
          <w:rFonts w:hint="eastAsia" w:ascii="宋体" w:hAnsi="宋体" w:cs="宋体"/>
          <w:b/>
          <w:bCs/>
          <w:color w:val="auto"/>
          <w:szCs w:val="21"/>
          <w:highlight w:val="none"/>
        </w:rPr>
        <w:t>磋商价格</w:t>
      </w:r>
      <w:bookmarkEnd w:id="74"/>
    </w:p>
    <w:p w14:paraId="733130FC">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根据项目情况及采购人给出的项目内容填报价格。报价应包括完成该项目的成本、利润、税金、风险等所有伴随的其他费用。对采购项目履行过程中所需的而磋商文件中未列出的相关辅助材料和费用，也应包括在报价中。</w:t>
      </w:r>
    </w:p>
    <w:p w14:paraId="14A96390">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除非有特别声明或磋商未达成一致的，未列明的将视为包含在磋商价格中。采购人不再支付磋商价格外任何费用，超过预算金额的响应将按无效响应处理。</w:t>
      </w:r>
    </w:p>
    <w:p w14:paraId="2FD27A3A">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磋商价格中不应含有磋商文件要求以外的内容，否则在磋商过程中不予核减。</w:t>
      </w:r>
    </w:p>
    <w:p w14:paraId="13C113A4">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本次磋商不接受选择性报价或者有附加条件的报价。</w:t>
      </w:r>
    </w:p>
    <w:p w14:paraId="3A5ABBA2">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kern w:val="0"/>
          <w:szCs w:val="21"/>
          <w:highlight w:val="none"/>
        </w:rPr>
        <w:t>只允许有一个方案报价，多方案报价的响应文件将不被接受。</w:t>
      </w:r>
    </w:p>
    <w:p w14:paraId="0E94C193">
      <w:pPr>
        <w:numPr>
          <w:ilvl w:val="1"/>
          <w:numId w:val="2"/>
        </w:numPr>
        <w:tabs>
          <w:tab w:val="left" w:pos="220"/>
          <w:tab w:val="clear" w:pos="420"/>
        </w:tabs>
        <w:snapToGrid w:val="0"/>
        <w:spacing w:line="360" w:lineRule="auto"/>
        <w:ind w:left="10" w:firstLine="387"/>
        <w:rPr>
          <w:rFonts w:hint="eastAsia" w:ascii="宋体" w:hAnsi="宋体" w:cs="宋体"/>
          <w:b/>
          <w:bCs/>
          <w:color w:val="auto"/>
          <w:szCs w:val="21"/>
          <w:highlight w:val="none"/>
        </w:rPr>
      </w:pPr>
      <w:r>
        <w:rPr>
          <w:rFonts w:hint="eastAsia" w:ascii="宋体" w:hAnsi="宋体" w:cs="宋体"/>
          <w:b/>
          <w:bCs/>
          <w:color w:val="auto"/>
          <w:kern w:val="0"/>
          <w:szCs w:val="21"/>
          <w:highlight w:val="none"/>
        </w:rPr>
        <w:t>本项目采取二次报价</w:t>
      </w:r>
      <w:r>
        <w:rPr>
          <w:rFonts w:hint="eastAsia" w:ascii="宋体" w:hAnsi="宋体" w:cs="宋体"/>
          <w:color w:val="auto"/>
          <w:kern w:val="0"/>
          <w:szCs w:val="21"/>
          <w:highlight w:val="none"/>
        </w:rPr>
        <w:t>，</w:t>
      </w:r>
      <w:r>
        <w:rPr>
          <w:rFonts w:hint="eastAsia" w:ascii="宋体" w:hAnsi="宋体" w:cs="宋体"/>
          <w:b/>
          <w:color w:val="auto"/>
          <w:kern w:val="0"/>
          <w:szCs w:val="21"/>
          <w:highlight w:val="none"/>
        </w:rPr>
        <w:t>第二次报价为最终报价</w:t>
      </w:r>
      <w:r>
        <w:rPr>
          <w:rFonts w:hint="eastAsia" w:ascii="宋体" w:hAnsi="宋体" w:cs="宋体"/>
          <w:b/>
          <w:bCs/>
          <w:color w:val="auto"/>
          <w:kern w:val="0"/>
          <w:szCs w:val="21"/>
          <w:highlight w:val="none"/>
        </w:rPr>
        <w:t>。最终报价是供应商响应文件的有效组成部分。</w:t>
      </w:r>
    </w:p>
    <w:p w14:paraId="468799C5">
      <w:pPr>
        <w:numPr>
          <w:ilvl w:val="0"/>
          <w:numId w:val="2"/>
        </w:numPr>
        <w:tabs>
          <w:tab w:val="clear" w:pos="420"/>
        </w:tabs>
        <w:snapToGrid w:val="0"/>
        <w:spacing w:line="360" w:lineRule="auto"/>
        <w:ind w:left="0" w:firstLine="0"/>
        <w:rPr>
          <w:rFonts w:hint="eastAsia" w:ascii="宋体" w:hAnsi="宋体" w:cs="宋体"/>
          <w:b/>
          <w:bCs/>
          <w:color w:val="auto"/>
          <w:szCs w:val="21"/>
          <w:highlight w:val="none"/>
        </w:rPr>
      </w:pPr>
      <w:r>
        <w:rPr>
          <w:rFonts w:hint="eastAsia" w:ascii="宋体" w:hAnsi="宋体" w:cs="宋体"/>
          <w:b/>
          <w:bCs/>
          <w:color w:val="auto"/>
          <w:szCs w:val="21"/>
          <w:highlight w:val="none"/>
        </w:rPr>
        <w:t>证明响应标的的合格性和符合磋商文件规定的技术文件</w:t>
      </w:r>
    </w:p>
    <w:p w14:paraId="7E57A0D6">
      <w:pPr>
        <w:widowControl/>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供应商应提交证明文件，证明其响应内容符合磋商文件规定。该证明文件是响应文件的一部分。</w:t>
      </w:r>
    </w:p>
    <w:p w14:paraId="3521F2F4">
      <w:pPr>
        <w:widowControl/>
        <w:numPr>
          <w:ilvl w:val="1"/>
          <w:numId w:val="2"/>
        </w:numPr>
        <w:tabs>
          <w:tab w:val="left" w:pos="220"/>
        </w:tabs>
        <w:snapToGrid w:val="0"/>
        <w:spacing w:line="360" w:lineRule="auto"/>
        <w:ind w:left="10" w:firstLine="387"/>
        <w:rPr>
          <w:rFonts w:hint="eastAsia" w:ascii="宋体" w:hAnsi="宋体" w:cs="宋体"/>
          <w:color w:val="auto"/>
          <w:highlight w:val="none"/>
        </w:rPr>
      </w:pPr>
      <w:r>
        <w:rPr>
          <w:rFonts w:hint="eastAsia" w:ascii="宋体" w:hAnsi="宋体" w:cs="宋体"/>
          <w:color w:val="auto"/>
          <w:szCs w:val="21"/>
          <w:highlight w:val="none"/>
        </w:rPr>
        <w:t>上款所述的证明文件，可以是文字资料、图纸、彩页、数据或检测报告等。</w:t>
      </w:r>
    </w:p>
    <w:p w14:paraId="0F4690C8">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磋商保证金</w:t>
      </w:r>
    </w:p>
    <w:p w14:paraId="5BE29D8B">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本项目供应商无须交纳磋商保证金。</w:t>
      </w:r>
    </w:p>
    <w:p w14:paraId="1A49D4E9">
      <w:pPr>
        <w:widowControl/>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供应商有以下违法行为的，采购人有权取消其成交资格，并按法律法规及磋商文件规定视情况对其进行相应处罚。</w:t>
      </w:r>
    </w:p>
    <w:p w14:paraId="47A6A0C3">
      <w:pPr>
        <w:widowControl/>
        <w:tabs>
          <w:tab w:val="left" w:pos="220"/>
        </w:tabs>
        <w:snapToGrid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（1）在采购文件规定的磋商有效期内撤回响应文件的；</w:t>
      </w:r>
    </w:p>
    <w:p w14:paraId="0A8385C7">
      <w:pPr>
        <w:widowControl/>
        <w:tabs>
          <w:tab w:val="left" w:pos="220"/>
        </w:tabs>
        <w:snapToGrid w:val="0"/>
        <w:spacing w:line="360" w:lineRule="auto"/>
        <w:ind w:firstLine="420"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（2）中标或者成交后无正当理由拒不与采购人签订采购合同</w:t>
      </w:r>
      <w:r>
        <w:rPr>
          <w:rFonts w:hint="eastAsia" w:ascii="宋体" w:hAnsi="宋体" w:cs="宋体"/>
          <w:b/>
          <w:bCs/>
          <w:color w:val="auto"/>
          <w:szCs w:val="21"/>
          <w:highlight w:val="none"/>
          <w:lang w:eastAsia="zh-CN"/>
        </w:rPr>
        <w:t>；</w:t>
      </w:r>
    </w:p>
    <w:p w14:paraId="54B86177">
      <w:pPr>
        <w:widowControl/>
        <w:tabs>
          <w:tab w:val="left" w:pos="220"/>
        </w:tabs>
        <w:snapToGrid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（3）在参与磋商过程中提供虚假材料、恶意串通、捏造事实或者以非法手段取得证明材料进行质疑、投诉的；</w:t>
      </w:r>
    </w:p>
    <w:p w14:paraId="508070DA">
      <w:pPr>
        <w:widowControl/>
        <w:tabs>
          <w:tab w:val="left" w:pos="220"/>
        </w:tabs>
        <w:snapToGrid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（4）中标人未能按磋商文件规定提交履约保证金（如有）；</w:t>
      </w:r>
    </w:p>
    <w:p w14:paraId="1465951C">
      <w:pPr>
        <w:widowControl/>
        <w:tabs>
          <w:tab w:val="left" w:pos="220"/>
        </w:tabs>
        <w:snapToGrid w:val="0"/>
        <w:spacing w:line="360" w:lineRule="auto"/>
        <w:ind w:firstLine="420" w:firstLineChars="200"/>
        <w:rPr>
          <w:rFonts w:hint="eastAsia" w:ascii="宋体" w:hAnsi="宋体" w:cs="宋体"/>
          <w:color w:val="auto"/>
          <w:highlight w:val="none"/>
        </w:rPr>
      </w:pPr>
      <w:r>
        <w:rPr>
          <w:rFonts w:hint="eastAsia" w:ascii="宋体" w:hAnsi="宋体" w:cs="宋体"/>
          <w:b/>
          <w:bCs/>
          <w:color w:val="auto"/>
          <w:szCs w:val="21"/>
          <w:highlight w:val="none"/>
        </w:rPr>
        <w:t>（5）违反法律法规及磋商文件规定的其他情形。</w:t>
      </w:r>
    </w:p>
    <w:p w14:paraId="6D00E0A7">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磋商有效期</w:t>
      </w:r>
    </w:p>
    <w:p w14:paraId="650B11F9">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首次响应文件应自磋商响应文件递交截止之日起，在供应商须知前附表规定的磋商有效期内保持有效，供应商不得要求撤销或修改其响应文件，磋商有效期不足的响应文件将被视为非实质性响应，予以否决。</w:t>
      </w:r>
    </w:p>
    <w:p w14:paraId="3B526CC1">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在供应商须知前附表规定的磋商有效期内，供应商不得要求撤销或修改其响应文件。</w:t>
      </w:r>
    </w:p>
    <w:p w14:paraId="7F46BF02">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出现特殊情况需要延长磋商有效期的，采购人以书面形式通知所有供应商延长磋商有效期。供应商同意延长的，不得要求或被允许修改或撤销其响应文件；供应商拒绝延长的，其响应失效。</w:t>
      </w:r>
    </w:p>
    <w:p w14:paraId="6693DA11">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响应文件的式样和签署</w:t>
      </w:r>
    </w:p>
    <w:p w14:paraId="71326BE8">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响应文件应按第七章“响应文件格式”进行编写，如有必要，可以增加附页，作为响应文件的组成部分。</w:t>
      </w:r>
    </w:p>
    <w:p w14:paraId="653DB40E">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响应文件签章要求：详见前附表。</w:t>
      </w:r>
    </w:p>
    <w:p w14:paraId="11670A8F">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响应文件中任何行间插字、涂改和增删，改动之处应加盖单位公章或由法定代表人或委托代理人签字确认。签字盖章要求见供应商须知前附表。</w:t>
      </w:r>
    </w:p>
    <w:p w14:paraId="4A8DA1D5">
      <w:pPr>
        <w:pStyle w:val="3"/>
        <w:widowControl/>
        <w:snapToGrid w:val="0"/>
        <w:spacing w:beforeAutospacing="0" w:afterAutospacing="0" w:line="500" w:lineRule="exact"/>
        <w:jc w:val="center"/>
        <w:rPr>
          <w:rFonts w:cs="宋体"/>
          <w:color w:val="auto"/>
          <w:sz w:val="24"/>
          <w:szCs w:val="24"/>
          <w:highlight w:val="none"/>
        </w:rPr>
      </w:pPr>
      <w:bookmarkStart w:id="75" w:name="_Toc7632"/>
      <w:bookmarkStart w:id="76" w:name="_Toc8722"/>
      <w:bookmarkStart w:id="77" w:name="_Toc22270"/>
      <w:bookmarkStart w:id="78" w:name="_Toc8893"/>
      <w:bookmarkStart w:id="79" w:name="_Toc17947"/>
      <w:bookmarkStart w:id="80" w:name="_Toc21977"/>
      <w:bookmarkStart w:id="81" w:name="_Toc32582"/>
      <w:bookmarkStart w:id="82" w:name="_Toc10813"/>
      <w:bookmarkStart w:id="83" w:name="_Toc23232"/>
      <w:bookmarkStart w:id="84" w:name="_Toc30744"/>
      <w:bookmarkStart w:id="85" w:name="_Toc16666"/>
      <w:bookmarkStart w:id="86" w:name="_Toc8337"/>
      <w:bookmarkStart w:id="87" w:name="_Toc324"/>
      <w:r>
        <w:rPr>
          <w:rFonts w:cs="宋体"/>
          <w:color w:val="auto"/>
          <w:sz w:val="24"/>
          <w:szCs w:val="24"/>
          <w:highlight w:val="none"/>
          <w:shd w:val="clear" w:color="auto" w:fill="FFFFFF"/>
        </w:rPr>
        <w:t>四、响应文件的</w:t>
      </w:r>
      <w:bookmarkEnd w:id="75"/>
      <w:r>
        <w:rPr>
          <w:rFonts w:cs="宋体"/>
          <w:color w:val="auto"/>
          <w:sz w:val="24"/>
          <w:szCs w:val="24"/>
          <w:highlight w:val="none"/>
          <w:shd w:val="clear" w:color="auto" w:fill="FFFFFF"/>
        </w:rPr>
        <w:t>提交</w:t>
      </w:r>
      <w:bookmarkEnd w:id="76"/>
      <w:bookmarkEnd w:id="77"/>
      <w:bookmarkEnd w:id="78"/>
      <w:bookmarkEnd w:id="79"/>
      <w:bookmarkEnd w:id="80"/>
      <w:bookmarkEnd w:id="81"/>
      <w:bookmarkEnd w:id="82"/>
      <w:bookmarkEnd w:id="83"/>
      <w:bookmarkEnd w:id="84"/>
      <w:bookmarkEnd w:id="85"/>
      <w:bookmarkEnd w:id="86"/>
      <w:bookmarkEnd w:id="87"/>
    </w:p>
    <w:p w14:paraId="14722DF4">
      <w:pPr>
        <w:numPr>
          <w:ilvl w:val="0"/>
          <w:numId w:val="2"/>
        </w:numPr>
        <w:adjustRightInd w:val="0"/>
        <w:snapToGrid w:val="0"/>
        <w:spacing w:line="360" w:lineRule="auto"/>
        <w:ind w:left="0" w:firstLine="0"/>
        <w:rPr>
          <w:rFonts w:hint="eastAsia" w:ascii="宋体" w:hAnsi="宋体" w:cs="宋体"/>
          <w:b/>
          <w:bCs/>
          <w:color w:val="auto"/>
          <w:szCs w:val="21"/>
          <w:highlight w:val="none"/>
        </w:rPr>
      </w:pPr>
      <w:bookmarkStart w:id="88" w:name="_Toc9700"/>
      <w:r>
        <w:rPr>
          <w:rFonts w:hint="eastAsia" w:ascii="宋体" w:hAnsi="宋体" w:cs="宋体"/>
          <w:b/>
          <w:bCs/>
          <w:color w:val="auto"/>
          <w:szCs w:val="21"/>
          <w:highlight w:val="none"/>
        </w:rPr>
        <w:t>响应文件的</w:t>
      </w:r>
      <w:bookmarkEnd w:id="88"/>
      <w:r>
        <w:rPr>
          <w:rFonts w:hint="eastAsia" w:ascii="宋体" w:hAnsi="宋体" w:cs="宋体"/>
          <w:b/>
          <w:bCs/>
          <w:color w:val="auto"/>
          <w:szCs w:val="21"/>
          <w:highlight w:val="none"/>
        </w:rPr>
        <w:t>密封和标记</w:t>
      </w:r>
    </w:p>
    <w:p w14:paraId="1657AFF8">
      <w:pPr>
        <w:widowControl/>
        <w:numPr>
          <w:ilvl w:val="1"/>
          <w:numId w:val="2"/>
        </w:numPr>
        <w:tabs>
          <w:tab w:val="left" w:pos="1488"/>
          <w:tab w:val="clear" w:pos="420"/>
        </w:tabs>
        <w:autoSpaceDE w:val="0"/>
        <w:autoSpaceDN w:val="0"/>
        <w:adjustRightInd w:val="0"/>
        <w:snapToGrid w:val="0"/>
        <w:spacing w:line="360" w:lineRule="auto"/>
        <w:ind w:lef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网上上传的电子投标文件应使用数字证书认证并加密。</w:t>
      </w:r>
    </w:p>
    <w:p w14:paraId="23643D1E">
      <w:pPr>
        <w:widowControl/>
        <w:numPr>
          <w:ilvl w:val="1"/>
          <w:numId w:val="2"/>
        </w:numPr>
        <w:tabs>
          <w:tab w:val="left" w:pos="1488"/>
          <w:tab w:val="clear" w:pos="420"/>
        </w:tabs>
        <w:autoSpaceDE w:val="0"/>
        <w:autoSpaceDN w:val="0"/>
        <w:adjustRightInd w:val="0"/>
        <w:snapToGrid w:val="0"/>
        <w:spacing w:line="360" w:lineRule="auto"/>
        <w:ind w:lef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未按本章第20.1项要求密封的响应文件，采购人不予受理。</w:t>
      </w:r>
    </w:p>
    <w:p w14:paraId="07877C24">
      <w:pPr>
        <w:numPr>
          <w:ilvl w:val="0"/>
          <w:numId w:val="2"/>
        </w:numPr>
        <w:adjustRightInd w:val="0"/>
        <w:snapToGrid w:val="0"/>
        <w:spacing w:line="360" w:lineRule="auto"/>
        <w:ind w:left="0" w:firstLine="0"/>
        <w:rPr>
          <w:rFonts w:hint="eastAsia" w:ascii="宋体" w:hAnsi="宋体" w:cs="宋体"/>
          <w:b/>
          <w:bCs/>
          <w:color w:val="auto"/>
          <w:szCs w:val="21"/>
          <w:highlight w:val="none"/>
        </w:rPr>
      </w:pPr>
      <w:r>
        <w:rPr>
          <w:rFonts w:hint="eastAsia" w:ascii="宋体" w:hAnsi="宋体" w:cs="宋体"/>
          <w:b/>
          <w:bCs/>
          <w:color w:val="auto"/>
          <w:szCs w:val="21"/>
          <w:highlight w:val="none"/>
        </w:rPr>
        <w:t>响应文件的递交</w:t>
      </w:r>
    </w:p>
    <w:p w14:paraId="764C7637">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供应商提交首次响应文件的截止时间：见供应商须知前附表。</w:t>
      </w:r>
    </w:p>
    <w:p w14:paraId="4D216707">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供应商提交首次响应文件的地点：见供应商须知前附表。</w:t>
      </w:r>
    </w:p>
    <w:p w14:paraId="22F53284">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除供应商须知前附表另有规定外，供应商所递交的响应文件不予退还。</w:t>
      </w:r>
    </w:p>
    <w:p w14:paraId="4BD8FE47">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逾期送达的或者未送达指定地点的响应文件，采购人不予受理。</w:t>
      </w:r>
    </w:p>
    <w:p w14:paraId="173A83D6">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采购人可以按有关规定推迟递交截止时间。在此情况下，采购人、采购代理机构和供应商受递交截止时间制约的所有权利和义务均应延长至新的递交截止时间。</w:t>
      </w:r>
    </w:p>
    <w:p w14:paraId="41A9E780">
      <w:pPr>
        <w:numPr>
          <w:ilvl w:val="0"/>
          <w:numId w:val="2"/>
        </w:numPr>
        <w:adjustRightInd w:val="0"/>
        <w:snapToGrid w:val="0"/>
        <w:spacing w:line="360" w:lineRule="auto"/>
        <w:ind w:left="0" w:firstLine="0"/>
        <w:rPr>
          <w:rFonts w:hint="eastAsia" w:ascii="宋体" w:hAnsi="宋体" w:cs="宋体"/>
          <w:b/>
          <w:bCs/>
          <w:color w:val="auto"/>
          <w:szCs w:val="21"/>
          <w:highlight w:val="none"/>
        </w:rPr>
      </w:pPr>
      <w:bookmarkStart w:id="89" w:name="_Toc22050"/>
      <w:r>
        <w:rPr>
          <w:rFonts w:hint="eastAsia" w:ascii="宋体" w:hAnsi="宋体" w:cs="宋体"/>
          <w:b/>
          <w:bCs/>
          <w:color w:val="auto"/>
          <w:szCs w:val="21"/>
          <w:highlight w:val="none"/>
        </w:rPr>
        <w:t>响应文件的修改与</w:t>
      </w:r>
      <w:r>
        <w:rPr>
          <w:rFonts w:hint="eastAsia" w:ascii="宋体" w:hAnsi="宋体" w:cs="宋体"/>
          <w:b/>
          <w:bCs/>
          <w:color w:val="auto"/>
          <w:szCs w:val="21"/>
          <w:highlight w:val="none"/>
          <w:lang w:val="zh-CN" w:bidi="zh-CN"/>
        </w:rPr>
        <w:t>撤回</w:t>
      </w:r>
      <w:bookmarkEnd w:id="89"/>
    </w:p>
    <w:p w14:paraId="1A510E9A">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在规定的响应文件递交截止时间前，供应商可以多次修改或撤回已递交的响应文件，但应以书面形式通知采购人。</w:t>
      </w:r>
    </w:p>
    <w:p w14:paraId="7892EEA1">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供应商修改或撤回已递交响应文件的书面通知应按照本章第19条的要求签字或盖章。</w:t>
      </w:r>
    </w:p>
    <w:p w14:paraId="72E2FE82">
      <w:pPr>
        <w:numPr>
          <w:ilvl w:val="1"/>
          <w:numId w:val="2"/>
        </w:numPr>
        <w:tabs>
          <w:tab w:val="left" w:pos="220"/>
        </w:tabs>
        <w:snapToGrid w:val="0"/>
        <w:spacing w:line="360" w:lineRule="auto"/>
        <w:ind w:left="10" w:firstLine="387"/>
        <w:rPr>
          <w:rFonts w:hint="eastAsia" w:ascii="宋体" w:hAnsi="宋体" w:cs="宋体"/>
          <w:color w:val="auto"/>
          <w:highlight w:val="none"/>
        </w:rPr>
      </w:pPr>
      <w:r>
        <w:rPr>
          <w:rFonts w:hint="eastAsia" w:ascii="宋体" w:hAnsi="宋体" w:cs="宋体"/>
          <w:color w:val="auto"/>
          <w:szCs w:val="21"/>
          <w:highlight w:val="none"/>
        </w:rPr>
        <w:t>修改的内容为响应文件的组成部分。修改的响应文件应按照本章第20条规定进行编制、密封、标记和递交，并标明“修改”字样。</w:t>
      </w:r>
    </w:p>
    <w:p w14:paraId="43DAD71B">
      <w:pPr>
        <w:tabs>
          <w:tab w:val="left" w:pos="420"/>
        </w:tabs>
        <w:autoSpaceDE w:val="0"/>
        <w:autoSpaceDN w:val="0"/>
        <w:adjustRightInd w:val="0"/>
        <w:snapToGrid w:val="0"/>
        <w:spacing w:before="156" w:beforeLines="50" w:after="156" w:afterLines="50" w:line="360" w:lineRule="auto"/>
        <w:jc w:val="center"/>
        <w:outlineLvl w:val="1"/>
        <w:rPr>
          <w:rFonts w:hint="eastAsia" w:ascii="宋体" w:hAnsi="宋体" w:cs="宋体"/>
          <w:b/>
          <w:bCs/>
          <w:color w:val="auto"/>
          <w:sz w:val="28"/>
          <w:szCs w:val="28"/>
          <w:highlight w:val="none"/>
          <w:lang w:val="zh-CN"/>
        </w:rPr>
      </w:pPr>
      <w:bookmarkStart w:id="90" w:name="_Toc11989"/>
      <w:bookmarkStart w:id="91" w:name="_Toc20121"/>
      <w:bookmarkStart w:id="92" w:name="_Toc26508"/>
      <w:bookmarkStart w:id="93" w:name="_Toc13980"/>
      <w:bookmarkStart w:id="94" w:name="_Toc13511"/>
      <w:bookmarkStart w:id="95" w:name="_Toc17231"/>
      <w:bookmarkStart w:id="96" w:name="_Toc30053"/>
      <w:bookmarkStart w:id="97" w:name="_Toc95"/>
      <w:bookmarkStart w:id="98" w:name="_Toc6130"/>
      <w:bookmarkStart w:id="99" w:name="_Toc30629"/>
      <w:bookmarkStart w:id="100" w:name="_Toc22261"/>
      <w:bookmarkStart w:id="101" w:name="_Toc15300"/>
      <w:bookmarkStart w:id="102" w:name="_Toc4217"/>
      <w:bookmarkStart w:id="103" w:name="_Toc1890"/>
      <w:bookmarkStart w:id="104" w:name="_Toc31671"/>
      <w:bookmarkStart w:id="105" w:name="_Toc8598"/>
      <w:bookmarkStart w:id="106" w:name="_Toc17146"/>
      <w:bookmarkStart w:id="107" w:name="_Toc13203"/>
      <w:bookmarkStart w:id="108" w:name="_Toc23464"/>
      <w:r>
        <w:rPr>
          <w:rFonts w:hint="eastAsia" w:ascii="宋体" w:hAnsi="宋体" w:cs="宋体"/>
          <w:b/>
          <w:bCs/>
          <w:color w:val="auto"/>
          <w:sz w:val="28"/>
          <w:szCs w:val="28"/>
          <w:highlight w:val="none"/>
          <w:lang w:val="zh-CN"/>
        </w:rPr>
        <w:t>五、磋商</w:t>
      </w:r>
      <w:bookmarkEnd w:id="90"/>
      <w:bookmarkEnd w:id="91"/>
      <w:bookmarkEnd w:id="92"/>
      <w:r>
        <w:rPr>
          <w:rFonts w:hint="eastAsia" w:ascii="宋体" w:hAnsi="宋体" w:cs="宋体"/>
          <w:b/>
          <w:bCs/>
          <w:color w:val="auto"/>
          <w:sz w:val="28"/>
          <w:szCs w:val="28"/>
          <w:highlight w:val="none"/>
          <w:lang w:val="zh-CN"/>
        </w:rPr>
        <w:t>及评审</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0D62E732">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磋商时间和地点</w:t>
      </w:r>
    </w:p>
    <w:p w14:paraId="5DF2991C">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采购人或采购代理机构将在供应商须知前附表规定的时间和地点通过河南省公共资源交易平台开标。</w:t>
      </w:r>
    </w:p>
    <w:p w14:paraId="41C39027">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本项目采用“远程不见面”开标方式，供应商无需到现场参加开标会议。</w:t>
      </w:r>
    </w:p>
    <w:p w14:paraId="0A916781">
      <w:pPr>
        <w:keepNext w:val="0"/>
        <w:keepLines w:val="0"/>
        <w:pageBreakBefore w:val="0"/>
        <w:widowControl w:val="0"/>
        <w:numPr>
          <w:ilvl w:val="1"/>
          <w:numId w:val="2"/>
        </w:numPr>
        <w:tabs>
          <w:tab w:val="left" w:pos="220"/>
        </w:tabs>
        <w:kinsoku/>
        <w:wordWrap w:val="0"/>
        <w:overflowPunct/>
        <w:topLinePunct w:val="0"/>
        <w:autoSpaceDE/>
        <w:autoSpaceDN/>
        <w:bidi w:val="0"/>
        <w:adjustRightInd/>
        <w:snapToGrid w:val="0"/>
        <w:spacing w:line="360" w:lineRule="auto"/>
        <w:ind w:left="11" w:firstLine="386"/>
        <w:textAlignment w:val="auto"/>
        <w:rPr>
          <w:rFonts w:hint="eastAsia" w:ascii="宋体" w:hAnsi="宋体" w:cs="宋体"/>
          <w:color w:val="auto"/>
          <w:szCs w:val="21"/>
          <w:highlight w:val="none"/>
        </w:rPr>
      </w:pPr>
      <w:r>
        <w:rPr>
          <w:rFonts w:hint="eastAsia" w:ascii="宋体" w:hAnsi="宋体" w:cs="宋体"/>
          <w:color w:val="auto"/>
          <w:szCs w:val="21"/>
          <w:highlight w:val="none"/>
        </w:rPr>
        <w:t>供应商应当在响应文件递交截止时间前,登录远程开标大厅（</w:t>
      </w:r>
      <w:r>
        <w:rPr>
          <w:rFonts w:hint="eastAsia" w:ascii="宋体" w:hAnsi="宋体" w:eastAsia="宋体" w:cs="宋体"/>
          <w:color w:val="auto"/>
          <w:szCs w:val="21"/>
          <w:highlight w:val="none"/>
        </w:rPr>
        <w:t>http://hnsggzyjy.henan.gov.cn/BidOpening/bidopeninghallaction/hall/login</w:t>
      </w:r>
      <w:r>
        <w:rPr>
          <w:rFonts w:hint="eastAsia" w:ascii="宋体" w:hAnsi="宋体" w:cs="宋体"/>
          <w:color w:val="auto"/>
          <w:szCs w:val="21"/>
          <w:highlight w:val="none"/>
        </w:rPr>
        <w:t>）,在线准时参加开标活动并进行文件解密、答疑澄清等。</w:t>
      </w:r>
    </w:p>
    <w:p w14:paraId="642B34C3">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开标时供应商应登录河南省公共资源交易平台不见面服务系统，使用 CA 数字证书在规定时间内远程解密（解密时间为30分钟），未在规定时间内解密的响应文件将被拒绝。</w:t>
      </w:r>
    </w:p>
    <w:p w14:paraId="09D839AE">
      <w:pPr>
        <w:tabs>
          <w:tab w:val="left" w:pos="220"/>
          <w:tab w:val="left" w:pos="4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备注：供应商应保证在开标期间电话、电脑、网络能够正常工作，供应商因停电、电脑病毒、网络堵塞等原因，未在规定的解密时间内对响应文件进行解密的，其响应文件不予接收、唱标。</w:t>
      </w:r>
    </w:p>
    <w:p w14:paraId="29BD4BF7">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磋商小组</w:t>
      </w:r>
    </w:p>
    <w:p w14:paraId="5EE76609">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磋商由采购人依法组建的磋商小组负责。磋商小组成员人数以及专家的确定方式见供应商须知前附表。</w:t>
      </w:r>
    </w:p>
    <w:p w14:paraId="3FA3B135">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磋商小组由采购人代表和评审专家共3人组成，其中评审专家人数不得少于磋商小组成员总数的2/3。采购人代表不得以评审专家身份参加本部门或本单位采购项目的评审。采购代理机构人员不得参加本机构代理的采购项目的评审。</w:t>
      </w:r>
    </w:p>
    <w:p w14:paraId="77BDE03D">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评审原则</w:t>
      </w:r>
    </w:p>
    <w:p w14:paraId="2EFCF975">
      <w:pPr>
        <w:numPr>
          <w:ilvl w:val="1"/>
          <w:numId w:val="2"/>
        </w:numPr>
        <w:tabs>
          <w:tab w:val="left" w:pos="220"/>
        </w:tabs>
        <w:snapToGrid w:val="0"/>
        <w:spacing w:line="360" w:lineRule="auto"/>
        <w:ind w:left="10" w:firstLine="387"/>
        <w:rPr>
          <w:rFonts w:hint="eastAsia" w:ascii="宋体" w:hAnsi="宋体" w:cs="宋体"/>
          <w:b/>
          <w:bCs/>
          <w:color w:val="auto"/>
          <w:szCs w:val="21"/>
          <w:highlight w:val="none"/>
          <w:u w:val="single"/>
        </w:rPr>
      </w:pPr>
      <w:r>
        <w:rPr>
          <w:rFonts w:hint="eastAsia" w:ascii="宋体" w:hAnsi="宋体" w:cs="宋体"/>
          <w:color w:val="auto"/>
          <w:szCs w:val="21"/>
          <w:highlight w:val="none"/>
        </w:rPr>
        <w:t>磋商小组成员应当按照客观、公正、审慎的原则，根据磋商文件规定的评审程序、评审方法和评审标准进行独立评审。</w:t>
      </w:r>
      <w:r>
        <w:rPr>
          <w:rFonts w:hint="eastAsia" w:ascii="宋体" w:hAnsi="宋体" w:cs="宋体"/>
          <w:b/>
          <w:bCs/>
          <w:color w:val="auto"/>
          <w:szCs w:val="21"/>
          <w:highlight w:val="none"/>
          <w:u w:val="single"/>
        </w:rPr>
        <w:t>除采购预算、磋商有效期、采购内容、</w:t>
      </w:r>
      <w:r>
        <w:rPr>
          <w:rFonts w:hint="eastAsia" w:ascii="宋体" w:hAnsi="宋体" w:cs="宋体"/>
          <w:b/>
          <w:bCs/>
          <w:color w:val="auto"/>
          <w:szCs w:val="21"/>
          <w:highlight w:val="none"/>
          <w:u w:val="single"/>
          <w:lang w:eastAsia="zh-CN"/>
        </w:rPr>
        <w:t>交货期</w:t>
      </w:r>
      <w:r>
        <w:rPr>
          <w:rFonts w:hint="eastAsia" w:ascii="宋体" w:hAnsi="宋体" w:cs="宋体"/>
          <w:b/>
          <w:bCs/>
          <w:color w:val="auto"/>
          <w:szCs w:val="21"/>
          <w:highlight w:val="none"/>
          <w:u w:val="single"/>
        </w:rPr>
        <w:t>、</w:t>
      </w:r>
      <w:r>
        <w:rPr>
          <w:rFonts w:hint="eastAsia" w:ascii="宋体" w:hAnsi="宋体" w:cs="宋体"/>
          <w:b/>
          <w:bCs/>
          <w:color w:val="auto"/>
          <w:szCs w:val="21"/>
          <w:highlight w:val="none"/>
          <w:u w:val="single"/>
          <w:lang w:val="en-US" w:eastAsia="zh-CN"/>
        </w:rPr>
        <w:t>交货地点</w:t>
      </w:r>
      <w:r>
        <w:rPr>
          <w:rFonts w:hint="eastAsia" w:ascii="宋体" w:hAnsi="宋体" w:cs="宋体"/>
          <w:b/>
          <w:bCs/>
          <w:color w:val="auto"/>
          <w:szCs w:val="21"/>
          <w:highlight w:val="none"/>
          <w:u w:val="single"/>
        </w:rPr>
        <w:t>、</w:t>
      </w:r>
      <w:r>
        <w:rPr>
          <w:rFonts w:hint="eastAsia" w:ascii="宋体" w:hAnsi="宋体" w:cs="宋体"/>
          <w:b/>
          <w:bCs/>
          <w:color w:val="auto"/>
          <w:szCs w:val="21"/>
          <w:highlight w:val="none"/>
          <w:u w:val="single"/>
          <w:lang w:val="en-US" w:eastAsia="zh-CN"/>
        </w:rPr>
        <w:t>质量要求</w:t>
      </w:r>
      <w:r>
        <w:rPr>
          <w:rFonts w:hint="eastAsia" w:ascii="宋体" w:hAnsi="宋体" w:cs="宋体"/>
          <w:b/>
          <w:bCs/>
          <w:color w:val="auto"/>
          <w:szCs w:val="21"/>
          <w:highlight w:val="none"/>
          <w:u w:val="single"/>
        </w:rPr>
        <w:t>、</w:t>
      </w:r>
      <w:r>
        <w:rPr>
          <w:rFonts w:hint="eastAsia" w:ascii="宋体" w:hAnsi="宋体" w:cs="宋体"/>
          <w:b/>
          <w:bCs/>
          <w:color w:val="auto"/>
          <w:szCs w:val="21"/>
          <w:highlight w:val="none"/>
          <w:u w:val="single"/>
          <w:lang w:val="en-US" w:eastAsia="zh-CN"/>
        </w:rPr>
        <w:t>质保期</w:t>
      </w:r>
      <w:r>
        <w:rPr>
          <w:rFonts w:hint="eastAsia" w:ascii="宋体" w:hAnsi="宋体" w:cs="宋体"/>
          <w:b/>
          <w:bCs/>
          <w:color w:val="auto"/>
          <w:szCs w:val="21"/>
          <w:highlight w:val="none"/>
          <w:u w:val="single"/>
        </w:rPr>
        <w:t>外，磋商小组认定未实质性响应磋商文件的响应文件，按无效响应处理，磋商小组应当告知提交响应文件的供应商。</w:t>
      </w:r>
    </w:p>
    <w:p w14:paraId="3CBC54DA">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磋商文件内容违反国家有关强制性规定的，磋商小组应当停止评审并向采购人或者采购代理机构说明情况。</w:t>
      </w:r>
    </w:p>
    <w:p w14:paraId="55C840C5">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磋商</w:t>
      </w:r>
    </w:p>
    <w:p w14:paraId="1885A961">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磋商小组按照第三章“评审方法和标准”规定的程序、方法和标准对响应文件进行独立评审。第三章“评审方法和标准”没有规定的方法、评审因素和标准，不作为评审依据。</w:t>
      </w:r>
    </w:p>
    <w:p w14:paraId="06F7B623">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竞争性磋商程序：</w:t>
      </w:r>
    </w:p>
    <w:p w14:paraId="605D0F8E">
      <w:pPr>
        <w:tabs>
          <w:tab w:val="left" w:pos="0"/>
          <w:tab w:val="left" w:pos="220"/>
        </w:tabs>
        <w:snapToGrid w:val="0"/>
        <w:spacing w:line="360" w:lineRule="auto"/>
        <w:ind w:left="17" w:firstLine="378" w:firstLineChars="180"/>
        <w:rPr>
          <w:rFonts w:hint="eastAsia" w:ascii="宋体" w:hAnsi="宋体" w:cs="宋体"/>
          <w:color w:val="auto"/>
          <w:szCs w:val="21"/>
          <w:highlight w:val="none"/>
        </w:rPr>
      </w:pPr>
      <w:r>
        <w:rPr>
          <w:rFonts w:hint="eastAsia" w:ascii="宋体" w:hAnsi="宋体" w:cs="宋体"/>
          <w:color w:val="auto"/>
          <w:szCs w:val="21"/>
          <w:highlight w:val="none"/>
        </w:rPr>
        <w:t>26.2.1宣布进入磋商、评审程序。本次竞争性磋商采用综合评分法。综合评分法，是指响应文件满足磋商文件全部实质性要求且按评审因素的量化指标评审得分最高的供应商为成交候选供应商的评审方法。</w:t>
      </w:r>
    </w:p>
    <w:p w14:paraId="72C0BF0C">
      <w:pPr>
        <w:tabs>
          <w:tab w:val="left" w:pos="0"/>
          <w:tab w:val="left" w:pos="2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26.2.2磋商小组对磋商文件进行熟悉确认。</w:t>
      </w:r>
    </w:p>
    <w:p w14:paraId="5193DF99">
      <w:pPr>
        <w:tabs>
          <w:tab w:val="left" w:pos="0"/>
          <w:tab w:val="left" w:pos="2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26.2.3磋商小组推选组长，讨论、通过磋商工作流程和磋商要点。</w:t>
      </w:r>
    </w:p>
    <w:p w14:paraId="423B828F">
      <w:pPr>
        <w:tabs>
          <w:tab w:val="left" w:pos="0"/>
          <w:tab w:val="left" w:pos="2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26.2.4磋商开始后，磋商小组依据磋商文件规定，对响应文件的资格评审进行审查，以确定磋商供应商是否具备磋商资格。</w:t>
      </w:r>
    </w:p>
    <w:p w14:paraId="1EE95A4B">
      <w:pPr>
        <w:tabs>
          <w:tab w:val="left" w:pos="0"/>
          <w:tab w:val="left" w:pos="2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26.2.5通过资格评审的磋商供应商，磋商小组全体成员与之进行磋商。</w:t>
      </w:r>
    </w:p>
    <w:p w14:paraId="19437608">
      <w:pPr>
        <w:tabs>
          <w:tab w:val="left" w:pos="0"/>
          <w:tab w:val="left" w:pos="2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26.2.6磋商过程中，磋商小组可以根据磋商情况实质性变动采购需求中的技术、服务要求以及合同草案条款，但不得变动磋商文件中的其他内容。实质性变动的内容须经采购人（业主）代表确认，并以书面形式通知所有参加磋商的供应商。该变动是磋商文件的有效组成部分。供应商应当按照磋商文件的变动情况和磋商小组的要求重新提交响应文件并由其法定代表人或授权委托人签字并加盖单位公章。由授权委托人签字的应当附法定代表人授权书。供应商应根据磋商小组的要求，以书面形式在规定时间内做出响应，未做出响应的响应文件被视为无效竞标。</w:t>
      </w:r>
    </w:p>
    <w:p w14:paraId="63AF4E7C">
      <w:pPr>
        <w:tabs>
          <w:tab w:val="left" w:pos="0"/>
          <w:tab w:val="left" w:pos="2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26.2.7磋商文件能够详细列明采购标的的技术、服务要求的，磋商结束后，磋商小组应当要求所有实质性响应的供应商在规定时间内提交最后报价，提交最后报价的供应商不得少于3 家。</w:t>
      </w:r>
    </w:p>
    <w:p w14:paraId="120B96BB">
      <w:pPr>
        <w:tabs>
          <w:tab w:val="left" w:pos="0"/>
          <w:tab w:val="left" w:pos="220"/>
        </w:tabs>
        <w:snapToGrid w:val="0"/>
        <w:spacing w:line="360"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26.2.8</w:t>
      </w:r>
      <w:r>
        <w:rPr>
          <w:rFonts w:hint="eastAsia" w:ascii="宋体" w:hAnsi="宋体" w:cs="宋体"/>
          <w:b/>
          <w:bCs/>
          <w:color w:val="auto"/>
          <w:szCs w:val="21"/>
          <w:highlight w:val="none"/>
        </w:rPr>
        <w:t>供应商的最后报价（二次报价）。磋商小组要求所有实质性响应的供应商在规定时间内通过河南省公共资源交易中心平台提交最后报价。供应商在接到磋商小组的通知后，未在磋商小组规定的时间内提交最后报价的，视为退出磋商其响应文件将不再进行评审（因本项目为远程磋商，建议供应商填写联系方式时，同时填写座机号码及项目负责人的手机号码以便及时联系）。</w:t>
      </w:r>
    </w:p>
    <w:p w14:paraId="64D1830D">
      <w:pPr>
        <w:tabs>
          <w:tab w:val="left" w:pos="0"/>
          <w:tab w:val="left" w:pos="220"/>
        </w:tabs>
        <w:snapToGrid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已提交响应文件的供应商，在提交最后报价之前，可以根据磋商情况退出磋商，退出磋商不视为撤回响应文件，退出磋商不影响退出磋商的供应商对已经递交的响应文件承担法律、法规和采购文件中规定的相应责任。</w:t>
      </w:r>
    </w:p>
    <w:p w14:paraId="302D33EA">
      <w:pPr>
        <w:tabs>
          <w:tab w:val="left" w:pos="0"/>
          <w:tab w:val="left" w:pos="2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26.2.9经磋商确定最终采购需求和提交最后报价的供应商后，由磋商小组采用综合评分法对提交最后报价的供应商的响应文件和最后报价进行综合评分，按最终得分从高到低的顺序确定成交供应商。</w:t>
      </w:r>
    </w:p>
    <w:p w14:paraId="53E733DB">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磋商小组向采购人提交评审报告并推荐候选供应商排名，磋商小组推荐候选供应商排名的人数见供应商须知前附表。</w:t>
      </w:r>
    </w:p>
    <w:p w14:paraId="582355BA">
      <w:pPr>
        <w:numPr>
          <w:ilvl w:val="1"/>
          <w:numId w:val="2"/>
        </w:numPr>
        <w:tabs>
          <w:tab w:val="left" w:pos="2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磋商小组成员应当在评审报告上签字，对自己的评审意见承担法律责任。对评审报告有异议的，应当在报告上签署不同意见，并说明理由，否则视为同意评审报告。</w:t>
      </w:r>
    </w:p>
    <w:p w14:paraId="6BA01A87">
      <w:pPr>
        <w:tabs>
          <w:tab w:val="left" w:pos="420"/>
        </w:tabs>
        <w:autoSpaceDE w:val="0"/>
        <w:autoSpaceDN w:val="0"/>
        <w:adjustRightInd w:val="0"/>
        <w:snapToGrid w:val="0"/>
        <w:spacing w:before="156" w:beforeLines="50" w:after="156" w:afterLines="50" w:line="360" w:lineRule="auto"/>
        <w:jc w:val="center"/>
        <w:outlineLvl w:val="1"/>
        <w:rPr>
          <w:rFonts w:hint="eastAsia" w:ascii="宋体" w:hAnsi="宋体" w:cs="宋体"/>
          <w:b/>
          <w:bCs/>
          <w:color w:val="auto"/>
          <w:sz w:val="28"/>
          <w:szCs w:val="28"/>
          <w:highlight w:val="none"/>
          <w:lang w:val="zh-CN"/>
        </w:rPr>
      </w:pPr>
      <w:bookmarkStart w:id="109" w:name="_Toc16143"/>
      <w:bookmarkStart w:id="110" w:name="_Toc31660"/>
      <w:bookmarkStart w:id="111" w:name="_Toc212"/>
      <w:bookmarkStart w:id="112" w:name="_Toc26785"/>
      <w:bookmarkStart w:id="113" w:name="_Toc12129"/>
      <w:bookmarkStart w:id="114" w:name="_Toc18785"/>
      <w:bookmarkStart w:id="115" w:name="_Toc8615"/>
      <w:bookmarkStart w:id="116" w:name="_Toc7140"/>
      <w:bookmarkStart w:id="117" w:name="_Toc17216"/>
      <w:bookmarkStart w:id="118" w:name="_Toc30530"/>
      <w:bookmarkStart w:id="119" w:name="_Toc26323"/>
      <w:bookmarkStart w:id="120" w:name="_Toc27232"/>
      <w:bookmarkStart w:id="121" w:name="_Toc27862"/>
      <w:bookmarkStart w:id="122" w:name="_Toc21430"/>
      <w:bookmarkStart w:id="123" w:name="_Toc19659"/>
      <w:bookmarkStart w:id="124" w:name="_Toc19503"/>
      <w:bookmarkStart w:id="125" w:name="_Toc15879"/>
      <w:bookmarkStart w:id="126" w:name="_Toc29794"/>
      <w:r>
        <w:rPr>
          <w:rFonts w:hint="eastAsia" w:ascii="宋体" w:hAnsi="宋体" w:cs="宋体"/>
          <w:b/>
          <w:bCs/>
          <w:color w:val="auto"/>
          <w:sz w:val="28"/>
          <w:szCs w:val="28"/>
          <w:highlight w:val="none"/>
          <w:lang w:val="zh-CN"/>
        </w:rPr>
        <w:t>六、合同授予</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3E5A443E">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确定成交供应商</w:t>
      </w:r>
    </w:p>
    <w:p w14:paraId="1B32BF45">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采购代理机构在评审结束后2个工作日内将评审报告送采购人确认。</w:t>
      </w:r>
    </w:p>
    <w:p w14:paraId="036EEE7C">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成交通知</w:t>
      </w:r>
    </w:p>
    <w:p w14:paraId="2A7C2E23">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成交供应商确定后2个工作日内，在竞争性磋商公告发布的同一媒介上公告成交结果，同时向成交供应商发出成交通知书。但该成交结果的有效性不依赖于未成交的供应商是否已经收到该通知。成交公告期限为1个工作日。</w:t>
      </w:r>
    </w:p>
    <w:p w14:paraId="4DC4450B">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成交通知书发出后，采购人不得违法改变中标结果，成交人无正当理由不得放弃成交。成交通知书对采购人和成交人均具有法律效力。成交通知书发出后，采购人改变成交结果的，或者成交人放弃成交的，应当依法承担法律责任。</w:t>
      </w:r>
    </w:p>
    <w:p w14:paraId="0ED31CC1">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成交通知书是合同的组成部分。</w:t>
      </w:r>
    </w:p>
    <w:p w14:paraId="6B99931C">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签订合同</w:t>
      </w:r>
    </w:p>
    <w:p w14:paraId="48568647">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采购人与成交供应商应当在成交通知书发出之日起15日内，按照磋商文件确定的合同文本以及采购标的、规格型号、采购金额、采购数量、技术和服务要求等事项签订采购合同。</w:t>
      </w:r>
    </w:p>
    <w:p w14:paraId="6E0E0753">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采购人不得向成交供应商提出超出磋商文件以外的任何要求作为签订合同的条件，不得与成交供应商订立背离磋商文件确定的合同文本以及采购标的、采购金额、采购数量、技术和服务要求等实质性内容的协议。</w:t>
      </w:r>
    </w:p>
    <w:p w14:paraId="113A8DE7">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成交供应商拒绝签订采购合同的，采购人可以按照磋商小组提出的成交候选人名单排序依次确定其他成交候选人为成交人，也可以重新开展采购活动。拒绝签订采购合同的成交供应商不得参加对该项目重新开展的采购活动。</w:t>
      </w:r>
    </w:p>
    <w:p w14:paraId="61BB55F4">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采购合同履行中，采购人需追加与合同标的相同的货物、工程或者服务的，在不改变合同其他条款的前提下，可以与供应商协商签订补充合同，但所有补充合同的采购金额不得超过原合同采购金额的百分之十。</w:t>
      </w:r>
    </w:p>
    <w:p w14:paraId="12F46AC7">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重新采购</w:t>
      </w:r>
    </w:p>
    <w:p w14:paraId="78507FCC">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出现下列情形之一的，采购人或者采购代理机构应当终止竞争性磋商采购活动，发布项目终止公告并说明原因，重新开展采购活动：</w:t>
      </w:r>
    </w:p>
    <w:p w14:paraId="164FA0CE">
      <w:pPr>
        <w:tabs>
          <w:tab w:val="left" w:pos="220"/>
        </w:tabs>
        <w:snapToGrid w:val="0"/>
        <w:spacing w:line="360" w:lineRule="auto"/>
        <w:ind w:left="397"/>
        <w:rPr>
          <w:rFonts w:hint="eastAsia" w:ascii="宋体" w:hAnsi="宋体" w:cs="宋体"/>
          <w:color w:val="auto"/>
          <w:szCs w:val="21"/>
          <w:highlight w:val="none"/>
        </w:rPr>
      </w:pPr>
      <w:r>
        <w:rPr>
          <w:rFonts w:hint="eastAsia" w:ascii="宋体" w:hAnsi="宋体" w:cs="宋体"/>
          <w:color w:val="auto"/>
          <w:szCs w:val="21"/>
          <w:highlight w:val="none"/>
        </w:rPr>
        <w:t>（一）因情况变化，不再符合规定的竞争性磋商采购方式适用情形的；</w:t>
      </w:r>
    </w:p>
    <w:p w14:paraId="50B6935D">
      <w:pPr>
        <w:tabs>
          <w:tab w:val="left" w:pos="220"/>
        </w:tabs>
        <w:snapToGrid w:val="0"/>
        <w:spacing w:line="360" w:lineRule="auto"/>
        <w:ind w:left="397"/>
        <w:rPr>
          <w:rFonts w:hint="eastAsia" w:ascii="宋体" w:hAnsi="宋体" w:cs="宋体"/>
          <w:color w:val="auto"/>
          <w:szCs w:val="21"/>
          <w:highlight w:val="none"/>
        </w:rPr>
      </w:pPr>
      <w:r>
        <w:rPr>
          <w:rFonts w:hint="eastAsia" w:ascii="宋体" w:hAnsi="宋体" w:cs="宋体"/>
          <w:color w:val="auto"/>
          <w:szCs w:val="21"/>
          <w:highlight w:val="none"/>
        </w:rPr>
        <w:t>（二）出现影响采购公正的违法、违规行为的；</w:t>
      </w:r>
    </w:p>
    <w:p w14:paraId="1EAA7C3E">
      <w:pPr>
        <w:tabs>
          <w:tab w:val="left" w:pos="2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（三）在采购过程中符合要求的供应商或者报价未超过采购预算的供应商不足3家的。</w:t>
      </w:r>
    </w:p>
    <w:p w14:paraId="5619F977">
      <w:pPr>
        <w:numPr>
          <w:ilvl w:val="0"/>
          <w:numId w:val="2"/>
        </w:numPr>
        <w:tabs>
          <w:tab w:val="clear" w:pos="420"/>
        </w:tabs>
        <w:snapToGrid w:val="0"/>
        <w:spacing w:line="360" w:lineRule="auto"/>
        <w:ind w:left="0" w:firstLine="0"/>
        <w:rPr>
          <w:rFonts w:hint="eastAsia" w:ascii="宋体" w:hAnsi="宋体" w:cs="宋体"/>
          <w:b/>
          <w:bCs/>
          <w:color w:val="auto"/>
          <w:szCs w:val="21"/>
          <w:highlight w:val="none"/>
        </w:rPr>
      </w:pPr>
      <w:r>
        <w:rPr>
          <w:rFonts w:hint="eastAsia" w:ascii="宋体" w:hAnsi="宋体" w:cs="宋体"/>
          <w:b/>
          <w:bCs/>
          <w:color w:val="auto"/>
          <w:szCs w:val="21"/>
          <w:highlight w:val="none"/>
        </w:rPr>
        <w:t>履约验收</w:t>
      </w:r>
    </w:p>
    <w:p w14:paraId="305096C4">
      <w:pPr>
        <w:widowControl/>
        <w:numPr>
          <w:ilvl w:val="1"/>
          <w:numId w:val="2"/>
        </w:numPr>
        <w:tabs>
          <w:tab w:val="left" w:pos="220"/>
        </w:tabs>
        <w:snapToGrid w:val="0"/>
        <w:spacing w:line="360" w:lineRule="auto"/>
        <w:ind w:left="10" w:firstLine="387"/>
        <w:rPr>
          <w:rFonts w:hint="eastAsia" w:ascii="宋体" w:hAnsi="宋体" w:cs="宋体"/>
          <w:color w:val="auto"/>
          <w:highlight w:val="none"/>
        </w:rPr>
      </w:pPr>
      <w:r>
        <w:rPr>
          <w:rFonts w:hint="eastAsia" w:ascii="宋体" w:hAnsi="宋体" w:cs="宋体"/>
          <w:color w:val="auto"/>
          <w:szCs w:val="21"/>
          <w:highlight w:val="none"/>
        </w:rPr>
        <w:t>本项目采购人将严格按照相关法律法规的要求进行验收。</w:t>
      </w:r>
    </w:p>
    <w:p w14:paraId="3B92D807">
      <w:pPr>
        <w:tabs>
          <w:tab w:val="left" w:pos="420"/>
        </w:tabs>
        <w:autoSpaceDE w:val="0"/>
        <w:autoSpaceDN w:val="0"/>
        <w:adjustRightInd w:val="0"/>
        <w:snapToGrid w:val="0"/>
        <w:spacing w:before="156" w:beforeLines="50" w:after="156" w:afterLines="50" w:line="360" w:lineRule="auto"/>
        <w:jc w:val="center"/>
        <w:outlineLvl w:val="1"/>
        <w:rPr>
          <w:rFonts w:hint="eastAsia" w:ascii="宋体" w:hAnsi="宋体" w:cs="宋体"/>
          <w:b/>
          <w:bCs/>
          <w:color w:val="auto"/>
          <w:sz w:val="28"/>
          <w:szCs w:val="28"/>
          <w:highlight w:val="none"/>
          <w:lang w:val="zh-CN"/>
        </w:rPr>
      </w:pPr>
      <w:bookmarkStart w:id="127" w:name="_Toc18394"/>
      <w:bookmarkStart w:id="128" w:name="_Toc5138"/>
      <w:bookmarkStart w:id="129" w:name="_Toc4972"/>
      <w:bookmarkStart w:id="130" w:name="_Toc26989"/>
      <w:bookmarkStart w:id="131" w:name="_Toc16698"/>
      <w:bookmarkStart w:id="132" w:name="_Toc2717"/>
      <w:bookmarkStart w:id="133" w:name="_Toc13388"/>
      <w:bookmarkStart w:id="134" w:name="_Toc5434"/>
      <w:bookmarkStart w:id="135" w:name="_Toc4309"/>
      <w:bookmarkStart w:id="136" w:name="_Toc21270"/>
      <w:bookmarkStart w:id="137" w:name="_Toc13633"/>
      <w:bookmarkStart w:id="138" w:name="_Toc3227"/>
      <w:bookmarkStart w:id="139" w:name="_Toc17899"/>
      <w:bookmarkStart w:id="140" w:name="_Toc17132"/>
      <w:bookmarkStart w:id="141" w:name="_Toc8286"/>
      <w:bookmarkStart w:id="142" w:name="_Toc5047"/>
      <w:bookmarkStart w:id="143" w:name="_Toc24523"/>
      <w:bookmarkStart w:id="144" w:name="_Toc4055"/>
      <w:r>
        <w:rPr>
          <w:rFonts w:hint="eastAsia" w:ascii="宋体" w:hAnsi="宋体" w:cs="宋体"/>
          <w:b/>
          <w:bCs/>
          <w:color w:val="auto"/>
          <w:sz w:val="28"/>
          <w:szCs w:val="28"/>
          <w:highlight w:val="none"/>
          <w:lang w:val="zh-CN"/>
        </w:rPr>
        <w:t>七、质疑与投诉</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49486C4">
      <w:pPr>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质疑</w:t>
      </w:r>
    </w:p>
    <w:p w14:paraId="733737F1">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供应商对采购活动事项有疑问的，可以向采购人或采购代理机构提出询问，</w:t>
      </w:r>
      <w:r>
        <w:rPr>
          <w:rFonts w:hint="eastAsia" w:ascii="宋体" w:hAnsi="宋体" w:cs="宋体"/>
          <w:color w:val="auto"/>
          <w:highlight w:val="none"/>
        </w:rPr>
        <w:t>采购人</w:t>
      </w:r>
      <w:r>
        <w:rPr>
          <w:rFonts w:hint="eastAsia" w:ascii="宋体" w:hAnsi="宋体" w:cs="宋体"/>
          <w:color w:val="auto"/>
          <w:szCs w:val="21"/>
          <w:highlight w:val="none"/>
        </w:rPr>
        <w:t>或者采购代理机构应当在7个工作日内对供应商依法提出的询问作出答复，但答复的内容不得涉及商业秘密。</w:t>
      </w:r>
    </w:p>
    <w:p w14:paraId="2FF5D26C">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认为磋商文件、采购过程、中标或者成交结果使自己的权益受到损害的，可以在知道或者应知其权益受到损害之日起7个工作日内，以书面形式向采购人、采购代理机构提出质疑。供应商在法定质疑期内针对同一采购程序环节的质疑须一次性提出。</w:t>
      </w:r>
    </w:p>
    <w:p w14:paraId="39951288">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提出质疑的供应商（以下简称质疑供应商）应当是参与所质疑项目采购活动的供应商。潜在供应商已依法获取其可质疑的采购文件的，可以对该文件提出质疑。供应商提出质疑应当提交质疑函和必要的证明材料。</w:t>
      </w:r>
    </w:p>
    <w:p w14:paraId="58B68A81">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供应商为自然人的，应当由本人签字；供应商为法人或者其他组织的，应当由法定代表人、主要负责人，或者其授权代表签字或者盖章，并加盖公章。质疑函内容有缺失的，采购代理机构、采购人应当一次性告知质疑人需补全的材料及补交的截止时间。补交的截止时间与法定质疑期的截止时间一致。质疑人于截止时间后递交补充材料的，将被拒绝。</w:t>
      </w:r>
    </w:p>
    <w:p w14:paraId="05D74526">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质疑函的提交应到采购代理机构办公室提交原件，办理文件签收手续，</w:t>
      </w:r>
      <w:r>
        <w:rPr>
          <w:rFonts w:hint="eastAsia" w:ascii="宋体" w:hAnsi="宋体" w:cs="宋体"/>
          <w:color w:val="auto"/>
          <w:szCs w:val="21"/>
          <w:highlight w:val="none"/>
          <w:u w:val="single"/>
        </w:rPr>
        <w:t>地址：郑州市经七路与红专路交叉口向北200米路东中亨大厦712室，联系人：</w:t>
      </w:r>
      <w:r>
        <w:rPr>
          <w:rFonts w:hint="eastAsia" w:ascii="宋体" w:hAnsi="宋体" w:cs="宋体"/>
          <w:color w:val="auto"/>
          <w:szCs w:val="21"/>
          <w:highlight w:val="none"/>
          <w:u w:val="single"/>
          <w:lang w:eastAsia="zh-CN"/>
        </w:rPr>
        <w:t>周浩然、吴伟丽</w:t>
      </w:r>
      <w:r>
        <w:rPr>
          <w:rFonts w:hint="eastAsia" w:ascii="宋体" w:hAnsi="宋体" w:cs="宋体"/>
          <w:color w:val="auto"/>
          <w:szCs w:val="21"/>
          <w:highlight w:val="none"/>
          <w:u w:val="single"/>
        </w:rPr>
        <w:t>，联系电话：</w:t>
      </w:r>
      <w:r>
        <w:rPr>
          <w:rFonts w:hint="eastAsia" w:ascii="宋体" w:hAnsi="宋体" w:cs="宋体"/>
          <w:color w:val="auto"/>
          <w:szCs w:val="21"/>
          <w:highlight w:val="none"/>
          <w:u w:val="single"/>
          <w:lang w:val="en-US" w:eastAsia="zh-CN"/>
        </w:rPr>
        <w:t>0371-55022101  0371-55022102</w:t>
      </w:r>
      <w:r>
        <w:rPr>
          <w:rFonts w:hint="eastAsia" w:ascii="宋体" w:hAnsi="宋体" w:cs="宋体"/>
          <w:color w:val="auto"/>
          <w:szCs w:val="21"/>
          <w:highlight w:val="none"/>
        </w:rPr>
        <w:t>；传真或复印件等采购代理机构有权不予受理。</w:t>
      </w:r>
    </w:p>
    <w:p w14:paraId="5F18842E">
      <w:pPr>
        <w:numPr>
          <w:ilvl w:val="1"/>
          <w:numId w:val="2"/>
        </w:numPr>
        <w:tabs>
          <w:tab w:val="left" w:pos="220"/>
          <w:tab w:val="clear" w:pos="420"/>
        </w:tabs>
        <w:snapToGrid w:val="0"/>
        <w:spacing w:line="360" w:lineRule="auto"/>
        <w:ind w:left="10" w:firstLine="387"/>
        <w:rPr>
          <w:rFonts w:hint="eastAsia" w:ascii="宋体" w:hAnsi="宋体" w:cs="宋体"/>
          <w:color w:val="auto"/>
          <w:szCs w:val="21"/>
          <w:highlight w:val="none"/>
        </w:rPr>
      </w:pPr>
      <w:r>
        <w:rPr>
          <w:rFonts w:hint="eastAsia" w:ascii="宋体" w:hAnsi="宋体" w:cs="宋体"/>
          <w:color w:val="auto"/>
          <w:szCs w:val="21"/>
          <w:highlight w:val="none"/>
        </w:rPr>
        <w:t>采购人、采购代理机构在收到质疑函后7个工作日内作出答复，并以书面形式通知质疑供应商和其他有关供应商。</w:t>
      </w:r>
    </w:p>
    <w:p w14:paraId="53773D75">
      <w:pPr>
        <w:tabs>
          <w:tab w:val="left" w:pos="420"/>
        </w:tabs>
        <w:autoSpaceDE w:val="0"/>
        <w:autoSpaceDN w:val="0"/>
        <w:adjustRightInd w:val="0"/>
        <w:snapToGrid w:val="0"/>
        <w:spacing w:before="156" w:beforeLines="50" w:after="156" w:afterLines="50" w:line="360" w:lineRule="auto"/>
        <w:jc w:val="center"/>
        <w:outlineLvl w:val="1"/>
        <w:rPr>
          <w:rFonts w:hint="eastAsia" w:ascii="宋体" w:hAnsi="宋体" w:cs="宋体"/>
          <w:b/>
          <w:bCs/>
          <w:color w:val="auto"/>
          <w:sz w:val="28"/>
          <w:szCs w:val="28"/>
          <w:highlight w:val="none"/>
          <w:lang w:val="zh-CN"/>
        </w:rPr>
      </w:pPr>
      <w:bookmarkStart w:id="145" w:name="_Toc14677"/>
      <w:bookmarkStart w:id="146" w:name="_Toc13105"/>
      <w:bookmarkStart w:id="147" w:name="_Toc3138"/>
      <w:bookmarkStart w:id="148" w:name="_Toc9391"/>
      <w:bookmarkStart w:id="149" w:name="_Toc17222"/>
      <w:bookmarkStart w:id="150" w:name="_Toc22145"/>
      <w:bookmarkStart w:id="151" w:name="_Toc30278"/>
      <w:bookmarkStart w:id="152" w:name="_Toc15209"/>
      <w:bookmarkStart w:id="153" w:name="_Toc30232"/>
      <w:bookmarkStart w:id="154" w:name="_Toc4179"/>
      <w:bookmarkStart w:id="155" w:name="_Toc25224"/>
      <w:bookmarkStart w:id="156" w:name="_Toc9928"/>
      <w:bookmarkStart w:id="157" w:name="_Toc5845"/>
      <w:bookmarkStart w:id="158" w:name="_Toc18553"/>
      <w:bookmarkStart w:id="159" w:name="_Toc26177"/>
      <w:r>
        <w:rPr>
          <w:rFonts w:hint="eastAsia" w:ascii="宋体" w:hAnsi="宋体" w:cs="宋体"/>
          <w:b/>
          <w:bCs/>
          <w:color w:val="auto"/>
          <w:sz w:val="28"/>
          <w:szCs w:val="28"/>
          <w:highlight w:val="none"/>
          <w:lang w:val="zh-CN"/>
        </w:rPr>
        <w:t>八、需要补充的其他内容</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15C6E109">
      <w:pPr>
        <w:widowControl/>
        <w:numPr>
          <w:ilvl w:val="0"/>
          <w:numId w:val="2"/>
        </w:numPr>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需要补充的其他内容：见供应商须知前附表。</w:t>
      </w:r>
    </w:p>
    <w:p w14:paraId="633A2C89">
      <w:pPr>
        <w:widowControl/>
        <w:numPr>
          <w:ilvl w:val="0"/>
          <w:numId w:val="2"/>
        </w:numPr>
        <w:snapToGrid w:val="0"/>
        <w:spacing w:line="360" w:lineRule="auto"/>
        <w:ind w:left="0" w:firstLine="0"/>
        <w:rPr>
          <w:rFonts w:hint="eastAsia" w:ascii="宋体" w:hAnsi="宋体" w:cs="宋体"/>
          <w:color w:val="auto"/>
          <w:szCs w:val="21"/>
          <w:highlight w:val="none"/>
        </w:rPr>
      </w:pPr>
      <w:r>
        <w:rPr>
          <w:rFonts w:hint="eastAsia" w:ascii="宋体" w:hAnsi="宋体" w:cs="宋体"/>
          <w:b/>
          <w:bCs/>
          <w:color w:val="auto"/>
          <w:szCs w:val="21"/>
          <w:highlight w:val="none"/>
        </w:rPr>
        <w:t xml:space="preserve">未尽事宜，按国家有关规定执行。 </w:t>
      </w:r>
      <w:bookmarkEnd w:id="108"/>
    </w:p>
    <w:p w14:paraId="32308D48">
      <w:pPr>
        <w:tabs>
          <w:tab w:val="left" w:pos="22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有权核查供应商在响应文件中提供的资料，若在评审期间发现供应商提供了虚假资料，磋商小组对供应商的响应文件作无效响应处理；若在发出成交通知书前发现供应商提供了虚假资料，采购人有权取消其成交资格；若在签署合同后发现供应商提供了虚假资料，采购人有权与供应商解除项目合同。</w:t>
      </w:r>
    </w:p>
    <w:p w14:paraId="39D38B25">
      <w:pPr>
        <w:pStyle w:val="2"/>
        <w:tabs>
          <w:tab w:val="left" w:pos="420"/>
        </w:tabs>
        <w:adjustRightInd w:val="0"/>
        <w:snapToGrid w:val="0"/>
        <w:jc w:val="center"/>
        <w:rPr>
          <w:rFonts w:cs="宋体"/>
          <w:color w:val="auto"/>
          <w:highlight w:val="none"/>
        </w:rPr>
      </w:pPr>
      <w:bookmarkStart w:id="160" w:name="_Toc2821_WPSOffice_Level1"/>
      <w:bookmarkStart w:id="161" w:name="_Toc23117"/>
      <w:bookmarkStart w:id="162" w:name="_Toc16889"/>
      <w:bookmarkStart w:id="163" w:name="_Toc30529"/>
      <w:bookmarkStart w:id="164" w:name="_Toc30616"/>
      <w:bookmarkStart w:id="165" w:name="_Toc29455"/>
      <w:bookmarkStart w:id="166" w:name="_Toc18402"/>
      <w:r>
        <w:rPr>
          <w:rFonts w:cs="宋体"/>
          <w:color w:val="auto"/>
          <w:sz w:val="32"/>
          <w:szCs w:val="20"/>
          <w:highlight w:val="none"/>
        </w:rPr>
        <w:br w:type="page"/>
      </w:r>
      <w:bookmarkStart w:id="167" w:name="_Toc16034"/>
      <w:bookmarkStart w:id="168" w:name="_Toc24652"/>
      <w:bookmarkStart w:id="169" w:name="_Toc5707"/>
      <w:bookmarkStart w:id="170" w:name="_Toc26842"/>
      <w:bookmarkStart w:id="171" w:name="_Toc5537"/>
      <w:bookmarkStart w:id="172" w:name="_Toc15353"/>
      <w:bookmarkStart w:id="173" w:name="_Toc28092"/>
      <w:bookmarkStart w:id="174" w:name="_Toc29282"/>
      <w:bookmarkStart w:id="175" w:name="_Toc26396"/>
      <w:bookmarkStart w:id="176" w:name="_Toc27364"/>
      <w:bookmarkStart w:id="177" w:name="_Toc4563"/>
      <w:r>
        <w:rPr>
          <w:rFonts w:cs="宋体"/>
          <w:color w:val="auto"/>
          <w:sz w:val="32"/>
          <w:szCs w:val="20"/>
          <w:highlight w:val="none"/>
        </w:rPr>
        <w:t>第三章 评审方法</w:t>
      </w:r>
      <w:bookmarkEnd w:id="160"/>
      <w:bookmarkEnd w:id="161"/>
      <w:r>
        <w:rPr>
          <w:rFonts w:cs="宋体"/>
          <w:color w:val="auto"/>
          <w:sz w:val="32"/>
          <w:szCs w:val="20"/>
          <w:highlight w:val="none"/>
        </w:rPr>
        <w:t>和标准</w:t>
      </w:r>
      <w:bookmarkEnd w:id="162"/>
      <w:bookmarkEnd w:id="163"/>
      <w:bookmarkEnd w:id="164"/>
      <w:bookmarkEnd w:id="165"/>
      <w:bookmarkEnd w:id="167"/>
      <w:bookmarkEnd w:id="168"/>
      <w:bookmarkEnd w:id="169"/>
      <w:bookmarkEnd w:id="170"/>
      <w:bookmarkEnd w:id="171"/>
      <w:bookmarkEnd w:id="172"/>
      <w:bookmarkEnd w:id="173"/>
      <w:bookmarkEnd w:id="174"/>
      <w:bookmarkEnd w:id="175"/>
      <w:bookmarkEnd w:id="176"/>
      <w:bookmarkEnd w:id="177"/>
    </w:p>
    <w:p w14:paraId="31A16044">
      <w:pPr>
        <w:tabs>
          <w:tab w:val="left" w:pos="420"/>
        </w:tabs>
        <w:jc w:val="center"/>
        <w:rPr>
          <w:rFonts w:hint="eastAsia" w:ascii="宋体" w:hAnsi="宋体" w:cs="宋体"/>
          <w:b/>
          <w:bCs/>
          <w:color w:val="auto"/>
          <w:sz w:val="24"/>
          <w:szCs w:val="32"/>
          <w:highlight w:val="none"/>
        </w:rPr>
      </w:pPr>
      <w:bookmarkStart w:id="178" w:name="_Toc31960"/>
      <w:bookmarkStart w:id="179" w:name="_Toc3653"/>
      <w:bookmarkStart w:id="180" w:name="_Toc25888"/>
      <w:bookmarkStart w:id="181" w:name="_Toc18984"/>
      <w:r>
        <w:rPr>
          <w:rFonts w:hint="eastAsia" w:ascii="宋体" w:hAnsi="宋体" w:cs="宋体"/>
          <w:b/>
          <w:bCs/>
          <w:color w:val="auto"/>
          <w:sz w:val="24"/>
          <w:szCs w:val="32"/>
          <w:highlight w:val="none"/>
        </w:rPr>
        <w:t>评审方法前附表</w:t>
      </w:r>
      <w:bookmarkEnd w:id="178"/>
      <w:bookmarkEnd w:id="179"/>
      <w:bookmarkEnd w:id="180"/>
      <w:bookmarkEnd w:id="181"/>
    </w:p>
    <w:tbl>
      <w:tblPr>
        <w:tblStyle w:val="18"/>
        <w:tblW w:w="90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1"/>
        <w:gridCol w:w="528"/>
        <w:gridCol w:w="2456"/>
        <w:gridCol w:w="5237"/>
      </w:tblGrid>
      <w:tr w14:paraId="2FDEA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9" w:type="dxa"/>
            <w:gridSpan w:val="2"/>
            <w:tcBorders>
              <w:top w:val="single" w:color="auto" w:sz="4" w:space="0"/>
              <w:bottom w:val="single" w:color="auto" w:sz="4" w:space="0"/>
              <w:right w:val="single" w:color="auto" w:sz="4" w:space="0"/>
            </w:tcBorders>
            <w:noWrap w:val="0"/>
            <w:vAlign w:val="center"/>
          </w:tcPr>
          <w:p w14:paraId="4EE981BF">
            <w:pPr>
              <w:adjustRightInd w:val="0"/>
              <w:snapToGrid w:val="0"/>
              <w:spacing w:line="360" w:lineRule="exact"/>
              <w:jc w:val="center"/>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条款号</w:t>
            </w:r>
          </w:p>
        </w:tc>
        <w:tc>
          <w:tcPr>
            <w:tcW w:w="2456" w:type="dxa"/>
            <w:tcBorders>
              <w:top w:val="single" w:color="auto" w:sz="4" w:space="0"/>
              <w:left w:val="single" w:color="auto" w:sz="4" w:space="0"/>
              <w:bottom w:val="single" w:color="auto" w:sz="4" w:space="0"/>
              <w:right w:val="single" w:color="auto" w:sz="4" w:space="0"/>
            </w:tcBorders>
            <w:noWrap w:val="0"/>
            <w:vAlign w:val="center"/>
          </w:tcPr>
          <w:p w14:paraId="7E3891E3">
            <w:pPr>
              <w:adjustRightInd w:val="0"/>
              <w:snapToGrid w:val="0"/>
              <w:spacing w:line="360" w:lineRule="exact"/>
              <w:jc w:val="center"/>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评审因素</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6E65CCC8">
            <w:pPr>
              <w:adjustRightInd w:val="0"/>
              <w:snapToGrid w:val="0"/>
              <w:spacing w:line="360" w:lineRule="exact"/>
              <w:jc w:val="center"/>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r>
      <w:tr w14:paraId="2E0F4B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811" w:type="dxa"/>
            <w:vMerge w:val="restart"/>
            <w:tcBorders>
              <w:right w:val="single" w:color="auto" w:sz="4" w:space="0"/>
            </w:tcBorders>
            <w:noWrap w:val="0"/>
            <w:vAlign w:val="center"/>
          </w:tcPr>
          <w:p w14:paraId="4FA315C8">
            <w:pPr>
              <w:adjustRightInd w:val="0"/>
              <w:snapToGrid w:val="0"/>
              <w:spacing w:line="360" w:lineRule="exact"/>
              <w:jc w:val="center"/>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2.1.1</w:t>
            </w:r>
          </w:p>
        </w:tc>
        <w:tc>
          <w:tcPr>
            <w:tcW w:w="528" w:type="dxa"/>
            <w:vMerge w:val="restart"/>
            <w:tcBorders>
              <w:right w:val="single" w:color="auto" w:sz="4" w:space="0"/>
            </w:tcBorders>
            <w:noWrap w:val="0"/>
            <w:vAlign w:val="center"/>
          </w:tcPr>
          <w:p w14:paraId="78AD651C">
            <w:pPr>
              <w:adjustRightInd w:val="0"/>
              <w:snapToGrid w:val="0"/>
              <w:spacing w:line="36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资格性检查评审标准</w:t>
            </w:r>
          </w:p>
        </w:tc>
        <w:tc>
          <w:tcPr>
            <w:tcW w:w="2456" w:type="dxa"/>
            <w:vMerge w:val="restart"/>
            <w:tcBorders>
              <w:top w:val="single" w:color="auto" w:sz="4" w:space="0"/>
              <w:left w:val="single" w:color="auto" w:sz="4" w:space="0"/>
              <w:right w:val="single" w:color="auto" w:sz="4" w:space="0"/>
            </w:tcBorders>
            <w:noWrap w:val="0"/>
            <w:vAlign w:val="center"/>
          </w:tcPr>
          <w:p w14:paraId="4AC40056">
            <w:pPr>
              <w:widowControl/>
              <w:numPr>
                <w:ilvl w:val="2"/>
                <w:numId w:val="0"/>
              </w:numPr>
              <w:tabs>
                <w:tab w:val="left" w:pos="420"/>
              </w:tabs>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满足《中华人民共和国政府采购法》第二十二条规定</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42901BD4">
            <w:pPr>
              <w:snapToGrid w:val="0"/>
              <w:rPr>
                <w:rFonts w:hint="eastAsia" w:ascii="宋体" w:hAnsi="宋体" w:cs="宋体"/>
                <w:bCs/>
                <w:color w:val="auto"/>
                <w:szCs w:val="21"/>
                <w:highlight w:val="none"/>
              </w:rPr>
            </w:pPr>
            <w:r>
              <w:rPr>
                <w:rFonts w:hint="eastAsia" w:ascii="宋体" w:hAnsi="宋体" w:cs="宋体"/>
                <w:bCs/>
                <w:color w:val="auto"/>
                <w:szCs w:val="21"/>
                <w:highlight w:val="none"/>
              </w:rPr>
              <w:t>供应商为企业（包括合伙企业）的，应提供有效的“营业执照”；</w:t>
            </w:r>
          </w:p>
          <w:p w14:paraId="46FFFD12">
            <w:pPr>
              <w:snapToGrid w:val="0"/>
              <w:rPr>
                <w:rFonts w:hint="eastAsia" w:ascii="宋体" w:hAnsi="宋体" w:cs="宋体"/>
                <w:bCs/>
                <w:color w:val="auto"/>
                <w:szCs w:val="21"/>
                <w:highlight w:val="none"/>
              </w:rPr>
            </w:pPr>
            <w:r>
              <w:rPr>
                <w:rFonts w:hint="eastAsia" w:ascii="宋体" w:hAnsi="宋体" w:cs="宋体"/>
                <w:bCs/>
                <w:color w:val="auto"/>
                <w:szCs w:val="21"/>
                <w:highlight w:val="none"/>
              </w:rPr>
              <w:t>供应商为事业单位的，应提供有效的“事业单位法人证书”；</w:t>
            </w:r>
          </w:p>
          <w:p w14:paraId="62073EB9">
            <w:pPr>
              <w:snapToGrid w:val="0"/>
              <w:rPr>
                <w:rFonts w:hint="eastAsia" w:ascii="宋体" w:hAnsi="宋体" w:cs="宋体"/>
                <w:bCs/>
                <w:color w:val="auto"/>
                <w:szCs w:val="21"/>
                <w:highlight w:val="none"/>
              </w:rPr>
            </w:pPr>
            <w:r>
              <w:rPr>
                <w:rFonts w:hint="eastAsia" w:ascii="宋体" w:hAnsi="宋体" w:cs="宋体"/>
                <w:bCs/>
                <w:color w:val="auto"/>
                <w:szCs w:val="21"/>
                <w:highlight w:val="none"/>
              </w:rPr>
              <w:t>供应商是非企业机构的，应提供有效的“执业许可证”“登记证书”等证明文件；</w:t>
            </w:r>
          </w:p>
          <w:p w14:paraId="70FB153D">
            <w:pPr>
              <w:snapToGrid w:val="0"/>
              <w:rPr>
                <w:rFonts w:hint="eastAsia" w:ascii="宋体" w:hAnsi="宋体" w:cs="宋体"/>
                <w:bCs/>
                <w:color w:val="auto"/>
                <w:szCs w:val="21"/>
                <w:highlight w:val="none"/>
              </w:rPr>
            </w:pPr>
            <w:r>
              <w:rPr>
                <w:rFonts w:hint="eastAsia" w:ascii="宋体" w:hAnsi="宋体" w:cs="宋体"/>
                <w:bCs/>
                <w:color w:val="auto"/>
                <w:szCs w:val="21"/>
                <w:highlight w:val="none"/>
              </w:rPr>
              <w:t>供应商是个体工商户的，应提供有效的“个体工商户营业执照”；</w:t>
            </w:r>
          </w:p>
          <w:p w14:paraId="09AD71D9">
            <w:pPr>
              <w:snapToGrid w:val="0"/>
              <w:rPr>
                <w:rFonts w:hint="eastAsia" w:ascii="宋体" w:hAnsi="宋体" w:cs="宋体"/>
                <w:bCs/>
                <w:color w:val="auto"/>
                <w:szCs w:val="21"/>
                <w:highlight w:val="none"/>
              </w:rPr>
            </w:pPr>
            <w:r>
              <w:rPr>
                <w:rFonts w:hint="eastAsia" w:ascii="宋体" w:hAnsi="宋体" w:cs="宋体"/>
                <w:bCs/>
                <w:color w:val="auto"/>
                <w:szCs w:val="21"/>
                <w:highlight w:val="none"/>
              </w:rPr>
              <w:t>供应商是自然人的，应提供有效的自然人身份证明。</w:t>
            </w:r>
          </w:p>
        </w:tc>
      </w:tr>
      <w:tr w14:paraId="19771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11" w:type="dxa"/>
            <w:vMerge w:val="continue"/>
            <w:tcBorders>
              <w:right w:val="single" w:color="auto" w:sz="4" w:space="0"/>
            </w:tcBorders>
            <w:noWrap w:val="0"/>
            <w:vAlign w:val="center"/>
          </w:tcPr>
          <w:p w14:paraId="2C7C753F">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0024EC6F">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vMerge w:val="continue"/>
            <w:tcBorders>
              <w:left w:val="single" w:color="auto" w:sz="4" w:space="0"/>
              <w:right w:val="single" w:color="auto" w:sz="4" w:space="0"/>
            </w:tcBorders>
            <w:noWrap w:val="0"/>
            <w:vAlign w:val="center"/>
          </w:tcPr>
          <w:p w14:paraId="7C3CDA09">
            <w:pPr>
              <w:numPr>
                <w:ilvl w:val="2"/>
                <w:numId w:val="0"/>
              </w:numPr>
              <w:tabs>
                <w:tab w:val="left" w:pos="420"/>
              </w:tabs>
              <w:adjustRightInd w:val="0"/>
              <w:snapToGrid w:val="0"/>
              <w:jc w:val="center"/>
              <w:rPr>
                <w:rFonts w:hint="eastAsia" w:ascii="宋体" w:hAnsi="宋体" w:cs="宋体"/>
                <w:bCs/>
                <w:color w:val="auto"/>
                <w:szCs w:val="21"/>
                <w:highlight w:val="none"/>
              </w:rPr>
            </w:pPr>
          </w:p>
        </w:tc>
        <w:tc>
          <w:tcPr>
            <w:tcW w:w="5237" w:type="dxa"/>
            <w:tcBorders>
              <w:top w:val="single" w:color="auto" w:sz="4" w:space="0"/>
              <w:left w:val="single" w:color="auto" w:sz="4" w:space="0"/>
              <w:bottom w:val="single" w:color="auto" w:sz="4" w:space="0"/>
              <w:right w:val="single" w:color="auto" w:sz="4" w:space="0"/>
            </w:tcBorders>
            <w:noWrap w:val="0"/>
            <w:vAlign w:val="center"/>
          </w:tcPr>
          <w:p w14:paraId="00F790C3">
            <w:pPr>
              <w:numPr>
                <w:ilvl w:val="2"/>
                <w:numId w:val="0"/>
              </w:numPr>
              <w:tabs>
                <w:tab w:val="left" w:pos="420"/>
              </w:tabs>
              <w:adjustRightInd w:val="0"/>
              <w:snapToGrid w:val="0"/>
              <w:jc w:val="left"/>
              <w:rPr>
                <w:rFonts w:hint="default" w:ascii="宋体" w:hAnsi="宋体" w:eastAsia="宋体" w:cs="宋体"/>
                <w:color w:val="auto"/>
                <w:szCs w:val="21"/>
                <w:highlight w:val="none"/>
                <w:shd w:val="clear" w:color="auto" w:fill="FFFFFF"/>
                <w:lang w:val="en-US" w:eastAsia="zh-CN"/>
              </w:rPr>
            </w:pPr>
            <w:r>
              <w:rPr>
                <w:rFonts w:hint="default" w:ascii="宋体" w:hAnsi="宋体" w:eastAsia="宋体" w:cs="宋体"/>
                <w:color w:val="auto"/>
                <w:szCs w:val="21"/>
                <w:highlight w:val="none"/>
                <w:shd w:val="clear" w:color="auto" w:fill="FFFFFF"/>
                <w:lang w:val="en-US" w:eastAsia="zh-CN"/>
              </w:rPr>
              <w:t>供应商是企业法人的，应提供2025年度经审计的财务报告（新成立企业从成立之日起计算），包括“三表一注”，即资产负债表、利润表（损益表）、现金流量表及其附注或基本开户银行出具的资信证明。部分其他组织和自然人，没有经审计的财务报告，可以提供银行出具的资信证明。供应商为事业单位的，应至少提供近一年的资产负债表。</w:t>
            </w:r>
          </w:p>
        </w:tc>
      </w:tr>
      <w:tr w14:paraId="4A50C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811" w:type="dxa"/>
            <w:vMerge w:val="continue"/>
            <w:tcBorders>
              <w:right w:val="single" w:color="auto" w:sz="4" w:space="0"/>
            </w:tcBorders>
            <w:noWrap w:val="0"/>
            <w:vAlign w:val="center"/>
          </w:tcPr>
          <w:p w14:paraId="7F97595D">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4292510E">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vMerge w:val="continue"/>
            <w:tcBorders>
              <w:left w:val="single" w:color="auto" w:sz="4" w:space="0"/>
              <w:right w:val="single" w:color="auto" w:sz="4" w:space="0"/>
            </w:tcBorders>
            <w:noWrap w:val="0"/>
            <w:vAlign w:val="center"/>
          </w:tcPr>
          <w:p w14:paraId="1065090E">
            <w:pPr>
              <w:numPr>
                <w:ilvl w:val="2"/>
                <w:numId w:val="0"/>
              </w:numPr>
              <w:tabs>
                <w:tab w:val="left" w:pos="420"/>
              </w:tabs>
              <w:adjustRightInd w:val="0"/>
              <w:snapToGrid w:val="0"/>
              <w:jc w:val="center"/>
              <w:rPr>
                <w:rFonts w:hint="eastAsia" w:ascii="宋体" w:hAnsi="宋体" w:cs="宋体"/>
                <w:bCs/>
                <w:color w:val="auto"/>
                <w:szCs w:val="21"/>
                <w:highlight w:val="none"/>
              </w:rPr>
            </w:pPr>
          </w:p>
        </w:tc>
        <w:tc>
          <w:tcPr>
            <w:tcW w:w="5237" w:type="dxa"/>
            <w:tcBorders>
              <w:top w:val="single" w:color="auto" w:sz="4" w:space="0"/>
              <w:left w:val="single" w:color="auto" w:sz="4" w:space="0"/>
              <w:bottom w:val="single" w:color="auto" w:sz="4" w:space="0"/>
              <w:right w:val="single" w:color="auto" w:sz="4" w:space="0"/>
            </w:tcBorders>
            <w:noWrap w:val="0"/>
            <w:vAlign w:val="center"/>
          </w:tcPr>
          <w:p w14:paraId="7451BA6C">
            <w:pPr>
              <w:snapToGrid w:val="0"/>
              <w:rPr>
                <w:rFonts w:hint="default"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rPr>
              <w:t>具有履行合同所必需的设备和专业技术能力</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提供承诺函，格式自拟</w:t>
            </w:r>
            <w:r>
              <w:rPr>
                <w:rFonts w:hint="eastAsia" w:ascii="宋体" w:hAnsi="宋体" w:cs="宋体"/>
                <w:color w:val="auto"/>
                <w:szCs w:val="21"/>
                <w:highlight w:val="none"/>
                <w:lang w:eastAsia="zh-CN"/>
              </w:rPr>
              <w:t>）</w:t>
            </w:r>
          </w:p>
        </w:tc>
      </w:tr>
      <w:tr w14:paraId="6246FB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0" w:hRule="atLeast"/>
          <w:jc w:val="center"/>
        </w:trPr>
        <w:tc>
          <w:tcPr>
            <w:tcW w:w="811" w:type="dxa"/>
            <w:vMerge w:val="continue"/>
            <w:tcBorders>
              <w:right w:val="single" w:color="auto" w:sz="4" w:space="0"/>
            </w:tcBorders>
            <w:noWrap w:val="0"/>
            <w:vAlign w:val="center"/>
          </w:tcPr>
          <w:p w14:paraId="58633A77">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4845FC12">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vMerge w:val="continue"/>
            <w:tcBorders>
              <w:left w:val="single" w:color="auto" w:sz="4" w:space="0"/>
              <w:right w:val="single" w:color="auto" w:sz="4" w:space="0"/>
            </w:tcBorders>
            <w:noWrap w:val="0"/>
            <w:vAlign w:val="center"/>
          </w:tcPr>
          <w:p w14:paraId="20444068">
            <w:pPr>
              <w:numPr>
                <w:ilvl w:val="2"/>
                <w:numId w:val="0"/>
              </w:numPr>
              <w:tabs>
                <w:tab w:val="left" w:pos="420"/>
              </w:tabs>
              <w:adjustRightInd w:val="0"/>
              <w:snapToGrid w:val="0"/>
              <w:jc w:val="center"/>
              <w:rPr>
                <w:rFonts w:hint="eastAsia" w:ascii="宋体" w:hAnsi="宋体" w:cs="宋体"/>
                <w:bCs/>
                <w:color w:val="auto"/>
                <w:szCs w:val="21"/>
                <w:highlight w:val="none"/>
              </w:rPr>
            </w:pPr>
          </w:p>
        </w:tc>
        <w:tc>
          <w:tcPr>
            <w:tcW w:w="5237" w:type="dxa"/>
            <w:tcBorders>
              <w:top w:val="single" w:color="auto" w:sz="4" w:space="0"/>
              <w:left w:val="single" w:color="auto" w:sz="4" w:space="0"/>
              <w:bottom w:val="single" w:color="auto" w:sz="4" w:space="0"/>
              <w:right w:val="single" w:color="auto" w:sz="4" w:space="0"/>
            </w:tcBorders>
            <w:noWrap w:val="0"/>
            <w:vAlign w:val="center"/>
          </w:tcPr>
          <w:p w14:paraId="32E8F0A8">
            <w:pPr>
              <w:snapToGrid w:val="0"/>
              <w:rPr>
                <w:rFonts w:hint="eastAsia" w:ascii="宋体" w:hAnsi="宋体" w:eastAsia="宋体" w:cs="宋体"/>
                <w:color w:val="auto"/>
                <w:szCs w:val="21"/>
                <w:highlight w:val="none"/>
                <w:shd w:val="clear" w:color="auto" w:fill="FFFFFF"/>
                <w:lang w:eastAsia="zh-CN"/>
              </w:rPr>
            </w:pPr>
            <w:r>
              <w:rPr>
                <w:rFonts w:hint="eastAsia" w:ascii="宋体" w:hAnsi="宋体" w:eastAsia="宋体" w:cs="宋体"/>
                <w:color w:val="auto"/>
                <w:szCs w:val="21"/>
                <w:highlight w:val="none"/>
                <w:shd w:val="clear" w:color="auto" w:fill="FFFFFF"/>
                <w:lang w:eastAsia="zh-CN"/>
              </w:rPr>
              <w:t>提供2026年1月1日以来任意1个月缴纳税收和社会保险的凭证（新成立企业从成立之日起计算，依法免税或不需要缴纳社会保障资金的供应商，应提供相应行政部门出具的证明文件）</w:t>
            </w:r>
          </w:p>
        </w:tc>
      </w:tr>
      <w:tr w14:paraId="020A7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811" w:type="dxa"/>
            <w:vMerge w:val="continue"/>
            <w:tcBorders>
              <w:right w:val="single" w:color="auto" w:sz="4" w:space="0"/>
            </w:tcBorders>
            <w:noWrap w:val="0"/>
            <w:vAlign w:val="center"/>
          </w:tcPr>
          <w:p w14:paraId="23DA00B0">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787238E2">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vMerge w:val="continue"/>
            <w:tcBorders>
              <w:left w:val="single" w:color="auto" w:sz="4" w:space="0"/>
              <w:bottom w:val="single" w:color="auto" w:sz="4" w:space="0"/>
              <w:right w:val="single" w:color="auto" w:sz="4" w:space="0"/>
            </w:tcBorders>
            <w:noWrap w:val="0"/>
            <w:vAlign w:val="center"/>
          </w:tcPr>
          <w:p w14:paraId="05F3BD1B">
            <w:pPr>
              <w:widowControl/>
              <w:numPr>
                <w:ilvl w:val="2"/>
                <w:numId w:val="0"/>
              </w:numPr>
              <w:tabs>
                <w:tab w:val="left" w:pos="420"/>
              </w:tabs>
              <w:adjustRightInd w:val="0"/>
              <w:snapToGrid w:val="0"/>
              <w:jc w:val="center"/>
              <w:rPr>
                <w:rFonts w:hint="eastAsia" w:ascii="宋体" w:hAnsi="宋体" w:cs="宋体"/>
                <w:color w:val="auto"/>
                <w:highlight w:val="none"/>
              </w:rPr>
            </w:pPr>
          </w:p>
        </w:tc>
        <w:tc>
          <w:tcPr>
            <w:tcW w:w="5237" w:type="dxa"/>
            <w:tcBorders>
              <w:top w:val="single" w:color="auto" w:sz="4" w:space="0"/>
              <w:left w:val="single" w:color="auto" w:sz="4" w:space="0"/>
              <w:bottom w:val="single" w:color="auto" w:sz="4" w:space="0"/>
              <w:right w:val="single" w:color="auto" w:sz="4" w:space="0"/>
            </w:tcBorders>
            <w:noWrap w:val="0"/>
            <w:vAlign w:val="center"/>
          </w:tcPr>
          <w:p w14:paraId="397DA6A7">
            <w:pPr>
              <w:widowControl/>
              <w:numPr>
                <w:ilvl w:val="2"/>
                <w:numId w:val="0"/>
              </w:numPr>
              <w:tabs>
                <w:tab w:val="left" w:pos="420"/>
              </w:tabs>
              <w:adjustRightInd w:val="0"/>
              <w:snapToGrid w:val="0"/>
              <w:jc w:val="left"/>
              <w:rPr>
                <w:rFonts w:hint="eastAsia" w:ascii="宋体" w:hAnsi="宋体" w:cs="宋体"/>
                <w:color w:val="auto"/>
                <w:kern w:val="0"/>
                <w:szCs w:val="21"/>
                <w:highlight w:val="none"/>
              </w:rPr>
            </w:pPr>
            <w:r>
              <w:rPr>
                <w:rFonts w:hint="eastAsia" w:ascii="宋体" w:hAnsi="宋体" w:cs="宋体"/>
                <w:color w:val="auto"/>
                <w:szCs w:val="21"/>
                <w:highlight w:val="none"/>
                <w:lang w:eastAsia="zh-CN"/>
              </w:rPr>
              <w:t>参加采购活动前三年内</w:t>
            </w:r>
            <w:r>
              <w:rPr>
                <w:rFonts w:hint="eastAsia" w:ascii="宋体" w:hAnsi="宋体" w:cs="宋体"/>
                <w:color w:val="auto"/>
                <w:szCs w:val="21"/>
                <w:highlight w:val="none"/>
              </w:rPr>
              <w:t>，在经营活动中没有重大违法记录(提供承诺函，格式自拟)</w:t>
            </w:r>
          </w:p>
        </w:tc>
      </w:tr>
      <w:tr w14:paraId="72EC8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811" w:type="dxa"/>
            <w:vMerge w:val="continue"/>
            <w:tcBorders>
              <w:right w:val="single" w:color="auto" w:sz="4" w:space="0"/>
            </w:tcBorders>
            <w:noWrap w:val="0"/>
            <w:vAlign w:val="center"/>
          </w:tcPr>
          <w:p w14:paraId="5F895DB3">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2F7B8FEE">
            <w:pPr>
              <w:adjustRightInd w:val="0"/>
              <w:snapToGrid w:val="0"/>
              <w:spacing w:line="360" w:lineRule="exact"/>
              <w:jc w:val="center"/>
              <w:textAlignment w:val="baseline"/>
              <w:rPr>
                <w:rFonts w:hint="eastAsia" w:ascii="宋体" w:hAnsi="宋体" w:cs="宋体"/>
                <w:bCs/>
                <w:color w:val="auto"/>
                <w:szCs w:val="21"/>
                <w:highlight w:val="none"/>
              </w:rPr>
            </w:pPr>
          </w:p>
        </w:tc>
        <w:tc>
          <w:tcPr>
            <w:tcW w:w="7693" w:type="dxa"/>
            <w:gridSpan w:val="2"/>
            <w:tcBorders>
              <w:top w:val="single" w:color="auto" w:sz="4" w:space="0"/>
              <w:left w:val="single" w:color="auto" w:sz="4" w:space="0"/>
              <w:bottom w:val="single" w:color="auto" w:sz="4" w:space="0"/>
              <w:right w:val="single" w:color="auto" w:sz="4" w:space="0"/>
            </w:tcBorders>
            <w:noWrap w:val="0"/>
            <w:vAlign w:val="center"/>
          </w:tcPr>
          <w:p w14:paraId="5F805A29">
            <w:pPr>
              <w:snapToGrid w:val="0"/>
              <w:rPr>
                <w:rFonts w:ascii="宋体" w:hAnsi="宋体" w:cs="宋体"/>
                <w:color w:val="auto"/>
                <w:kern w:val="0"/>
                <w:szCs w:val="21"/>
                <w:highlight w:val="none"/>
              </w:rPr>
            </w:pPr>
            <w:r>
              <w:rPr>
                <w:rFonts w:hint="eastAsia" w:ascii="宋体" w:hAnsi="宋体" w:eastAsia="宋体" w:cs="宋体"/>
                <w:color w:val="auto"/>
                <w:szCs w:val="21"/>
                <w:highlight w:val="none"/>
                <w:shd w:val="clear" w:color="auto" w:fill="FFFFFF"/>
                <w:lang w:eastAsia="zh-CN"/>
              </w:rPr>
              <w:t>信誉要求：采购人或采购代理机构在开标后对所有供应商信用记录进行查询，并将查询结果网页打印存档，供应商不良信用记录以采购代理机构开标后查询结果为准。</w:t>
            </w:r>
          </w:p>
        </w:tc>
      </w:tr>
      <w:tr w14:paraId="22A95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811" w:type="dxa"/>
            <w:vMerge w:val="continue"/>
            <w:tcBorders>
              <w:right w:val="single" w:color="auto" w:sz="4" w:space="0"/>
            </w:tcBorders>
            <w:noWrap w:val="0"/>
            <w:vAlign w:val="center"/>
          </w:tcPr>
          <w:p w14:paraId="184F8FCF">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26EA0BB0">
            <w:pPr>
              <w:adjustRightInd w:val="0"/>
              <w:snapToGrid w:val="0"/>
              <w:spacing w:line="360" w:lineRule="exact"/>
              <w:jc w:val="center"/>
              <w:textAlignment w:val="baseline"/>
              <w:rPr>
                <w:rFonts w:hint="eastAsia" w:ascii="宋体" w:hAnsi="宋体" w:cs="宋体"/>
                <w:bCs/>
                <w:color w:val="auto"/>
                <w:szCs w:val="21"/>
                <w:highlight w:val="none"/>
              </w:rPr>
            </w:pPr>
          </w:p>
        </w:tc>
        <w:tc>
          <w:tcPr>
            <w:tcW w:w="7693" w:type="dxa"/>
            <w:gridSpan w:val="2"/>
            <w:tcBorders>
              <w:top w:val="single" w:color="auto" w:sz="4" w:space="0"/>
              <w:left w:val="single" w:color="auto" w:sz="4" w:space="0"/>
              <w:bottom w:val="single" w:color="auto" w:sz="4" w:space="0"/>
              <w:right w:val="single" w:color="auto" w:sz="4" w:space="0"/>
            </w:tcBorders>
            <w:noWrap w:val="0"/>
            <w:vAlign w:val="center"/>
          </w:tcPr>
          <w:p w14:paraId="4BDC5962">
            <w:pPr>
              <w:adjustRightInd w:val="0"/>
              <w:snapToGrid w:val="0"/>
              <w:rPr>
                <w:rFonts w:hint="eastAsia" w:ascii="宋体" w:hAnsi="宋体" w:cs="宋体"/>
                <w:color w:val="auto"/>
                <w:kern w:val="0"/>
                <w:szCs w:val="21"/>
                <w:highlight w:val="none"/>
              </w:rPr>
            </w:pPr>
            <w:r>
              <w:rPr>
                <w:rFonts w:hint="eastAsia" w:ascii="宋体" w:hAnsi="宋体" w:cs="宋体"/>
                <w:color w:val="auto"/>
                <w:kern w:val="0"/>
                <w:szCs w:val="21"/>
                <w:highlight w:val="none"/>
              </w:rPr>
              <w:t>供应商须具有行政主管部门颁发的有效的《出版物经营许可证》</w:t>
            </w:r>
          </w:p>
        </w:tc>
      </w:tr>
      <w:tr w14:paraId="6D407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811" w:type="dxa"/>
            <w:vMerge w:val="continue"/>
            <w:tcBorders>
              <w:right w:val="single" w:color="auto" w:sz="4" w:space="0"/>
            </w:tcBorders>
            <w:noWrap w:val="0"/>
            <w:vAlign w:val="center"/>
          </w:tcPr>
          <w:p w14:paraId="0320462A">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7E30D679">
            <w:pPr>
              <w:adjustRightInd w:val="0"/>
              <w:snapToGrid w:val="0"/>
              <w:spacing w:line="360" w:lineRule="exact"/>
              <w:jc w:val="center"/>
              <w:textAlignment w:val="baseline"/>
              <w:rPr>
                <w:rFonts w:hint="eastAsia" w:ascii="宋体" w:hAnsi="宋体" w:cs="宋体"/>
                <w:bCs/>
                <w:color w:val="auto"/>
                <w:szCs w:val="21"/>
                <w:highlight w:val="none"/>
              </w:rPr>
            </w:pPr>
          </w:p>
        </w:tc>
        <w:tc>
          <w:tcPr>
            <w:tcW w:w="7693" w:type="dxa"/>
            <w:gridSpan w:val="2"/>
            <w:tcBorders>
              <w:top w:val="single" w:color="auto" w:sz="4" w:space="0"/>
              <w:left w:val="single" w:color="auto" w:sz="4" w:space="0"/>
              <w:bottom w:val="single" w:color="auto" w:sz="4" w:space="0"/>
              <w:right w:val="single" w:color="auto" w:sz="4" w:space="0"/>
            </w:tcBorders>
            <w:noWrap w:val="0"/>
            <w:vAlign w:val="center"/>
          </w:tcPr>
          <w:p w14:paraId="1971CF8D">
            <w:pPr>
              <w:adjustRightInd w:val="0"/>
              <w:snapToGrid w:val="0"/>
              <w:rPr>
                <w:rFonts w:hint="eastAsia" w:ascii="宋体" w:hAnsi="宋体" w:cs="宋体"/>
                <w:color w:val="auto"/>
                <w:kern w:val="0"/>
                <w:szCs w:val="21"/>
                <w:highlight w:val="none"/>
              </w:rPr>
            </w:pPr>
            <w:r>
              <w:rPr>
                <w:rFonts w:hint="eastAsia" w:ascii="宋体" w:hAnsi="宋体" w:cs="宋体"/>
                <w:color w:val="auto"/>
                <w:kern w:val="0"/>
                <w:szCs w:val="21"/>
                <w:highlight w:val="none"/>
              </w:rPr>
              <w:t>单位负责人为同一人或者存在直接控股、管理关系的不同供应商，不得参加同一合同项下的政府采购活动。提供承诺函，格式自拟。</w:t>
            </w:r>
          </w:p>
        </w:tc>
      </w:tr>
      <w:tr w14:paraId="704141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811" w:type="dxa"/>
            <w:vMerge w:val="continue"/>
            <w:tcBorders>
              <w:right w:val="single" w:color="auto" w:sz="4" w:space="0"/>
            </w:tcBorders>
            <w:noWrap w:val="0"/>
            <w:vAlign w:val="center"/>
          </w:tcPr>
          <w:p w14:paraId="4D323183">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7064888F">
            <w:pPr>
              <w:adjustRightInd w:val="0"/>
              <w:snapToGrid w:val="0"/>
              <w:spacing w:line="360" w:lineRule="exact"/>
              <w:jc w:val="center"/>
              <w:textAlignment w:val="baseline"/>
              <w:rPr>
                <w:rFonts w:hint="eastAsia" w:ascii="宋体" w:hAnsi="宋体" w:cs="宋体"/>
                <w:bCs/>
                <w:color w:val="auto"/>
                <w:szCs w:val="21"/>
                <w:highlight w:val="none"/>
              </w:rPr>
            </w:pPr>
          </w:p>
        </w:tc>
        <w:tc>
          <w:tcPr>
            <w:tcW w:w="7693" w:type="dxa"/>
            <w:gridSpan w:val="2"/>
            <w:tcBorders>
              <w:top w:val="single" w:color="auto" w:sz="4" w:space="0"/>
              <w:left w:val="single" w:color="auto" w:sz="4" w:space="0"/>
              <w:right w:val="single" w:color="auto" w:sz="4" w:space="0"/>
            </w:tcBorders>
            <w:noWrap w:val="0"/>
            <w:vAlign w:val="center"/>
          </w:tcPr>
          <w:p w14:paraId="62DB4736">
            <w:pPr>
              <w:adjustRightInd w:val="0"/>
              <w:snapToGrid w:val="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除单一来源采购项目外，为采购项目提供整体设计、规范编制或者项目管理、监理、检测等服务的供应商，不得再参加该采购项目的其他采购活动。提供承诺函，格式自拟。</w:t>
            </w:r>
          </w:p>
        </w:tc>
      </w:tr>
      <w:tr w14:paraId="3DD78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811" w:type="dxa"/>
            <w:vMerge w:val="restart"/>
            <w:tcBorders>
              <w:top w:val="single" w:color="auto" w:sz="4" w:space="0"/>
              <w:right w:val="single" w:color="auto" w:sz="4" w:space="0"/>
            </w:tcBorders>
            <w:noWrap w:val="0"/>
            <w:vAlign w:val="center"/>
          </w:tcPr>
          <w:p w14:paraId="71D69884">
            <w:pPr>
              <w:adjustRightInd w:val="0"/>
              <w:snapToGrid w:val="0"/>
              <w:spacing w:line="360" w:lineRule="exact"/>
              <w:jc w:val="center"/>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2.1.2</w:t>
            </w:r>
          </w:p>
        </w:tc>
        <w:tc>
          <w:tcPr>
            <w:tcW w:w="528" w:type="dxa"/>
            <w:vMerge w:val="restart"/>
            <w:tcBorders>
              <w:top w:val="single" w:color="auto" w:sz="4" w:space="0"/>
              <w:right w:val="single" w:color="auto" w:sz="4" w:space="0"/>
            </w:tcBorders>
            <w:noWrap w:val="0"/>
            <w:vAlign w:val="center"/>
          </w:tcPr>
          <w:p w14:paraId="704CF16B">
            <w:pPr>
              <w:adjustRightInd w:val="0"/>
              <w:snapToGrid w:val="0"/>
              <w:spacing w:line="360" w:lineRule="exact"/>
              <w:jc w:val="center"/>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符合性检查评审标准</w:t>
            </w:r>
          </w:p>
        </w:tc>
        <w:tc>
          <w:tcPr>
            <w:tcW w:w="2456" w:type="dxa"/>
            <w:tcBorders>
              <w:top w:val="single" w:color="auto" w:sz="4" w:space="0"/>
              <w:left w:val="single" w:color="auto" w:sz="4" w:space="0"/>
              <w:bottom w:val="single" w:color="auto" w:sz="4" w:space="0"/>
              <w:right w:val="single" w:color="auto" w:sz="4" w:space="0"/>
            </w:tcBorders>
            <w:noWrap w:val="0"/>
            <w:vAlign w:val="center"/>
          </w:tcPr>
          <w:p w14:paraId="625D2D75">
            <w:pPr>
              <w:snapToGrid w:val="0"/>
              <w:spacing w:line="36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响应文件签署、盖章</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23C7716B">
            <w:pPr>
              <w:snapToGrid w:val="0"/>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按照磋商文件规定要求签署、盖章</w:t>
            </w:r>
          </w:p>
        </w:tc>
      </w:tr>
      <w:tr w14:paraId="6D368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811" w:type="dxa"/>
            <w:vMerge w:val="continue"/>
            <w:tcBorders>
              <w:right w:val="single" w:color="auto" w:sz="4" w:space="0"/>
            </w:tcBorders>
            <w:noWrap w:val="0"/>
            <w:vAlign w:val="center"/>
          </w:tcPr>
          <w:p w14:paraId="081CB074">
            <w:pPr>
              <w:pStyle w:val="35"/>
              <w:snapToGrid w:val="0"/>
              <w:spacing w:line="360" w:lineRule="exact"/>
              <w:rPr>
                <w:rFonts w:hint="eastAsia" w:hAnsi="宋体" w:cs="宋体"/>
                <w:bCs/>
                <w:color w:val="auto"/>
                <w:sz w:val="21"/>
                <w:szCs w:val="21"/>
                <w:highlight w:val="none"/>
              </w:rPr>
            </w:pPr>
          </w:p>
        </w:tc>
        <w:tc>
          <w:tcPr>
            <w:tcW w:w="528" w:type="dxa"/>
            <w:vMerge w:val="continue"/>
            <w:tcBorders>
              <w:right w:val="single" w:color="auto" w:sz="4" w:space="0"/>
            </w:tcBorders>
            <w:noWrap w:val="0"/>
            <w:vAlign w:val="center"/>
          </w:tcPr>
          <w:p w14:paraId="4EA98119">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tcBorders>
              <w:top w:val="single" w:color="auto" w:sz="4" w:space="0"/>
              <w:left w:val="single" w:color="auto" w:sz="4" w:space="0"/>
              <w:bottom w:val="single" w:color="auto" w:sz="4" w:space="0"/>
              <w:right w:val="single" w:color="auto" w:sz="4" w:space="0"/>
            </w:tcBorders>
            <w:noWrap w:val="0"/>
            <w:vAlign w:val="center"/>
          </w:tcPr>
          <w:p w14:paraId="0F30FA5C">
            <w:pPr>
              <w:snapToGrid w:val="0"/>
              <w:spacing w:line="36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报价唯一</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6050C9E6">
            <w:pPr>
              <w:snapToGrid w:val="0"/>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只有一个有效报价，且不超过最高限价</w:t>
            </w:r>
          </w:p>
        </w:tc>
      </w:tr>
      <w:tr w14:paraId="556FDE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5" w:hRule="atLeast"/>
          <w:jc w:val="center"/>
        </w:trPr>
        <w:tc>
          <w:tcPr>
            <w:tcW w:w="811" w:type="dxa"/>
            <w:vMerge w:val="continue"/>
            <w:tcBorders>
              <w:right w:val="single" w:color="auto" w:sz="4" w:space="0"/>
            </w:tcBorders>
            <w:noWrap w:val="0"/>
            <w:vAlign w:val="center"/>
          </w:tcPr>
          <w:p w14:paraId="5404A9A7">
            <w:pPr>
              <w:pStyle w:val="35"/>
              <w:snapToGrid w:val="0"/>
              <w:spacing w:line="360" w:lineRule="exact"/>
              <w:rPr>
                <w:rFonts w:hint="eastAsia" w:hAnsi="宋体" w:cs="宋体"/>
                <w:bCs/>
                <w:color w:val="auto"/>
                <w:sz w:val="21"/>
                <w:szCs w:val="21"/>
                <w:highlight w:val="none"/>
              </w:rPr>
            </w:pPr>
          </w:p>
        </w:tc>
        <w:tc>
          <w:tcPr>
            <w:tcW w:w="528" w:type="dxa"/>
            <w:vMerge w:val="continue"/>
            <w:tcBorders>
              <w:right w:val="single" w:color="auto" w:sz="4" w:space="0"/>
            </w:tcBorders>
            <w:noWrap w:val="0"/>
            <w:vAlign w:val="center"/>
          </w:tcPr>
          <w:p w14:paraId="3CB217A8">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tcBorders>
              <w:top w:val="single" w:color="auto" w:sz="4" w:space="0"/>
              <w:left w:val="single" w:color="auto" w:sz="4" w:space="0"/>
              <w:bottom w:val="single" w:color="auto" w:sz="4" w:space="0"/>
              <w:right w:val="single" w:color="auto" w:sz="4" w:space="0"/>
            </w:tcBorders>
            <w:noWrap w:val="0"/>
            <w:vAlign w:val="center"/>
          </w:tcPr>
          <w:p w14:paraId="7E708FC6">
            <w:pPr>
              <w:snapToGrid w:val="0"/>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rPr>
              <w:t>采购内容</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0204EE06">
            <w:pPr>
              <w:snapToGrid w:val="0"/>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包1：谭山校区：马克思主义学院、文学院、外国语学院、体育学院、音乐与舞蹈学院、美术与设计学院、传媒学院、历史文化学院、教师教育学院、旅游学院；淮河校区等教材；</w:t>
            </w:r>
          </w:p>
          <w:p w14:paraId="7CD957A0">
            <w:pPr>
              <w:snapToGrid w:val="0"/>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包2：谭山校区：数学与统计学院、物理电子工程学院、化学化工学院、生命科学学院、医学院、地理科学学院、法学与社会学学院、建筑与土木工程学院、计算机与信息技术学院、茶学与食品学院、新能源科学与技术学院、国际教育学院、拉斯维亚斯学院、教育科学学院、商学院；信阳理工学院校区等教材。</w:t>
            </w:r>
          </w:p>
        </w:tc>
      </w:tr>
      <w:tr w14:paraId="48B1BA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11" w:type="dxa"/>
            <w:vMerge w:val="continue"/>
            <w:tcBorders>
              <w:right w:val="single" w:color="auto" w:sz="4" w:space="0"/>
            </w:tcBorders>
            <w:noWrap w:val="0"/>
            <w:vAlign w:val="center"/>
          </w:tcPr>
          <w:p w14:paraId="238A0646">
            <w:pPr>
              <w:pStyle w:val="35"/>
              <w:snapToGrid w:val="0"/>
              <w:spacing w:line="360" w:lineRule="exact"/>
              <w:rPr>
                <w:rFonts w:hint="eastAsia" w:hAnsi="宋体" w:cs="宋体"/>
                <w:bCs/>
                <w:color w:val="auto"/>
                <w:sz w:val="21"/>
                <w:szCs w:val="21"/>
                <w:highlight w:val="none"/>
              </w:rPr>
            </w:pPr>
          </w:p>
        </w:tc>
        <w:tc>
          <w:tcPr>
            <w:tcW w:w="528" w:type="dxa"/>
            <w:vMerge w:val="continue"/>
            <w:tcBorders>
              <w:right w:val="single" w:color="auto" w:sz="4" w:space="0"/>
            </w:tcBorders>
            <w:noWrap w:val="0"/>
            <w:vAlign w:val="center"/>
          </w:tcPr>
          <w:p w14:paraId="4C0833FB">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tcBorders>
              <w:top w:val="single" w:color="auto" w:sz="4" w:space="0"/>
              <w:left w:val="single" w:color="auto" w:sz="4" w:space="0"/>
              <w:bottom w:val="single" w:color="auto" w:sz="4" w:space="0"/>
              <w:right w:val="single" w:color="auto" w:sz="4" w:space="0"/>
            </w:tcBorders>
            <w:noWrap w:val="0"/>
            <w:vAlign w:val="center"/>
          </w:tcPr>
          <w:p w14:paraId="2C46DE1D">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交货期</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3831CDA8">
            <w:pPr>
              <w:snapToGrid w:val="0"/>
              <w:spacing w:line="36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接采购人通知后7日历天内完成采购内容的交货、验收</w:t>
            </w:r>
          </w:p>
        </w:tc>
      </w:tr>
      <w:tr w14:paraId="6A5D6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11" w:type="dxa"/>
            <w:vMerge w:val="continue"/>
            <w:tcBorders>
              <w:right w:val="single" w:color="auto" w:sz="4" w:space="0"/>
            </w:tcBorders>
            <w:noWrap w:val="0"/>
            <w:vAlign w:val="center"/>
          </w:tcPr>
          <w:p w14:paraId="2DAC0AF9">
            <w:pPr>
              <w:pStyle w:val="35"/>
              <w:snapToGrid w:val="0"/>
              <w:spacing w:line="360" w:lineRule="exact"/>
              <w:rPr>
                <w:rFonts w:hint="eastAsia" w:hAnsi="宋体" w:cs="宋体"/>
                <w:bCs/>
                <w:color w:val="auto"/>
                <w:sz w:val="21"/>
                <w:szCs w:val="21"/>
                <w:highlight w:val="none"/>
              </w:rPr>
            </w:pPr>
          </w:p>
        </w:tc>
        <w:tc>
          <w:tcPr>
            <w:tcW w:w="528" w:type="dxa"/>
            <w:vMerge w:val="continue"/>
            <w:tcBorders>
              <w:right w:val="single" w:color="auto" w:sz="4" w:space="0"/>
            </w:tcBorders>
            <w:noWrap w:val="0"/>
            <w:vAlign w:val="center"/>
          </w:tcPr>
          <w:p w14:paraId="099CC70A">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tcBorders>
              <w:top w:val="single" w:color="auto" w:sz="4" w:space="0"/>
              <w:left w:val="single" w:color="auto" w:sz="4" w:space="0"/>
              <w:bottom w:val="single" w:color="auto" w:sz="4" w:space="0"/>
              <w:right w:val="single" w:color="auto" w:sz="4" w:space="0"/>
            </w:tcBorders>
            <w:noWrap w:val="0"/>
            <w:vAlign w:val="center"/>
          </w:tcPr>
          <w:p w14:paraId="6F64C186">
            <w:pPr>
              <w:snapToGrid w:val="0"/>
              <w:spacing w:line="36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交货地点</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6A85E787">
            <w:pPr>
              <w:snapToGrid w:val="0"/>
              <w:spacing w:line="360" w:lineRule="exact"/>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lang w:val="en-US" w:eastAsia="zh-CN"/>
              </w:rPr>
              <w:t>采购人指定地点</w:t>
            </w:r>
          </w:p>
        </w:tc>
      </w:tr>
      <w:tr w14:paraId="1B4B4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1" w:hRule="atLeast"/>
          <w:jc w:val="center"/>
        </w:trPr>
        <w:tc>
          <w:tcPr>
            <w:tcW w:w="811" w:type="dxa"/>
            <w:vMerge w:val="continue"/>
            <w:tcBorders>
              <w:right w:val="single" w:color="auto" w:sz="4" w:space="0"/>
            </w:tcBorders>
            <w:noWrap w:val="0"/>
            <w:vAlign w:val="center"/>
          </w:tcPr>
          <w:p w14:paraId="5FFB116D">
            <w:pPr>
              <w:pStyle w:val="35"/>
              <w:snapToGrid w:val="0"/>
              <w:spacing w:line="360" w:lineRule="exact"/>
              <w:rPr>
                <w:rFonts w:hint="eastAsia" w:hAnsi="宋体" w:cs="宋体"/>
                <w:bCs/>
                <w:color w:val="auto"/>
                <w:sz w:val="21"/>
                <w:szCs w:val="21"/>
                <w:highlight w:val="none"/>
              </w:rPr>
            </w:pPr>
          </w:p>
        </w:tc>
        <w:tc>
          <w:tcPr>
            <w:tcW w:w="528" w:type="dxa"/>
            <w:vMerge w:val="continue"/>
            <w:tcBorders>
              <w:right w:val="single" w:color="auto" w:sz="4" w:space="0"/>
            </w:tcBorders>
            <w:noWrap w:val="0"/>
            <w:vAlign w:val="center"/>
          </w:tcPr>
          <w:p w14:paraId="627ACE8E">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tcBorders>
              <w:top w:val="single" w:color="auto" w:sz="4" w:space="0"/>
              <w:left w:val="single" w:color="auto" w:sz="4" w:space="0"/>
              <w:bottom w:val="single" w:color="auto" w:sz="4" w:space="0"/>
              <w:right w:val="single" w:color="auto" w:sz="4" w:space="0"/>
            </w:tcBorders>
            <w:noWrap w:val="0"/>
            <w:vAlign w:val="center"/>
          </w:tcPr>
          <w:p w14:paraId="28CC23AB">
            <w:pPr>
              <w:snapToGrid w:val="0"/>
              <w:spacing w:line="36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质量要求</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43743691">
            <w:pPr>
              <w:snapToGrid w:val="0"/>
              <w:spacing w:line="36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供应商提供的教材必须符合国家或行业的合格标准，满足采购人提出的技术标准及要求；提供的教材必须是国家正规出版物，不得提供盗版、缺页、污损、装订不合格等，或不符合要求的图书。</w:t>
            </w:r>
          </w:p>
        </w:tc>
      </w:tr>
      <w:tr w14:paraId="325C5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811" w:type="dxa"/>
            <w:vMerge w:val="continue"/>
            <w:tcBorders>
              <w:right w:val="single" w:color="auto" w:sz="4" w:space="0"/>
            </w:tcBorders>
            <w:noWrap w:val="0"/>
            <w:vAlign w:val="center"/>
          </w:tcPr>
          <w:p w14:paraId="1FE2A601">
            <w:pPr>
              <w:pStyle w:val="35"/>
              <w:snapToGrid w:val="0"/>
              <w:spacing w:line="360" w:lineRule="exact"/>
              <w:rPr>
                <w:rFonts w:hint="eastAsia" w:hAnsi="宋体" w:cs="宋体"/>
                <w:bCs/>
                <w:color w:val="auto"/>
                <w:sz w:val="21"/>
                <w:szCs w:val="21"/>
                <w:highlight w:val="none"/>
              </w:rPr>
            </w:pPr>
          </w:p>
        </w:tc>
        <w:tc>
          <w:tcPr>
            <w:tcW w:w="528" w:type="dxa"/>
            <w:vMerge w:val="continue"/>
            <w:tcBorders>
              <w:right w:val="single" w:color="auto" w:sz="4" w:space="0"/>
            </w:tcBorders>
            <w:noWrap w:val="0"/>
            <w:vAlign w:val="center"/>
          </w:tcPr>
          <w:p w14:paraId="720B5B04">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tcBorders>
              <w:top w:val="single" w:color="auto" w:sz="4" w:space="0"/>
              <w:left w:val="single" w:color="auto" w:sz="4" w:space="0"/>
              <w:bottom w:val="single" w:color="auto" w:sz="4" w:space="0"/>
              <w:right w:val="single" w:color="auto" w:sz="4" w:space="0"/>
            </w:tcBorders>
            <w:noWrap w:val="0"/>
            <w:vAlign w:val="center"/>
          </w:tcPr>
          <w:p w14:paraId="55F56B4C">
            <w:pPr>
              <w:snapToGrid w:val="0"/>
              <w:spacing w:line="36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质保期</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3F98AAF3">
            <w:pPr>
              <w:snapToGrid w:val="0"/>
              <w:spacing w:line="360" w:lineRule="exact"/>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lang w:val="en-US" w:eastAsia="zh-CN"/>
              </w:rPr>
              <w:t>自验收合格之日起12个月，质保期内无条件免费更换</w:t>
            </w:r>
          </w:p>
        </w:tc>
      </w:tr>
      <w:tr w14:paraId="121FFA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811" w:type="dxa"/>
            <w:vMerge w:val="continue"/>
            <w:tcBorders>
              <w:right w:val="single" w:color="auto" w:sz="4" w:space="0"/>
            </w:tcBorders>
            <w:noWrap w:val="0"/>
            <w:vAlign w:val="center"/>
          </w:tcPr>
          <w:p w14:paraId="24127832">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66B2A411">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tcBorders>
              <w:top w:val="single" w:color="auto" w:sz="4" w:space="0"/>
              <w:left w:val="single" w:color="auto" w:sz="4" w:space="0"/>
              <w:bottom w:val="single" w:color="auto" w:sz="4" w:space="0"/>
              <w:right w:val="single" w:color="auto" w:sz="4" w:space="0"/>
            </w:tcBorders>
            <w:noWrap w:val="0"/>
            <w:vAlign w:val="center"/>
          </w:tcPr>
          <w:p w14:paraId="252F2469">
            <w:pPr>
              <w:snapToGrid w:val="0"/>
              <w:spacing w:line="36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磋商有效期</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5811D271">
            <w:pPr>
              <w:snapToGrid w:val="0"/>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90</w:t>
            </w:r>
            <w:r>
              <w:rPr>
                <w:rFonts w:hint="eastAsia" w:ascii="宋体" w:hAnsi="宋体" w:cs="宋体"/>
                <w:bCs/>
                <w:color w:val="auto"/>
                <w:szCs w:val="21"/>
                <w:highlight w:val="none"/>
              </w:rPr>
              <w:t>日历天（从提交首次响应文件的截止之日起算）</w:t>
            </w:r>
          </w:p>
        </w:tc>
      </w:tr>
      <w:tr w14:paraId="5423B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811" w:type="dxa"/>
            <w:vMerge w:val="continue"/>
            <w:tcBorders>
              <w:right w:val="single" w:color="auto" w:sz="4" w:space="0"/>
            </w:tcBorders>
            <w:noWrap w:val="0"/>
            <w:vAlign w:val="center"/>
          </w:tcPr>
          <w:p w14:paraId="11C32954">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right w:val="single" w:color="auto" w:sz="4" w:space="0"/>
            </w:tcBorders>
            <w:noWrap w:val="0"/>
            <w:vAlign w:val="center"/>
          </w:tcPr>
          <w:p w14:paraId="7232C28C">
            <w:pPr>
              <w:adjustRightInd w:val="0"/>
              <w:snapToGrid w:val="0"/>
              <w:spacing w:line="360" w:lineRule="exact"/>
              <w:jc w:val="center"/>
              <w:textAlignment w:val="baseline"/>
              <w:rPr>
                <w:rFonts w:hint="eastAsia" w:ascii="宋体" w:hAnsi="宋体" w:cs="宋体"/>
                <w:bCs/>
                <w:color w:val="auto"/>
                <w:szCs w:val="21"/>
                <w:highlight w:val="none"/>
              </w:rPr>
            </w:pPr>
          </w:p>
        </w:tc>
        <w:tc>
          <w:tcPr>
            <w:tcW w:w="7693" w:type="dxa"/>
            <w:gridSpan w:val="2"/>
            <w:tcBorders>
              <w:top w:val="single" w:color="auto" w:sz="4" w:space="0"/>
              <w:left w:val="single" w:color="auto" w:sz="4" w:space="0"/>
              <w:bottom w:val="single" w:color="auto" w:sz="4" w:space="0"/>
              <w:right w:val="single" w:color="auto" w:sz="4" w:space="0"/>
            </w:tcBorders>
            <w:noWrap w:val="0"/>
            <w:vAlign w:val="center"/>
          </w:tcPr>
          <w:p w14:paraId="32932EAA">
            <w:pPr>
              <w:snapToGrid w:val="0"/>
              <w:spacing w:line="360" w:lineRule="exact"/>
              <w:rPr>
                <w:rFonts w:hint="eastAsia" w:ascii="宋体" w:hAnsi="宋体" w:cs="宋体"/>
                <w:bCs/>
                <w:color w:val="auto"/>
                <w:szCs w:val="21"/>
                <w:highlight w:val="none"/>
              </w:rPr>
            </w:pPr>
            <w:r>
              <w:rPr>
                <w:rFonts w:hint="eastAsia" w:ascii="宋体" w:hAnsi="宋体" w:cs="宋体"/>
                <w:bCs/>
                <w:color w:val="auto"/>
                <w:szCs w:val="21"/>
                <w:highlight w:val="none"/>
              </w:rPr>
              <w:t>投标（响应）文件制作机器码一致者，视为</w:t>
            </w:r>
            <w:r>
              <w:rPr>
                <w:rFonts w:hint="eastAsia" w:ascii="宋体" w:hAnsi="宋体" w:cs="宋体"/>
                <w:bCs/>
                <w:color w:val="auto"/>
                <w:szCs w:val="21"/>
                <w:highlight w:val="none"/>
                <w:lang w:val="en-US" w:eastAsia="zh-CN"/>
              </w:rPr>
              <w:t>废标</w:t>
            </w:r>
            <w:r>
              <w:rPr>
                <w:rFonts w:hint="eastAsia" w:ascii="宋体" w:hAnsi="宋体" w:cs="宋体"/>
                <w:bCs/>
                <w:color w:val="auto"/>
                <w:szCs w:val="21"/>
                <w:highlight w:val="none"/>
              </w:rPr>
              <w:t>。</w:t>
            </w:r>
          </w:p>
        </w:tc>
      </w:tr>
      <w:tr w14:paraId="379326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811" w:type="dxa"/>
            <w:vMerge w:val="continue"/>
            <w:tcBorders>
              <w:bottom w:val="single" w:color="auto" w:sz="4" w:space="0"/>
              <w:right w:val="single" w:color="auto" w:sz="4" w:space="0"/>
            </w:tcBorders>
            <w:noWrap w:val="0"/>
            <w:vAlign w:val="center"/>
          </w:tcPr>
          <w:p w14:paraId="75302D3B">
            <w:pPr>
              <w:adjustRightInd w:val="0"/>
              <w:snapToGrid w:val="0"/>
              <w:spacing w:line="360" w:lineRule="exact"/>
              <w:jc w:val="center"/>
              <w:textAlignment w:val="baseline"/>
              <w:rPr>
                <w:rFonts w:hint="eastAsia" w:ascii="宋体" w:hAnsi="宋体" w:cs="宋体"/>
                <w:bCs/>
                <w:color w:val="auto"/>
                <w:szCs w:val="21"/>
                <w:highlight w:val="none"/>
              </w:rPr>
            </w:pPr>
          </w:p>
        </w:tc>
        <w:tc>
          <w:tcPr>
            <w:tcW w:w="528" w:type="dxa"/>
            <w:vMerge w:val="continue"/>
            <w:tcBorders>
              <w:bottom w:val="single" w:color="auto" w:sz="4" w:space="0"/>
              <w:right w:val="single" w:color="auto" w:sz="4" w:space="0"/>
            </w:tcBorders>
            <w:noWrap w:val="0"/>
            <w:vAlign w:val="center"/>
          </w:tcPr>
          <w:p w14:paraId="1CDBC263">
            <w:pPr>
              <w:adjustRightInd w:val="0"/>
              <w:snapToGrid w:val="0"/>
              <w:spacing w:line="360" w:lineRule="exact"/>
              <w:jc w:val="center"/>
              <w:textAlignment w:val="baseline"/>
              <w:rPr>
                <w:rFonts w:hint="eastAsia" w:ascii="宋体" w:hAnsi="宋体" w:cs="宋体"/>
                <w:bCs/>
                <w:color w:val="auto"/>
                <w:szCs w:val="21"/>
                <w:highlight w:val="none"/>
              </w:rPr>
            </w:pPr>
          </w:p>
        </w:tc>
        <w:tc>
          <w:tcPr>
            <w:tcW w:w="2456" w:type="dxa"/>
            <w:tcBorders>
              <w:top w:val="single" w:color="auto" w:sz="4" w:space="0"/>
              <w:left w:val="single" w:color="auto" w:sz="4" w:space="0"/>
              <w:bottom w:val="single" w:color="auto" w:sz="4" w:space="0"/>
              <w:right w:val="single" w:color="auto" w:sz="4" w:space="0"/>
            </w:tcBorders>
            <w:noWrap w:val="0"/>
            <w:vAlign w:val="center"/>
          </w:tcPr>
          <w:p w14:paraId="5BEA3FC7">
            <w:pPr>
              <w:tabs>
                <w:tab w:val="left" w:pos="420"/>
              </w:tabs>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其他</w:t>
            </w:r>
          </w:p>
        </w:tc>
        <w:tc>
          <w:tcPr>
            <w:tcW w:w="5237" w:type="dxa"/>
            <w:tcBorders>
              <w:top w:val="single" w:color="auto" w:sz="4" w:space="0"/>
              <w:left w:val="single" w:color="auto" w:sz="4" w:space="0"/>
              <w:bottom w:val="single" w:color="auto" w:sz="4" w:space="0"/>
              <w:right w:val="single" w:color="auto" w:sz="4" w:space="0"/>
            </w:tcBorders>
            <w:noWrap w:val="0"/>
            <w:vAlign w:val="center"/>
          </w:tcPr>
          <w:p w14:paraId="7B6F8176">
            <w:pPr>
              <w:tabs>
                <w:tab w:val="left" w:pos="420"/>
              </w:tabs>
              <w:adjustRightInd w:val="0"/>
              <w:snapToGrid w:val="0"/>
              <w:jc w:val="left"/>
              <w:rPr>
                <w:rFonts w:hint="eastAsia" w:ascii="宋体" w:hAnsi="宋体" w:cs="宋体"/>
                <w:bCs/>
                <w:color w:val="auto"/>
                <w:szCs w:val="21"/>
                <w:highlight w:val="none"/>
              </w:rPr>
            </w:pPr>
            <w:r>
              <w:rPr>
                <w:rFonts w:hint="eastAsia" w:ascii="宋体" w:hAnsi="宋体" w:cs="宋体"/>
                <w:bCs/>
                <w:color w:val="auto"/>
                <w:szCs w:val="21"/>
                <w:highlight w:val="none"/>
              </w:rPr>
              <w:t>不存在法律、法规和磋商文件规定的其他无效情形，</w:t>
            </w:r>
            <w:r>
              <w:rPr>
                <w:rFonts w:hint="eastAsia" w:ascii="宋体" w:hAnsi="宋体" w:cs="宋体"/>
                <w:color w:val="auto"/>
                <w:szCs w:val="21"/>
                <w:highlight w:val="none"/>
              </w:rPr>
              <w:t>未附有采购人不能接受的条件</w:t>
            </w:r>
          </w:p>
        </w:tc>
      </w:tr>
    </w:tbl>
    <w:p w14:paraId="0C1ABC7E">
      <w:pPr>
        <w:tabs>
          <w:tab w:val="left" w:pos="420"/>
        </w:tabs>
        <w:spacing w:line="360" w:lineRule="auto"/>
        <w:jc w:val="center"/>
        <w:rPr>
          <w:rFonts w:hint="eastAsia" w:ascii="宋体" w:hAnsi="宋体" w:cs="宋体"/>
          <w:b/>
          <w:color w:val="auto"/>
          <w:sz w:val="24"/>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评分细则</w:t>
      </w:r>
    </w:p>
    <w:tbl>
      <w:tblPr>
        <w:tblStyle w:val="18"/>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702"/>
        <w:gridCol w:w="7079"/>
        <w:gridCol w:w="476"/>
      </w:tblGrid>
      <w:tr w14:paraId="0CD7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921" w:type="dxa"/>
            <w:tcBorders>
              <w:top w:val="single" w:color="auto" w:sz="4" w:space="0"/>
              <w:left w:val="single" w:color="auto" w:sz="4" w:space="0"/>
              <w:bottom w:val="single" w:color="auto" w:sz="4" w:space="0"/>
              <w:right w:val="single" w:color="auto" w:sz="4" w:space="0"/>
            </w:tcBorders>
            <w:noWrap w:val="0"/>
            <w:vAlign w:val="center"/>
          </w:tcPr>
          <w:p w14:paraId="0779A175">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类别</w:t>
            </w:r>
          </w:p>
        </w:tc>
        <w:tc>
          <w:tcPr>
            <w:tcW w:w="702" w:type="dxa"/>
            <w:tcBorders>
              <w:top w:val="single" w:color="auto" w:sz="4" w:space="0"/>
              <w:left w:val="single" w:color="auto" w:sz="4" w:space="0"/>
              <w:bottom w:val="single" w:color="auto" w:sz="4" w:space="0"/>
              <w:right w:val="single" w:color="auto" w:sz="4" w:space="0"/>
            </w:tcBorders>
            <w:noWrap w:val="0"/>
            <w:vAlign w:val="center"/>
          </w:tcPr>
          <w:p w14:paraId="4A969140">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评分内容</w:t>
            </w:r>
          </w:p>
        </w:tc>
        <w:tc>
          <w:tcPr>
            <w:tcW w:w="7079" w:type="dxa"/>
            <w:tcBorders>
              <w:top w:val="single" w:color="auto" w:sz="4" w:space="0"/>
              <w:left w:val="single" w:color="auto" w:sz="4" w:space="0"/>
              <w:bottom w:val="single" w:color="auto" w:sz="4" w:space="0"/>
              <w:right w:val="single" w:color="auto" w:sz="4" w:space="0"/>
            </w:tcBorders>
            <w:noWrap w:val="0"/>
            <w:vAlign w:val="center"/>
          </w:tcPr>
          <w:p w14:paraId="110E79D9">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评分标准</w:t>
            </w:r>
          </w:p>
        </w:tc>
        <w:tc>
          <w:tcPr>
            <w:tcW w:w="476" w:type="dxa"/>
            <w:tcBorders>
              <w:top w:val="single" w:color="auto" w:sz="4" w:space="0"/>
              <w:left w:val="single" w:color="auto" w:sz="4" w:space="0"/>
              <w:bottom w:val="single" w:color="auto" w:sz="4" w:space="0"/>
              <w:right w:val="single" w:color="auto" w:sz="4" w:space="0"/>
            </w:tcBorders>
            <w:noWrap w:val="0"/>
            <w:vAlign w:val="center"/>
          </w:tcPr>
          <w:p w14:paraId="5CA5717F">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分值</w:t>
            </w:r>
          </w:p>
        </w:tc>
      </w:tr>
      <w:tr w14:paraId="5C03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1" w:type="dxa"/>
            <w:tcBorders>
              <w:top w:val="single" w:color="auto" w:sz="4" w:space="0"/>
              <w:left w:val="single" w:color="auto" w:sz="4" w:space="0"/>
              <w:bottom w:val="single" w:color="auto" w:sz="4" w:space="0"/>
              <w:right w:val="single" w:color="auto" w:sz="4" w:space="0"/>
            </w:tcBorders>
            <w:noWrap w:val="0"/>
            <w:vAlign w:val="center"/>
          </w:tcPr>
          <w:p w14:paraId="3495AB76">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投标</w:t>
            </w:r>
          </w:p>
          <w:p w14:paraId="63CB178B">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报价</w:t>
            </w:r>
          </w:p>
          <w:p w14:paraId="5E4AB0F1">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w:t>
            </w:r>
            <w:r>
              <w:rPr>
                <w:rFonts w:hint="eastAsia" w:ascii="宋体" w:hAnsi="宋体" w:cs="宋体"/>
                <w:bCs/>
                <w:color w:val="auto"/>
                <w:szCs w:val="21"/>
                <w:highlight w:val="none"/>
                <w:lang w:val="en-US" w:eastAsia="zh-CN"/>
              </w:rPr>
              <w:t>60</w:t>
            </w:r>
            <w:r>
              <w:rPr>
                <w:rFonts w:hint="eastAsia" w:ascii="宋体" w:hAnsi="宋体" w:eastAsia="宋体" w:cs="宋体"/>
                <w:bCs/>
                <w:color w:val="auto"/>
                <w:szCs w:val="21"/>
                <w:highlight w:val="none"/>
                <w:lang w:eastAsia="zh-CN"/>
              </w:rPr>
              <w:t>分）</w:t>
            </w:r>
          </w:p>
        </w:tc>
        <w:tc>
          <w:tcPr>
            <w:tcW w:w="702" w:type="dxa"/>
            <w:tcBorders>
              <w:top w:val="single" w:color="auto" w:sz="4" w:space="0"/>
              <w:left w:val="single" w:color="auto" w:sz="4" w:space="0"/>
              <w:bottom w:val="single" w:color="auto" w:sz="4" w:space="0"/>
              <w:right w:val="single" w:color="auto" w:sz="4" w:space="0"/>
            </w:tcBorders>
            <w:noWrap w:val="0"/>
            <w:vAlign w:val="center"/>
          </w:tcPr>
          <w:p w14:paraId="13BB4482">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报价得分</w:t>
            </w:r>
          </w:p>
        </w:tc>
        <w:tc>
          <w:tcPr>
            <w:tcW w:w="7079" w:type="dxa"/>
            <w:tcBorders>
              <w:top w:val="single" w:color="auto" w:sz="4" w:space="0"/>
              <w:left w:val="single" w:color="auto" w:sz="4" w:space="0"/>
              <w:bottom w:val="single" w:color="auto" w:sz="4" w:space="0"/>
              <w:right w:val="single" w:color="auto" w:sz="4" w:space="0"/>
            </w:tcBorders>
            <w:noWrap w:val="0"/>
            <w:vAlign w:val="center"/>
          </w:tcPr>
          <w:p w14:paraId="4855FDC8">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满足</w:t>
            </w:r>
            <w:r>
              <w:rPr>
                <w:rFonts w:hint="eastAsia" w:ascii="宋体" w:hAnsi="宋体" w:cs="宋体"/>
                <w:bCs/>
                <w:color w:val="auto"/>
                <w:szCs w:val="21"/>
                <w:highlight w:val="none"/>
                <w:lang w:val="en-US" w:eastAsia="zh-CN"/>
              </w:rPr>
              <w:t>竞争性磋商</w:t>
            </w:r>
            <w:r>
              <w:rPr>
                <w:rFonts w:hint="eastAsia" w:ascii="宋体" w:hAnsi="宋体" w:eastAsia="宋体" w:cs="宋体"/>
                <w:bCs/>
                <w:color w:val="auto"/>
                <w:szCs w:val="21"/>
                <w:highlight w:val="none"/>
                <w:lang w:eastAsia="zh-CN"/>
              </w:rPr>
              <w:t>文件要求且折扣率最低的为评标基准价，其价格分为满分；其他供应商报价部分得分=（评标基准价/投标折扣率）×60。</w:t>
            </w:r>
          </w:p>
          <w:p w14:paraId="5C224635">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注：1.因落实政府采购政策进行价格调整的，以调整后的价格计算评标基准价和报价部分得分。</w:t>
            </w:r>
          </w:p>
          <w:p w14:paraId="215E9973">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根据财库[2022]19号《关于进一步加大政府采购支持中小企业力度的通知》货物服务采购项目给予小微企业的价格扣除优惠为依据，对于小型、微型企业产品的具体评审价格最低比例10%扣除（监狱、残疾人福利性单位视同小微企业），小微企业同时为监狱、残疾人福利性单位的不重复扣除，对于中型企业产品的价格不予扣除。供应商须提供（中小企业声明函），否则不予认可。监狱企业产品、残疾人福利性单位产品的价格参照小、微型企业产品的扣除比例执行。</w:t>
            </w:r>
          </w:p>
          <w:p w14:paraId="2CABE617">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2.供应商投标报价超出最高限价的其报价无效</w:t>
            </w:r>
            <w:r>
              <w:rPr>
                <w:rFonts w:hint="eastAsia" w:ascii="宋体" w:hAnsi="宋体" w:cs="宋体"/>
                <w:bCs/>
                <w:color w:val="auto"/>
                <w:szCs w:val="21"/>
                <w:highlight w:val="none"/>
                <w:lang w:val="en-US" w:eastAsia="zh-CN"/>
              </w:rPr>
              <w:t>。</w:t>
            </w:r>
          </w:p>
        </w:tc>
        <w:tc>
          <w:tcPr>
            <w:tcW w:w="476" w:type="dxa"/>
            <w:tcBorders>
              <w:top w:val="single" w:color="auto" w:sz="4" w:space="0"/>
              <w:left w:val="single" w:color="auto" w:sz="4" w:space="0"/>
              <w:bottom w:val="single" w:color="auto" w:sz="4" w:space="0"/>
              <w:right w:val="single" w:color="auto" w:sz="4" w:space="0"/>
            </w:tcBorders>
            <w:noWrap w:val="0"/>
            <w:vAlign w:val="center"/>
          </w:tcPr>
          <w:p w14:paraId="04ACFF15">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60</w:t>
            </w:r>
            <w:r>
              <w:rPr>
                <w:rFonts w:hint="eastAsia" w:ascii="宋体" w:hAnsi="宋体" w:eastAsia="宋体" w:cs="宋体"/>
                <w:bCs/>
                <w:color w:val="auto"/>
                <w:szCs w:val="21"/>
                <w:highlight w:val="none"/>
                <w:lang w:eastAsia="zh-CN"/>
              </w:rPr>
              <w:t>分</w:t>
            </w:r>
          </w:p>
        </w:tc>
      </w:tr>
      <w:tr w14:paraId="6D97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1" w:type="dxa"/>
            <w:vMerge w:val="restart"/>
            <w:tcBorders>
              <w:top w:val="single" w:color="auto" w:sz="4" w:space="0"/>
              <w:left w:val="single" w:color="auto" w:sz="4" w:space="0"/>
              <w:right w:val="single" w:color="auto" w:sz="4" w:space="0"/>
            </w:tcBorders>
            <w:noWrap w:val="0"/>
            <w:vAlign w:val="center"/>
          </w:tcPr>
          <w:p w14:paraId="1F52230C">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综合部分（</w:t>
            </w:r>
            <w:r>
              <w:rPr>
                <w:rFonts w:hint="eastAsia" w:ascii="宋体" w:hAnsi="宋体" w:cs="宋体"/>
                <w:bCs/>
                <w:color w:val="auto"/>
                <w:szCs w:val="21"/>
                <w:highlight w:val="none"/>
                <w:lang w:val="en-US" w:eastAsia="zh-CN"/>
              </w:rPr>
              <w:t>26</w:t>
            </w:r>
            <w:r>
              <w:rPr>
                <w:rFonts w:hint="eastAsia" w:ascii="宋体" w:hAnsi="宋体" w:eastAsia="宋体" w:cs="宋体"/>
                <w:bCs/>
                <w:color w:val="auto"/>
                <w:szCs w:val="21"/>
                <w:highlight w:val="none"/>
                <w:lang w:eastAsia="zh-CN"/>
              </w:rPr>
              <w:t>分）</w:t>
            </w:r>
          </w:p>
        </w:tc>
        <w:tc>
          <w:tcPr>
            <w:tcW w:w="702" w:type="dxa"/>
            <w:tcBorders>
              <w:top w:val="single" w:color="auto" w:sz="4" w:space="0"/>
              <w:left w:val="single" w:color="auto" w:sz="4" w:space="0"/>
              <w:bottom w:val="single" w:color="auto" w:sz="4" w:space="0"/>
              <w:right w:val="single" w:color="auto" w:sz="4" w:space="0"/>
            </w:tcBorders>
            <w:noWrap w:val="0"/>
            <w:vAlign w:val="center"/>
          </w:tcPr>
          <w:p w14:paraId="7B8CF458">
            <w:pPr>
              <w:autoSpaceDE/>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业绩</w:t>
            </w:r>
          </w:p>
        </w:tc>
        <w:tc>
          <w:tcPr>
            <w:tcW w:w="7079" w:type="dxa"/>
            <w:tcBorders>
              <w:top w:val="single" w:color="auto" w:sz="4" w:space="0"/>
              <w:left w:val="single" w:color="auto" w:sz="4" w:space="0"/>
              <w:bottom w:val="single" w:color="auto" w:sz="4" w:space="0"/>
              <w:right w:val="single" w:color="auto" w:sz="4" w:space="0"/>
            </w:tcBorders>
            <w:noWrap w:val="0"/>
            <w:vAlign w:val="center"/>
          </w:tcPr>
          <w:p w14:paraId="30B97D2B">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供应商具有 2023年1月1日（以合同签订时间为准）以来图书、教材销售类业绩的，每提供一份的得2分，最多得 6分。（注：</w:t>
            </w:r>
            <w:r>
              <w:rPr>
                <w:rFonts w:hint="eastAsia" w:ascii="宋体" w:hAnsi="宋体" w:cs="宋体"/>
                <w:bCs/>
                <w:color w:val="auto"/>
                <w:szCs w:val="21"/>
                <w:highlight w:val="none"/>
                <w:lang w:val="en-US" w:eastAsia="zh-CN"/>
              </w:rPr>
              <w:t>响应</w:t>
            </w:r>
            <w:r>
              <w:rPr>
                <w:rFonts w:hint="eastAsia" w:ascii="宋体" w:hAnsi="宋体" w:eastAsia="宋体" w:cs="宋体"/>
                <w:bCs/>
                <w:color w:val="auto"/>
                <w:szCs w:val="21"/>
                <w:highlight w:val="none"/>
                <w:lang w:eastAsia="zh-CN"/>
              </w:rPr>
              <w:t>文件中附合同、发票、验收报告清晰扫描件，否则不得分。）</w:t>
            </w:r>
          </w:p>
        </w:tc>
        <w:tc>
          <w:tcPr>
            <w:tcW w:w="476" w:type="dxa"/>
            <w:tcBorders>
              <w:top w:val="single" w:color="auto" w:sz="4" w:space="0"/>
              <w:left w:val="single" w:color="auto" w:sz="4" w:space="0"/>
              <w:bottom w:val="single" w:color="auto" w:sz="4" w:space="0"/>
              <w:right w:val="single" w:color="auto" w:sz="4" w:space="0"/>
            </w:tcBorders>
            <w:noWrap w:val="0"/>
            <w:vAlign w:val="center"/>
          </w:tcPr>
          <w:p w14:paraId="194C1816">
            <w:pPr>
              <w:snapToGrid w:val="0"/>
              <w:spacing w:line="36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lang w:val="en-US" w:eastAsia="zh-CN"/>
              </w:rPr>
              <w:t>分</w:t>
            </w:r>
          </w:p>
        </w:tc>
      </w:tr>
      <w:tr w14:paraId="1A85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1" w:type="dxa"/>
            <w:vMerge w:val="continue"/>
            <w:tcBorders>
              <w:left w:val="single" w:color="auto" w:sz="4" w:space="0"/>
              <w:bottom w:val="single" w:color="auto" w:sz="4" w:space="0"/>
              <w:right w:val="single" w:color="auto" w:sz="4" w:space="0"/>
            </w:tcBorders>
            <w:noWrap w:val="0"/>
            <w:vAlign w:val="center"/>
          </w:tcPr>
          <w:p w14:paraId="69CDBE24">
            <w:pPr>
              <w:snapToGrid w:val="0"/>
              <w:spacing w:line="360" w:lineRule="exact"/>
              <w:jc w:val="center"/>
              <w:rPr>
                <w:rFonts w:hint="eastAsia" w:ascii="宋体" w:hAnsi="宋体" w:eastAsia="宋体" w:cs="宋体"/>
                <w:bCs/>
                <w:color w:val="auto"/>
                <w:szCs w:val="21"/>
                <w:highlight w:val="none"/>
                <w:lang w:eastAsia="zh-CN"/>
              </w:rPr>
            </w:pPr>
          </w:p>
        </w:tc>
        <w:tc>
          <w:tcPr>
            <w:tcW w:w="702" w:type="dxa"/>
            <w:tcBorders>
              <w:top w:val="single" w:color="auto" w:sz="4" w:space="0"/>
              <w:left w:val="single" w:color="auto" w:sz="4" w:space="0"/>
              <w:bottom w:val="single" w:color="auto" w:sz="4" w:space="0"/>
              <w:right w:val="single" w:color="auto" w:sz="4" w:space="0"/>
            </w:tcBorders>
            <w:noWrap w:val="0"/>
            <w:vAlign w:val="center"/>
          </w:tcPr>
          <w:p w14:paraId="71FD1D48">
            <w:pPr>
              <w:autoSpaceDE/>
              <w:snapToGrid w:val="0"/>
              <w:spacing w:line="360" w:lineRule="exact"/>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出版社授权</w:t>
            </w:r>
          </w:p>
        </w:tc>
        <w:tc>
          <w:tcPr>
            <w:tcW w:w="7079" w:type="dxa"/>
            <w:tcBorders>
              <w:top w:val="single" w:color="auto" w:sz="4" w:space="0"/>
              <w:left w:val="single" w:color="auto" w:sz="4" w:space="0"/>
              <w:bottom w:val="single" w:color="auto" w:sz="4" w:space="0"/>
              <w:right w:val="single" w:color="auto" w:sz="4" w:space="0"/>
            </w:tcBorders>
            <w:noWrap w:val="0"/>
            <w:vAlign w:val="center"/>
          </w:tcPr>
          <w:p w14:paraId="0F9A1AA6">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供应商具有推荐重点出版社授权的，每提供一份得 1分，最多得 13 分。</w:t>
            </w:r>
          </w:p>
          <w:p w14:paraId="2EE0AD94">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推荐重点出版社：高等教育出版社、人民邮电出版社、上海交通大学出版社、航空工业出版社、北京出版社、中国传媒大学出版社、中国人民大学出版社、哈尔滨工程大学出版社、北京邮电大学出版社、上海外语教育出版社、西安电子科技大学出版社、北京大学出版社、河北美术出版社、机械工业出版社、教育科学出版社、旅游教育出版社、首都师范大学出版社、东北师范大学出版社、湖南大学出版社、科学出版社。</w:t>
            </w:r>
          </w:p>
          <w:p w14:paraId="7EA72325">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（注：</w:t>
            </w:r>
            <w:r>
              <w:rPr>
                <w:rFonts w:hint="eastAsia" w:ascii="宋体" w:hAnsi="宋体" w:cs="宋体"/>
                <w:bCs/>
                <w:color w:val="auto"/>
                <w:szCs w:val="21"/>
                <w:highlight w:val="none"/>
                <w:lang w:val="en-US" w:eastAsia="zh-CN"/>
              </w:rPr>
              <w:t>响应</w:t>
            </w:r>
            <w:r>
              <w:rPr>
                <w:rFonts w:hint="eastAsia" w:ascii="宋体" w:hAnsi="宋体" w:eastAsia="宋体" w:cs="宋体"/>
                <w:bCs/>
                <w:color w:val="auto"/>
                <w:szCs w:val="21"/>
                <w:highlight w:val="none"/>
                <w:lang w:eastAsia="zh-CN"/>
              </w:rPr>
              <w:t>文件中附授权书并加盖出版社公章。）</w:t>
            </w:r>
          </w:p>
        </w:tc>
        <w:tc>
          <w:tcPr>
            <w:tcW w:w="476" w:type="dxa"/>
            <w:tcBorders>
              <w:top w:val="single" w:color="auto" w:sz="4" w:space="0"/>
              <w:left w:val="single" w:color="auto" w:sz="4" w:space="0"/>
              <w:bottom w:val="single" w:color="auto" w:sz="4" w:space="0"/>
              <w:right w:val="single" w:color="auto" w:sz="4" w:space="0"/>
            </w:tcBorders>
            <w:noWrap w:val="0"/>
            <w:vAlign w:val="center"/>
          </w:tcPr>
          <w:p w14:paraId="481D8BCD">
            <w:pPr>
              <w:snapToGrid w:val="0"/>
              <w:spacing w:line="36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13分</w:t>
            </w:r>
          </w:p>
        </w:tc>
      </w:tr>
      <w:tr w14:paraId="785C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1" w:type="dxa"/>
            <w:vMerge w:val="continue"/>
            <w:tcBorders>
              <w:left w:val="single" w:color="auto" w:sz="4" w:space="0"/>
              <w:bottom w:val="single" w:color="auto" w:sz="4" w:space="0"/>
              <w:right w:val="single" w:color="auto" w:sz="4" w:space="0"/>
            </w:tcBorders>
            <w:noWrap w:val="0"/>
            <w:vAlign w:val="center"/>
          </w:tcPr>
          <w:p w14:paraId="2242BEA4">
            <w:pPr>
              <w:snapToGrid w:val="0"/>
              <w:spacing w:line="360" w:lineRule="exact"/>
              <w:jc w:val="center"/>
              <w:rPr>
                <w:rFonts w:hint="eastAsia" w:ascii="宋体" w:hAnsi="宋体" w:eastAsia="宋体" w:cs="宋体"/>
                <w:bCs/>
                <w:color w:val="auto"/>
                <w:szCs w:val="21"/>
                <w:highlight w:val="none"/>
                <w:lang w:eastAsia="zh-CN"/>
              </w:rPr>
            </w:pPr>
          </w:p>
        </w:tc>
        <w:tc>
          <w:tcPr>
            <w:tcW w:w="702" w:type="dxa"/>
            <w:tcBorders>
              <w:top w:val="single" w:color="auto" w:sz="4" w:space="0"/>
              <w:left w:val="single" w:color="auto" w:sz="4" w:space="0"/>
              <w:bottom w:val="single" w:color="auto" w:sz="4" w:space="0"/>
              <w:right w:val="single" w:color="auto" w:sz="4" w:space="0"/>
            </w:tcBorders>
            <w:noWrap w:val="0"/>
            <w:vAlign w:val="center"/>
          </w:tcPr>
          <w:p w14:paraId="18E0AB5F">
            <w:pPr>
              <w:autoSpaceDE/>
              <w:snapToGrid w:val="0"/>
              <w:spacing w:line="360" w:lineRule="exact"/>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仓储能力</w:t>
            </w:r>
          </w:p>
        </w:tc>
        <w:tc>
          <w:tcPr>
            <w:tcW w:w="7079" w:type="dxa"/>
            <w:tcBorders>
              <w:top w:val="single" w:color="auto" w:sz="4" w:space="0"/>
              <w:left w:val="single" w:color="auto" w:sz="4" w:space="0"/>
              <w:bottom w:val="single" w:color="auto" w:sz="4" w:space="0"/>
              <w:right w:val="single" w:color="auto" w:sz="4" w:space="0"/>
            </w:tcBorders>
            <w:noWrap w:val="0"/>
            <w:vAlign w:val="center"/>
          </w:tcPr>
          <w:p w14:paraId="3B18A338">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供应商具有固定的仓储场地的，得2分。</w:t>
            </w:r>
          </w:p>
          <w:p w14:paraId="331A6CB2">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（注：</w:t>
            </w:r>
            <w:r>
              <w:rPr>
                <w:rFonts w:hint="eastAsia" w:ascii="宋体" w:hAnsi="宋体" w:cs="宋体"/>
                <w:bCs/>
                <w:color w:val="auto"/>
                <w:szCs w:val="21"/>
                <w:highlight w:val="none"/>
                <w:lang w:val="en-US" w:eastAsia="zh-CN"/>
              </w:rPr>
              <w:t>响应</w:t>
            </w:r>
            <w:r>
              <w:rPr>
                <w:rFonts w:hint="eastAsia" w:ascii="宋体" w:hAnsi="宋体" w:eastAsia="宋体" w:cs="宋体"/>
                <w:bCs/>
                <w:color w:val="auto"/>
                <w:szCs w:val="21"/>
                <w:highlight w:val="none"/>
                <w:lang w:eastAsia="zh-CN"/>
              </w:rPr>
              <w:t>文件中附仓库场地产权协议或租赁合同。）</w:t>
            </w:r>
          </w:p>
        </w:tc>
        <w:tc>
          <w:tcPr>
            <w:tcW w:w="476" w:type="dxa"/>
            <w:tcBorders>
              <w:top w:val="single" w:color="auto" w:sz="4" w:space="0"/>
              <w:left w:val="single" w:color="auto" w:sz="4" w:space="0"/>
              <w:bottom w:val="single" w:color="auto" w:sz="4" w:space="0"/>
              <w:right w:val="single" w:color="auto" w:sz="4" w:space="0"/>
            </w:tcBorders>
            <w:noWrap w:val="0"/>
            <w:vAlign w:val="center"/>
          </w:tcPr>
          <w:p w14:paraId="430DA3B5">
            <w:pPr>
              <w:snapToGrid w:val="0"/>
              <w:spacing w:line="360" w:lineRule="exact"/>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2分</w:t>
            </w:r>
          </w:p>
        </w:tc>
      </w:tr>
      <w:tr w14:paraId="4608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1" w:type="dxa"/>
            <w:vMerge w:val="continue"/>
            <w:tcBorders>
              <w:left w:val="single" w:color="auto" w:sz="4" w:space="0"/>
              <w:bottom w:val="single" w:color="auto" w:sz="4" w:space="0"/>
              <w:right w:val="single" w:color="auto" w:sz="4" w:space="0"/>
            </w:tcBorders>
            <w:noWrap w:val="0"/>
            <w:vAlign w:val="center"/>
          </w:tcPr>
          <w:p w14:paraId="287799B3">
            <w:pPr>
              <w:snapToGrid w:val="0"/>
              <w:spacing w:line="360" w:lineRule="exact"/>
              <w:jc w:val="center"/>
              <w:rPr>
                <w:rFonts w:hint="eastAsia" w:ascii="宋体" w:hAnsi="宋体" w:eastAsia="宋体" w:cs="宋体"/>
                <w:bCs/>
                <w:color w:val="auto"/>
                <w:szCs w:val="21"/>
                <w:highlight w:val="none"/>
                <w:lang w:eastAsia="zh-CN"/>
              </w:rPr>
            </w:pPr>
          </w:p>
        </w:tc>
        <w:tc>
          <w:tcPr>
            <w:tcW w:w="702" w:type="dxa"/>
            <w:tcBorders>
              <w:top w:val="single" w:color="auto" w:sz="4" w:space="0"/>
              <w:left w:val="single" w:color="auto" w:sz="4" w:space="0"/>
              <w:bottom w:val="single" w:color="auto" w:sz="4" w:space="0"/>
              <w:right w:val="single" w:color="auto" w:sz="4" w:space="0"/>
            </w:tcBorders>
            <w:noWrap w:val="0"/>
            <w:vAlign w:val="center"/>
          </w:tcPr>
          <w:p w14:paraId="2FC3BFDE">
            <w:pPr>
              <w:autoSpaceDE/>
              <w:snapToGrid w:val="0"/>
              <w:spacing w:line="360" w:lineRule="exact"/>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配送能力</w:t>
            </w:r>
          </w:p>
        </w:tc>
        <w:tc>
          <w:tcPr>
            <w:tcW w:w="7079" w:type="dxa"/>
            <w:tcBorders>
              <w:top w:val="single" w:color="auto" w:sz="4" w:space="0"/>
              <w:left w:val="single" w:color="auto" w:sz="4" w:space="0"/>
              <w:bottom w:val="single" w:color="auto" w:sz="4" w:space="0"/>
              <w:right w:val="single" w:color="auto" w:sz="4" w:space="0"/>
            </w:tcBorders>
            <w:noWrap w:val="0"/>
            <w:vAlign w:val="center"/>
          </w:tcPr>
          <w:p w14:paraId="6DEE9360">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供应商具有专用的配送车辆的，得2分。（注：车辆为供应商自有的提供机动车行驶证扫描件及车辆照片；车辆为供应商租赁的，提供租赁合同、机动车行驶证扫描件及车辆照片；均需提供《道路运输经营许可证》。）</w:t>
            </w:r>
          </w:p>
        </w:tc>
        <w:tc>
          <w:tcPr>
            <w:tcW w:w="476" w:type="dxa"/>
            <w:tcBorders>
              <w:top w:val="single" w:color="auto" w:sz="4" w:space="0"/>
              <w:left w:val="single" w:color="auto" w:sz="4" w:space="0"/>
              <w:bottom w:val="single" w:color="auto" w:sz="4" w:space="0"/>
              <w:right w:val="single" w:color="auto" w:sz="4" w:space="0"/>
            </w:tcBorders>
            <w:noWrap w:val="0"/>
            <w:vAlign w:val="center"/>
          </w:tcPr>
          <w:p w14:paraId="71C33F63">
            <w:pPr>
              <w:snapToGrid w:val="0"/>
              <w:spacing w:line="36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2分</w:t>
            </w:r>
          </w:p>
        </w:tc>
      </w:tr>
      <w:tr w14:paraId="6585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1" w:type="dxa"/>
            <w:vMerge w:val="continue"/>
            <w:tcBorders>
              <w:left w:val="single" w:color="auto" w:sz="4" w:space="0"/>
              <w:bottom w:val="single" w:color="auto" w:sz="4" w:space="0"/>
              <w:right w:val="single" w:color="auto" w:sz="4" w:space="0"/>
            </w:tcBorders>
            <w:noWrap w:val="0"/>
            <w:vAlign w:val="center"/>
          </w:tcPr>
          <w:p w14:paraId="6558B159">
            <w:pPr>
              <w:snapToGrid w:val="0"/>
              <w:spacing w:line="360" w:lineRule="exact"/>
              <w:jc w:val="center"/>
              <w:rPr>
                <w:rFonts w:hint="eastAsia" w:ascii="宋体" w:hAnsi="宋体" w:eastAsia="宋体" w:cs="宋体"/>
                <w:bCs/>
                <w:color w:val="auto"/>
                <w:szCs w:val="21"/>
                <w:highlight w:val="none"/>
                <w:lang w:eastAsia="zh-CN"/>
              </w:rPr>
            </w:pPr>
          </w:p>
        </w:tc>
        <w:tc>
          <w:tcPr>
            <w:tcW w:w="702" w:type="dxa"/>
            <w:tcBorders>
              <w:top w:val="single" w:color="auto" w:sz="4" w:space="0"/>
              <w:left w:val="single" w:color="auto" w:sz="4" w:space="0"/>
              <w:bottom w:val="single" w:color="auto" w:sz="4" w:space="0"/>
              <w:right w:val="single" w:color="auto" w:sz="4" w:space="0"/>
            </w:tcBorders>
            <w:noWrap w:val="0"/>
            <w:vAlign w:val="center"/>
          </w:tcPr>
          <w:p w14:paraId="64B71A86">
            <w:pPr>
              <w:autoSpaceDE/>
              <w:snapToGrid w:val="0"/>
              <w:spacing w:line="360" w:lineRule="exact"/>
              <w:jc w:val="left"/>
              <w:rPr>
                <w:rFonts w:hint="default" w:ascii="宋体" w:hAnsi="宋体" w:eastAsia="宋体" w:cs="宋体"/>
                <w:bCs/>
                <w:color w:val="auto"/>
                <w:szCs w:val="21"/>
                <w:highlight w:val="none"/>
                <w:lang w:val="en-US" w:eastAsia="zh-CN"/>
              </w:rPr>
            </w:pPr>
            <w:r>
              <w:rPr>
                <w:rFonts w:hint="default" w:ascii="宋体" w:hAnsi="宋体" w:eastAsia="宋体" w:cs="宋体"/>
                <w:bCs/>
                <w:color w:val="auto"/>
                <w:szCs w:val="21"/>
                <w:highlight w:val="none"/>
                <w:lang w:val="en-US" w:eastAsia="zh-CN"/>
              </w:rPr>
              <w:t>售后服务方案</w:t>
            </w:r>
          </w:p>
        </w:tc>
        <w:tc>
          <w:tcPr>
            <w:tcW w:w="7079" w:type="dxa"/>
            <w:tcBorders>
              <w:top w:val="single" w:color="auto" w:sz="4" w:space="0"/>
              <w:left w:val="single" w:color="auto" w:sz="4" w:space="0"/>
              <w:bottom w:val="single" w:color="auto" w:sz="4" w:space="0"/>
              <w:right w:val="single" w:color="auto" w:sz="4" w:space="0"/>
            </w:tcBorders>
            <w:noWrap w:val="0"/>
            <w:vAlign w:val="center"/>
          </w:tcPr>
          <w:p w14:paraId="20E0A13B">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供应商针对本项目提供售后服务方案，包含但不限于①售后服务响应②退换货管理③售后服务承诺。</w:t>
            </w:r>
          </w:p>
          <w:p w14:paraId="26B5C8A2">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内容全面、思路清晰、能够切合本项目的实际需求（指充分理解项目背景，对需求有深入分析，针对采购项目内容要求而细化制订）且满足</w:t>
            </w:r>
            <w:r>
              <w:rPr>
                <w:rFonts w:hint="eastAsia" w:ascii="宋体" w:hAnsi="宋体" w:cs="宋体"/>
                <w:bCs/>
                <w:color w:val="auto"/>
                <w:szCs w:val="21"/>
                <w:highlight w:val="none"/>
                <w:lang w:val="en-US" w:eastAsia="zh-CN"/>
              </w:rPr>
              <w:t>竞争性磋商</w:t>
            </w:r>
            <w:r>
              <w:rPr>
                <w:rFonts w:hint="eastAsia" w:ascii="宋体" w:hAnsi="宋体" w:eastAsia="宋体" w:cs="宋体"/>
                <w:bCs/>
                <w:color w:val="auto"/>
                <w:szCs w:val="21"/>
                <w:highlight w:val="none"/>
                <w:lang w:eastAsia="zh-CN"/>
              </w:rPr>
              <w:t>文件要求的，得3 分,每缺少一项扣1分，每出现一项存在不足的</w:t>
            </w:r>
            <w:r>
              <w:rPr>
                <w:rFonts w:hint="eastAsia" w:ascii="宋体" w:hAnsi="宋体" w:cs="宋体"/>
                <w:bCs/>
                <w:color w:val="auto"/>
                <w:szCs w:val="21"/>
                <w:highlight w:val="none"/>
                <w:lang w:val="en-US" w:eastAsia="zh-CN"/>
              </w:rPr>
              <w:t>扣</w:t>
            </w:r>
            <w:r>
              <w:rPr>
                <w:rFonts w:hint="eastAsia" w:ascii="宋体" w:hAnsi="宋体" w:eastAsia="宋体" w:cs="宋体"/>
                <w:bCs/>
                <w:color w:val="auto"/>
                <w:szCs w:val="21"/>
                <w:highlight w:val="none"/>
                <w:lang w:eastAsia="zh-CN"/>
              </w:rPr>
              <w:t>0.5分，该项分值扣完为止（不足是指：该方面分析内容理解不准确，不符合实际，虽有内容但描述错误或描述简单、不满足项目实际需求或不具有针对性，体现不齐全；阐述存在逻辑错误；语言错误或存在歧义；项目名称、实施地点与本项目不一致等）。</w:t>
            </w:r>
          </w:p>
        </w:tc>
        <w:tc>
          <w:tcPr>
            <w:tcW w:w="476" w:type="dxa"/>
            <w:tcBorders>
              <w:top w:val="single" w:color="auto" w:sz="4" w:space="0"/>
              <w:left w:val="single" w:color="auto" w:sz="4" w:space="0"/>
              <w:bottom w:val="single" w:color="auto" w:sz="4" w:space="0"/>
              <w:right w:val="single" w:color="auto" w:sz="4" w:space="0"/>
            </w:tcBorders>
            <w:noWrap w:val="0"/>
            <w:vAlign w:val="center"/>
          </w:tcPr>
          <w:p w14:paraId="338E771B">
            <w:pPr>
              <w:snapToGrid w:val="0"/>
              <w:spacing w:line="36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lang w:val="en-US" w:eastAsia="zh-CN"/>
              </w:rPr>
              <w:t>分</w:t>
            </w:r>
          </w:p>
        </w:tc>
      </w:tr>
      <w:tr w14:paraId="7E9C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21" w:type="dxa"/>
            <w:vMerge w:val="restart"/>
            <w:tcBorders>
              <w:top w:val="single" w:color="auto" w:sz="4" w:space="0"/>
              <w:left w:val="single" w:color="auto" w:sz="4" w:space="0"/>
              <w:right w:val="single" w:color="auto" w:sz="4" w:space="0"/>
            </w:tcBorders>
            <w:noWrap w:val="0"/>
            <w:vAlign w:val="center"/>
          </w:tcPr>
          <w:p w14:paraId="2D5BBB53">
            <w:pPr>
              <w:snapToGrid w:val="0"/>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技术</w:t>
            </w:r>
            <w:r>
              <w:rPr>
                <w:rFonts w:hint="eastAsia" w:ascii="宋体" w:hAnsi="宋体" w:eastAsia="宋体" w:cs="宋体"/>
                <w:bCs/>
                <w:color w:val="auto"/>
                <w:szCs w:val="21"/>
                <w:highlight w:val="none"/>
                <w:lang w:eastAsia="zh-CN"/>
              </w:rPr>
              <w:t>部分（</w:t>
            </w:r>
            <w:r>
              <w:rPr>
                <w:rFonts w:hint="eastAsia" w:ascii="宋体" w:hAnsi="宋体" w:cs="宋体"/>
                <w:bCs/>
                <w:color w:val="auto"/>
                <w:szCs w:val="21"/>
                <w:highlight w:val="none"/>
                <w:lang w:val="en-US" w:eastAsia="zh-CN"/>
              </w:rPr>
              <w:t>14</w:t>
            </w:r>
            <w:r>
              <w:rPr>
                <w:rFonts w:hint="eastAsia" w:ascii="宋体" w:hAnsi="宋体" w:eastAsia="宋体" w:cs="宋体"/>
                <w:bCs/>
                <w:color w:val="auto"/>
                <w:szCs w:val="21"/>
                <w:highlight w:val="none"/>
                <w:lang w:eastAsia="zh-CN"/>
              </w:rPr>
              <w:t>分）</w:t>
            </w:r>
          </w:p>
        </w:tc>
        <w:tc>
          <w:tcPr>
            <w:tcW w:w="702" w:type="dxa"/>
            <w:tcBorders>
              <w:top w:val="single" w:color="auto" w:sz="4" w:space="0"/>
              <w:left w:val="single" w:color="auto" w:sz="4" w:space="0"/>
              <w:right w:val="single" w:color="auto" w:sz="4" w:space="0"/>
            </w:tcBorders>
            <w:noWrap w:val="0"/>
            <w:vAlign w:val="center"/>
          </w:tcPr>
          <w:p w14:paraId="2063CFCB">
            <w:pPr>
              <w:snapToGrid w:val="0"/>
              <w:spacing w:line="360" w:lineRule="auto"/>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供货方案</w:t>
            </w:r>
          </w:p>
        </w:tc>
        <w:tc>
          <w:tcPr>
            <w:tcW w:w="7079" w:type="dxa"/>
            <w:tcBorders>
              <w:top w:val="single" w:color="auto" w:sz="4" w:space="0"/>
              <w:left w:val="single" w:color="auto" w:sz="4" w:space="0"/>
              <w:right w:val="single" w:color="auto" w:sz="4" w:space="0"/>
            </w:tcBorders>
            <w:noWrap w:val="0"/>
            <w:vAlign w:val="center"/>
          </w:tcPr>
          <w:p w14:paraId="61DE182A">
            <w:pPr>
              <w:snapToGrid w:val="0"/>
              <w:spacing w:line="360" w:lineRule="exact"/>
              <w:jc w:val="left"/>
              <w:rPr>
                <w:rFonts w:hint="eastAsia"/>
                <w:color w:val="auto"/>
                <w:highlight w:val="none"/>
                <w:lang w:eastAsia="zh-CN"/>
              </w:rPr>
            </w:pPr>
            <w:r>
              <w:rPr>
                <w:rFonts w:hint="eastAsia" w:ascii="宋体" w:hAnsi="宋体" w:eastAsia="宋体" w:cs="宋体"/>
                <w:bCs/>
                <w:color w:val="auto"/>
                <w:szCs w:val="21"/>
                <w:highlight w:val="none"/>
                <w:lang w:eastAsia="zh-CN"/>
              </w:rPr>
              <w:t>供应商针对本项目制定供货方案，包含但不限于①分类分拣方案②包装及标识管理③配送方案④教材装卸及搬运入库⑤验收方案⑥教材分发方案。内容结构严谨，思路清晰、方案合理，能够体现对本项目的针对性且满足</w:t>
            </w:r>
            <w:r>
              <w:rPr>
                <w:rFonts w:hint="eastAsia" w:ascii="宋体" w:hAnsi="宋体" w:cs="宋体"/>
                <w:bCs/>
                <w:color w:val="auto"/>
                <w:szCs w:val="21"/>
                <w:highlight w:val="none"/>
                <w:lang w:val="en-US" w:eastAsia="zh-CN"/>
              </w:rPr>
              <w:t>竞争性磋商</w:t>
            </w:r>
            <w:r>
              <w:rPr>
                <w:rFonts w:hint="eastAsia" w:ascii="宋体" w:hAnsi="宋体" w:eastAsia="宋体" w:cs="宋体"/>
                <w:bCs/>
                <w:color w:val="auto"/>
                <w:szCs w:val="21"/>
                <w:highlight w:val="none"/>
                <w:lang w:eastAsia="zh-CN"/>
              </w:rPr>
              <w:t>文件要求的，得6分,每缺少一项扣1分，每出现一项存在不足的扣0.5分，该项分值扣完为止（不足是指：该方面分析内容理解不准确，不符合实际，虽有内容但描述错误或描述简单、不满足项目实际需求或不具有针对性，体现不齐全；阐述存在逻辑错误；语言错误或存在歧义；项目名称、实施地点与本项目不一致等）。</w:t>
            </w:r>
          </w:p>
        </w:tc>
        <w:tc>
          <w:tcPr>
            <w:tcW w:w="476" w:type="dxa"/>
            <w:tcBorders>
              <w:top w:val="single" w:color="auto" w:sz="4" w:space="0"/>
              <w:left w:val="single" w:color="auto" w:sz="4" w:space="0"/>
              <w:right w:val="single" w:color="auto" w:sz="4" w:space="0"/>
            </w:tcBorders>
            <w:noWrap w:val="0"/>
            <w:vAlign w:val="center"/>
          </w:tcPr>
          <w:p w14:paraId="64BE528E">
            <w:pPr>
              <w:autoSpaceDE/>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分</w:t>
            </w:r>
          </w:p>
        </w:tc>
      </w:tr>
      <w:tr w14:paraId="332D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1" w:type="dxa"/>
            <w:vMerge w:val="continue"/>
            <w:tcBorders>
              <w:left w:val="single" w:color="auto" w:sz="4" w:space="0"/>
              <w:right w:val="single" w:color="auto" w:sz="4" w:space="0"/>
            </w:tcBorders>
            <w:noWrap w:val="0"/>
            <w:vAlign w:val="center"/>
          </w:tcPr>
          <w:p w14:paraId="4C20C8C2">
            <w:pPr>
              <w:snapToGrid w:val="0"/>
              <w:spacing w:line="360" w:lineRule="exact"/>
              <w:jc w:val="center"/>
              <w:rPr>
                <w:rFonts w:hint="eastAsia" w:ascii="宋体" w:hAnsi="宋体" w:eastAsia="宋体" w:cs="宋体"/>
                <w:bCs/>
                <w:color w:val="auto"/>
                <w:szCs w:val="21"/>
                <w:highlight w:val="none"/>
                <w:lang w:eastAsia="zh-CN"/>
              </w:rPr>
            </w:pPr>
          </w:p>
        </w:tc>
        <w:tc>
          <w:tcPr>
            <w:tcW w:w="702" w:type="dxa"/>
            <w:tcBorders>
              <w:top w:val="single" w:color="auto" w:sz="4" w:space="0"/>
              <w:left w:val="single" w:color="auto" w:sz="4" w:space="0"/>
              <w:right w:val="single" w:color="auto" w:sz="4" w:space="0"/>
            </w:tcBorders>
            <w:noWrap w:val="0"/>
            <w:vAlign w:val="center"/>
          </w:tcPr>
          <w:p w14:paraId="7FF0A6A6">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采购备货方案</w:t>
            </w:r>
          </w:p>
        </w:tc>
        <w:tc>
          <w:tcPr>
            <w:tcW w:w="7079" w:type="dxa"/>
            <w:tcBorders>
              <w:top w:val="single" w:color="auto" w:sz="4" w:space="0"/>
              <w:left w:val="single" w:color="auto" w:sz="4" w:space="0"/>
              <w:right w:val="single" w:color="auto" w:sz="4" w:space="0"/>
            </w:tcBorders>
            <w:noWrap w:val="0"/>
            <w:vAlign w:val="center"/>
          </w:tcPr>
          <w:p w14:paraId="5DDD1281">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供应商针对本项目制定采购备货方案，包含但不限于①书目清单核对②正版货源保障③库存管理④征订方案。</w:t>
            </w:r>
          </w:p>
          <w:p w14:paraId="5B1A97DF">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内容结构严谨，思路清晰、方案合理，能够体现对本项目的针对性且满足</w:t>
            </w:r>
            <w:r>
              <w:rPr>
                <w:rFonts w:hint="eastAsia" w:ascii="宋体" w:hAnsi="宋体" w:cs="宋体"/>
                <w:bCs/>
                <w:color w:val="auto"/>
                <w:szCs w:val="21"/>
                <w:highlight w:val="none"/>
                <w:lang w:val="en-US" w:eastAsia="zh-CN"/>
              </w:rPr>
              <w:t>竞争性磋商</w:t>
            </w:r>
            <w:r>
              <w:rPr>
                <w:rFonts w:hint="eastAsia" w:ascii="宋体" w:hAnsi="宋体" w:eastAsia="宋体" w:cs="宋体"/>
                <w:bCs/>
                <w:color w:val="auto"/>
                <w:szCs w:val="21"/>
                <w:highlight w:val="none"/>
                <w:lang w:eastAsia="zh-CN"/>
              </w:rPr>
              <w:t>文件要求的，得4分,每缺少一项扣1分，每出现一项存在不足的扣0.5分，该项分值扣完为止（理解不准确，不符合实际，虽有内容但描述错误或描述简单、不满足项目实际需求或不具有针对性，体现不齐全；阐述存在逻辑错误；语言错误或存在歧义；项目名称、实施地点与本项目不一致等）。</w:t>
            </w:r>
          </w:p>
        </w:tc>
        <w:tc>
          <w:tcPr>
            <w:tcW w:w="476" w:type="dxa"/>
            <w:tcBorders>
              <w:top w:val="single" w:color="auto" w:sz="4" w:space="0"/>
              <w:left w:val="single" w:color="auto" w:sz="4" w:space="0"/>
              <w:right w:val="single" w:color="auto" w:sz="4" w:space="0"/>
            </w:tcBorders>
            <w:noWrap w:val="0"/>
            <w:vAlign w:val="center"/>
          </w:tcPr>
          <w:p w14:paraId="7E5E5446">
            <w:pPr>
              <w:autoSpaceDE/>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分</w:t>
            </w:r>
          </w:p>
        </w:tc>
      </w:tr>
      <w:tr w14:paraId="4D0A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21" w:type="dxa"/>
            <w:vMerge w:val="continue"/>
            <w:tcBorders>
              <w:left w:val="single" w:color="auto" w:sz="4" w:space="0"/>
              <w:right w:val="single" w:color="auto" w:sz="4" w:space="0"/>
            </w:tcBorders>
            <w:noWrap w:val="0"/>
            <w:vAlign w:val="center"/>
          </w:tcPr>
          <w:p w14:paraId="3C073BE0">
            <w:pPr>
              <w:snapToGrid w:val="0"/>
              <w:spacing w:line="360" w:lineRule="exact"/>
              <w:jc w:val="center"/>
              <w:rPr>
                <w:rFonts w:hint="eastAsia" w:ascii="宋体" w:hAnsi="宋体" w:eastAsia="宋体" w:cs="宋体"/>
                <w:bCs/>
                <w:color w:val="auto"/>
                <w:szCs w:val="21"/>
                <w:highlight w:val="none"/>
                <w:lang w:eastAsia="zh-CN"/>
              </w:rPr>
            </w:pPr>
          </w:p>
        </w:tc>
        <w:tc>
          <w:tcPr>
            <w:tcW w:w="702" w:type="dxa"/>
            <w:tcBorders>
              <w:top w:val="single" w:color="auto" w:sz="4" w:space="0"/>
              <w:left w:val="single" w:color="auto" w:sz="4" w:space="0"/>
              <w:right w:val="single" w:color="auto" w:sz="4" w:space="0"/>
            </w:tcBorders>
            <w:noWrap w:val="0"/>
            <w:vAlign w:val="center"/>
          </w:tcPr>
          <w:p w14:paraId="6671C07C">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应急保障措施</w:t>
            </w:r>
          </w:p>
        </w:tc>
        <w:tc>
          <w:tcPr>
            <w:tcW w:w="7079" w:type="dxa"/>
            <w:tcBorders>
              <w:top w:val="single" w:color="auto" w:sz="4" w:space="0"/>
              <w:left w:val="single" w:color="auto" w:sz="4" w:space="0"/>
              <w:right w:val="single" w:color="auto" w:sz="4" w:space="0"/>
            </w:tcBorders>
            <w:noWrap w:val="0"/>
            <w:vAlign w:val="center"/>
          </w:tcPr>
          <w:p w14:paraId="443D7835">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供应商针对本项目制定应急保障措施，包含但不限于①物流与质量突发应急②临时增补应急。</w:t>
            </w:r>
          </w:p>
          <w:p w14:paraId="28ECEE06">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内容全面，措施合理，可行性强的得 4 分，每缺少一项扣 2 分，每出现一项存在不足的扣 1 分，该项分值扣完为止（不足是指：内容不完整，方案在科学、合理、考虑非常不周，措施基本不到位，没有针对性，不能满足招标工程的施工需要；阐述存在逻辑错误；语言错误或存在歧义；项目名称、实施地点与本项目不一致等）。</w:t>
            </w:r>
          </w:p>
        </w:tc>
        <w:tc>
          <w:tcPr>
            <w:tcW w:w="476" w:type="dxa"/>
            <w:tcBorders>
              <w:top w:val="single" w:color="auto" w:sz="4" w:space="0"/>
              <w:left w:val="single" w:color="auto" w:sz="4" w:space="0"/>
              <w:right w:val="single" w:color="auto" w:sz="4" w:space="0"/>
            </w:tcBorders>
            <w:noWrap w:val="0"/>
            <w:vAlign w:val="center"/>
          </w:tcPr>
          <w:p w14:paraId="3F01269E">
            <w:pPr>
              <w:snapToGrid w:val="0"/>
              <w:spacing w:line="360" w:lineRule="exact"/>
              <w:jc w:val="left"/>
              <w:rPr>
                <w:rFonts w:hint="eastAsia" w:ascii="宋体" w:hAnsi="宋体" w:eastAsia="宋体" w:cs="宋体"/>
                <w:bCs/>
                <w:color w:val="auto"/>
                <w:szCs w:val="21"/>
                <w:highlight w:val="none"/>
                <w:lang w:eastAsia="zh-CN"/>
              </w:rPr>
            </w:pP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tc>
      </w:tr>
    </w:tbl>
    <w:p w14:paraId="3076AA68">
      <w:pPr>
        <w:tabs>
          <w:tab w:val="left" w:pos="420"/>
        </w:tabs>
        <w:snapToGrid w:val="0"/>
        <w:spacing w:line="400" w:lineRule="exact"/>
        <w:rPr>
          <w:rFonts w:hint="eastAsia" w:ascii="宋体" w:hAnsi="宋体" w:cs="宋体"/>
          <w:b/>
          <w:bCs/>
          <w:color w:val="auto"/>
          <w:szCs w:val="21"/>
          <w:highlight w:val="none"/>
        </w:rPr>
      </w:pPr>
      <w:bookmarkStart w:id="182" w:name="_Toc27479"/>
      <w:bookmarkStart w:id="183" w:name="_Toc4441"/>
      <w:bookmarkStart w:id="184" w:name="_Toc4670"/>
    </w:p>
    <w:p w14:paraId="4BF1B794">
      <w:pPr>
        <w:tabs>
          <w:tab w:val="left" w:pos="420"/>
        </w:tabs>
        <w:snapToGrid w:val="0"/>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1. 评审方法</w:t>
      </w:r>
      <w:bookmarkEnd w:id="182"/>
      <w:bookmarkEnd w:id="183"/>
      <w:bookmarkEnd w:id="184"/>
    </w:p>
    <w:p w14:paraId="7542C2CC">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次评审采用综合评分法。磋商小组对满足磋商文件要求的响应文件，按照本章规定的评审标准进行评审，按评审办法的量化指标评审得分由高到低顺序推荐候选供应商。评审得分相同的，按照最后磋商报价由低到高的顺序推荐。评审得分且最后报价相同的，按照技术部分得分由高到低顺序推荐。</w:t>
      </w:r>
    </w:p>
    <w:p w14:paraId="06FDB69A">
      <w:pPr>
        <w:tabs>
          <w:tab w:val="left" w:pos="420"/>
        </w:tabs>
        <w:snapToGrid w:val="0"/>
        <w:spacing w:line="400" w:lineRule="exact"/>
        <w:rPr>
          <w:rFonts w:hint="eastAsia" w:ascii="宋体" w:hAnsi="宋体" w:cs="宋体"/>
          <w:b/>
          <w:color w:val="auto"/>
          <w:kern w:val="0"/>
          <w:szCs w:val="21"/>
          <w:highlight w:val="none"/>
        </w:rPr>
      </w:pPr>
      <w:bookmarkStart w:id="185" w:name="_Toc11"/>
      <w:bookmarkStart w:id="186" w:name="_Toc30957"/>
      <w:bookmarkStart w:id="187" w:name="_Toc30926"/>
      <w:r>
        <w:rPr>
          <w:rFonts w:hint="eastAsia" w:ascii="宋体" w:hAnsi="宋体" w:cs="宋体"/>
          <w:b/>
          <w:color w:val="auto"/>
          <w:kern w:val="0"/>
          <w:szCs w:val="21"/>
          <w:highlight w:val="none"/>
        </w:rPr>
        <w:t>2. 评审标准</w:t>
      </w:r>
      <w:bookmarkEnd w:id="185"/>
      <w:bookmarkEnd w:id="186"/>
      <w:bookmarkEnd w:id="187"/>
    </w:p>
    <w:p w14:paraId="2C044C37">
      <w:pPr>
        <w:tabs>
          <w:tab w:val="left" w:pos="420"/>
        </w:tabs>
        <w:snapToGrid w:val="0"/>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2.1磋商响应文件初审</w:t>
      </w:r>
    </w:p>
    <w:p w14:paraId="02C23FB8">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磋商小组依据本章规定的检查标准，对响应文件进行初审。有一项不符合的，其响应将被拒绝，不能进入后续评审或者磋商程序。</w:t>
      </w:r>
    </w:p>
    <w:p w14:paraId="66DEA4E1">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 资格性检查标准</w:t>
      </w:r>
    </w:p>
    <w:p w14:paraId="39014234">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依据法律法规和磋商文件的规定，对响应文件中的资格证明文件等进行审查，以确定供应商是否具备资格。资格性检查评审标准：见评审办法前附表。</w:t>
      </w:r>
    </w:p>
    <w:p w14:paraId="02FC3A49">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2.1.2符合性检查</w:t>
      </w:r>
    </w:p>
    <w:p w14:paraId="133CF853">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依据磋商文件的规定，从响应文件的有效性、完整性和对磋商文件的响应程度进行检查，以确定是否对磋商文件的实质性要求作出响应。符合性检查评审标准：见评审办法前附表。</w:t>
      </w:r>
    </w:p>
    <w:p w14:paraId="2AEFFC9F">
      <w:pPr>
        <w:tabs>
          <w:tab w:val="left" w:pos="420"/>
        </w:tabs>
        <w:adjustRightInd w:val="0"/>
        <w:snapToGrid w:val="0"/>
        <w:spacing w:line="400" w:lineRule="exact"/>
        <w:ind w:firstLine="420" w:firstLineChars="200"/>
        <w:rPr>
          <w:rFonts w:hint="eastAsia" w:ascii="宋体" w:hAnsi="宋体" w:cs="宋体"/>
          <w:b/>
          <w:bCs/>
          <w:color w:val="auto"/>
          <w:szCs w:val="21"/>
          <w:highlight w:val="none"/>
          <w:lang w:val="zh-CN"/>
        </w:rPr>
      </w:pPr>
      <w:r>
        <w:rPr>
          <w:rFonts w:hint="eastAsia" w:ascii="宋体" w:hAnsi="宋体" w:cs="宋体"/>
          <w:b/>
          <w:bCs/>
          <w:color w:val="auto"/>
          <w:szCs w:val="21"/>
          <w:highlight w:val="none"/>
          <w:lang w:val="zh-CN"/>
        </w:rPr>
        <w:t>根据《中华人民共和国政府采购法实施条例》第七十四条规定有下列情形之一的，属于恶意串通：</w:t>
      </w:r>
    </w:p>
    <w:p w14:paraId="3439B8DF">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（1）供应商直接或者间接从采购人或者采购代理机构处获得其他供应商的相关情况并修改其投标文件或者响应文件；</w:t>
      </w:r>
    </w:p>
    <w:p w14:paraId="18203CC4">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（2）供应商按照采购人或者采购代理机构的授意撤换、修改投标文件或者响应文件；</w:t>
      </w:r>
    </w:p>
    <w:p w14:paraId="13FF6E8F">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（3）供应商之间协商报价、技术方案等投标文件或者响应文件的实质性内容；</w:t>
      </w:r>
    </w:p>
    <w:p w14:paraId="777025CA">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（4）属于同一集团、协会、商会等组织成员的供应商按照该组织要求协同参加政府采购活动；</w:t>
      </w:r>
    </w:p>
    <w:p w14:paraId="2A71F8FA">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（5）供应商之间事先约定由某一特定供应商中标、成交；</w:t>
      </w:r>
    </w:p>
    <w:p w14:paraId="4630CCEA">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（6）供应商之间商定部分供应商放弃参加政府采购活动或者放弃中标、成交；</w:t>
      </w:r>
    </w:p>
    <w:p w14:paraId="0CF6DDB8">
      <w:pPr>
        <w:tabs>
          <w:tab w:val="left" w:pos="420"/>
        </w:tabs>
        <w:adjustRightInd w:val="0"/>
        <w:snapToGrid w:val="0"/>
        <w:spacing w:line="400" w:lineRule="exact"/>
        <w:ind w:firstLine="420" w:firstLineChars="200"/>
        <w:rPr>
          <w:rFonts w:hint="eastAsia" w:ascii="宋体" w:hAnsi="宋体" w:cs="宋体"/>
          <w:b/>
          <w:bCs/>
          <w:color w:val="auto"/>
          <w:szCs w:val="21"/>
          <w:highlight w:val="none"/>
          <w:lang w:val="zh-CN"/>
        </w:rPr>
      </w:pPr>
      <w:r>
        <w:rPr>
          <w:rFonts w:hint="eastAsia" w:ascii="宋体" w:hAnsi="宋体" w:cs="宋体"/>
          <w:color w:val="auto"/>
          <w:szCs w:val="21"/>
          <w:highlight w:val="none"/>
          <w:lang w:val="zh-CN"/>
        </w:rPr>
        <w:t>（7）供应商与采购人或者采购代理机构之间、供应商相互之间，为谋求特定供应商中标、成交或者排斥其他供应商的其他串通行为</w:t>
      </w:r>
      <w:r>
        <w:rPr>
          <w:rFonts w:hint="eastAsia" w:ascii="宋体" w:hAnsi="宋体" w:cs="宋体"/>
          <w:b/>
          <w:bCs/>
          <w:color w:val="auto"/>
          <w:szCs w:val="21"/>
          <w:highlight w:val="none"/>
          <w:lang w:val="zh-CN"/>
        </w:rPr>
        <w:t>。</w:t>
      </w:r>
    </w:p>
    <w:p w14:paraId="696F8534">
      <w:pPr>
        <w:tabs>
          <w:tab w:val="left" w:pos="420"/>
        </w:tabs>
        <w:adjustRightInd w:val="0"/>
        <w:snapToGrid w:val="0"/>
        <w:spacing w:line="400" w:lineRule="exact"/>
        <w:ind w:firstLine="420" w:firstLineChars="200"/>
        <w:rPr>
          <w:rFonts w:hint="eastAsia" w:ascii="宋体" w:hAnsi="宋体" w:cs="宋体"/>
          <w:b/>
          <w:bCs/>
          <w:color w:val="auto"/>
          <w:szCs w:val="21"/>
          <w:highlight w:val="none"/>
          <w:lang w:val="zh-CN"/>
        </w:rPr>
      </w:pPr>
      <w:r>
        <w:rPr>
          <w:rFonts w:hint="eastAsia" w:ascii="宋体" w:hAnsi="宋体" w:cs="宋体"/>
          <w:b/>
          <w:bCs/>
          <w:color w:val="auto"/>
          <w:szCs w:val="21"/>
          <w:highlight w:val="none"/>
          <w:lang w:val="zh-CN"/>
        </w:rPr>
        <w:t>根据《政府采购货物和服务招标投标管理办法》第三十七条规定：有下列情形之一的，视为投标供应商相互串通投标：</w:t>
      </w:r>
    </w:p>
    <w:p w14:paraId="2DEF8B49">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（1）不同投标供应商的投标文件由同一单位或者个人编制；</w:t>
      </w:r>
    </w:p>
    <w:p w14:paraId="294E9685">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（2）不同投标供应商委托同一单位或者个人办理投标事宜；</w:t>
      </w:r>
    </w:p>
    <w:p w14:paraId="1B11EA51">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（3）不同投标供应商的投标文件载明的项目管理成员为同一人；</w:t>
      </w:r>
    </w:p>
    <w:p w14:paraId="4A39A7E7">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（4）不同投标供应商的投标文件异常一致或者投标报价呈规律性差异；</w:t>
      </w:r>
    </w:p>
    <w:p w14:paraId="33779ED8">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（5）不同投标供应商的投标文件相互混装；</w:t>
      </w:r>
    </w:p>
    <w:p w14:paraId="01A9B236">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（6）不同投标人的投标保证金从同一单位或者个人的账户转出。</w:t>
      </w:r>
    </w:p>
    <w:p w14:paraId="4E91124C">
      <w:pPr>
        <w:tabs>
          <w:tab w:val="left" w:pos="420"/>
        </w:tabs>
        <w:adjustRightInd w:val="0"/>
        <w:snapToGrid w:val="0"/>
        <w:spacing w:line="400" w:lineRule="exact"/>
        <w:ind w:firstLine="420" w:firstLineChars="200"/>
        <w:rPr>
          <w:rFonts w:hint="eastAsia" w:ascii="宋体" w:hAnsi="宋体" w:cs="宋体"/>
          <w:b/>
          <w:bCs/>
          <w:color w:val="auto"/>
          <w:szCs w:val="21"/>
          <w:highlight w:val="none"/>
          <w:lang w:val="zh-CN"/>
        </w:rPr>
      </w:pPr>
      <w:r>
        <w:rPr>
          <w:rFonts w:hint="eastAsia" w:ascii="宋体" w:hAnsi="宋体" w:cs="宋体"/>
          <w:b/>
          <w:bCs/>
          <w:color w:val="auto"/>
          <w:szCs w:val="21"/>
          <w:highlight w:val="none"/>
          <w:lang w:val="zh-CN"/>
        </w:rPr>
        <w:t>根据《河南省财政厅关于防范供应商串通投标促进政府采购公平竞争的通知》（豫财购[2021]6号）的规定，参与同一个标段(包)的供应商存在下列情形之一的，其投标(响应)文件无效：</w:t>
      </w:r>
    </w:p>
    <w:p w14:paraId="52782A46">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（1）不同供应商的电子投标(响应)文件上传计算机的网卡MAC地址、CPU序列号和硬盘序列号等硬件信息相同的；</w:t>
      </w:r>
    </w:p>
    <w:p w14:paraId="5D242824">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（2）不同供应商的投标(响应)文件由同一电子设备编制、打印加密或者上传；</w:t>
      </w:r>
    </w:p>
    <w:p w14:paraId="48459CE5">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（3）不同供应商的投标(响应)文件由同一电子设备打印、复印；</w:t>
      </w:r>
    </w:p>
    <w:p w14:paraId="419A07B0">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（4）不同供应商的投标(响应)文件由同一人送达或者分发，或者不同供应商联系人为同一人或不同联系人的联系电话一致的；</w:t>
      </w:r>
    </w:p>
    <w:p w14:paraId="5C2D678D">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（5）不同供应商的投标(响应)文件的内容存在两处以上细节错误一致；</w:t>
      </w:r>
    </w:p>
    <w:p w14:paraId="028E68DF">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（6）不同供应商的法定代表人、委托代理人、项目经理、项目负责人等由同一个单位缴纳社会保险或者领取报酬的；</w:t>
      </w:r>
    </w:p>
    <w:p w14:paraId="74DD9801">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（7）不同供应商投标(响应)文件中法定代表人或者负责人签字出自同一人之手；</w:t>
      </w:r>
    </w:p>
    <w:p w14:paraId="3470D8B4">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（8）其它涉嫌串通的情形。</w:t>
      </w:r>
    </w:p>
    <w:p w14:paraId="6A6421D4">
      <w:pPr>
        <w:tabs>
          <w:tab w:val="left" w:pos="420"/>
        </w:tabs>
        <w:adjustRightInd w:val="0"/>
        <w:snapToGrid w:val="0"/>
        <w:spacing w:line="400" w:lineRule="exact"/>
        <w:ind w:firstLine="420" w:firstLineChars="200"/>
        <w:rPr>
          <w:rFonts w:hint="eastAsia" w:ascii="宋体" w:hAnsi="宋体" w:cs="宋体"/>
          <w:b/>
          <w:bCs/>
          <w:color w:val="auto"/>
          <w:szCs w:val="21"/>
          <w:highlight w:val="none"/>
          <w:lang w:val="zh-CN"/>
        </w:rPr>
      </w:pPr>
      <w:r>
        <w:rPr>
          <w:rFonts w:hint="eastAsia" w:ascii="宋体" w:hAnsi="宋体" w:cs="宋体"/>
          <w:b/>
          <w:bCs/>
          <w:color w:val="auto"/>
          <w:szCs w:val="21"/>
          <w:highlight w:val="none"/>
          <w:lang w:val="zh-CN"/>
        </w:rPr>
        <w:t>供应商存在下列情况之一的，投标无效：</w:t>
      </w:r>
    </w:p>
    <w:p w14:paraId="74CFA1BB">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（1）响应文件未按磋商文件要求签署、盖章的；</w:t>
      </w:r>
    </w:p>
    <w:p w14:paraId="18A3D7B1">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（2）不具备磋商文件中规定的资格要求的；</w:t>
      </w:r>
    </w:p>
    <w:p w14:paraId="037A4300">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（3）报价超过磋商文件中规定的预算金额或者最高限价的；</w:t>
      </w:r>
    </w:p>
    <w:p w14:paraId="2D78D5EF">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（4）响应文件含有采购人不能接受的附加条件的；</w:t>
      </w:r>
    </w:p>
    <w:p w14:paraId="16B7946D">
      <w:pPr>
        <w:tabs>
          <w:tab w:val="left" w:pos="420"/>
        </w:tabs>
        <w:adjustRightInd w:val="0"/>
        <w:snapToGrid w:val="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（5）法律、法规和磋商文件规定的其他无效情形。</w:t>
      </w:r>
    </w:p>
    <w:p w14:paraId="4EA0702D">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没有实质性响应磋商文件要求的响应文件将被否决。供应商不得通过修正、补充或撤销不合要求的偏离或保留从而使其响应有效。</w:t>
      </w:r>
    </w:p>
    <w:p w14:paraId="2FEE7BCC">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否决投标时应审慎。因磋商文件表述歧义或逻辑错误等原因，造成响应文件表述不一致的，不作为否决的因素，供应商明显打字或排版错误且不影响实质内容的，磋商小组可要求供应商作出书面澄清、说明或补正，不予以否决。</w:t>
      </w:r>
    </w:p>
    <w:p w14:paraId="7BA3A9D7">
      <w:pPr>
        <w:tabs>
          <w:tab w:val="left" w:pos="420"/>
        </w:tabs>
        <w:snapToGrid w:val="0"/>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2.2磋商</w:t>
      </w:r>
    </w:p>
    <w:p w14:paraId="25A89767">
      <w:pPr>
        <w:pStyle w:val="15"/>
        <w:widowControl/>
        <w:tabs>
          <w:tab w:val="left" w:pos="420"/>
        </w:tabs>
        <w:snapToGrid w:val="0"/>
        <w:spacing w:beforeAutospacing="0" w:afterAutospacing="0" w:line="400" w:lineRule="exact"/>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2.2.1磋商小组将按照供应商须知前附表中的规定的顺序分别依次与通过响应文件初审的供应商授权代表进行磋商。磋商内容包括：</w:t>
      </w:r>
      <w:r>
        <w:rPr>
          <w:rFonts w:hint="eastAsia" w:ascii="宋体" w:hAnsi="宋体" w:cs="宋体"/>
          <w:b/>
          <w:bCs/>
          <w:color w:val="auto"/>
          <w:sz w:val="21"/>
          <w:szCs w:val="21"/>
          <w:highlight w:val="none"/>
          <w:u w:val="single"/>
        </w:rPr>
        <w:t>报价、技术、服务要求以及合同草案条款，磋商小组与供应商授权代表仅能针对除磋商内容和要求中不得偏离部分以外的条款进行磋商</w:t>
      </w:r>
      <w:r>
        <w:rPr>
          <w:rFonts w:hint="eastAsia" w:ascii="宋体" w:hAnsi="宋体" w:cs="宋体"/>
          <w:color w:val="auto"/>
          <w:sz w:val="21"/>
          <w:szCs w:val="21"/>
          <w:highlight w:val="none"/>
        </w:rPr>
        <w:t>。</w:t>
      </w:r>
    </w:p>
    <w:p w14:paraId="46E3697F">
      <w:pPr>
        <w:pStyle w:val="15"/>
        <w:keepNext w:val="0"/>
        <w:keepLines w:val="0"/>
        <w:pageBreakBefore w:val="0"/>
        <w:widowControl/>
        <w:tabs>
          <w:tab w:val="left" w:pos="420"/>
        </w:tabs>
        <w:kinsoku/>
        <w:wordWrap/>
        <w:overflowPunct/>
        <w:topLinePunct w:val="0"/>
        <w:autoSpaceDE/>
        <w:autoSpaceDN/>
        <w:bidi w:val="0"/>
        <w:adjustRightInd/>
        <w:snapToGrid w:val="0"/>
        <w:spacing w:beforeAutospacing="0" w:afterAutospacing="0" w:line="400" w:lineRule="exact"/>
        <w:ind w:firstLine="420" w:firstLineChars="200"/>
        <w:jc w:val="both"/>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2.2.2在磋商过程中，磋商小组可以根据磋商文件和磋商情况实质性变动采购需求中的技术、服务要求以及合同草案条款，但不得变动磋商文件中的其他内容。实质性变动的内容，须经采购人代表确认。</w:t>
      </w:r>
    </w:p>
    <w:p w14:paraId="593CC485">
      <w:pPr>
        <w:pStyle w:val="15"/>
        <w:widowControl/>
        <w:tabs>
          <w:tab w:val="left" w:pos="420"/>
        </w:tabs>
        <w:snapToGrid w:val="0"/>
        <w:spacing w:beforeAutospacing="0" w:afterAutospacing="0" w:line="400" w:lineRule="exact"/>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2.2.3对磋商文件作出的实质性变动是磋商文件的有效组成部分，磋商小组应当及时以书面形式同时通知所有参加磋商的供应商。</w:t>
      </w:r>
    </w:p>
    <w:p w14:paraId="5E9F3940">
      <w:pPr>
        <w:pStyle w:val="15"/>
        <w:widowControl/>
        <w:tabs>
          <w:tab w:val="left" w:pos="420"/>
        </w:tabs>
        <w:snapToGrid w:val="0"/>
        <w:spacing w:beforeAutospacing="0" w:afterAutospacing="0" w:line="400" w:lineRule="exact"/>
        <w:ind w:firstLine="420" w:firstLineChars="200"/>
        <w:jc w:val="both"/>
        <w:rPr>
          <w:rFonts w:hint="eastAsia" w:ascii="宋体" w:hAnsi="宋体" w:cs="宋体"/>
          <w:color w:val="auto"/>
          <w:szCs w:val="21"/>
          <w:highlight w:val="none"/>
        </w:rPr>
      </w:pPr>
      <w:r>
        <w:rPr>
          <w:rFonts w:hint="eastAsia" w:ascii="宋体" w:hAnsi="宋体" w:cs="宋体"/>
          <w:color w:val="auto"/>
          <w:sz w:val="21"/>
          <w:szCs w:val="21"/>
          <w:highlight w:val="none"/>
        </w:rPr>
        <w:t>2.2.4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66096D0D">
      <w:pPr>
        <w:widowControl/>
        <w:tabs>
          <w:tab w:val="left" w:pos="420"/>
        </w:tabs>
        <w:snapToGrid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2.2.5</w:t>
      </w:r>
      <w:r>
        <w:rPr>
          <w:rFonts w:hint="eastAsia" w:ascii="宋体" w:hAnsi="宋体" w:cs="宋体"/>
          <w:b/>
          <w:bCs/>
          <w:color w:val="auto"/>
          <w:kern w:val="0"/>
          <w:szCs w:val="21"/>
          <w:highlight w:val="none"/>
        </w:rPr>
        <w:t>最后报价</w:t>
      </w:r>
    </w:p>
    <w:p w14:paraId="340B0BB5">
      <w:pPr>
        <w:adjustRightInd w:val="0"/>
        <w:snapToGrid w:val="0"/>
        <w:spacing w:line="400" w:lineRule="exact"/>
        <w:ind w:firstLine="420" w:firstLineChars="200"/>
        <w:jc w:val="left"/>
        <w:textAlignment w:val="baseline"/>
        <w:rPr>
          <w:rFonts w:hint="eastAsia" w:ascii="宋体" w:hAnsi="宋体" w:cs="宋体"/>
          <w:color w:val="auto"/>
          <w:highlight w:val="none"/>
        </w:rPr>
      </w:pPr>
      <w:r>
        <w:rPr>
          <w:rFonts w:hint="eastAsia" w:ascii="宋体" w:hAnsi="宋体" w:cs="宋体"/>
          <w:color w:val="auto"/>
          <w:highlight w:val="none"/>
        </w:rPr>
        <w:t>磋商结束后，供应商应当在规定时间内进行最终报价（即二次报价），评分时以最终报价（即二次报价）为准计算报价得分。</w:t>
      </w:r>
    </w:p>
    <w:p w14:paraId="32684D99">
      <w:pPr>
        <w:pStyle w:val="15"/>
        <w:widowControl/>
        <w:snapToGrid w:val="0"/>
        <w:spacing w:beforeAutospacing="0" w:afterAutospacing="0" w:line="400" w:lineRule="exact"/>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采购过程中符合要求的供应商少于3家的，采购人或者招标代理机构应当终止竞争性磋商采购活动，发布项目终止公告并说明原因，重新开展采购活动。</w:t>
      </w:r>
    </w:p>
    <w:p w14:paraId="5F297F31">
      <w:pPr>
        <w:pStyle w:val="15"/>
        <w:widowControl/>
        <w:snapToGrid w:val="0"/>
        <w:spacing w:beforeAutospacing="0" w:afterAutospacing="0" w:line="400" w:lineRule="exact"/>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磋商文件不能详细列明采购标的的技术、服务要求，需经磋商由供应商提供最终技术参数或解决方案的，磋商结束后，磋商小组应当按照少数服从多数的原则投票推荐3家以上供应商的设计方案或解决方案，并要求其在规定时间内提交最后报价。</w:t>
      </w:r>
    </w:p>
    <w:p w14:paraId="0930B6D7">
      <w:pPr>
        <w:pStyle w:val="15"/>
        <w:widowControl/>
        <w:snapToGrid w:val="0"/>
        <w:spacing w:beforeAutospacing="0" w:afterAutospacing="0" w:line="400" w:lineRule="exact"/>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磋商文件能够详细列明采购标的的技术、服务要求的，磋商结束后，磋商小组应当要求所有实质性响应的供应商在规定时间内提交最后报价，提交最后报价的供应商不得少于3家。</w:t>
      </w:r>
    </w:p>
    <w:p w14:paraId="2EE3AF11">
      <w:pPr>
        <w:pStyle w:val="15"/>
        <w:widowControl/>
        <w:snapToGrid w:val="0"/>
        <w:spacing w:beforeAutospacing="0" w:afterAutospacing="0" w:line="400" w:lineRule="exact"/>
        <w:ind w:firstLine="420" w:firstLineChars="200"/>
        <w:jc w:val="both"/>
        <w:rPr>
          <w:rFonts w:hint="eastAsia" w:ascii="宋体" w:hAnsi="宋体" w:cs="宋体"/>
          <w:color w:val="auto"/>
          <w:sz w:val="21"/>
          <w:szCs w:val="21"/>
          <w:highlight w:val="none"/>
        </w:rPr>
      </w:pPr>
      <w:r>
        <w:rPr>
          <w:rFonts w:hint="eastAsia" w:ascii="宋体" w:hAnsi="宋体" w:cs="宋体"/>
          <w:b/>
          <w:bCs/>
          <w:color w:val="auto"/>
          <w:sz w:val="21"/>
          <w:szCs w:val="21"/>
          <w:highlight w:val="none"/>
        </w:rPr>
        <w:t>2.2.6政府采购评审中出现下列情形之一的，磋商小组应当启动异常低价响应审查程序：</w:t>
      </w:r>
      <w:r>
        <w:rPr>
          <w:rFonts w:hint="eastAsia" w:ascii="宋体" w:hAnsi="宋体" w:cs="宋体"/>
          <w:color w:val="auto"/>
          <w:sz w:val="21"/>
          <w:szCs w:val="21"/>
          <w:highlight w:val="none"/>
        </w:rPr>
        <w:t xml:space="preserve"> </w:t>
      </w:r>
    </w:p>
    <w:p w14:paraId="1B5F2980">
      <w:pPr>
        <w:pStyle w:val="15"/>
        <w:widowControl/>
        <w:snapToGrid w:val="0"/>
        <w:spacing w:beforeAutospacing="0" w:afterAutospacing="0" w:line="400" w:lineRule="exact"/>
        <w:ind w:firstLine="420" w:firstLineChars="200"/>
        <w:jc w:val="both"/>
        <w:rPr>
          <w:rFonts w:hint="eastAsia" w:ascii="宋体" w:hAnsi="宋体" w:eastAsia="宋体" w:cs="宋体"/>
          <w:color w:val="auto"/>
        </w:rPr>
      </w:pPr>
      <w:r>
        <w:rPr>
          <w:rFonts w:hint="eastAsia" w:ascii="宋体" w:hAnsi="宋体" w:cs="宋体"/>
          <w:color w:val="auto"/>
          <w:sz w:val="21"/>
          <w:szCs w:val="21"/>
          <w:highlight w:val="none"/>
        </w:rPr>
        <w:t>1.响应报价低于全部通过符合性审查供应商响应报价平均值50%的，即响应报价&lt;全部通过符合性审查供应商响应报价平均值×50%；</w:t>
      </w:r>
      <w:r>
        <w:rPr>
          <w:rFonts w:hint="eastAsia" w:ascii="宋体" w:hAnsi="宋体" w:eastAsia="宋体" w:cs="宋体"/>
          <w:color w:val="auto"/>
        </w:rPr>
        <w:t xml:space="preserve"> </w:t>
      </w:r>
    </w:p>
    <w:p w14:paraId="6670F90E">
      <w:pPr>
        <w:pStyle w:val="15"/>
        <w:widowControl/>
        <w:snapToGrid w:val="0"/>
        <w:spacing w:beforeAutospacing="0" w:afterAutospacing="0" w:line="400" w:lineRule="exact"/>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2.响应报价低于通过符合性审查的次低报价供应商响应报价50%的，即响应报价&lt;通过符合性审查的次低报价供应商响应报价×50%； </w:t>
      </w:r>
    </w:p>
    <w:p w14:paraId="03FD5C5E">
      <w:pPr>
        <w:pStyle w:val="15"/>
        <w:widowControl/>
        <w:snapToGrid w:val="0"/>
        <w:spacing w:beforeAutospacing="0" w:afterAutospacing="0" w:line="400" w:lineRule="exact"/>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3.响应报价低于采购项目最高限价</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5%的，即响应报价&lt;采购项目最高限价×</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 xml:space="preserve">5%； </w:t>
      </w:r>
    </w:p>
    <w:p w14:paraId="083E800C">
      <w:pPr>
        <w:pStyle w:val="15"/>
        <w:widowControl/>
        <w:snapToGrid w:val="0"/>
        <w:spacing w:beforeAutospacing="0" w:afterAutospacing="0" w:line="400" w:lineRule="exact"/>
        <w:ind w:firstLine="420" w:firstLineChars="200"/>
        <w:jc w:val="both"/>
        <w:rPr>
          <w:rFonts w:hint="eastAsia" w:ascii="宋体" w:hAnsi="宋体" w:eastAsia="宋体" w:cs="宋体"/>
          <w:color w:val="auto"/>
        </w:rPr>
      </w:pPr>
      <w:r>
        <w:rPr>
          <w:rFonts w:hint="eastAsia" w:ascii="宋体" w:hAnsi="宋体" w:cs="宋体"/>
          <w:color w:val="auto"/>
          <w:sz w:val="21"/>
          <w:szCs w:val="21"/>
          <w:highlight w:val="none"/>
        </w:rPr>
        <w:t>4.磋商小组基于专业判断，认为供应商报价过低，有可能影响产品质量或者不能诚信履约的其他情形。</w:t>
      </w:r>
      <w:r>
        <w:rPr>
          <w:rFonts w:hint="eastAsia" w:ascii="宋体" w:hAnsi="宋体" w:eastAsia="宋体" w:cs="宋体"/>
          <w:color w:val="auto"/>
        </w:rPr>
        <w:t xml:space="preserve"> </w:t>
      </w:r>
    </w:p>
    <w:p w14:paraId="66407FA1">
      <w:pPr>
        <w:spacing w:line="360" w:lineRule="auto"/>
        <w:ind w:left="0" w:leftChars="0" w:firstLine="420" w:firstLineChars="200"/>
        <w:rPr>
          <w:rFonts w:hint="eastAsia" w:ascii="宋体" w:hAnsi="宋体" w:eastAsia="宋体" w:cs="宋体"/>
          <w:b/>
          <w:bCs/>
          <w:color w:val="auto"/>
        </w:rPr>
      </w:pPr>
      <w:r>
        <w:rPr>
          <w:rFonts w:hint="eastAsia" w:ascii="宋体" w:hAnsi="宋体" w:eastAsia="宋体" w:cs="宋体"/>
          <w:b/>
          <w:bCs/>
          <w:color w:val="auto"/>
        </w:rPr>
        <w:t xml:space="preserve">磋商小组启动异常低价响应审查后，属于前述第1项至第4项情形的，磋商小组将通过交易系统向该供应商发出通知，要求该供应商通过交易系统（接到通知后30分钟内）提供书面说明，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 </w:t>
      </w:r>
    </w:p>
    <w:p w14:paraId="15004259">
      <w:pPr>
        <w:spacing w:line="360" w:lineRule="auto"/>
        <w:ind w:left="0" w:leftChars="0" w:firstLine="420" w:firstLineChars="200"/>
        <w:rPr>
          <w:rFonts w:hint="eastAsia" w:ascii="宋体" w:hAnsi="宋体" w:eastAsia="宋体" w:cs="宋体"/>
          <w:b/>
          <w:bCs/>
          <w:color w:val="auto"/>
        </w:rPr>
      </w:pPr>
      <w:r>
        <w:rPr>
          <w:rFonts w:hint="eastAsia" w:ascii="宋体" w:hAnsi="宋体" w:eastAsia="宋体" w:cs="宋体"/>
          <w:color w:val="auto"/>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rPr>
        <w:t xml:space="preserve">响应供应商不能提供书面说明、证明材料，或者提供的书面说明、证明材料不能证明其报价合理性的，磋商小组应当将其作为无效响应处理。 </w:t>
      </w:r>
    </w:p>
    <w:p w14:paraId="32D1CF00">
      <w:pPr>
        <w:tabs>
          <w:tab w:val="left" w:pos="420"/>
        </w:tabs>
        <w:snapToGrid w:val="0"/>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2.3澄清有关问题</w:t>
      </w:r>
    </w:p>
    <w:p w14:paraId="478851D2">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D69812C">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2.3.2磋商小组要求供应商澄清、说明或者更正响应文件应当以书面形式作出。供应商的澄清、说明或者更正应当由法定代表人或授权代表签字或者加盖公章。供应商为自然人的，应当由本人签字并附身份证明。</w:t>
      </w:r>
    </w:p>
    <w:p w14:paraId="64D50C46">
      <w:pPr>
        <w:tabs>
          <w:tab w:val="left" w:pos="420"/>
        </w:tabs>
        <w:snapToGrid w:val="0"/>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2.4算术更正</w:t>
      </w:r>
    </w:p>
    <w:p w14:paraId="44D3D4FF">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2.4.1响应文件报价出现前后不一致的，按照下列规定修正：</w:t>
      </w:r>
    </w:p>
    <w:p w14:paraId="64013EA6">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（1）响应文件中竞争性磋商报价表内容与响应文件中相应内容不一致的，以竞争性磋商报价表为准；</w:t>
      </w:r>
    </w:p>
    <w:p w14:paraId="63C4F222">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3CAFB743">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（3）单价金额小数点或者百分比有明显错位的，以竞争性磋商报价表的总价为准，并修改单价；</w:t>
      </w:r>
    </w:p>
    <w:p w14:paraId="35A15093">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F6DA7C6">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同时出现两种以上不一致的，按照前款规定的顺序修正。修正后的报价经供应商确认后产生约束力，供应商不确认的，将被认定为无效响应。</w:t>
      </w:r>
    </w:p>
    <w:p w14:paraId="2B634CBA">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2.4.2对于响应文件中不构成实质性偏差的不正规、不一致或不规则，磋商小组可以接受，但这种接受不能损害或影响任何供应商的相对排序。</w:t>
      </w:r>
    </w:p>
    <w:p w14:paraId="3A92641C">
      <w:pPr>
        <w:tabs>
          <w:tab w:val="left" w:pos="420"/>
        </w:tabs>
        <w:snapToGrid w:val="0"/>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2.5比较与评价</w:t>
      </w:r>
    </w:p>
    <w:p w14:paraId="6E894661">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2.5.1经磋商确定最终采购需求和提交最后报价的供应商后，由磋商小组按磋商文件中规定的评标方法和标准采用综合评分法对提交最后报价的供应商的响应文件和最后报价进行综合评分。详细评审标准：见磋商评审办法前附表。</w:t>
      </w:r>
    </w:p>
    <w:p w14:paraId="3B5A4DC4">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2.5.2磋商小组按规定的量化指标和分值进行打分，并计算出综合评审得分。</w:t>
      </w:r>
    </w:p>
    <w:p w14:paraId="114B752E">
      <w:pPr>
        <w:tabs>
          <w:tab w:val="left" w:pos="420"/>
        </w:tabs>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2.5.3汇总全体磋商小组对各供应商的打分并计算算术平均值，即供应商的最终评审得分</w:t>
      </w:r>
      <w:r>
        <w:rPr>
          <w:rFonts w:hint="eastAsia" w:ascii="宋体" w:hAnsi="宋体" w:cs="宋体"/>
          <w:color w:val="auto"/>
          <w:szCs w:val="21"/>
          <w:highlight w:val="none"/>
          <w:lang w:eastAsia="zh-CN"/>
        </w:rPr>
        <w:t>。</w:t>
      </w:r>
    </w:p>
    <w:p w14:paraId="50F70636">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2.5.4评分分值计算保留小数点后两位，小数点后第三位“四舍五入”。</w:t>
      </w:r>
    </w:p>
    <w:p w14:paraId="56A566B4">
      <w:pPr>
        <w:tabs>
          <w:tab w:val="left" w:pos="420"/>
        </w:tabs>
        <w:snapToGrid w:val="0"/>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2.6推荐成交候选供应商名单</w:t>
      </w:r>
    </w:p>
    <w:p w14:paraId="6B3D0588">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2.6.1磋商小组将根据综合评分情况，按照评审得分由高到</w:t>
      </w:r>
      <w:r>
        <w:rPr>
          <w:rFonts w:hint="eastAsia" w:ascii="宋体" w:hAnsi="宋体" w:cs="宋体"/>
          <w:color w:val="auto"/>
          <w:szCs w:val="21"/>
          <w:highlight w:val="none"/>
          <w:lang w:val="en-US" w:eastAsia="zh-CN"/>
        </w:rPr>
        <w:t>低</w:t>
      </w:r>
      <w:r>
        <w:rPr>
          <w:rFonts w:hint="eastAsia" w:ascii="宋体" w:hAnsi="宋体" w:cs="宋体"/>
          <w:color w:val="auto"/>
          <w:szCs w:val="21"/>
          <w:highlight w:val="none"/>
        </w:rPr>
        <w:t>顺序推荐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名成交候选供应商，并编写评审报告。</w:t>
      </w:r>
    </w:p>
    <w:p w14:paraId="4080DA66">
      <w:pPr>
        <w:tabs>
          <w:tab w:val="left" w:pos="420"/>
        </w:tabs>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评审报告将由磋商小组全体人员签字认可。磋商小组成员对评审报告有异议的，磋商小组按照少数服从多数的原则推荐中标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3DC6266">
      <w:pPr>
        <w:rPr>
          <w:rFonts w:hint="default" w:ascii="宋体" w:hAnsi="宋体" w:cs="宋体"/>
          <w:b/>
          <w:bCs/>
          <w:color w:val="auto"/>
          <w:sz w:val="36"/>
          <w:szCs w:val="36"/>
          <w:highlight w:val="none"/>
          <w:lang w:val="en-US" w:eastAsia="zh-CN"/>
        </w:rPr>
      </w:pPr>
    </w:p>
    <w:p w14:paraId="079CF816">
      <w:pPr>
        <w:numPr>
          <w:ilvl w:val="0"/>
          <w:numId w:val="4"/>
        </w:numPr>
        <w:tabs>
          <w:tab w:val="left" w:pos="420"/>
        </w:tabs>
        <w:adjustRightInd w:val="0"/>
        <w:snapToGrid w:val="0"/>
        <w:jc w:val="center"/>
        <w:outlineLvl w:val="0"/>
        <w:rPr>
          <w:rFonts w:hint="eastAsia" w:ascii="宋体" w:hAnsi="宋体" w:cs="宋体"/>
          <w:b/>
          <w:color w:val="auto"/>
          <w:kern w:val="44"/>
          <w:sz w:val="32"/>
          <w:szCs w:val="20"/>
          <w:highlight w:val="none"/>
        </w:rPr>
      </w:pPr>
      <w:bookmarkStart w:id="188" w:name="_Toc13288"/>
      <w:bookmarkStart w:id="189" w:name="_Toc12066"/>
      <w:bookmarkStart w:id="190" w:name="_Toc2364"/>
      <w:bookmarkStart w:id="191" w:name="_Toc30028"/>
      <w:r>
        <w:rPr>
          <w:rFonts w:hint="eastAsia" w:ascii="宋体" w:hAnsi="宋体" w:cs="宋体"/>
          <w:b/>
          <w:color w:val="auto"/>
          <w:kern w:val="44"/>
          <w:sz w:val="32"/>
          <w:szCs w:val="20"/>
          <w:highlight w:val="none"/>
        </w:rPr>
        <w:br w:type="page"/>
      </w:r>
      <w:bookmarkStart w:id="192" w:name="_Toc6930"/>
      <w:bookmarkStart w:id="193" w:name="_Toc23445"/>
      <w:bookmarkStart w:id="194" w:name="_Toc5940"/>
      <w:bookmarkStart w:id="195" w:name="_Toc24756"/>
      <w:bookmarkStart w:id="196" w:name="_Toc21627"/>
      <w:bookmarkStart w:id="197" w:name="_Toc2169"/>
      <w:bookmarkStart w:id="198" w:name="_Toc21286"/>
      <w:bookmarkStart w:id="199" w:name="_Toc16195"/>
      <w:bookmarkStart w:id="200" w:name="_Toc20935"/>
      <w:bookmarkStart w:id="201" w:name="_Toc24456"/>
      <w:bookmarkStart w:id="202" w:name="_Toc27019"/>
      <w:r>
        <w:rPr>
          <w:rFonts w:hint="eastAsia" w:ascii="宋体" w:hAnsi="宋体" w:cs="宋体"/>
          <w:b/>
          <w:color w:val="auto"/>
          <w:kern w:val="44"/>
          <w:sz w:val="32"/>
          <w:szCs w:val="20"/>
          <w:highlight w:val="none"/>
        </w:rPr>
        <w:t>合同条款和格式</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1493665E">
      <w:pPr>
        <w:spacing w:line="360" w:lineRule="auto"/>
        <w:ind w:firstLine="420" w:firstLineChars="200"/>
        <w:jc w:val="left"/>
        <w:rPr>
          <w:rFonts w:hint="eastAsia" w:ascii="宋体" w:hAnsi="宋体" w:eastAsia="宋体" w:cs="宋体"/>
          <w:b/>
          <w:color w:val="auto"/>
          <w:szCs w:val="21"/>
          <w:highlight w:val="none"/>
        </w:rPr>
      </w:pPr>
      <w:bookmarkStart w:id="203" w:name="OLE_LINK7"/>
      <w:bookmarkStart w:id="204" w:name="_Toc29552"/>
      <w:r>
        <w:rPr>
          <w:rFonts w:hint="eastAsia" w:ascii="宋体" w:hAnsi="宋体" w:eastAsia="宋体" w:cs="宋体"/>
          <w:b/>
          <w:color w:val="auto"/>
          <w:szCs w:val="21"/>
          <w:highlight w:val="none"/>
        </w:rPr>
        <w:t xml:space="preserve">甲方：信阳师范大学 </w:t>
      </w:r>
    </w:p>
    <w:p w14:paraId="59E52ED5">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乙方：</w:t>
      </w:r>
    </w:p>
    <w:p w14:paraId="6449A5DE">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按照《中华人民共和国政府采购法》，</w:t>
      </w:r>
      <w:r>
        <w:rPr>
          <w:rFonts w:hint="eastAsia" w:ascii="宋体" w:hAnsi="宋体" w:eastAsia="宋体" w:cs="宋体"/>
          <w:bCs/>
          <w:color w:val="auto"/>
          <w:szCs w:val="21"/>
          <w:highlight w:val="none"/>
          <w:u w:val="single"/>
        </w:rPr>
        <w:t xml:space="preserve"> </w:t>
      </w:r>
      <w:bookmarkStart w:id="205" w:name="OLE_LINK17"/>
      <w:r>
        <w:rPr>
          <w:rFonts w:hint="eastAsia" w:ascii="宋体" w:hAnsi="宋体" w:eastAsia="宋体" w:cs="宋体"/>
          <w:bCs/>
          <w:color w:val="auto"/>
          <w:szCs w:val="21"/>
          <w:highlight w:val="none"/>
          <w:u w:val="single"/>
        </w:rPr>
        <w:t>信阳师范大学</w:t>
      </w:r>
      <w:bookmarkStart w:id="206" w:name="OLE_LINK18"/>
      <w:bookmarkStart w:id="207" w:name="OLE_LINK19"/>
      <w:r>
        <w:rPr>
          <w:rFonts w:hint="eastAsia" w:ascii="宋体" w:hAnsi="宋体" w:eastAsia="宋体" w:cs="宋体"/>
          <w:bCs/>
          <w:color w:val="auto"/>
          <w:szCs w:val="21"/>
          <w:highlight w:val="none"/>
          <w:u w:val="single"/>
        </w:rPr>
        <w:t>2026-2027学年</w:t>
      </w:r>
      <w:bookmarkEnd w:id="206"/>
      <w:bookmarkEnd w:id="207"/>
      <w:r>
        <w:rPr>
          <w:rFonts w:hint="eastAsia" w:ascii="宋体" w:hAnsi="宋体" w:eastAsia="宋体" w:cs="宋体"/>
          <w:bCs/>
          <w:color w:val="auto"/>
          <w:szCs w:val="21"/>
          <w:highlight w:val="none"/>
          <w:u w:val="single"/>
        </w:rPr>
        <w:t>普通高等教育</w:t>
      </w:r>
      <w:bookmarkStart w:id="208" w:name="OLE_LINK20"/>
      <w:bookmarkStart w:id="209" w:name="OLE_LINK21"/>
      <w:r>
        <w:rPr>
          <w:rFonts w:hint="eastAsia" w:ascii="宋体" w:hAnsi="宋体" w:eastAsia="宋体" w:cs="宋体"/>
          <w:bCs/>
          <w:color w:val="auto"/>
          <w:szCs w:val="21"/>
          <w:highlight w:val="none"/>
          <w:u w:val="single"/>
        </w:rPr>
        <w:t>学生教材</w:t>
      </w:r>
      <w:bookmarkEnd w:id="208"/>
      <w:bookmarkEnd w:id="209"/>
      <w:r>
        <w:rPr>
          <w:rFonts w:hint="eastAsia" w:ascii="宋体" w:hAnsi="宋体" w:eastAsia="宋体" w:cs="宋体"/>
          <w:bCs/>
          <w:color w:val="auto"/>
          <w:szCs w:val="21"/>
          <w:highlight w:val="none"/>
          <w:u w:val="single"/>
        </w:rPr>
        <w:t>项目</w:t>
      </w:r>
      <w:bookmarkEnd w:id="205"/>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进行了公开招标。根据中标结果及《中华人民共和国民法典》有关规定，甲、乙双方签订</w:t>
      </w:r>
      <w:r>
        <w:rPr>
          <w:rFonts w:hint="eastAsia" w:ascii="宋体" w:hAnsi="宋体" w:eastAsia="宋体" w:cs="宋体"/>
          <w:bCs/>
          <w:color w:val="auto"/>
          <w:szCs w:val="21"/>
          <w:highlight w:val="none"/>
          <w:u w:val="single"/>
        </w:rPr>
        <w:t xml:space="preserve"> 信阳师范大学2026-2027学年普通高等教育学生教材</w:t>
      </w:r>
      <w:r>
        <w:rPr>
          <w:rFonts w:hint="eastAsia" w:ascii="宋体" w:hAnsi="宋体" w:cs="宋体"/>
          <w:bCs/>
          <w:color w:val="auto"/>
          <w:szCs w:val="21"/>
          <w:highlight w:val="none"/>
          <w:u w:val="single"/>
          <w:lang w:val="en-US" w:eastAsia="zh-CN"/>
        </w:rPr>
        <w:t>项目</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供货合同。</w:t>
      </w:r>
    </w:p>
    <w:p w14:paraId="2EBA2DB8">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一、合同项目名称 </w:t>
      </w:r>
    </w:p>
    <w:p w14:paraId="1E89515E">
      <w:pPr>
        <w:spacing w:line="360" w:lineRule="auto"/>
        <w:ind w:firstLine="420" w:firstLineChars="200"/>
        <w:jc w:val="left"/>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 xml:space="preserve">  信阳师范大学2026-2027学年普通高等教育学生教材项目 </w:t>
      </w:r>
    </w:p>
    <w:p w14:paraId="7C36C58B">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二、项目采购金额</w:t>
      </w:r>
    </w:p>
    <w:p w14:paraId="53B51456">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采购约</w:t>
      </w:r>
      <w:r>
        <w:rPr>
          <w:rFonts w:hint="eastAsia" w:ascii="宋体" w:hAnsi="宋体" w:eastAsia="宋体" w:cs="宋体"/>
          <w:bCs/>
          <w:color w:val="auto"/>
          <w:szCs w:val="21"/>
          <w:highlight w:val="none"/>
          <w:u w:val="single"/>
        </w:rPr>
        <w:t xml:space="preserve"> 360 </w:t>
      </w:r>
      <w:r>
        <w:rPr>
          <w:rFonts w:hint="eastAsia" w:ascii="宋体" w:hAnsi="宋体" w:eastAsia="宋体" w:cs="宋体"/>
          <w:bCs/>
          <w:color w:val="auto"/>
          <w:szCs w:val="21"/>
          <w:highlight w:val="none"/>
        </w:rPr>
        <w:t>万元学生教材。因甲方对教材定价和招生人数目前无法准确确定，教材结算最终以实际定价和实际使用数量为准。</w:t>
      </w:r>
    </w:p>
    <w:p w14:paraId="2459C6FC">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三、合同执行方式 </w:t>
      </w:r>
    </w:p>
    <w:p w14:paraId="19AD7DC9">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本次采购教材采用先供货后付款的方式。</w:t>
      </w:r>
    </w:p>
    <w:p w14:paraId="3D3C0704">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四、合同有效时限 </w:t>
      </w:r>
    </w:p>
    <w:p w14:paraId="57D33B74">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本次甲方向乙方采购教材的有效时限定为：2026年 月 日至 2026年 月  日。</w:t>
      </w:r>
    </w:p>
    <w:p w14:paraId="705D310F">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五、付款方式</w:t>
      </w:r>
    </w:p>
    <w:p w14:paraId="00D4B51C">
      <w:pPr>
        <w:spacing w:line="360" w:lineRule="auto"/>
        <w:ind w:firstLine="420" w:firstLineChars="200"/>
        <w:jc w:val="left"/>
        <w:rPr>
          <w:rFonts w:hint="eastAsia" w:ascii="宋体" w:hAnsi="宋体" w:eastAsia="宋体" w:cs="宋体"/>
          <w:bCs/>
          <w:color w:val="auto"/>
          <w:szCs w:val="21"/>
          <w:highlight w:val="none"/>
        </w:rPr>
      </w:pPr>
      <w:bookmarkStart w:id="210" w:name="OLE_LINK5"/>
      <w:bookmarkStart w:id="211" w:name="OLE_LINK6"/>
      <w:r>
        <w:rPr>
          <w:rFonts w:hint="eastAsia" w:ascii="宋体" w:hAnsi="宋体" w:eastAsia="宋体" w:cs="宋体"/>
          <w:bCs/>
          <w:color w:val="auto"/>
          <w:szCs w:val="21"/>
          <w:highlight w:val="none"/>
        </w:rPr>
        <w:t>学生自愿采购支付资金，具体采购数量及金额以学生实际订购数量为准。</w:t>
      </w:r>
    </w:p>
    <w:bookmarkEnd w:id="210"/>
    <w:bookmarkEnd w:id="211"/>
    <w:p w14:paraId="34FE759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b/>
          <w:color w:val="auto"/>
          <w:szCs w:val="21"/>
          <w:highlight w:val="none"/>
        </w:rPr>
        <w:t xml:space="preserve">履约保证金缴纳相关信息： </w:t>
      </w:r>
    </w:p>
    <w:p w14:paraId="76A17BA7">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户 名</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 xml:space="preserve">信阳师范大学 </w:t>
      </w:r>
    </w:p>
    <w:p w14:paraId="38B766DA">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开户行</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 xml:space="preserve">工商银行南湖路支行 </w:t>
      </w:r>
    </w:p>
    <w:p w14:paraId="46D59867">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账 号</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 xml:space="preserve">1718 4214 0906 4000 135 </w:t>
      </w:r>
    </w:p>
    <w:p w14:paraId="11105417">
      <w:pPr>
        <w:numPr>
          <w:ilvl w:val="0"/>
          <w:numId w:val="5"/>
        </w:num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甲方付款时间：</w:t>
      </w:r>
    </w:p>
    <w:p w14:paraId="0012E6AC">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教材项目入库后五个工作日内组织校级验收，验收合格后，购书学生与教材供应商自主结算。</w:t>
      </w:r>
    </w:p>
    <w:p w14:paraId="2B829571">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3.乙方开具采购方名称为信阳师范大</w:t>
      </w:r>
      <w:bookmarkStart w:id="212" w:name="OLE_LINK8"/>
      <w:bookmarkStart w:id="213" w:name="OLE_LINK9"/>
      <w:r>
        <w:rPr>
          <w:rFonts w:hint="eastAsia" w:ascii="宋体" w:hAnsi="宋体" w:eastAsia="宋体" w:cs="宋体"/>
          <w:bCs/>
          <w:color w:val="auto"/>
          <w:szCs w:val="21"/>
          <w:highlight w:val="none"/>
        </w:rPr>
        <w:t>学的发票，在规定</w:t>
      </w:r>
      <w:bookmarkEnd w:id="212"/>
      <w:bookmarkEnd w:id="213"/>
      <w:r>
        <w:rPr>
          <w:rFonts w:hint="eastAsia" w:ascii="宋体" w:hAnsi="宋体" w:eastAsia="宋体" w:cs="宋体"/>
          <w:bCs/>
          <w:color w:val="auto"/>
          <w:szCs w:val="21"/>
          <w:highlight w:val="none"/>
        </w:rPr>
        <w:t>的期限内到信阳师范大学财务处申请付款，甲方给予积极配合。</w:t>
      </w:r>
    </w:p>
    <w:p w14:paraId="6C4033E1">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4.收款单位信息： </w:t>
      </w:r>
    </w:p>
    <w:p w14:paraId="40DB2504">
      <w:pPr>
        <w:spacing w:line="360" w:lineRule="auto"/>
        <w:ind w:firstLine="420" w:firstLineChars="200"/>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户 名</w:t>
      </w:r>
      <w:r>
        <w:rPr>
          <w:rFonts w:hint="eastAsia" w:ascii="宋体" w:hAnsi="宋体" w:eastAsia="宋体" w:cs="宋体"/>
          <w:bCs/>
          <w:color w:val="auto"/>
          <w:szCs w:val="21"/>
          <w:highlight w:val="none"/>
          <w:lang w:eastAsia="zh-CN"/>
        </w:rPr>
        <w:t>：</w:t>
      </w:r>
    </w:p>
    <w:p w14:paraId="67ABDF1E">
      <w:pPr>
        <w:spacing w:line="360" w:lineRule="auto"/>
        <w:ind w:firstLine="420" w:firstLineChars="200"/>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开户行名称</w:t>
      </w:r>
      <w:r>
        <w:rPr>
          <w:rFonts w:hint="eastAsia" w:ascii="宋体" w:hAnsi="宋体" w:eastAsia="宋体" w:cs="宋体"/>
          <w:bCs/>
          <w:color w:val="auto"/>
          <w:szCs w:val="21"/>
          <w:highlight w:val="none"/>
          <w:lang w:eastAsia="zh-CN"/>
        </w:rPr>
        <w:t>：</w:t>
      </w:r>
    </w:p>
    <w:p w14:paraId="788D9621">
      <w:pPr>
        <w:spacing w:line="360" w:lineRule="auto"/>
        <w:ind w:firstLine="420" w:firstLineChars="200"/>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账 号</w:t>
      </w:r>
      <w:r>
        <w:rPr>
          <w:rFonts w:hint="eastAsia" w:ascii="宋体" w:hAnsi="宋体" w:eastAsia="宋体" w:cs="宋体"/>
          <w:bCs/>
          <w:color w:val="auto"/>
          <w:szCs w:val="21"/>
          <w:highlight w:val="none"/>
          <w:lang w:eastAsia="zh-CN"/>
        </w:rPr>
        <w:t>：</w:t>
      </w:r>
    </w:p>
    <w:p w14:paraId="3F6BA787">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五、责任与义务 </w:t>
      </w:r>
    </w:p>
    <w:p w14:paraId="0C43487B">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1.由甲方负责提供</w:t>
      </w:r>
      <w:r>
        <w:rPr>
          <w:rFonts w:hint="eastAsia" w:ascii="宋体" w:hAnsi="宋体" w:eastAsia="宋体" w:cs="宋体"/>
          <w:bCs/>
          <w:color w:val="auto"/>
          <w:szCs w:val="21"/>
          <w:highlight w:val="none"/>
          <w:u w:val="single"/>
        </w:rPr>
        <w:t xml:space="preserve"> 信阳师范大学2026-2027学年普通高等教育学生教材</w:t>
      </w:r>
      <w:r>
        <w:rPr>
          <w:rFonts w:hint="eastAsia" w:ascii="宋体" w:hAnsi="宋体" w:eastAsia="宋体" w:cs="宋体"/>
          <w:bCs/>
          <w:color w:val="auto"/>
          <w:szCs w:val="21"/>
          <w:highlight w:val="none"/>
        </w:rPr>
        <w:t>采购计划（分春、秋两季），并注明教材名称和 ISBN 号、编者、出版社、数量和版次。如有特殊情况，由双方协商解决。</w:t>
      </w:r>
    </w:p>
    <w:p w14:paraId="4B48213B">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2.乙方接受甲方提供订单后，若不能履行，必须在接到订单的五天内说明事由，否则视为违约。违约金按合同采购码洋的</w:t>
      </w:r>
      <w:r>
        <w:rPr>
          <w:rFonts w:hint="eastAsia" w:ascii="宋体" w:hAnsi="宋体" w:eastAsia="宋体" w:cs="宋体"/>
          <w:bCs/>
          <w:color w:val="auto"/>
          <w:szCs w:val="21"/>
          <w:highlight w:val="none"/>
          <w:u w:val="single"/>
        </w:rPr>
        <w:t>200%</w:t>
      </w:r>
      <w:r>
        <w:rPr>
          <w:rFonts w:hint="eastAsia" w:ascii="宋体" w:hAnsi="宋体" w:eastAsia="宋体" w:cs="宋体"/>
          <w:bCs/>
          <w:color w:val="auto"/>
          <w:szCs w:val="21"/>
          <w:highlight w:val="none"/>
        </w:rPr>
        <w:t>赔偿。</w:t>
      </w:r>
    </w:p>
    <w:p w14:paraId="6D6ADF54">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3.乙方必须严格按照甲方的采购清单提供教材，并按照教材建设科要求的时间准时将教材入库，甲方需在入库后三日内进行入库验收，逾期未组织验收的视为验收合格。乙方提供的教材课前到书率必须达到</w:t>
      </w:r>
      <w:r>
        <w:rPr>
          <w:rFonts w:hint="eastAsia" w:ascii="宋体" w:hAnsi="宋体" w:eastAsia="宋体" w:cs="宋体"/>
          <w:bCs/>
          <w:color w:val="auto"/>
          <w:szCs w:val="21"/>
          <w:highlight w:val="none"/>
          <w:u w:val="single"/>
        </w:rPr>
        <w:t xml:space="preserve"> 98%</w:t>
      </w:r>
      <w:r>
        <w:rPr>
          <w:rFonts w:hint="eastAsia" w:ascii="宋体" w:hAnsi="宋体" w:eastAsia="宋体" w:cs="宋体"/>
          <w:bCs/>
          <w:color w:val="auto"/>
          <w:szCs w:val="21"/>
          <w:highlight w:val="none"/>
        </w:rPr>
        <w:t>，否则视为违约。教材入库数量以甲方实际发放教材数量为准。乙方须按甲方的要求免费负责教材的入库和发放，否则发生的所有费用由乙方承担。</w:t>
      </w:r>
    </w:p>
    <w:p w14:paraId="133F407A">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4.因教材质量问题发生争议，由双方共同委托甲方所在地(信阳市)的法定技术监督部门进行质量鉴定。甲、乙双方均应接受鉴定结论。</w:t>
      </w:r>
    </w:p>
    <w:p w14:paraId="0E76AFC2">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5.乙方必须保证供应的教材必须是甲方</w:t>
      </w:r>
      <w:r>
        <w:rPr>
          <w:rFonts w:hint="eastAsia" w:ascii="宋体" w:hAnsi="宋体" w:cs="宋体"/>
          <w:bCs/>
          <w:color w:val="auto"/>
          <w:szCs w:val="21"/>
          <w:highlight w:val="none"/>
          <w:lang w:val="en-US" w:eastAsia="zh-CN"/>
        </w:rPr>
        <w:t>竞争性磋商</w:t>
      </w:r>
      <w:r>
        <w:rPr>
          <w:rFonts w:hint="eastAsia" w:ascii="宋体" w:hAnsi="宋体" w:eastAsia="宋体" w:cs="宋体"/>
          <w:bCs/>
          <w:color w:val="auto"/>
          <w:szCs w:val="21"/>
          <w:highlight w:val="none"/>
        </w:rPr>
        <w:t>文件要求出版社的正版教材。若发现有非正版教材，经相关部门确认后，甲方在不退还全部教材的基础上终止合同，扣除全部履约保证金并拒付全部书款，同时赔偿给甲方采购教材总码洋</w:t>
      </w:r>
      <w:r>
        <w:rPr>
          <w:rFonts w:hint="eastAsia" w:ascii="宋体" w:hAnsi="宋体" w:eastAsia="宋体" w:cs="宋体"/>
          <w:bCs/>
          <w:color w:val="auto"/>
          <w:szCs w:val="21"/>
          <w:highlight w:val="none"/>
          <w:u w:val="single"/>
        </w:rPr>
        <w:t xml:space="preserve"> 5 </w:t>
      </w:r>
      <w:r>
        <w:rPr>
          <w:rFonts w:hint="eastAsia" w:ascii="宋体" w:hAnsi="宋体" w:eastAsia="宋体" w:cs="宋体"/>
          <w:bCs/>
          <w:color w:val="auto"/>
          <w:szCs w:val="21"/>
          <w:highlight w:val="none"/>
        </w:rPr>
        <w:t>倍的违约金。由此产生的一切经济和法律责任由乙方承担。</w:t>
      </w:r>
    </w:p>
    <w:p w14:paraId="6B6CADB9">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6.因教材出现倒页、缺页、损页等印刷装订质量问题，乙方无条件负责更换。</w:t>
      </w:r>
    </w:p>
    <w:p w14:paraId="4E1233A5">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7.乙方对甲方承诺“零库存”服务。即凡在乙方所采购的教材，在不影响乙方二次销售的前提下，乙方有义务满足甲方的退书要求。退书所发生的费用由乙方承担。（退书时间截止每学期开学后的</w:t>
      </w:r>
      <w:r>
        <w:rPr>
          <w:rFonts w:hint="eastAsia" w:ascii="宋体" w:hAnsi="宋体" w:eastAsia="宋体" w:cs="宋体"/>
          <w:bCs/>
          <w:color w:val="auto"/>
          <w:szCs w:val="21"/>
          <w:highlight w:val="none"/>
          <w:u w:val="single"/>
        </w:rPr>
        <w:t xml:space="preserve"> 60 </w:t>
      </w:r>
      <w:r>
        <w:rPr>
          <w:rFonts w:hint="eastAsia" w:ascii="宋体" w:hAnsi="宋体" w:eastAsia="宋体" w:cs="宋体"/>
          <w:bCs/>
          <w:color w:val="auto"/>
          <w:szCs w:val="21"/>
          <w:highlight w:val="none"/>
        </w:rPr>
        <w:t>天以内）。</w:t>
      </w:r>
    </w:p>
    <w:p w14:paraId="6A45DE94">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六、采购结算计算方式</w:t>
      </w:r>
      <w:r>
        <w:rPr>
          <w:rFonts w:hint="eastAsia" w:ascii="宋体" w:hAnsi="宋体" w:eastAsia="宋体" w:cs="宋体"/>
          <w:bCs/>
          <w:color w:val="auto"/>
          <w:szCs w:val="21"/>
          <w:highlight w:val="none"/>
        </w:rPr>
        <w:t xml:space="preserve"> </w:t>
      </w:r>
    </w:p>
    <w:p w14:paraId="751C5353">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学生自愿采购支付资金，具体采购数量及金额以学生实际订购数量为准。</w:t>
      </w:r>
    </w:p>
    <w:p w14:paraId="46FBBDB9">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七、违约责任 </w:t>
      </w:r>
    </w:p>
    <w:p w14:paraId="45321642">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1.甲、乙双方任何一方未能履行合同义务、或者履行本合同不符合约定的，非违约方有权要求违约方继续履行合同义务或终止合同，违约方还需向非违约方支付每日合同总标的</w:t>
      </w:r>
      <w:r>
        <w:rPr>
          <w:rFonts w:hint="eastAsia" w:ascii="宋体" w:hAnsi="宋体" w:eastAsia="宋体" w:cs="宋体"/>
          <w:bCs/>
          <w:color w:val="auto"/>
          <w:szCs w:val="21"/>
          <w:highlight w:val="none"/>
          <w:u w:val="single"/>
        </w:rPr>
        <w:t xml:space="preserve"> 1‰</w:t>
      </w:r>
      <w:r>
        <w:rPr>
          <w:rFonts w:hint="eastAsia" w:ascii="宋体" w:hAnsi="宋体" w:eastAsia="宋体" w:cs="宋体"/>
          <w:bCs/>
          <w:color w:val="auto"/>
          <w:szCs w:val="21"/>
          <w:highlight w:val="none"/>
        </w:rPr>
        <w:t>违约金。</w:t>
      </w:r>
    </w:p>
    <w:p w14:paraId="0DC85B3C">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2.因不可抗力（包括但不限于自然灾害、疫情、政府管控政策等）造成乙方违约的，甲方不予追究乙方违约责任。</w:t>
      </w:r>
    </w:p>
    <w:p w14:paraId="169F7AA7">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八、其它约定事项</w:t>
      </w:r>
      <w:r>
        <w:rPr>
          <w:rFonts w:hint="eastAsia" w:ascii="宋体" w:hAnsi="宋体" w:eastAsia="宋体" w:cs="宋体"/>
          <w:bCs/>
          <w:color w:val="auto"/>
          <w:szCs w:val="21"/>
          <w:highlight w:val="none"/>
        </w:rPr>
        <w:t xml:space="preserve"> </w:t>
      </w:r>
    </w:p>
    <w:p w14:paraId="5292C015">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u w:val="single"/>
        </w:rPr>
        <w:t xml:space="preserve"> 信阳师范大学2026-2027学年普通高等教育学生教材项目</w:t>
      </w:r>
      <w:r>
        <w:rPr>
          <w:rFonts w:hint="eastAsia" w:ascii="宋体" w:hAnsi="宋体" w:cs="宋体"/>
          <w:bCs/>
          <w:color w:val="auto"/>
          <w:szCs w:val="21"/>
          <w:highlight w:val="none"/>
          <w:lang w:val="en-US" w:eastAsia="zh-CN"/>
        </w:rPr>
        <w:t>竞争性磋商</w:t>
      </w:r>
      <w:r>
        <w:rPr>
          <w:rFonts w:hint="eastAsia" w:ascii="宋体" w:hAnsi="宋体" w:eastAsia="宋体" w:cs="宋体"/>
          <w:bCs/>
          <w:color w:val="auto"/>
          <w:szCs w:val="21"/>
          <w:highlight w:val="none"/>
        </w:rPr>
        <w:t>文件及其修改、供应商的投标文件和双方洽商函，是本合同不可分割的组成部分，本合同未尽事宜从其规定。</w:t>
      </w:r>
    </w:p>
    <w:bookmarkEnd w:id="203"/>
    <w:p w14:paraId="26189613">
      <w:pPr>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九、合同生效 </w:t>
      </w:r>
    </w:p>
    <w:p w14:paraId="7CE2E84E">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1.本合同于</w:t>
      </w:r>
      <w:r>
        <w:rPr>
          <w:rFonts w:hint="eastAsia" w:ascii="宋体" w:hAnsi="宋体" w:eastAsia="宋体" w:cs="宋体"/>
          <w:bCs/>
          <w:color w:val="auto"/>
          <w:szCs w:val="21"/>
          <w:highlight w:val="none"/>
          <w:u w:val="single"/>
        </w:rPr>
        <w:t xml:space="preserve"> 2026  </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 xml:space="preserve">日在信阳师范大学签订。本合同一式壹拾份，财政厅政府采购处壹份、代理机构壹份、供方保存贰份， 需方保存陆份。本合同从甲、乙双方签字盖章后生效。 </w:t>
      </w:r>
    </w:p>
    <w:p w14:paraId="2977B816">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2.其它未尽事宜，甲、乙双方另行协商解决。 </w:t>
      </w:r>
    </w:p>
    <w:p w14:paraId="624C9F89">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甲方：信阳师范大学                      乙方： </w:t>
      </w:r>
    </w:p>
    <w:p w14:paraId="14253F77">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委托代理人：                            委托代理人： </w:t>
      </w:r>
    </w:p>
    <w:p w14:paraId="5E1AE6C4">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电话：0376-6393872                      电话：</w:t>
      </w:r>
    </w:p>
    <w:p w14:paraId="5D590EF3">
      <w:pPr>
        <w:spacing w:line="360" w:lineRule="auto"/>
        <w:rPr>
          <w:rFonts w:hint="eastAsia" w:ascii="宋体" w:hAnsi="宋体" w:eastAsia="宋体" w:cs="宋体"/>
          <w:color w:val="auto"/>
          <w:highlight w:val="none"/>
        </w:rPr>
      </w:pPr>
    </w:p>
    <w:p w14:paraId="098D7B47">
      <w:pPr>
        <w:pStyle w:val="37"/>
        <w:widowControl/>
        <w:tabs>
          <w:tab w:val="left" w:pos="0"/>
          <w:tab w:val="left" w:pos="510"/>
          <w:tab w:val="left" w:pos="567"/>
          <w:tab w:val="left" w:pos="601"/>
        </w:tabs>
        <w:spacing w:line="800" w:lineRule="exact"/>
        <w:jc w:val="center"/>
        <w:rPr>
          <w:rFonts w:hint="eastAsia" w:ascii="黑体" w:eastAsia="黑体"/>
          <w:color w:val="auto"/>
          <w:sz w:val="48"/>
          <w:szCs w:val="48"/>
          <w:highlight w:val="none"/>
        </w:rPr>
      </w:pPr>
    </w:p>
    <w:p w14:paraId="7C310787">
      <w:pPr>
        <w:tabs>
          <w:tab w:val="left" w:pos="1446"/>
        </w:tabs>
        <w:ind w:right="-312" w:rightChars="-149"/>
        <w:jc w:val="left"/>
        <w:rPr>
          <w:rFonts w:ascii="方正仿宋_GB2312" w:hAnsi="方正仿宋_GB2312" w:eastAsia="方正仿宋_GB2312" w:cs="方正仿宋_GB2312"/>
          <w:color w:val="auto"/>
          <w:sz w:val="32"/>
          <w:szCs w:val="32"/>
        </w:rPr>
      </w:pPr>
      <w:bookmarkStart w:id="214" w:name="_Toc481738433"/>
      <w:bookmarkStart w:id="215" w:name="_Toc465259992"/>
      <w:bookmarkStart w:id="216" w:name="_Toc230512354"/>
      <w:bookmarkStart w:id="217" w:name="_Toc179456561"/>
    </w:p>
    <w:p w14:paraId="208834D1">
      <w:pPr>
        <w:spacing w:line="700" w:lineRule="exact"/>
        <w:jc w:val="center"/>
        <w:rPr>
          <w:rFonts w:ascii="宋体" w:hAnsi="宋体" w:cs="宋体"/>
          <w:color w:val="auto"/>
          <w:sz w:val="48"/>
          <w:szCs w:val="48"/>
        </w:rPr>
      </w:pPr>
    </w:p>
    <w:p w14:paraId="708E5D43">
      <w:pPr>
        <w:spacing w:line="700" w:lineRule="exact"/>
        <w:jc w:val="center"/>
        <w:rPr>
          <w:rFonts w:ascii="宋体" w:hAnsi="宋体" w:eastAsia="宋体" w:cs="宋体"/>
          <w:color w:val="auto"/>
          <w:sz w:val="48"/>
          <w:szCs w:val="48"/>
        </w:rPr>
      </w:pPr>
    </w:p>
    <w:p w14:paraId="45B14FFE">
      <w:pPr>
        <w:rPr>
          <w:rFonts w:eastAsia="宋体"/>
          <w:color w:val="auto"/>
        </w:rPr>
      </w:pPr>
    </w:p>
    <w:bookmarkEnd w:id="214"/>
    <w:bookmarkEnd w:id="215"/>
    <w:bookmarkEnd w:id="216"/>
    <w:bookmarkEnd w:id="217"/>
    <w:p w14:paraId="6B1DC331">
      <w:pPr>
        <w:pStyle w:val="7"/>
        <w:spacing w:line="360" w:lineRule="auto"/>
        <w:rPr>
          <w:rFonts w:hint="eastAsia" w:ascii="宋体" w:hAnsi="宋体" w:eastAsia="宋体" w:cs="宋体"/>
          <w:color w:val="auto"/>
          <w:sz w:val="24"/>
          <w:szCs w:val="24"/>
        </w:rPr>
      </w:pPr>
    </w:p>
    <w:p w14:paraId="3EABFBA7">
      <w:pPr>
        <w:tabs>
          <w:tab w:val="left" w:pos="700"/>
        </w:tabs>
        <w:topLinePunct/>
        <w:autoSpaceDE w:val="0"/>
        <w:autoSpaceDN w:val="0"/>
        <w:snapToGrid w:val="0"/>
        <w:spacing w:line="360" w:lineRule="auto"/>
        <w:rPr>
          <w:rFonts w:hint="eastAsia" w:ascii="宋体" w:hAnsi="宋体" w:eastAsia="宋体" w:cs="宋体"/>
          <w:color w:val="auto"/>
          <w:sz w:val="24"/>
        </w:rPr>
      </w:pPr>
    </w:p>
    <w:p w14:paraId="2128EED8">
      <w:pPr>
        <w:pStyle w:val="2"/>
        <w:numPr>
          <w:ilvl w:val="0"/>
          <w:numId w:val="4"/>
        </w:numPr>
        <w:ind w:left="0" w:leftChars="0" w:firstLine="0" w:firstLineChars="0"/>
        <w:jc w:val="center"/>
        <w:rPr>
          <w:rFonts w:cs="宋体"/>
          <w:color w:val="auto"/>
          <w:sz w:val="32"/>
          <w:szCs w:val="20"/>
        </w:rPr>
      </w:pPr>
      <w:r>
        <w:rPr>
          <w:rFonts w:hint="eastAsia" w:ascii="宋体" w:hAnsi="宋体" w:eastAsia="宋体" w:cs="宋体"/>
          <w:b w:val="0"/>
          <w:color w:val="auto"/>
          <w:sz w:val="21"/>
          <w:szCs w:val="21"/>
          <w:highlight w:val="none"/>
        </w:rPr>
        <w:br w:type="page"/>
      </w:r>
      <w:bookmarkEnd w:id="166"/>
      <w:bookmarkEnd w:id="204"/>
      <w:bookmarkStart w:id="218" w:name="_Toc8637"/>
      <w:bookmarkStart w:id="219" w:name="_Toc19180"/>
      <w:bookmarkStart w:id="220" w:name="_Toc20830"/>
      <w:bookmarkStart w:id="221" w:name="_Toc1651"/>
      <w:bookmarkStart w:id="222" w:name="_Toc29271"/>
      <w:bookmarkStart w:id="223" w:name="_Toc14424"/>
      <w:bookmarkStart w:id="224" w:name="_Toc22186"/>
      <w:bookmarkStart w:id="225" w:name="_Toc18771"/>
      <w:bookmarkStart w:id="226" w:name="_Toc1439"/>
      <w:bookmarkStart w:id="227" w:name="_Toc21483"/>
      <w:bookmarkStart w:id="228" w:name="_Toc7831"/>
      <w:r>
        <w:rPr>
          <w:rFonts w:cs="宋体"/>
          <w:color w:val="auto"/>
          <w:sz w:val="32"/>
          <w:szCs w:val="20"/>
        </w:rPr>
        <w:t>采购需求</w:t>
      </w:r>
      <w:bookmarkEnd w:id="218"/>
      <w:bookmarkEnd w:id="219"/>
      <w:bookmarkEnd w:id="220"/>
      <w:bookmarkEnd w:id="221"/>
      <w:bookmarkEnd w:id="222"/>
      <w:bookmarkEnd w:id="223"/>
      <w:bookmarkEnd w:id="224"/>
      <w:bookmarkEnd w:id="225"/>
      <w:bookmarkEnd w:id="226"/>
      <w:bookmarkEnd w:id="227"/>
      <w:bookmarkEnd w:id="228"/>
      <w:bookmarkStart w:id="229" w:name="_Toc19917"/>
    </w:p>
    <w:p w14:paraId="12D7E00B">
      <w:pPr>
        <w:spacing w:line="360" w:lineRule="auto"/>
        <w:ind w:firstLine="420" w:firstLineChars="200"/>
        <w:jc w:val="left"/>
        <w:rPr>
          <w:rFonts w:hint="eastAsia" w:ascii="宋体" w:hAnsi="宋体" w:eastAsia="宋体" w:cs="宋体"/>
          <w:bCs/>
          <w:szCs w:val="21"/>
        </w:rPr>
      </w:pPr>
      <w:bookmarkStart w:id="230" w:name="_Toc5540"/>
      <w:bookmarkStart w:id="231" w:name="_Toc27363"/>
      <w:bookmarkStart w:id="232" w:name="_Toc24338"/>
      <w:bookmarkStart w:id="233" w:name="_Toc13935"/>
      <w:bookmarkStart w:id="234" w:name="_Toc14969"/>
      <w:bookmarkStart w:id="235" w:name="_Toc18842"/>
      <w:bookmarkStart w:id="236" w:name="_Toc28709"/>
      <w:bookmarkStart w:id="237" w:name="_Toc8001"/>
      <w:bookmarkStart w:id="238" w:name="_Toc8648"/>
      <w:bookmarkStart w:id="239" w:name="_Toc9536"/>
      <w:bookmarkStart w:id="240" w:name="_Toc20465"/>
      <w:bookmarkStart w:id="241" w:name="_Toc17247"/>
      <w:r>
        <w:rPr>
          <w:rFonts w:hint="eastAsia" w:ascii="宋体" w:hAnsi="宋体" w:eastAsia="宋体" w:cs="宋体"/>
          <w:bCs/>
          <w:szCs w:val="21"/>
        </w:rPr>
        <w:t>一、项目概况</w:t>
      </w:r>
    </w:p>
    <w:p w14:paraId="47589462">
      <w:pPr>
        <w:widowControl/>
        <w:tabs>
          <w:tab w:val="left" w:pos="840"/>
        </w:tabs>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1.项目编号：豫财招标采购-2026-757</w:t>
      </w:r>
    </w:p>
    <w:p w14:paraId="218CE571">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2.项目名称：信阳师范大学2026-2027学年普通高等教育学生教材项目</w:t>
      </w:r>
    </w:p>
    <w:p w14:paraId="35EF0B5C">
      <w:pPr>
        <w:widowControl/>
        <w:spacing w:line="360" w:lineRule="auto"/>
        <w:ind w:firstLine="420" w:firstLineChars="200"/>
        <w:jc w:val="left"/>
        <w:rPr>
          <w:rFonts w:hint="eastAsia" w:ascii="宋体" w:hAnsi="宋体" w:eastAsia="宋体" w:cs="宋体"/>
          <w:bCs/>
          <w:color w:val="000000"/>
          <w:szCs w:val="21"/>
        </w:rPr>
      </w:pPr>
      <w:r>
        <w:rPr>
          <w:rFonts w:hint="eastAsia" w:ascii="宋体" w:hAnsi="宋体" w:eastAsia="宋体" w:cs="宋体"/>
          <w:bCs/>
          <w:color w:val="000000"/>
          <w:szCs w:val="21"/>
        </w:rPr>
        <w:t>3.采购内容：</w:t>
      </w:r>
    </w:p>
    <w:p w14:paraId="18C1BB64">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包1：谭山校区：马克思主义学院、文学院、外国语学院、体育学院、音乐与舞蹈学院、美术与设计学院、传媒学院、历史文化学院、教师教育学院、旅游学院；淮河校区等教材；</w:t>
      </w:r>
    </w:p>
    <w:p w14:paraId="03146DDE">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包2：谭山校区：数学与统计学院、物理电子工程学院、化学化工学院、生命科学学院、医学院、地理科学学院、法学与社会学学院、建筑与土木工程学院、计算机与信息技术学院、茶学与食品学院、新能源科学与技术学院、国际教育学院、拉斯维亚斯学院、教育科学学院、商学院；信阳理工学院校区等教材。</w:t>
      </w:r>
    </w:p>
    <w:p w14:paraId="037F30CB">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rPr>
        <w:t>4.交货期</w:t>
      </w:r>
      <w:r>
        <w:rPr>
          <w:rFonts w:hint="eastAsia" w:ascii="宋体" w:hAnsi="宋体" w:eastAsia="宋体" w:cs="宋体"/>
          <w:bCs/>
          <w:szCs w:val="21"/>
        </w:rPr>
        <w:t>：接采购人通知后7日历天内完成采购内容的交货、验收。</w:t>
      </w:r>
    </w:p>
    <w:p w14:paraId="4B7591AD">
      <w:pPr>
        <w:widowControl/>
        <w:spacing w:line="360" w:lineRule="auto"/>
        <w:ind w:firstLine="420" w:firstLineChars="200"/>
        <w:jc w:val="left"/>
        <w:rPr>
          <w:rFonts w:hint="eastAsia" w:ascii="宋体" w:hAnsi="宋体" w:eastAsia="宋体" w:cs="宋体"/>
          <w:bCs/>
          <w:color w:val="000000"/>
          <w:szCs w:val="21"/>
        </w:rPr>
      </w:pPr>
      <w:r>
        <w:rPr>
          <w:rFonts w:hint="eastAsia" w:ascii="宋体" w:hAnsi="宋体" w:eastAsia="宋体" w:cs="宋体"/>
          <w:bCs/>
          <w:color w:val="000000"/>
          <w:szCs w:val="21"/>
        </w:rPr>
        <w:t>5.交货地点：采购人指定地点。</w:t>
      </w:r>
    </w:p>
    <w:p w14:paraId="27138153">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rPr>
        <w:t>6.质量要求：供应商提供的教材必须符合国家或行业的合格标准，满足采购人提出的技术标准及要求；提供的教材必须是国家正规出版物，不得提供盗版、缺页、污损、装订不合格等，或不符合要求的图书</w:t>
      </w:r>
      <w:r>
        <w:rPr>
          <w:rFonts w:hint="eastAsia" w:ascii="宋体" w:hAnsi="宋体" w:eastAsia="宋体" w:cs="宋体"/>
          <w:bCs/>
          <w:szCs w:val="21"/>
        </w:rPr>
        <w:t>。</w:t>
      </w:r>
    </w:p>
    <w:p w14:paraId="03A8A576">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rPr>
        <w:t>7.质保期：</w:t>
      </w:r>
      <w:r>
        <w:rPr>
          <w:rFonts w:hint="eastAsia" w:ascii="宋体" w:hAnsi="宋体" w:eastAsia="宋体" w:cs="宋体"/>
          <w:bCs/>
          <w:szCs w:val="21"/>
        </w:rPr>
        <w:t>自验收合格之日起12个月。</w:t>
      </w:r>
    </w:p>
    <w:p w14:paraId="324AF10E">
      <w:pPr>
        <w:spacing w:line="360" w:lineRule="auto"/>
        <w:ind w:firstLine="420" w:firstLineChars="200"/>
        <w:jc w:val="left"/>
        <w:rPr>
          <w:rFonts w:hint="eastAsia" w:ascii="宋体" w:hAnsi="宋体" w:eastAsia="宋体" w:cs="宋体"/>
          <w:b/>
          <w:szCs w:val="21"/>
        </w:rPr>
      </w:pPr>
      <w:r>
        <w:rPr>
          <w:rFonts w:hint="eastAsia" w:ascii="宋体" w:hAnsi="宋体" w:eastAsia="宋体" w:cs="宋体"/>
          <w:b/>
          <w:szCs w:val="21"/>
        </w:rPr>
        <w:t>二、教材质量保证及要求</w:t>
      </w:r>
    </w:p>
    <w:p w14:paraId="1466C192">
      <w:pPr>
        <w:spacing w:line="360" w:lineRule="auto"/>
        <w:ind w:firstLine="420" w:firstLineChars="200"/>
        <w:jc w:val="left"/>
        <w:rPr>
          <w:rFonts w:hint="eastAsia" w:ascii="宋体" w:hAnsi="宋体" w:eastAsia="宋体" w:cs="宋体"/>
          <w:b/>
          <w:szCs w:val="21"/>
        </w:rPr>
      </w:pPr>
      <w:r>
        <w:rPr>
          <w:rFonts w:hint="eastAsia" w:ascii="宋体" w:hAnsi="宋体" w:eastAsia="宋体" w:cs="宋体"/>
          <w:b/>
          <w:szCs w:val="21"/>
        </w:rPr>
        <w:t xml:space="preserve">1.教材质量要求 </w:t>
      </w:r>
    </w:p>
    <w:p w14:paraId="0CA64017">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（1）保证教材100%正版；</w:t>
      </w:r>
    </w:p>
    <w:p w14:paraId="01D35D77">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（2）保证教材不会出现开胶、倒装、缺页、烂页等现象；</w:t>
      </w:r>
    </w:p>
    <w:p w14:paraId="45DC1245">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（3）保证教材符合采购人要求的版次；</w:t>
      </w:r>
    </w:p>
    <w:p w14:paraId="09ED147B">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（4）保证教材按照采购人要求供书，避免错书等情况。</w:t>
      </w:r>
    </w:p>
    <w:p w14:paraId="085DCDC8">
      <w:pPr>
        <w:spacing w:line="360" w:lineRule="auto"/>
        <w:ind w:firstLine="420" w:firstLineChars="200"/>
        <w:jc w:val="left"/>
        <w:rPr>
          <w:rFonts w:hint="eastAsia" w:ascii="宋体" w:hAnsi="宋体" w:eastAsia="宋体" w:cs="宋体"/>
          <w:b/>
          <w:szCs w:val="21"/>
        </w:rPr>
      </w:pPr>
      <w:r>
        <w:rPr>
          <w:rFonts w:hint="eastAsia" w:ascii="宋体" w:hAnsi="宋体" w:eastAsia="宋体" w:cs="宋体"/>
          <w:b/>
          <w:szCs w:val="21"/>
        </w:rPr>
        <w:t xml:space="preserve">2.教材包装与物流配送要求 </w:t>
      </w:r>
    </w:p>
    <w:p w14:paraId="18BD7073">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（1）教材包装规范；</w:t>
      </w:r>
    </w:p>
    <w:p w14:paraId="597BCECC">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（2）教材包装要求防潮；教材不得出现包装破损等现象；</w:t>
      </w:r>
    </w:p>
    <w:p w14:paraId="070A0FD5">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（3）中标单位所供教材的外包装上必须按照用书单位的要求填写；</w:t>
      </w:r>
    </w:p>
    <w:p w14:paraId="42637D28">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（4）配送过程中拼包要求条目清楚；</w:t>
      </w:r>
    </w:p>
    <w:p w14:paraId="28E5E661">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（5）物流配送要及时。</w:t>
      </w:r>
    </w:p>
    <w:p w14:paraId="5D193AA5">
      <w:pPr>
        <w:spacing w:line="360" w:lineRule="auto"/>
        <w:ind w:firstLine="420" w:firstLineChars="200"/>
        <w:jc w:val="left"/>
        <w:rPr>
          <w:rFonts w:hint="eastAsia" w:ascii="宋体" w:hAnsi="宋体" w:eastAsia="宋体" w:cs="宋体"/>
          <w:b/>
          <w:szCs w:val="21"/>
        </w:rPr>
      </w:pPr>
      <w:r>
        <w:rPr>
          <w:rFonts w:hint="eastAsia" w:ascii="宋体" w:hAnsi="宋体" w:eastAsia="宋体" w:cs="宋体"/>
          <w:b/>
          <w:szCs w:val="21"/>
        </w:rPr>
        <w:t xml:space="preserve">3.教材到书情况要求 </w:t>
      </w:r>
    </w:p>
    <w:p w14:paraId="58659C77">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（1）送书、退库要按规定的日期送达或退回；</w:t>
      </w:r>
    </w:p>
    <w:p w14:paraId="624C0D9F">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（2）要求课前到书率为 98%。</w:t>
      </w:r>
    </w:p>
    <w:p w14:paraId="3E0A9EDE">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
          <w:szCs w:val="21"/>
        </w:rPr>
        <w:t>4.退换与追订教材的要求</w:t>
      </w:r>
      <w:r>
        <w:rPr>
          <w:rFonts w:hint="eastAsia" w:ascii="宋体" w:hAnsi="宋体" w:eastAsia="宋体" w:cs="宋体"/>
          <w:bCs/>
          <w:szCs w:val="21"/>
        </w:rPr>
        <w:t xml:space="preserve"> </w:t>
      </w:r>
    </w:p>
    <w:p w14:paraId="0D4C3EBC">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（1）在退换与追订教材过程中要准确、及时，提供相关承诺及保证措施；</w:t>
      </w:r>
    </w:p>
    <w:p w14:paraId="2318A601">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（2）在退换与追订出现意外时要及时告知采购人，提供相关承诺及保证措施。</w:t>
      </w:r>
    </w:p>
    <w:p w14:paraId="536620C4">
      <w:pPr>
        <w:spacing w:line="360" w:lineRule="auto"/>
        <w:ind w:firstLine="420" w:firstLineChars="200"/>
        <w:jc w:val="left"/>
        <w:rPr>
          <w:rFonts w:hint="eastAsia" w:ascii="宋体" w:hAnsi="宋体" w:eastAsia="宋体" w:cs="宋体"/>
          <w:b/>
          <w:szCs w:val="21"/>
        </w:rPr>
      </w:pPr>
      <w:r>
        <w:rPr>
          <w:rFonts w:hint="eastAsia" w:ascii="宋体" w:hAnsi="宋体" w:eastAsia="宋体" w:cs="宋体"/>
          <w:b/>
          <w:szCs w:val="21"/>
        </w:rPr>
        <w:t xml:space="preserve">5.发放要求 </w:t>
      </w:r>
    </w:p>
    <w:p w14:paraId="54F6CF9C">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（1）各包段须按照学校要求发放各个学院的教材，并根据学校要求安排相关人员参与</w:t>
      </w:r>
    </w:p>
    <w:p w14:paraId="01F8E455">
      <w:pPr>
        <w:spacing w:line="360" w:lineRule="auto"/>
        <w:jc w:val="left"/>
        <w:rPr>
          <w:rFonts w:hint="eastAsia" w:ascii="宋体" w:hAnsi="宋体" w:eastAsia="宋体" w:cs="宋体"/>
          <w:bCs/>
          <w:szCs w:val="21"/>
        </w:rPr>
      </w:pPr>
      <w:r>
        <w:rPr>
          <w:rFonts w:hint="eastAsia" w:ascii="宋体" w:hAnsi="宋体" w:eastAsia="宋体" w:cs="宋体"/>
          <w:bCs/>
          <w:szCs w:val="21"/>
        </w:rPr>
        <w:t>发放工作。</w:t>
      </w:r>
    </w:p>
    <w:p w14:paraId="1173028E">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（2）中标单位须按照要求在指定地点为学院分发教材，根据已订购学生人数对教材进</w:t>
      </w:r>
    </w:p>
    <w:p w14:paraId="080FFEE2">
      <w:pPr>
        <w:spacing w:line="360" w:lineRule="auto"/>
        <w:jc w:val="left"/>
        <w:rPr>
          <w:rFonts w:hint="eastAsia" w:ascii="宋体" w:hAnsi="宋体" w:eastAsia="宋体" w:cs="宋体"/>
          <w:bCs/>
          <w:szCs w:val="21"/>
        </w:rPr>
      </w:pPr>
      <w:r>
        <w:rPr>
          <w:rFonts w:hint="eastAsia" w:ascii="宋体" w:hAnsi="宋体" w:eastAsia="宋体" w:cs="宋体"/>
          <w:bCs/>
          <w:szCs w:val="21"/>
        </w:rPr>
        <w:t>行分检，并保证按计划、按时、准确无误将教材发放到各个学院，及时处理发放过程中出现的退换书问题。中标单位如在回告或教材发放过程中出现差错，所发生的一切费用由中标单位负担。</w:t>
      </w:r>
    </w:p>
    <w:p w14:paraId="51485945">
      <w:pPr>
        <w:spacing w:line="360" w:lineRule="auto"/>
        <w:ind w:firstLine="420" w:firstLineChars="200"/>
        <w:jc w:val="left"/>
        <w:rPr>
          <w:rFonts w:hint="eastAsia" w:ascii="宋体" w:hAnsi="宋体" w:eastAsia="宋体" w:cs="宋体"/>
          <w:b/>
          <w:szCs w:val="21"/>
        </w:rPr>
      </w:pPr>
      <w:r>
        <w:rPr>
          <w:rFonts w:hint="eastAsia" w:ascii="宋体" w:hAnsi="宋体" w:eastAsia="宋体" w:cs="宋体"/>
          <w:b/>
          <w:szCs w:val="21"/>
        </w:rPr>
        <w:t>三、其他要求</w:t>
      </w:r>
    </w:p>
    <w:p w14:paraId="6E4B6A2C">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供应商需具有完善的教材配供技术和完善的售后服务体系，能够按照指定的时间、地点免费送货、上架，多余的教材能够及时办理退货，具有高校教材征订、储运、调剂、退换及结算能力。本次招标的金额为暂估价，最终结算将按照投标所投报的费率乘以实际采购并发放至学生手中的图书码洋总和计算（其中“两课”教材按照教育部规定执行），除此之外，采购人不承担其他任何费用。采购单位将根据相应年度各专业学生开课种类和学生数量确定各出版教材书目及数量，实际采购数量低于</w:t>
      </w:r>
      <w:r>
        <w:rPr>
          <w:rFonts w:hint="eastAsia" w:ascii="宋体" w:hAnsi="宋体" w:cs="宋体"/>
          <w:bCs/>
          <w:szCs w:val="21"/>
          <w:lang w:val="en-US" w:eastAsia="zh-CN"/>
        </w:rPr>
        <w:t>竞争性磋商</w:t>
      </w:r>
      <w:r>
        <w:rPr>
          <w:rFonts w:hint="eastAsia" w:ascii="宋体" w:hAnsi="宋体" w:eastAsia="宋体" w:cs="宋体"/>
          <w:bCs/>
          <w:szCs w:val="21"/>
        </w:rPr>
        <w:t>文件中的预估数量、结算金额低于预估金额时，供应商保证对此不产生任何异议，确保合同执行。</w:t>
      </w:r>
    </w:p>
    <w:p w14:paraId="76A82F58">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2.供应商必须确保教材供应质量，保证所提供的教材均是国家新闻出版部门认定的正版教材，供货与采购人订单完全一致，坚决杜绝盗版教材。若因所供教材违反《中华人民共和国著作权法》和国家其他有关规定，供应商应全额承担相应民事责任和法律责任。凡出现教材质量问题、盗版教材等，采购人可退换或拒绝付款，同时解除合约，所造成的经济损失由供应商承担。</w:t>
      </w:r>
    </w:p>
    <w:p w14:paraId="582E3C88">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3.供应商自接订单日起，3 天内落实、回告征订情况，新学期开学前按照合同约定将所订教材送到指定地点。临时追订的教材须在2个工作日回告，5个工作日内送达学校，</w:t>
      </w:r>
      <w:r>
        <w:rPr>
          <w:rFonts w:hint="eastAsia" w:ascii="宋体" w:hAnsi="宋体" w:eastAsia="宋体" w:cs="宋体"/>
          <w:bCs/>
          <w:color w:val="000000"/>
          <w:szCs w:val="21"/>
          <w:lang w:bidi="ar"/>
        </w:rPr>
        <w:t xml:space="preserve">特殊情况经采购人同意可以延期。追补订教材的折扣率应与中标费率一致。教材到达时，同时提供纸质教材到货清单和电子版清单。教材包装必须注明教材名称、册数、主编、版 本等。 </w:t>
      </w:r>
    </w:p>
    <w:p w14:paraId="78430813">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lang w:bidi="ar"/>
        </w:rPr>
        <w:t xml:space="preserve">4．供应商必须保证采购人委托采购的教材100%的供书率，开学前到货率应不低于 98%。 能按采购人要求在指定时间内将所订教材送达指定的地点，所产生的任何费用（包括但不限于第三方损害赔偿、对采购人造成人身或财产损失等）由供应商负责，采购人只负责提供教材存放场地；极个别特殊原因造成可能无法及时送达的，供应商应及时反馈，采取一切可能措施解决问题。 </w:t>
      </w:r>
    </w:p>
    <w:p w14:paraId="2C9B5783">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lang w:bidi="ar"/>
        </w:rPr>
        <w:t xml:space="preserve">5.供应商无条件按照采购人要求的时间安排人员进行教材的发放，并确保在规定时间段内发放完毕；集中发放过后，一个半月之内供应商必须保证在工作时间段内有人随时处理有关教材的问题（如教材补发、教材因破损退换等）。 </w:t>
      </w:r>
    </w:p>
    <w:p w14:paraId="454CA9BE">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lang w:bidi="ar"/>
        </w:rPr>
        <w:t xml:space="preserve">6.对采购人所购教材因出版社无书供应、加印或出版时间变更时，供应商应在接到征订单后三日内告知采购人，并说明理由及出版社的出书和供书时间。 </w:t>
      </w:r>
    </w:p>
    <w:p w14:paraId="25208A4C">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lang w:bidi="ar"/>
        </w:rPr>
        <w:t xml:space="preserve">7.对采购人列出的教材订购清单，各项目均统一执行相关投标所投报的费率（其中“两 课”教材按照教育部规定执行）。 </w:t>
      </w:r>
    </w:p>
    <w:p w14:paraId="26821C7F">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lang w:bidi="ar"/>
        </w:rPr>
        <w:t xml:space="preserve">8.对采购人因招生计划变更、报到率、转专业、教学计划调整等原因造成的供应商教材积压，供应商应无条件进行退货或调剂。供应商须保证教材的零库存，若出现教材退货、调剂或因装订、印刷、残损等质量问题，要负责教材的调换、退换，由此发生的一切费用由供应商承担。 </w:t>
      </w:r>
    </w:p>
    <w:p w14:paraId="16C9FA92">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lang w:bidi="ar"/>
        </w:rPr>
        <w:t xml:space="preserve">9.供应商应提供教材运至合同规定地点所需要的妥善包装，这类包装应采取防水、防潮、防震和防止其他损坏的必要保护措施，且能够经受多次搬运、装卸的各种长途运输， 以防止图书在运转过程中损坏或变质。 </w:t>
      </w:r>
    </w:p>
    <w:p w14:paraId="0158DDF8">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lang w:bidi="ar"/>
        </w:rPr>
        <w:t xml:space="preserve">10.结算方式：学生以班级为单位直接与供货商结算。 </w:t>
      </w:r>
    </w:p>
    <w:p w14:paraId="59DB4A4A">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lang w:bidi="ar"/>
        </w:rPr>
        <w:t xml:space="preserve">11.为了更好使采购方了解教材出版情况，供应社须（无偿提供）定期（4 月、10 月）向采购方提供由新华书店总店组编的《全国大中专教材用书汇编》及光盘。 </w:t>
      </w:r>
    </w:p>
    <w:p w14:paraId="022523F4">
      <w:pPr>
        <w:widowControl/>
        <w:spacing w:line="360" w:lineRule="auto"/>
        <w:ind w:firstLine="420" w:firstLineChars="200"/>
        <w:jc w:val="left"/>
        <w:rPr>
          <w:rFonts w:hint="eastAsia" w:ascii="宋体" w:hAnsi="宋体" w:eastAsia="宋体" w:cs="宋体"/>
          <w:bCs/>
          <w:szCs w:val="21"/>
        </w:rPr>
      </w:pPr>
      <w:r>
        <w:rPr>
          <w:rFonts w:hint="eastAsia" w:ascii="宋体" w:hAnsi="宋体" w:eastAsia="宋体" w:cs="宋体"/>
          <w:bCs/>
          <w:color w:val="000000"/>
          <w:szCs w:val="21"/>
          <w:lang w:bidi="ar"/>
        </w:rPr>
        <w:t>12.所有图书在发放至学生和教师手中之前一律为供应商所有财产，采购人不对教材承 担保管责任，所有可能出现的损失由供应商自行承担。采购人无偿借用供应商的存放场地</w:t>
      </w:r>
      <w:r>
        <w:rPr>
          <w:rFonts w:hint="eastAsia" w:ascii="宋体" w:hAnsi="宋体" w:eastAsia="宋体" w:cs="宋体"/>
          <w:bCs/>
          <w:szCs w:val="21"/>
        </w:rPr>
        <w:t>中，原本归采购人所有的财产，供应商应妥善使用，出现损坏和灭失由供应商负责。</w:t>
      </w:r>
    </w:p>
    <w:p w14:paraId="4BFB47CD">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13.供应商在合同执行过程中，如果不能执行合同规定的供书要求，未与采购人协商一致而擅自中断合同执行，采购人为保证教学而采取的一切可能手段进行的教材采购活动，相关费用由供应商负责（包括但不限于交通费、住宿差旅、运输、折扣差额等相关费用），采购人保留追究供应商一切法律责任的权利。</w:t>
      </w:r>
    </w:p>
    <w:p w14:paraId="113A3D24">
      <w:pPr>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14.根据学校的实际情况，每学期集中发放时间约为 2 天（根据学校当时校历安排执行），供应商必须确保至少每次集中发放时间有 3 人及 3 人以上实施教材发放，确保在规定日期的工作时间全部发放完毕，集中发放结束之后至少 45 天内在工作日确保有一人随时专门处理教材后续问题（包括但不限于追订、发放、退换等相关工作），保障学校教材发放和退换工作正常。</w:t>
      </w:r>
    </w:p>
    <w:p w14:paraId="55167505">
      <w:pPr>
        <w:spacing w:line="360" w:lineRule="auto"/>
        <w:ind w:firstLine="420" w:firstLineChars="200"/>
        <w:jc w:val="left"/>
        <w:rPr>
          <w:rFonts w:cs="宋体"/>
          <w:color w:val="auto"/>
          <w:sz w:val="32"/>
          <w:szCs w:val="20"/>
          <w:highlight w:val="none"/>
        </w:rPr>
      </w:pPr>
      <w:r>
        <w:rPr>
          <w:rFonts w:hint="eastAsia" w:ascii="宋体" w:hAnsi="宋体" w:eastAsia="宋体" w:cs="宋体"/>
          <w:bCs/>
          <w:szCs w:val="21"/>
        </w:rPr>
        <w:t>15.凡参与投标者，视为承诺以上条款全部无条件接受，相关条款将作为合同要求。</w:t>
      </w:r>
      <w:r>
        <w:rPr>
          <w:rFonts w:cs="宋体"/>
          <w:color w:val="auto"/>
          <w:sz w:val="32"/>
          <w:szCs w:val="20"/>
          <w:highlight w:val="none"/>
        </w:rPr>
        <w:br w:type="page"/>
      </w:r>
    </w:p>
    <w:p w14:paraId="504E785D">
      <w:pPr>
        <w:pStyle w:val="2"/>
        <w:tabs>
          <w:tab w:val="left" w:pos="420"/>
        </w:tabs>
        <w:jc w:val="center"/>
        <w:rPr>
          <w:rFonts w:cs="宋体"/>
          <w:color w:val="auto"/>
          <w:sz w:val="30"/>
          <w:szCs w:val="30"/>
          <w:highlight w:val="none"/>
        </w:rPr>
      </w:pPr>
      <w:r>
        <w:rPr>
          <w:rFonts w:cs="宋体"/>
          <w:color w:val="auto"/>
          <w:sz w:val="32"/>
          <w:szCs w:val="20"/>
          <w:highlight w:val="none"/>
        </w:rPr>
        <w:t>第六章 磋商内容、磋商过程中可能实质性变动的内容</w:t>
      </w:r>
      <w:bookmarkEnd w:id="229"/>
      <w:bookmarkEnd w:id="230"/>
      <w:bookmarkEnd w:id="231"/>
      <w:bookmarkEnd w:id="232"/>
      <w:bookmarkEnd w:id="233"/>
      <w:bookmarkEnd w:id="234"/>
      <w:bookmarkEnd w:id="235"/>
      <w:bookmarkEnd w:id="236"/>
      <w:bookmarkEnd w:id="237"/>
      <w:bookmarkEnd w:id="238"/>
      <w:bookmarkEnd w:id="239"/>
      <w:bookmarkEnd w:id="240"/>
      <w:bookmarkEnd w:id="241"/>
    </w:p>
    <w:p w14:paraId="32F838A2">
      <w:pPr>
        <w:tabs>
          <w:tab w:val="left" w:pos="420"/>
        </w:tabs>
        <w:rPr>
          <w:rFonts w:hint="eastAsia" w:ascii="宋体" w:hAnsi="宋体" w:cs="宋体"/>
          <w:bCs/>
          <w:color w:val="auto"/>
          <w:kern w:val="0"/>
          <w:szCs w:val="21"/>
          <w:highlight w:val="none"/>
        </w:rPr>
      </w:pPr>
    </w:p>
    <w:p w14:paraId="7634E890">
      <w:pPr>
        <w:widowControl/>
        <w:tabs>
          <w:tab w:val="left" w:pos="420"/>
        </w:tabs>
        <w:snapToGrid w:val="0"/>
        <w:spacing w:line="5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一、在磋商过程中，磋商小组可以根据磋商文件和磋商情况实质性变动采购需求中的技术、服务要求以及合同草案条款，但不得变动磋商文件中的其他内容。实质性变动的内容，须经采购人代表确认。</w:t>
      </w:r>
    </w:p>
    <w:p w14:paraId="659F9BAF">
      <w:pPr>
        <w:widowControl/>
        <w:tabs>
          <w:tab w:val="left" w:pos="420"/>
        </w:tabs>
        <w:snapToGrid w:val="0"/>
        <w:spacing w:line="5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二、对磋商文件作出的实质性变动是磋商文件的有效组成部分，磋商小组应当及时以书面形式同时通知所有参加磋商的供应商。</w:t>
      </w:r>
    </w:p>
    <w:p w14:paraId="47091013">
      <w:pPr>
        <w:widowControl/>
        <w:tabs>
          <w:tab w:val="left" w:pos="420"/>
        </w:tabs>
        <w:snapToGrid w:val="0"/>
        <w:spacing w:line="500" w:lineRule="exact"/>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三、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r>
        <w:rPr>
          <w:rFonts w:hint="eastAsia" w:ascii="宋体" w:hAnsi="宋体" w:cs="宋体"/>
          <w:color w:val="auto"/>
          <w:highlight w:val="none"/>
        </w:rPr>
        <w:br w:type="page"/>
      </w:r>
    </w:p>
    <w:p w14:paraId="559EAAAB">
      <w:pPr>
        <w:rPr>
          <w:rFonts w:hint="eastAsia" w:ascii="宋体" w:hAnsi="宋体" w:cs="宋体"/>
          <w:color w:val="auto"/>
          <w:highlight w:val="none"/>
        </w:rPr>
      </w:pPr>
      <w:bookmarkStart w:id="242" w:name="_Toc450239089"/>
      <w:bookmarkStart w:id="243" w:name="_Toc414277231"/>
    </w:p>
    <w:p w14:paraId="7D02264A">
      <w:pPr>
        <w:rPr>
          <w:rFonts w:hint="eastAsia" w:ascii="宋体" w:hAnsi="宋体" w:cs="宋体"/>
          <w:color w:val="auto"/>
          <w:highlight w:val="none"/>
        </w:rPr>
      </w:pPr>
    </w:p>
    <w:p w14:paraId="39B5EC9D">
      <w:pPr>
        <w:rPr>
          <w:rFonts w:hint="eastAsia" w:ascii="宋体" w:hAnsi="宋体" w:cs="宋体"/>
          <w:color w:val="auto"/>
          <w:highlight w:val="none"/>
        </w:rPr>
      </w:pPr>
    </w:p>
    <w:p w14:paraId="3E924FA4">
      <w:pPr>
        <w:rPr>
          <w:rFonts w:hint="eastAsia" w:ascii="宋体" w:hAnsi="宋体" w:cs="宋体"/>
          <w:color w:val="auto"/>
          <w:highlight w:val="none"/>
        </w:rPr>
      </w:pPr>
    </w:p>
    <w:p w14:paraId="400F78BA">
      <w:pPr>
        <w:pStyle w:val="16"/>
        <w:ind w:firstLine="210"/>
        <w:rPr>
          <w:rFonts w:hint="eastAsia" w:ascii="宋体" w:hAnsi="宋体" w:cs="宋体"/>
          <w:color w:val="auto"/>
          <w:highlight w:val="none"/>
        </w:rPr>
      </w:pPr>
    </w:p>
    <w:p w14:paraId="01AF8111">
      <w:pPr>
        <w:pStyle w:val="17"/>
        <w:rPr>
          <w:rFonts w:hint="eastAsia" w:ascii="宋体" w:hAnsi="宋体" w:cs="宋体"/>
          <w:color w:val="auto"/>
          <w:highlight w:val="none"/>
        </w:rPr>
      </w:pPr>
    </w:p>
    <w:p w14:paraId="381E29E6">
      <w:pPr>
        <w:rPr>
          <w:rFonts w:hint="eastAsia" w:ascii="宋体" w:hAnsi="宋体" w:cs="宋体"/>
          <w:color w:val="auto"/>
          <w:highlight w:val="none"/>
        </w:rPr>
      </w:pPr>
    </w:p>
    <w:p w14:paraId="0AAE1B26">
      <w:pPr>
        <w:pStyle w:val="16"/>
        <w:ind w:firstLine="210"/>
        <w:rPr>
          <w:rFonts w:hint="eastAsia" w:ascii="宋体" w:hAnsi="宋体" w:cs="宋体"/>
          <w:color w:val="auto"/>
          <w:highlight w:val="none"/>
        </w:rPr>
      </w:pPr>
    </w:p>
    <w:p w14:paraId="5B217853">
      <w:pPr>
        <w:pStyle w:val="17"/>
        <w:rPr>
          <w:rFonts w:hint="eastAsia" w:ascii="宋体" w:hAnsi="宋体" w:cs="宋体"/>
          <w:color w:val="auto"/>
          <w:highlight w:val="none"/>
        </w:rPr>
      </w:pPr>
    </w:p>
    <w:p w14:paraId="5D74826A">
      <w:pPr>
        <w:rPr>
          <w:rFonts w:hint="eastAsia"/>
          <w:color w:val="auto"/>
          <w:highlight w:val="none"/>
        </w:rPr>
      </w:pPr>
    </w:p>
    <w:p w14:paraId="3430A5B9">
      <w:pPr>
        <w:rPr>
          <w:rFonts w:hint="eastAsia" w:ascii="宋体" w:hAnsi="宋体" w:cs="宋体"/>
          <w:color w:val="auto"/>
          <w:highlight w:val="none"/>
        </w:rPr>
      </w:pPr>
    </w:p>
    <w:p w14:paraId="1A72C601">
      <w:pPr>
        <w:pStyle w:val="2"/>
        <w:jc w:val="center"/>
        <w:rPr>
          <w:rFonts w:hint="eastAsia" w:ascii="宋体" w:hAnsi="宋体" w:cs="宋体"/>
          <w:color w:val="auto"/>
          <w:szCs w:val="21"/>
          <w:highlight w:val="none"/>
        </w:rPr>
      </w:pPr>
      <w:bookmarkStart w:id="244" w:name="_Toc18014"/>
      <w:bookmarkStart w:id="245" w:name="_Toc19799"/>
      <w:bookmarkStart w:id="246" w:name="_Toc13911"/>
      <w:bookmarkStart w:id="247" w:name="_Toc14895"/>
      <w:bookmarkStart w:id="248" w:name="_Toc30743"/>
      <w:bookmarkStart w:id="249" w:name="_Toc17992"/>
      <w:bookmarkStart w:id="250" w:name="_Toc11266"/>
      <w:bookmarkStart w:id="251" w:name="_Toc26571"/>
      <w:bookmarkStart w:id="252" w:name="_Toc24357"/>
      <w:r>
        <w:rPr>
          <w:rFonts w:hint="default" w:ascii="Calibri" w:hAnsi="Calibri" w:cs="Times New Roman"/>
          <w:b/>
          <w:bCs/>
          <w:color w:val="auto"/>
          <w:kern w:val="2"/>
          <w:sz w:val="32"/>
          <w:szCs w:val="24"/>
          <w:highlight w:val="none"/>
        </w:rPr>
        <w:t>第七章 响应文件格式</w:t>
      </w:r>
      <w:bookmarkEnd w:id="242"/>
      <w:bookmarkEnd w:id="243"/>
      <w:bookmarkEnd w:id="244"/>
      <w:bookmarkStart w:id="253" w:name="_Toc17003"/>
      <w:bookmarkStart w:id="254" w:name="_Toc13072"/>
      <w:bookmarkStart w:id="255" w:name="_Toc9096"/>
      <w:bookmarkStart w:id="256" w:name="_Toc11524"/>
      <w:bookmarkStart w:id="257" w:name="_Toc18988"/>
      <w:bookmarkStart w:id="258" w:name="_Toc17708"/>
      <w:r>
        <w:rPr>
          <w:rFonts w:hint="eastAsia" w:ascii="宋体" w:hAnsi="宋体" w:cs="宋体"/>
          <w:b w:val="0"/>
          <w:color w:val="auto"/>
          <w:szCs w:val="32"/>
          <w:highlight w:val="none"/>
        </w:rPr>
        <w:br w:type="page"/>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53FB6AB3">
      <w:pPr>
        <w:spacing w:line="360" w:lineRule="exact"/>
        <w:jc w:val="right"/>
        <w:rPr>
          <w:rFonts w:hint="eastAsia" w:ascii="宋体" w:hAnsi="宋体" w:cs="宋体"/>
          <w:color w:val="auto"/>
          <w:szCs w:val="21"/>
          <w:highlight w:val="none"/>
        </w:rPr>
      </w:pPr>
    </w:p>
    <w:p w14:paraId="1C3FF4CC">
      <w:pPr>
        <w:snapToGrid w:val="0"/>
        <w:spacing w:line="360" w:lineRule="auto"/>
        <w:jc w:val="center"/>
        <w:rPr>
          <w:rFonts w:hint="default" w:ascii="宋体" w:hAnsi="宋体" w:eastAsia="宋体" w:cs="宋体"/>
          <w:b/>
          <w:bCs/>
          <w:color w:val="auto"/>
          <w:sz w:val="48"/>
          <w:szCs w:val="56"/>
          <w:highlight w:val="none"/>
          <w:lang w:val="en-US" w:eastAsia="zh-CN"/>
        </w:rPr>
      </w:pPr>
      <w:r>
        <w:rPr>
          <w:rFonts w:hint="eastAsia" w:ascii="宋体" w:hAnsi="宋体" w:cs="宋体"/>
          <w:b/>
          <w:bCs/>
          <w:color w:val="auto"/>
          <w:sz w:val="44"/>
          <w:szCs w:val="52"/>
          <w:highlight w:val="none"/>
          <w:lang w:eastAsia="zh-CN"/>
        </w:rPr>
        <w:t>信阳师范大学2026-2027学年普通高等教育学生教材项目</w:t>
      </w:r>
      <w:r>
        <w:rPr>
          <w:rFonts w:hint="eastAsia" w:ascii="宋体" w:hAnsi="宋体" w:cs="宋体"/>
          <w:b/>
          <w:bCs/>
          <w:color w:val="auto"/>
          <w:sz w:val="44"/>
          <w:szCs w:val="52"/>
          <w:highlight w:val="none"/>
          <w:lang w:val="en-US" w:eastAsia="zh-CN"/>
        </w:rPr>
        <w:t>包</w:t>
      </w:r>
      <w:r>
        <w:rPr>
          <w:rFonts w:hint="eastAsia" w:ascii="宋体" w:hAnsi="宋体" w:cs="宋体"/>
          <w:b/>
          <w:bCs/>
          <w:color w:val="auto"/>
          <w:sz w:val="44"/>
          <w:szCs w:val="52"/>
          <w:highlight w:val="none"/>
          <w:u w:val="single"/>
          <w:lang w:val="en-US" w:eastAsia="zh-CN"/>
        </w:rPr>
        <w:t xml:space="preserve">      </w:t>
      </w:r>
      <w:r>
        <w:rPr>
          <w:rFonts w:hint="eastAsia" w:ascii="宋体" w:hAnsi="宋体" w:cs="宋体"/>
          <w:b/>
          <w:bCs/>
          <w:color w:val="auto"/>
          <w:sz w:val="44"/>
          <w:szCs w:val="52"/>
          <w:highlight w:val="none"/>
          <w:lang w:val="en-US" w:eastAsia="zh-CN"/>
        </w:rPr>
        <w:t xml:space="preserve"> </w:t>
      </w:r>
    </w:p>
    <w:p w14:paraId="272F4AA6">
      <w:pPr>
        <w:pStyle w:val="7"/>
        <w:rPr>
          <w:rFonts w:hint="eastAsia" w:ascii="宋体" w:hAnsi="宋体" w:cs="宋体"/>
          <w:color w:val="auto"/>
          <w:highlight w:val="none"/>
        </w:rPr>
      </w:pPr>
    </w:p>
    <w:p w14:paraId="4A45AAD1">
      <w:pPr>
        <w:spacing w:line="480" w:lineRule="exact"/>
        <w:rPr>
          <w:rFonts w:hint="eastAsia" w:ascii="宋体" w:hAnsi="宋体" w:cs="宋体"/>
          <w:b/>
          <w:color w:val="auto"/>
          <w:sz w:val="44"/>
          <w:szCs w:val="44"/>
          <w:highlight w:val="none"/>
        </w:rPr>
      </w:pPr>
    </w:p>
    <w:p w14:paraId="0733F3D9">
      <w:pPr>
        <w:pStyle w:val="35"/>
        <w:rPr>
          <w:rFonts w:hint="eastAsia" w:hAnsi="宋体" w:cs="宋体"/>
          <w:b/>
          <w:color w:val="auto"/>
          <w:sz w:val="44"/>
          <w:szCs w:val="44"/>
          <w:highlight w:val="none"/>
        </w:rPr>
      </w:pPr>
    </w:p>
    <w:p w14:paraId="25F17F38">
      <w:pPr>
        <w:pStyle w:val="35"/>
        <w:rPr>
          <w:rFonts w:hint="eastAsia" w:hAnsi="宋体" w:cs="宋体"/>
          <w:b/>
          <w:color w:val="auto"/>
          <w:sz w:val="44"/>
          <w:szCs w:val="44"/>
          <w:highlight w:val="none"/>
        </w:rPr>
      </w:pPr>
    </w:p>
    <w:p w14:paraId="38606895">
      <w:pPr>
        <w:tabs>
          <w:tab w:val="left" w:pos="420"/>
        </w:tabs>
        <w:jc w:val="center"/>
        <w:rPr>
          <w:rFonts w:hint="eastAsia" w:ascii="宋体" w:hAnsi="宋体" w:cs="宋体"/>
          <w:b/>
          <w:bCs/>
          <w:color w:val="auto"/>
          <w:sz w:val="72"/>
          <w:szCs w:val="21"/>
          <w:highlight w:val="none"/>
        </w:rPr>
      </w:pPr>
      <w:r>
        <w:rPr>
          <w:rFonts w:hint="eastAsia" w:ascii="宋体" w:hAnsi="宋体" w:cs="宋体"/>
          <w:b/>
          <w:bCs/>
          <w:color w:val="auto"/>
          <w:sz w:val="72"/>
          <w:szCs w:val="21"/>
          <w:highlight w:val="none"/>
        </w:rPr>
        <w:t>竞争性磋商响应文件</w:t>
      </w:r>
    </w:p>
    <w:p w14:paraId="49E7D655">
      <w:pPr>
        <w:rPr>
          <w:rFonts w:hint="eastAsia"/>
          <w:color w:val="auto"/>
        </w:rPr>
      </w:pPr>
    </w:p>
    <w:p w14:paraId="4EBC685B">
      <w:pPr>
        <w:spacing w:line="560" w:lineRule="exact"/>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lang w:eastAsia="zh-CN"/>
        </w:rPr>
        <w:t>：豫财磋商采购-2026-757</w:t>
      </w:r>
    </w:p>
    <w:p w14:paraId="493AF2BC">
      <w:pPr>
        <w:spacing w:line="480" w:lineRule="exact"/>
        <w:jc w:val="center"/>
        <w:rPr>
          <w:rFonts w:hint="eastAsia" w:ascii="宋体" w:hAnsi="宋体" w:cs="宋体"/>
          <w:b/>
          <w:color w:val="auto"/>
          <w:sz w:val="44"/>
          <w:szCs w:val="44"/>
          <w:highlight w:val="none"/>
        </w:rPr>
      </w:pPr>
    </w:p>
    <w:p w14:paraId="18368105">
      <w:pPr>
        <w:spacing w:line="48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36B7282">
      <w:pPr>
        <w:spacing w:line="480" w:lineRule="exact"/>
        <w:rPr>
          <w:rFonts w:hint="eastAsia" w:ascii="宋体" w:hAnsi="宋体" w:cs="宋体"/>
          <w:color w:val="auto"/>
          <w:szCs w:val="21"/>
          <w:highlight w:val="none"/>
        </w:rPr>
      </w:pPr>
    </w:p>
    <w:p w14:paraId="40DF6C59">
      <w:pPr>
        <w:spacing w:line="480" w:lineRule="exact"/>
        <w:rPr>
          <w:rFonts w:hint="eastAsia" w:ascii="宋体" w:hAnsi="宋体" w:cs="宋体"/>
          <w:color w:val="auto"/>
          <w:szCs w:val="21"/>
          <w:highlight w:val="none"/>
        </w:rPr>
      </w:pPr>
    </w:p>
    <w:p w14:paraId="62FC7669">
      <w:pPr>
        <w:spacing w:line="360" w:lineRule="exact"/>
        <w:rPr>
          <w:rFonts w:hint="eastAsia" w:ascii="宋体" w:hAnsi="宋体" w:cs="宋体"/>
          <w:color w:val="auto"/>
          <w:szCs w:val="21"/>
          <w:highlight w:val="none"/>
        </w:rPr>
      </w:pPr>
    </w:p>
    <w:p w14:paraId="032C500F">
      <w:pPr>
        <w:spacing w:line="360" w:lineRule="exact"/>
        <w:rPr>
          <w:rFonts w:hint="eastAsia" w:ascii="宋体" w:hAnsi="宋体" w:cs="宋体"/>
          <w:color w:val="auto"/>
          <w:szCs w:val="21"/>
          <w:highlight w:val="none"/>
        </w:rPr>
      </w:pPr>
    </w:p>
    <w:p w14:paraId="71888D08">
      <w:pPr>
        <w:pStyle w:val="35"/>
        <w:rPr>
          <w:rFonts w:hint="eastAsia" w:hAnsi="宋体" w:cs="宋体"/>
          <w:color w:val="auto"/>
          <w:szCs w:val="21"/>
          <w:highlight w:val="none"/>
        </w:rPr>
      </w:pPr>
    </w:p>
    <w:p w14:paraId="4B24023B">
      <w:pPr>
        <w:pStyle w:val="35"/>
        <w:rPr>
          <w:rFonts w:hint="eastAsia" w:hAnsi="宋体" w:cs="宋体"/>
          <w:color w:val="auto"/>
          <w:highlight w:val="none"/>
        </w:rPr>
      </w:pPr>
    </w:p>
    <w:p w14:paraId="4CFC11B7">
      <w:pPr>
        <w:spacing w:line="360" w:lineRule="exact"/>
        <w:rPr>
          <w:rFonts w:hint="eastAsia" w:ascii="宋体" w:hAnsi="宋体" w:cs="宋体"/>
          <w:color w:val="auto"/>
          <w:szCs w:val="21"/>
          <w:highlight w:val="none"/>
        </w:rPr>
      </w:pPr>
    </w:p>
    <w:p w14:paraId="23F5264A">
      <w:pPr>
        <w:spacing w:line="440" w:lineRule="exact"/>
        <w:ind w:firstLine="1680" w:firstLineChars="700"/>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0B0034ED">
      <w:pPr>
        <w:spacing w:line="440" w:lineRule="exact"/>
        <w:ind w:firstLine="1680" w:firstLineChars="700"/>
        <w:rPr>
          <w:rFonts w:hint="eastAsia" w:ascii="宋体" w:hAnsi="宋体" w:cs="宋体"/>
          <w:color w:val="auto"/>
          <w:sz w:val="24"/>
          <w:highlight w:val="none"/>
        </w:rPr>
      </w:pPr>
      <w:r>
        <w:rPr>
          <w:rFonts w:hint="eastAsia" w:ascii="宋体" w:hAnsi="宋体" w:cs="宋体"/>
          <w:color w:val="auto"/>
          <w:sz w:val="24"/>
          <w:highlight w:val="none"/>
        </w:rPr>
        <w:t>法定代表人或其委托代理人：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4AD5DB95">
      <w:pPr>
        <w:spacing w:line="440" w:lineRule="exact"/>
        <w:ind w:firstLine="1680" w:firstLineChars="70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E01BEEE">
      <w:pPr>
        <w:spacing w:line="560" w:lineRule="exact"/>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bookmarkStart w:id="259" w:name="_Toc9642"/>
      <w:bookmarkStart w:id="260" w:name="_Toc10533"/>
      <w:bookmarkStart w:id="261" w:name="_Toc719"/>
      <w:bookmarkStart w:id="262" w:name="_Toc24547"/>
      <w:bookmarkStart w:id="263" w:name="_Toc20743"/>
      <w:bookmarkStart w:id="264" w:name="_Toc11869"/>
      <w:bookmarkStart w:id="265" w:name="_Toc11722"/>
      <w:bookmarkStart w:id="266" w:name="_Toc28648"/>
      <w:bookmarkStart w:id="267" w:name="_Toc20527"/>
      <w:bookmarkStart w:id="268" w:name="_Toc22594"/>
      <w:bookmarkStart w:id="269" w:name="_Toc32533"/>
      <w:bookmarkStart w:id="270" w:name="_Toc11748"/>
      <w:bookmarkStart w:id="271" w:name="_Toc1568"/>
      <w:bookmarkStart w:id="272" w:name="_Toc7028"/>
      <w:r>
        <w:rPr>
          <w:rFonts w:hint="eastAsia" w:ascii="宋体" w:hAnsi="宋体" w:cs="宋体"/>
          <w:b/>
          <w:color w:val="auto"/>
          <w:sz w:val="32"/>
          <w:szCs w:val="32"/>
          <w:highlight w:val="none"/>
        </w:rPr>
        <w:t>目录</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521B2AA5">
      <w:pPr>
        <w:tabs>
          <w:tab w:val="left" w:pos="420"/>
        </w:tabs>
        <w:spacing w:line="460" w:lineRule="exact"/>
        <w:ind w:left="420"/>
        <w:rPr>
          <w:rFonts w:hint="eastAsia" w:ascii="宋体" w:hAnsi="宋体" w:cs="宋体"/>
          <w:color w:val="auto"/>
          <w:szCs w:val="21"/>
          <w:highlight w:val="none"/>
        </w:rPr>
      </w:pPr>
    </w:p>
    <w:p w14:paraId="7870B8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一、法定代表人身份证明及授权委托书</w:t>
      </w:r>
    </w:p>
    <w:p w14:paraId="7D9C6D2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二、磋商函</w:t>
      </w:r>
    </w:p>
    <w:p w14:paraId="4D2CCA2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三、竞争性磋商报价表</w:t>
      </w:r>
    </w:p>
    <w:p w14:paraId="313B630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四、资格证明文件</w:t>
      </w:r>
    </w:p>
    <w:p w14:paraId="1743AA0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五、技术部分文件</w:t>
      </w:r>
    </w:p>
    <w:p w14:paraId="17E2333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六、</w:t>
      </w:r>
      <w:r>
        <w:rPr>
          <w:rFonts w:hint="eastAsia" w:ascii="宋体" w:hAnsi="宋体" w:cs="宋体"/>
          <w:b w:val="0"/>
          <w:bCs w:val="0"/>
          <w:color w:val="auto"/>
          <w:sz w:val="24"/>
          <w:szCs w:val="24"/>
          <w:lang w:val="en-US" w:eastAsia="zh-CN"/>
        </w:rPr>
        <w:t>综合</w:t>
      </w:r>
      <w:r>
        <w:rPr>
          <w:rFonts w:hint="eastAsia" w:ascii="宋体" w:hAnsi="宋体" w:eastAsia="宋体" w:cs="宋体"/>
          <w:b w:val="0"/>
          <w:bCs w:val="0"/>
          <w:color w:val="auto"/>
          <w:sz w:val="24"/>
          <w:szCs w:val="24"/>
          <w:lang w:val="en-US" w:eastAsia="zh-CN"/>
        </w:rPr>
        <w:t>部分文件</w:t>
      </w:r>
    </w:p>
    <w:p w14:paraId="04F0784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七、反商业贿赂承诺书</w:t>
      </w:r>
    </w:p>
    <w:p w14:paraId="7B77203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八、投标承诺函</w:t>
      </w:r>
    </w:p>
    <w:p w14:paraId="67E96C6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九、其他材料</w:t>
      </w:r>
    </w:p>
    <w:p w14:paraId="4976AFA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十、中小微企业、残疾人福利企业、监狱企业</w:t>
      </w:r>
    </w:p>
    <w:p w14:paraId="6D07A083">
      <w:pPr>
        <w:tabs>
          <w:tab w:val="left" w:pos="420"/>
        </w:tabs>
        <w:spacing w:line="460" w:lineRule="exact"/>
        <w:ind w:left="420"/>
        <w:rPr>
          <w:rFonts w:hint="eastAsia" w:ascii="宋体" w:hAnsi="宋体" w:cs="宋体"/>
          <w:color w:val="auto"/>
          <w:highlight w:val="none"/>
        </w:rPr>
      </w:pPr>
    </w:p>
    <w:p w14:paraId="7A0EAAF2">
      <w:pPr>
        <w:tabs>
          <w:tab w:val="left" w:pos="420"/>
        </w:tabs>
        <w:spacing w:line="560" w:lineRule="exact"/>
        <w:jc w:val="center"/>
        <w:outlineLvl w:val="1"/>
        <w:rPr>
          <w:rFonts w:hint="eastAsia" w:ascii="宋体" w:hAnsi="宋体" w:cs="宋体"/>
          <w:b/>
          <w:color w:val="auto"/>
          <w:kern w:val="0"/>
          <w:sz w:val="30"/>
          <w:szCs w:val="30"/>
          <w:highlight w:val="none"/>
        </w:rPr>
      </w:pPr>
      <w:r>
        <w:rPr>
          <w:rFonts w:hint="eastAsia" w:ascii="宋体" w:hAnsi="宋体" w:cs="宋体"/>
          <w:b/>
          <w:color w:val="auto"/>
          <w:sz w:val="32"/>
          <w:szCs w:val="32"/>
          <w:highlight w:val="none"/>
        </w:rPr>
        <w:br w:type="page"/>
      </w:r>
      <w:bookmarkStart w:id="273" w:name="_Toc21344"/>
      <w:bookmarkStart w:id="274" w:name="_Toc11549"/>
      <w:bookmarkStart w:id="275" w:name="_Toc807"/>
      <w:bookmarkStart w:id="276" w:name="_Toc22188"/>
      <w:bookmarkStart w:id="277" w:name="_Toc11027"/>
      <w:bookmarkStart w:id="278" w:name="_Toc8297"/>
      <w:bookmarkStart w:id="279" w:name="_Toc5721"/>
      <w:bookmarkStart w:id="280" w:name="_Toc6996"/>
      <w:bookmarkStart w:id="281" w:name="_Toc22134"/>
      <w:bookmarkStart w:id="282" w:name="_Toc2301"/>
      <w:bookmarkStart w:id="283" w:name="_Toc27909"/>
      <w:bookmarkStart w:id="284" w:name="_Toc29594"/>
      <w:bookmarkStart w:id="285" w:name="_Toc26980"/>
      <w:bookmarkStart w:id="286" w:name="_Toc30283"/>
      <w:bookmarkStart w:id="287" w:name="_Toc5101"/>
      <w:bookmarkStart w:id="288" w:name="_Toc14657"/>
      <w:bookmarkStart w:id="289" w:name="_Toc32118"/>
      <w:r>
        <w:rPr>
          <w:rFonts w:hint="eastAsia" w:ascii="宋体" w:hAnsi="宋体" w:cs="宋体"/>
          <w:b/>
          <w:color w:val="auto"/>
          <w:kern w:val="0"/>
          <w:sz w:val="30"/>
          <w:szCs w:val="30"/>
          <w:highlight w:val="none"/>
        </w:rPr>
        <w:t>一、法定代表人身份证明及授权委托书</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0ABB5BBD">
      <w:pPr>
        <w:tabs>
          <w:tab w:val="left" w:pos="420"/>
        </w:tabs>
        <w:spacing w:line="560" w:lineRule="exact"/>
        <w:jc w:val="center"/>
        <w:outlineLvl w:val="2"/>
        <w:rPr>
          <w:rFonts w:hint="eastAsia" w:ascii="宋体" w:hAnsi="宋体" w:cs="宋体"/>
          <w:b/>
          <w:color w:val="auto"/>
          <w:kern w:val="0"/>
          <w:sz w:val="24"/>
          <w:highlight w:val="none"/>
        </w:rPr>
      </w:pPr>
      <w:bookmarkStart w:id="290" w:name="_Toc18848"/>
      <w:bookmarkStart w:id="291" w:name="_Toc967"/>
      <w:bookmarkStart w:id="292" w:name="_Toc9208"/>
      <w:bookmarkStart w:id="293" w:name="_Toc6963"/>
      <w:bookmarkStart w:id="294" w:name="_Toc16348"/>
      <w:bookmarkStart w:id="295" w:name="_Toc23857"/>
      <w:bookmarkStart w:id="296" w:name="_Toc18540"/>
      <w:bookmarkStart w:id="297" w:name="_Toc24025"/>
      <w:bookmarkStart w:id="298" w:name="_Toc18593"/>
      <w:bookmarkStart w:id="299" w:name="_Toc8464"/>
      <w:bookmarkStart w:id="300" w:name="_Toc13643"/>
      <w:bookmarkStart w:id="301" w:name="_Toc2792"/>
      <w:bookmarkStart w:id="302" w:name="_Toc23832"/>
      <w:bookmarkStart w:id="303" w:name="_Toc25276"/>
      <w:bookmarkStart w:id="304" w:name="_Toc31805"/>
      <w:bookmarkStart w:id="305" w:name="_Toc13558"/>
      <w:bookmarkStart w:id="306" w:name="_Toc31354"/>
      <w:bookmarkStart w:id="307" w:name="_Toc2001"/>
      <w:r>
        <w:rPr>
          <w:rFonts w:hint="eastAsia" w:ascii="宋体" w:hAnsi="宋体" w:cs="宋体"/>
          <w:b/>
          <w:color w:val="auto"/>
          <w:kern w:val="0"/>
          <w:sz w:val="24"/>
          <w:highlight w:val="none"/>
        </w:rPr>
        <w:t>1.1法定代表人身份证明</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04B4C726">
      <w:pPr>
        <w:tabs>
          <w:tab w:val="left" w:pos="420"/>
        </w:tabs>
        <w:topLinePunct/>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06325F36">
      <w:pPr>
        <w:tabs>
          <w:tab w:val="left" w:pos="420"/>
        </w:tabs>
        <w:topLinePunct/>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44635F57">
      <w:pPr>
        <w:tabs>
          <w:tab w:val="left" w:pos="420"/>
        </w:tabs>
        <w:topLinePunct/>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系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（供应商名称）的法定代表人。 </w:t>
      </w:r>
    </w:p>
    <w:p w14:paraId="4624F661">
      <w:pPr>
        <w:tabs>
          <w:tab w:val="left" w:pos="420"/>
        </w:tabs>
        <w:topLinePunct/>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特此证明。 </w:t>
      </w:r>
    </w:p>
    <w:p w14:paraId="4A966F19">
      <w:pPr>
        <w:tabs>
          <w:tab w:val="left" w:pos="420"/>
        </w:tabs>
        <w:topLinePunct/>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附：法定代表人身份证复印件</w:t>
      </w:r>
      <w:r>
        <w:rPr>
          <w:rFonts w:hint="eastAsia" w:ascii="宋体" w:hAnsi="宋体" w:cs="宋体"/>
          <w:color w:val="auto"/>
          <w:kern w:val="0"/>
          <w:szCs w:val="21"/>
          <w:highlight w:val="none"/>
        </w:rPr>
        <w:t>（正反面）</w:t>
      </w:r>
      <w:r>
        <w:rPr>
          <w:rFonts w:hint="eastAsia" w:ascii="宋体" w:hAnsi="宋体" w:cs="宋体"/>
          <w:color w:val="auto"/>
          <w:szCs w:val="21"/>
          <w:highlight w:val="none"/>
        </w:rPr>
        <w:t xml:space="preserve">。 </w:t>
      </w:r>
    </w:p>
    <w:p w14:paraId="23884AB4">
      <w:pPr>
        <w:pStyle w:val="35"/>
        <w:rPr>
          <w:rFonts w:hint="eastAsia" w:hAnsi="宋体" w:cs="宋体"/>
          <w:color w:val="auto"/>
          <w:highlight w:val="none"/>
        </w:rPr>
      </w:pPr>
    </w:p>
    <w:p w14:paraId="6A031F18">
      <w:pPr>
        <w:tabs>
          <w:tab w:val="left" w:pos="420"/>
        </w:tabs>
        <w:topLinePunct/>
        <w:spacing w:line="560" w:lineRule="exact"/>
        <w:ind w:firstLine="420" w:firstLineChars="200"/>
        <w:rPr>
          <w:rFonts w:hint="eastAsia" w:ascii="宋体" w:hAnsi="宋体" w:cs="宋体"/>
          <w:color w:val="auto"/>
          <w:szCs w:val="21"/>
          <w:highlight w:val="none"/>
        </w:rPr>
      </w:pPr>
    </w:p>
    <w:p w14:paraId="4385837D">
      <w:pPr>
        <w:pStyle w:val="35"/>
        <w:rPr>
          <w:rFonts w:hint="eastAsia" w:hAnsi="宋体" w:cs="宋体"/>
          <w:color w:val="auto"/>
          <w:szCs w:val="21"/>
          <w:highlight w:val="none"/>
        </w:rPr>
      </w:pPr>
    </w:p>
    <w:p w14:paraId="0DD9AE88">
      <w:pPr>
        <w:rPr>
          <w:rFonts w:hint="eastAsia" w:ascii="宋体" w:hAnsi="宋体" w:cs="宋体"/>
          <w:color w:val="auto"/>
          <w:szCs w:val="21"/>
          <w:highlight w:val="none"/>
        </w:rPr>
      </w:pPr>
    </w:p>
    <w:p w14:paraId="5EBC4D98">
      <w:pPr>
        <w:pStyle w:val="35"/>
        <w:rPr>
          <w:rFonts w:hint="eastAsia" w:hAnsi="宋体" w:cs="宋体"/>
          <w:color w:val="auto"/>
          <w:highlight w:val="none"/>
        </w:rPr>
      </w:pPr>
    </w:p>
    <w:p w14:paraId="40892068">
      <w:pPr>
        <w:pStyle w:val="35"/>
        <w:rPr>
          <w:rFonts w:hint="eastAsia" w:hAnsi="宋体" w:cs="宋体"/>
          <w:color w:val="auto"/>
          <w:highlight w:val="none"/>
        </w:rPr>
      </w:pPr>
    </w:p>
    <w:p w14:paraId="43AFFE45">
      <w:pPr>
        <w:tabs>
          <w:tab w:val="left" w:pos="420"/>
        </w:tabs>
        <w:spacing w:line="440" w:lineRule="exact"/>
        <w:ind w:firstLine="3758" w:firstLineChars="1790"/>
        <w:jc w:val="lef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（盖单位公章）</w:t>
      </w:r>
    </w:p>
    <w:p w14:paraId="55501828">
      <w:pPr>
        <w:pStyle w:val="35"/>
        <w:rPr>
          <w:rFonts w:hint="eastAsia" w:hAnsi="宋体" w:cs="宋体"/>
          <w:color w:val="auto"/>
          <w:highlight w:val="none"/>
        </w:rPr>
      </w:pPr>
    </w:p>
    <w:p w14:paraId="376E765E">
      <w:pPr>
        <w:tabs>
          <w:tab w:val="left" w:pos="420"/>
        </w:tabs>
        <w:spacing w:line="440" w:lineRule="exact"/>
        <w:ind w:firstLine="3758" w:firstLineChars="1790"/>
        <w:rPr>
          <w:rFonts w:hint="eastAsia" w:ascii="宋体" w:hAnsi="宋体" w:cs="宋体"/>
          <w:b/>
          <w:color w:val="auto"/>
          <w:kern w:val="0"/>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9ECD5F5">
      <w:pPr>
        <w:tabs>
          <w:tab w:val="left" w:pos="420"/>
        </w:tabs>
        <w:spacing w:line="560" w:lineRule="exact"/>
        <w:jc w:val="center"/>
        <w:outlineLvl w:val="2"/>
        <w:rPr>
          <w:rFonts w:hint="eastAsia" w:ascii="宋体" w:hAnsi="宋体" w:cs="宋体"/>
          <w:b/>
          <w:color w:val="auto"/>
          <w:sz w:val="26"/>
          <w:szCs w:val="26"/>
          <w:highlight w:val="none"/>
        </w:rPr>
      </w:pPr>
      <w:r>
        <w:rPr>
          <w:rFonts w:hint="eastAsia" w:ascii="宋体" w:hAnsi="宋体" w:cs="宋体"/>
          <w:b/>
          <w:color w:val="auto"/>
          <w:kern w:val="0"/>
          <w:sz w:val="30"/>
          <w:szCs w:val="30"/>
          <w:highlight w:val="none"/>
        </w:rPr>
        <w:br w:type="page"/>
      </w:r>
      <w:bookmarkStart w:id="308" w:name="_Toc15018"/>
      <w:bookmarkStart w:id="309" w:name="_Toc14673"/>
      <w:bookmarkStart w:id="310" w:name="_Toc29727"/>
      <w:bookmarkStart w:id="311" w:name="_Toc31982"/>
      <w:bookmarkStart w:id="312" w:name="_Toc32428"/>
      <w:bookmarkStart w:id="313" w:name="_Toc22854"/>
      <w:bookmarkStart w:id="314" w:name="_Toc25031"/>
      <w:bookmarkStart w:id="315" w:name="_Toc7170"/>
      <w:bookmarkStart w:id="316" w:name="_Toc14725"/>
      <w:bookmarkStart w:id="317" w:name="_Toc10613"/>
      <w:bookmarkStart w:id="318" w:name="_Toc16496"/>
      <w:bookmarkStart w:id="319" w:name="_Toc12956"/>
      <w:bookmarkStart w:id="320" w:name="_Toc22158"/>
      <w:bookmarkStart w:id="321" w:name="_Toc827"/>
      <w:bookmarkStart w:id="322" w:name="_Toc15727"/>
      <w:bookmarkStart w:id="323" w:name="_Toc24833"/>
      <w:bookmarkStart w:id="324" w:name="_Toc29517"/>
      <w:bookmarkStart w:id="325" w:name="_Toc23449"/>
      <w:r>
        <w:rPr>
          <w:rFonts w:hint="eastAsia" w:ascii="宋体" w:hAnsi="宋体" w:cs="宋体"/>
          <w:b/>
          <w:color w:val="auto"/>
          <w:kern w:val="0"/>
          <w:sz w:val="24"/>
          <w:highlight w:val="none"/>
        </w:rPr>
        <w:t>1.2 授权委托书</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03722C95">
      <w:pPr>
        <w:tabs>
          <w:tab w:val="left" w:pos="420"/>
        </w:tabs>
        <w:topLinePunct/>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（姓名）为我方代理人。代理人根据授权，以我方名义签署、澄清、说明、补正、提交、撤回、修改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w:t>
      </w:r>
      <w:r>
        <w:rPr>
          <w:rFonts w:hint="eastAsia" w:ascii="宋体" w:hAnsi="宋体" w:cs="宋体"/>
          <w:color w:val="auto"/>
          <w:szCs w:val="21"/>
          <w:highlight w:val="none"/>
          <w:lang w:val="en-US" w:eastAsia="zh-CN"/>
        </w:rPr>
        <w:t>包</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响应文件、签订合同和处理有关事宜，其法律后果由我方承担。</w:t>
      </w:r>
    </w:p>
    <w:p w14:paraId="76E4EB53">
      <w:pPr>
        <w:tabs>
          <w:tab w:val="left" w:pos="420"/>
        </w:tabs>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自本授权委托书签署之日起至磋商有效期结束 </w:t>
      </w:r>
      <w:r>
        <w:rPr>
          <w:rFonts w:hint="eastAsia" w:ascii="宋体" w:hAnsi="宋体" w:cs="宋体"/>
          <w:color w:val="auto"/>
          <w:szCs w:val="21"/>
          <w:highlight w:val="none"/>
        </w:rPr>
        <w:t>。</w:t>
      </w:r>
    </w:p>
    <w:p w14:paraId="5EE31198">
      <w:pPr>
        <w:tabs>
          <w:tab w:val="left" w:pos="420"/>
        </w:tabs>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代理人无转委托权。</w:t>
      </w:r>
    </w:p>
    <w:p w14:paraId="6640B394">
      <w:pPr>
        <w:tabs>
          <w:tab w:val="left" w:pos="420"/>
        </w:tabs>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附：</w:t>
      </w:r>
      <w:r>
        <w:rPr>
          <w:rFonts w:hint="eastAsia" w:ascii="宋体" w:hAnsi="宋体" w:cs="宋体"/>
          <w:color w:val="auto"/>
          <w:kern w:val="0"/>
          <w:szCs w:val="21"/>
          <w:highlight w:val="none"/>
        </w:rPr>
        <w:t>委托代理人身份证复印件（正反面）</w:t>
      </w:r>
    </w:p>
    <w:p w14:paraId="19655C19">
      <w:pPr>
        <w:tabs>
          <w:tab w:val="left" w:pos="420"/>
        </w:tabs>
        <w:spacing w:line="560" w:lineRule="exact"/>
        <w:rPr>
          <w:rFonts w:hint="eastAsia" w:ascii="宋体" w:hAnsi="宋体" w:cs="宋体"/>
          <w:color w:val="auto"/>
          <w:szCs w:val="21"/>
          <w:highlight w:val="none"/>
        </w:rPr>
      </w:pPr>
    </w:p>
    <w:p w14:paraId="1795F2C4">
      <w:pPr>
        <w:tabs>
          <w:tab w:val="left" w:pos="420"/>
        </w:tabs>
        <w:spacing w:line="560" w:lineRule="exact"/>
        <w:ind w:firstLine="3078" w:firstLineChars="1466"/>
        <w:rPr>
          <w:rFonts w:hint="eastAsia" w:ascii="宋体" w:hAnsi="宋体" w:cs="宋体"/>
          <w:color w:val="auto"/>
          <w:szCs w:val="21"/>
          <w:highlight w:val="none"/>
        </w:rPr>
      </w:pPr>
    </w:p>
    <w:p w14:paraId="1084F53D">
      <w:pPr>
        <w:tabs>
          <w:tab w:val="left" w:pos="420"/>
        </w:tabs>
        <w:spacing w:line="56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（盖单位公章）</w:t>
      </w:r>
    </w:p>
    <w:p w14:paraId="3E1DB4FF">
      <w:pPr>
        <w:tabs>
          <w:tab w:val="left" w:pos="420"/>
        </w:tabs>
        <w:ind w:firstLine="3078" w:firstLineChars="1466"/>
        <w:rPr>
          <w:rFonts w:hint="eastAsia" w:ascii="宋体" w:hAnsi="宋体" w:cs="宋体"/>
          <w:color w:val="auto"/>
          <w:highlight w:val="none"/>
        </w:rPr>
      </w:pPr>
    </w:p>
    <w:p w14:paraId="0A056202">
      <w:pPr>
        <w:tabs>
          <w:tab w:val="left" w:pos="420"/>
        </w:tabs>
        <w:snapToGrid w:val="0"/>
        <w:spacing w:line="500" w:lineRule="exact"/>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法定代表人：</w:t>
      </w:r>
      <w:r>
        <w:rPr>
          <w:rFonts w:hint="eastAsia" w:ascii="宋体" w:hAnsi="宋体" w:cs="宋体"/>
          <w:color w:val="auto"/>
          <w:szCs w:val="21"/>
          <w:highlight w:val="none"/>
          <w:u w:val="single"/>
          <w:shd w:val="clear" w:color="auto" w:fill="FFFFFF"/>
        </w:rPr>
        <w:t xml:space="preserve">                        </w:t>
      </w:r>
      <w:r>
        <w:rPr>
          <w:rFonts w:hint="eastAsia" w:ascii="宋体" w:hAnsi="宋体" w:cs="宋体"/>
          <w:color w:val="auto"/>
          <w:szCs w:val="21"/>
          <w:highlight w:val="none"/>
          <w:shd w:val="clear" w:color="auto" w:fill="FFFFFF"/>
        </w:rPr>
        <w:t>（签字或盖章）</w:t>
      </w:r>
    </w:p>
    <w:p w14:paraId="75CCC79E">
      <w:pPr>
        <w:tabs>
          <w:tab w:val="left" w:pos="420"/>
        </w:tabs>
        <w:ind w:firstLine="3078" w:firstLineChars="1466"/>
        <w:rPr>
          <w:rFonts w:hint="eastAsia" w:ascii="宋体" w:hAnsi="宋体" w:cs="宋体"/>
          <w:color w:val="auto"/>
          <w:highlight w:val="none"/>
        </w:rPr>
      </w:pPr>
    </w:p>
    <w:p w14:paraId="35926C8F">
      <w:pPr>
        <w:tabs>
          <w:tab w:val="left" w:pos="420"/>
        </w:tabs>
        <w:snapToGrid w:val="0"/>
        <w:spacing w:line="500" w:lineRule="exact"/>
        <w:rPr>
          <w:rFonts w:hint="eastAsia" w:ascii="宋体" w:hAnsi="宋体" w:cs="宋体"/>
          <w:color w:val="auto"/>
          <w:szCs w:val="21"/>
          <w:highlight w:val="none"/>
          <w:u w:val="single"/>
          <w:shd w:val="clear" w:color="auto" w:fill="FFFFFF"/>
        </w:rPr>
      </w:pPr>
      <w:r>
        <w:rPr>
          <w:rFonts w:hint="eastAsia" w:ascii="宋体" w:hAnsi="宋体" w:cs="宋体"/>
          <w:color w:val="auto"/>
          <w:szCs w:val="21"/>
          <w:highlight w:val="none"/>
          <w:shd w:val="clear" w:color="auto" w:fill="FFFFFF"/>
        </w:rPr>
        <w:t>身份证号码：</w:t>
      </w:r>
      <w:r>
        <w:rPr>
          <w:rFonts w:hint="eastAsia" w:ascii="宋体" w:hAnsi="宋体" w:cs="宋体"/>
          <w:color w:val="auto"/>
          <w:szCs w:val="21"/>
          <w:highlight w:val="none"/>
          <w:u w:val="single"/>
          <w:shd w:val="clear" w:color="auto" w:fill="FFFFFF"/>
        </w:rPr>
        <w:t xml:space="preserve">  </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shd w:val="clear" w:color="auto" w:fill="FFFFFF"/>
        </w:rPr>
        <w:t xml:space="preserve">          </w:t>
      </w:r>
    </w:p>
    <w:p w14:paraId="5161F326">
      <w:pPr>
        <w:tabs>
          <w:tab w:val="left" w:pos="420"/>
        </w:tabs>
        <w:snapToGrid w:val="0"/>
        <w:spacing w:line="500" w:lineRule="exact"/>
        <w:ind w:firstLine="3078" w:firstLineChars="1466"/>
        <w:rPr>
          <w:rFonts w:hint="eastAsia" w:ascii="宋体" w:hAnsi="宋体" w:cs="宋体"/>
          <w:color w:val="auto"/>
          <w:szCs w:val="21"/>
          <w:highlight w:val="none"/>
          <w:shd w:val="clear" w:color="auto" w:fill="FFFFFF"/>
        </w:rPr>
      </w:pPr>
    </w:p>
    <w:p w14:paraId="5A5728DE">
      <w:pPr>
        <w:tabs>
          <w:tab w:val="left" w:pos="420"/>
        </w:tabs>
        <w:snapToGrid w:val="0"/>
        <w:spacing w:line="500" w:lineRule="exact"/>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委托代理人：</w:t>
      </w:r>
      <w:r>
        <w:rPr>
          <w:rFonts w:hint="eastAsia" w:ascii="宋体" w:hAnsi="宋体" w:cs="宋体"/>
          <w:color w:val="auto"/>
          <w:szCs w:val="21"/>
          <w:highlight w:val="none"/>
          <w:u w:val="single"/>
          <w:shd w:val="clear" w:color="auto" w:fill="FFFFFF"/>
        </w:rPr>
        <w:t xml:space="preserve">                            </w:t>
      </w:r>
      <w:r>
        <w:rPr>
          <w:rFonts w:hint="eastAsia" w:ascii="宋体" w:hAnsi="宋体" w:cs="宋体"/>
          <w:color w:val="auto"/>
          <w:szCs w:val="21"/>
          <w:highlight w:val="none"/>
          <w:shd w:val="clear" w:color="auto" w:fill="FFFFFF"/>
        </w:rPr>
        <w:t>（签字或盖章）</w:t>
      </w:r>
    </w:p>
    <w:p w14:paraId="4D9927DD">
      <w:pPr>
        <w:tabs>
          <w:tab w:val="left" w:pos="420"/>
        </w:tabs>
        <w:snapToGrid w:val="0"/>
        <w:spacing w:line="500" w:lineRule="exact"/>
        <w:ind w:firstLine="3078" w:firstLineChars="1466"/>
        <w:rPr>
          <w:rFonts w:hint="eastAsia" w:ascii="宋体" w:hAnsi="宋体" w:cs="宋体"/>
          <w:color w:val="auto"/>
          <w:szCs w:val="21"/>
          <w:highlight w:val="none"/>
          <w:shd w:val="clear" w:color="auto" w:fill="FFFFFF"/>
        </w:rPr>
      </w:pPr>
    </w:p>
    <w:p w14:paraId="50A739D0">
      <w:pPr>
        <w:tabs>
          <w:tab w:val="left" w:pos="420"/>
        </w:tabs>
        <w:snapToGrid w:val="0"/>
        <w:spacing w:line="500" w:lineRule="exact"/>
        <w:rPr>
          <w:rFonts w:hint="eastAsia" w:ascii="宋体" w:hAnsi="宋体" w:cs="宋体"/>
          <w:color w:val="auto"/>
          <w:szCs w:val="21"/>
          <w:highlight w:val="none"/>
          <w:u w:val="single"/>
          <w:shd w:val="clear" w:color="auto" w:fill="FFFFFF"/>
        </w:rPr>
      </w:pPr>
      <w:r>
        <w:rPr>
          <w:rFonts w:hint="eastAsia" w:ascii="宋体" w:hAnsi="宋体" w:cs="宋体"/>
          <w:color w:val="auto"/>
          <w:szCs w:val="21"/>
          <w:highlight w:val="none"/>
          <w:shd w:val="clear" w:color="auto" w:fill="FFFFFF"/>
        </w:rPr>
        <w:t>身份证号码：</w:t>
      </w:r>
      <w:r>
        <w:rPr>
          <w:rFonts w:hint="eastAsia" w:ascii="宋体" w:hAnsi="宋体" w:cs="宋体"/>
          <w:color w:val="auto"/>
          <w:szCs w:val="21"/>
          <w:highlight w:val="none"/>
          <w:u w:val="single"/>
          <w:shd w:val="clear" w:color="auto" w:fill="FFFFFF"/>
        </w:rPr>
        <w:t xml:space="preserve">                                  </w:t>
      </w:r>
    </w:p>
    <w:p w14:paraId="01AADCF8">
      <w:pPr>
        <w:tabs>
          <w:tab w:val="left" w:pos="420"/>
        </w:tabs>
        <w:spacing w:line="560" w:lineRule="exact"/>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9B1375F">
      <w:pPr>
        <w:tabs>
          <w:tab w:val="left" w:pos="420"/>
        </w:tabs>
        <w:spacing w:line="520" w:lineRule="exact"/>
        <w:ind w:firstLine="420" w:firstLineChars="200"/>
        <w:rPr>
          <w:rFonts w:hint="eastAsia" w:ascii="宋体" w:hAnsi="宋体" w:cs="宋体"/>
          <w:b/>
          <w:color w:val="auto"/>
          <w:kern w:val="0"/>
          <w:szCs w:val="21"/>
          <w:highlight w:val="none"/>
        </w:rPr>
      </w:pPr>
    </w:p>
    <w:p w14:paraId="73FC0195">
      <w:pPr>
        <w:tabs>
          <w:tab w:val="left" w:pos="420"/>
        </w:tabs>
        <w:spacing w:line="520" w:lineRule="exact"/>
        <w:ind w:firstLine="420"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注：如果由供应商的法定代表人签署响应文件，无须提交本授权委托书。</w:t>
      </w:r>
    </w:p>
    <w:p w14:paraId="400DEF84">
      <w:pPr>
        <w:pStyle w:val="35"/>
        <w:rPr>
          <w:rFonts w:hint="eastAsia" w:hAnsi="宋体" w:cs="宋体"/>
          <w:color w:val="auto"/>
          <w:highlight w:val="none"/>
        </w:rPr>
      </w:pPr>
    </w:p>
    <w:p w14:paraId="78D126A2">
      <w:pPr>
        <w:pStyle w:val="35"/>
        <w:rPr>
          <w:rFonts w:hint="eastAsia" w:hAnsi="宋体" w:cs="宋体"/>
          <w:color w:val="auto"/>
          <w:highlight w:val="none"/>
        </w:rPr>
      </w:pPr>
    </w:p>
    <w:p w14:paraId="3DAA999E">
      <w:pPr>
        <w:tabs>
          <w:tab w:val="left" w:pos="420"/>
        </w:tabs>
        <w:spacing w:line="520" w:lineRule="exact"/>
        <w:jc w:val="center"/>
        <w:outlineLvl w:val="1"/>
        <w:rPr>
          <w:rFonts w:hint="eastAsia" w:ascii="宋体" w:hAnsi="宋体" w:cs="宋体"/>
          <w:b/>
          <w:color w:val="auto"/>
          <w:sz w:val="24"/>
          <w:highlight w:val="none"/>
        </w:rPr>
      </w:pPr>
      <w:r>
        <w:rPr>
          <w:rFonts w:hint="eastAsia" w:ascii="宋体" w:hAnsi="宋体" w:cs="宋体"/>
          <w:b/>
          <w:color w:val="auto"/>
          <w:kern w:val="0"/>
          <w:sz w:val="30"/>
          <w:szCs w:val="30"/>
          <w:highlight w:val="none"/>
        </w:rPr>
        <w:br w:type="page"/>
      </w:r>
      <w:bookmarkStart w:id="326" w:name="_Toc7301"/>
      <w:bookmarkStart w:id="327" w:name="_Toc19089"/>
      <w:bookmarkStart w:id="328" w:name="_Toc11755"/>
      <w:bookmarkStart w:id="329" w:name="_Toc18229"/>
      <w:bookmarkStart w:id="330" w:name="_Toc1472"/>
      <w:bookmarkStart w:id="331" w:name="_Toc22467"/>
      <w:bookmarkStart w:id="332" w:name="_Toc16174"/>
      <w:bookmarkStart w:id="333" w:name="_Toc7387"/>
      <w:bookmarkStart w:id="334" w:name="_Toc8436"/>
      <w:bookmarkStart w:id="335" w:name="_Toc29122"/>
      <w:bookmarkStart w:id="336" w:name="_Toc24514"/>
      <w:bookmarkStart w:id="337" w:name="_Toc6610"/>
      <w:bookmarkStart w:id="338" w:name="_Toc29001"/>
      <w:bookmarkStart w:id="339" w:name="_Toc25052"/>
      <w:bookmarkStart w:id="340" w:name="_Toc7189"/>
      <w:bookmarkStart w:id="341" w:name="_Toc14483"/>
      <w:bookmarkStart w:id="342" w:name="_Toc28550"/>
      <w:bookmarkStart w:id="343" w:name="_Toc5197"/>
      <w:r>
        <w:rPr>
          <w:rFonts w:hint="eastAsia" w:ascii="宋体" w:hAnsi="宋体" w:cs="宋体"/>
          <w:b/>
          <w:color w:val="auto"/>
          <w:sz w:val="26"/>
          <w:szCs w:val="26"/>
          <w:highlight w:val="none"/>
        </w:rPr>
        <w:t>二、磋商函</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3FAACA97">
      <w:pPr>
        <w:tabs>
          <w:tab w:val="left" w:pos="420"/>
        </w:tabs>
        <w:spacing w:line="500" w:lineRule="exact"/>
        <w:rPr>
          <w:rFonts w:hint="eastAsia" w:ascii="宋体" w:hAnsi="宋体" w:cs="宋体"/>
          <w:b/>
          <w:color w:val="auto"/>
          <w:szCs w:val="21"/>
          <w:highlight w:val="none"/>
          <w:u w:val="single"/>
        </w:rPr>
      </w:pPr>
      <w:r>
        <w:rPr>
          <w:rFonts w:hint="eastAsia" w:ascii="宋体" w:hAnsi="宋体" w:cs="宋体"/>
          <w:b/>
          <w:color w:val="auto"/>
          <w:szCs w:val="21"/>
          <w:highlight w:val="none"/>
        </w:rPr>
        <w:t>致：</w:t>
      </w:r>
      <w:r>
        <w:rPr>
          <w:rFonts w:hint="eastAsia" w:ascii="宋体" w:hAnsi="宋体" w:cs="宋体"/>
          <w:b/>
          <w:color w:val="auto"/>
          <w:szCs w:val="21"/>
          <w:highlight w:val="none"/>
          <w:u w:val="single"/>
        </w:rPr>
        <w:t xml:space="preserve">  （采购人名称）  </w:t>
      </w:r>
    </w:p>
    <w:p w14:paraId="6505D6BD">
      <w:pPr>
        <w:tabs>
          <w:tab w:val="left" w:pos="420"/>
        </w:tabs>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我方收到了项目编号为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包    </w:t>
      </w:r>
      <w:r>
        <w:rPr>
          <w:rFonts w:hint="eastAsia" w:ascii="宋体" w:hAnsi="宋体" w:cs="宋体"/>
          <w:color w:val="auto"/>
          <w:szCs w:val="21"/>
          <w:highlight w:val="none"/>
        </w:rPr>
        <w:t>】采购文件，经详细研究，我方决定参加该项目的采购活动并按要求提交响应文件。我方郑重声明以下诸点并负法律责任：</w:t>
      </w:r>
    </w:p>
    <w:p w14:paraId="4AFE4DA2">
      <w:pPr>
        <w:numPr>
          <w:ilvl w:val="0"/>
          <w:numId w:val="6"/>
        </w:numPr>
        <w:tabs>
          <w:tab w:val="left" w:pos="420"/>
        </w:tabs>
        <w:spacing w:line="500" w:lineRule="exact"/>
        <w:ind w:left="10"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愿按照采购文件中规定的条款和要求，提供完成采购文件规定的全部工作，</w:t>
      </w:r>
      <w:r>
        <w:rPr>
          <w:rFonts w:hint="eastAsia" w:ascii="宋体" w:hAnsi="宋体" w:cs="宋体"/>
          <w:color w:val="auto"/>
          <w:szCs w:val="21"/>
          <w:highlight w:val="none"/>
          <w:lang w:val="en-US" w:eastAsia="zh-CN"/>
        </w:rPr>
        <w:t>折扣率</w:t>
      </w:r>
      <w:r>
        <w:rPr>
          <w:rFonts w:hint="eastAsia" w:ascii="宋体" w:hAnsi="宋体" w:cs="宋体"/>
          <w:color w:val="auto"/>
          <w:szCs w:val="21"/>
          <w:highlight w:val="none"/>
        </w:rPr>
        <w:t>为（大写）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小写：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184A511">
      <w:pPr>
        <w:tabs>
          <w:tab w:val="left" w:pos="420"/>
        </w:tabs>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（2）如果我方的响应文件被接受，我方将履行采购文件中规定的各项要求。</w:t>
      </w:r>
    </w:p>
    <w:p w14:paraId="2A9B459F">
      <w:pPr>
        <w:tabs>
          <w:tab w:val="left" w:pos="420"/>
        </w:tabs>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（3）我方同意本采购文件中有关磋商有效期的规定。如果成交，有效期延长至合同终止日止。</w:t>
      </w:r>
    </w:p>
    <w:p w14:paraId="0AE473D3">
      <w:pPr>
        <w:tabs>
          <w:tab w:val="left" w:pos="420"/>
        </w:tabs>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（4）我方愿提供采购文件中要求的所有文件资料。</w:t>
      </w:r>
    </w:p>
    <w:p w14:paraId="79FAE830">
      <w:pPr>
        <w:tabs>
          <w:tab w:val="left" w:pos="420"/>
        </w:tabs>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（5）我方已经详细审核了全部采购文件，如有需要澄清的问题，我方同意按采购文件规定的时间向采购人提出。逾期不提，我公司同意放弃对这方面有不明及误解的权利。</w:t>
      </w:r>
    </w:p>
    <w:p w14:paraId="3B396252">
      <w:pPr>
        <w:tabs>
          <w:tab w:val="left" w:pos="420"/>
        </w:tabs>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（6）我方承诺，与采购人、采购人就本次采购的项目委托的咨询机构、采购代理机构、以及上述机构的附属机构没有行政或经济关联。</w:t>
      </w:r>
    </w:p>
    <w:p w14:paraId="16ECEA01">
      <w:pPr>
        <w:tabs>
          <w:tab w:val="left" w:pos="420"/>
        </w:tabs>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（7）我公司同意提供按照采购人可能要求的与其投标有关的一切数据或资料，完全理解采购人不一定接受最低价的投标或收到的任何投标。</w:t>
      </w:r>
    </w:p>
    <w:p w14:paraId="36A31CD6">
      <w:pPr>
        <w:tabs>
          <w:tab w:val="left" w:pos="420"/>
        </w:tabs>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（8）如果我方的响应文件被接受，我方将按采购文件的规定签订并严格履行合同中的责任和义务。</w:t>
      </w:r>
    </w:p>
    <w:p w14:paraId="70421752">
      <w:pPr>
        <w:tabs>
          <w:tab w:val="left" w:pos="420"/>
        </w:tabs>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与本采购有关的正式通讯地址：</w:t>
      </w:r>
    </w:p>
    <w:p w14:paraId="3B5F8B79">
      <w:pPr>
        <w:tabs>
          <w:tab w:val="left" w:pos="420"/>
        </w:tabs>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14:paraId="5FC0BC24">
      <w:pPr>
        <w:tabs>
          <w:tab w:val="left" w:pos="420"/>
        </w:tabs>
        <w:spacing w:line="5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460107A0">
      <w:pPr>
        <w:tabs>
          <w:tab w:val="left" w:pos="420"/>
        </w:tabs>
        <w:spacing w:line="440" w:lineRule="exact"/>
        <w:jc w:val="left"/>
        <w:rPr>
          <w:rFonts w:hint="eastAsia" w:ascii="宋体" w:hAnsi="宋体" w:cs="宋体"/>
          <w:color w:val="auto"/>
          <w:szCs w:val="21"/>
          <w:highlight w:val="none"/>
        </w:rPr>
      </w:pPr>
    </w:p>
    <w:p w14:paraId="1F1F78CC">
      <w:pPr>
        <w:tabs>
          <w:tab w:val="left" w:pos="420"/>
        </w:tabs>
        <w:spacing w:line="440" w:lineRule="exact"/>
        <w:ind w:firstLine="3758" w:firstLineChars="1790"/>
        <w:jc w:val="lef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（盖单位公章）</w:t>
      </w:r>
    </w:p>
    <w:p w14:paraId="2D74580B">
      <w:pPr>
        <w:tabs>
          <w:tab w:val="left" w:pos="420"/>
        </w:tabs>
        <w:spacing w:line="440" w:lineRule="exact"/>
        <w:ind w:firstLine="3758" w:firstLineChars="1790"/>
        <w:jc w:val="left"/>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44538EBB">
      <w:pPr>
        <w:tabs>
          <w:tab w:val="left" w:pos="420"/>
        </w:tabs>
        <w:spacing w:line="440" w:lineRule="exact"/>
        <w:ind w:firstLine="3758" w:firstLineChars="1790"/>
        <w:rPr>
          <w:rFonts w:hint="eastAsia" w:ascii="宋体" w:hAnsi="宋体" w:cs="宋体"/>
          <w:b/>
          <w:color w:val="auto"/>
          <w:kern w:val="0"/>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9ADCFDD">
      <w:pPr>
        <w:tabs>
          <w:tab w:val="left" w:pos="420"/>
        </w:tabs>
        <w:spacing w:line="520" w:lineRule="exact"/>
        <w:jc w:val="center"/>
        <w:outlineLvl w:val="1"/>
        <w:rPr>
          <w:rFonts w:hint="eastAsia" w:ascii="宋体" w:hAnsi="宋体" w:cs="宋体"/>
          <w:b/>
          <w:color w:val="auto"/>
          <w:kern w:val="0"/>
          <w:sz w:val="30"/>
          <w:szCs w:val="30"/>
          <w:highlight w:val="none"/>
        </w:rPr>
      </w:pPr>
      <w:r>
        <w:rPr>
          <w:rFonts w:hint="eastAsia" w:ascii="宋体" w:hAnsi="宋体" w:cs="宋体"/>
          <w:b/>
          <w:color w:val="auto"/>
          <w:kern w:val="0"/>
          <w:sz w:val="30"/>
          <w:szCs w:val="30"/>
          <w:highlight w:val="none"/>
        </w:rPr>
        <w:br w:type="page"/>
      </w:r>
      <w:bookmarkStart w:id="344" w:name="_Toc26604"/>
      <w:bookmarkStart w:id="345" w:name="_Toc7428"/>
      <w:bookmarkStart w:id="346" w:name="_Toc13856"/>
      <w:bookmarkStart w:id="347" w:name="_Toc12293"/>
      <w:bookmarkStart w:id="348" w:name="_Toc3997"/>
      <w:bookmarkStart w:id="349" w:name="_Toc16886"/>
      <w:bookmarkStart w:id="350" w:name="_Toc13594"/>
      <w:bookmarkStart w:id="351" w:name="_Toc12124"/>
      <w:bookmarkStart w:id="352" w:name="_Toc31859"/>
      <w:bookmarkStart w:id="353" w:name="_Toc20089"/>
      <w:bookmarkStart w:id="354" w:name="_Toc5694"/>
      <w:bookmarkStart w:id="355" w:name="_Toc22773"/>
      <w:bookmarkStart w:id="356" w:name="_Toc23397"/>
      <w:bookmarkStart w:id="357" w:name="_Toc12664"/>
      <w:bookmarkStart w:id="358" w:name="_Toc32628"/>
      <w:bookmarkStart w:id="359" w:name="_Toc30051"/>
      <w:bookmarkStart w:id="360" w:name="_Toc4412"/>
      <w:bookmarkStart w:id="361" w:name="_Toc30003"/>
      <w:r>
        <w:rPr>
          <w:rFonts w:hint="eastAsia" w:ascii="宋体" w:hAnsi="宋体" w:cs="宋体"/>
          <w:b/>
          <w:color w:val="auto"/>
          <w:kern w:val="0"/>
          <w:sz w:val="30"/>
          <w:szCs w:val="30"/>
          <w:highlight w:val="none"/>
        </w:rPr>
        <w:t>三、竞争性磋商报价表</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tbl>
      <w:tblPr>
        <w:tblStyle w:val="18"/>
        <w:tblW w:w="0" w:type="auto"/>
        <w:jc w:val="center"/>
        <w:tblLayout w:type="fixed"/>
        <w:tblCellMar>
          <w:top w:w="0" w:type="dxa"/>
          <w:left w:w="0" w:type="dxa"/>
          <w:bottom w:w="0" w:type="dxa"/>
          <w:right w:w="0" w:type="dxa"/>
        </w:tblCellMar>
      </w:tblPr>
      <w:tblGrid>
        <w:gridCol w:w="1862"/>
        <w:gridCol w:w="7017"/>
      </w:tblGrid>
      <w:tr w14:paraId="50D4842C">
        <w:tblPrEx>
          <w:tblCellMar>
            <w:top w:w="0" w:type="dxa"/>
            <w:left w:w="0" w:type="dxa"/>
            <w:bottom w:w="0" w:type="dxa"/>
            <w:right w:w="0" w:type="dxa"/>
          </w:tblCellMar>
        </w:tblPrEx>
        <w:trPr>
          <w:cantSplit/>
          <w:trHeight w:val="805"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99CE95A">
            <w:pPr>
              <w:tabs>
                <w:tab w:val="left" w:pos="420"/>
              </w:tabs>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0208EB1">
            <w:pPr>
              <w:tabs>
                <w:tab w:val="left" w:pos="420"/>
              </w:tabs>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 xml:space="preserve">信阳师范大学2026-2027学年普通高等教育学生教材项目 </w:t>
            </w:r>
          </w:p>
        </w:tc>
      </w:tr>
      <w:tr w14:paraId="1FAA3BA7">
        <w:tblPrEx>
          <w:tblCellMar>
            <w:top w:w="0" w:type="dxa"/>
            <w:left w:w="0" w:type="dxa"/>
            <w:bottom w:w="0" w:type="dxa"/>
            <w:right w:w="0" w:type="dxa"/>
          </w:tblCellMar>
        </w:tblPrEx>
        <w:trPr>
          <w:cantSplit/>
          <w:trHeight w:val="636"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86D9FB6">
            <w:pPr>
              <w:tabs>
                <w:tab w:val="left" w:pos="4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所投包段</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5975F11">
            <w:pPr>
              <w:tabs>
                <w:tab w:val="left" w:pos="420"/>
              </w:tabs>
              <w:spacing w:line="360" w:lineRule="exact"/>
              <w:jc w:val="center"/>
              <w:rPr>
                <w:rFonts w:hint="eastAsia" w:ascii="宋体" w:hAnsi="宋体" w:cs="宋体"/>
                <w:color w:val="auto"/>
                <w:szCs w:val="21"/>
                <w:highlight w:val="none"/>
                <w:lang w:eastAsia="zh-CN"/>
              </w:rPr>
            </w:pPr>
          </w:p>
        </w:tc>
      </w:tr>
      <w:tr w14:paraId="4101654A">
        <w:tblPrEx>
          <w:tblCellMar>
            <w:top w:w="0" w:type="dxa"/>
            <w:left w:w="0" w:type="dxa"/>
            <w:bottom w:w="0" w:type="dxa"/>
            <w:right w:w="0" w:type="dxa"/>
          </w:tblCellMar>
        </w:tblPrEx>
        <w:trPr>
          <w:cantSplit/>
          <w:trHeight w:val="735"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7D0C4F0">
            <w:pPr>
              <w:tabs>
                <w:tab w:val="left" w:pos="420"/>
              </w:tabs>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6585488">
            <w:pPr>
              <w:tabs>
                <w:tab w:val="left" w:pos="420"/>
              </w:tabs>
              <w:spacing w:line="360" w:lineRule="exact"/>
              <w:jc w:val="center"/>
              <w:rPr>
                <w:rFonts w:hint="eastAsia" w:ascii="宋体" w:hAnsi="宋体" w:cs="宋体"/>
                <w:color w:val="auto"/>
                <w:szCs w:val="21"/>
                <w:highlight w:val="none"/>
              </w:rPr>
            </w:pPr>
          </w:p>
        </w:tc>
      </w:tr>
      <w:tr w14:paraId="1AA9CA6E">
        <w:tblPrEx>
          <w:tblCellMar>
            <w:top w:w="0" w:type="dxa"/>
            <w:left w:w="0" w:type="dxa"/>
            <w:bottom w:w="0" w:type="dxa"/>
            <w:right w:w="0" w:type="dxa"/>
          </w:tblCellMar>
        </w:tblPrEx>
        <w:trPr>
          <w:cantSplit/>
          <w:trHeight w:val="850"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AC00CD8">
            <w:pPr>
              <w:tabs>
                <w:tab w:val="left" w:pos="420"/>
              </w:tabs>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报价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折扣率%</w:t>
            </w:r>
            <w:r>
              <w:rPr>
                <w:rFonts w:hint="eastAsia" w:ascii="宋体" w:hAnsi="宋体" w:cs="宋体"/>
                <w:color w:val="auto"/>
                <w:szCs w:val="21"/>
                <w:highlight w:val="none"/>
                <w:lang w:eastAsia="zh-CN"/>
              </w:rPr>
              <w:t>）</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69DA6AA">
            <w:pPr>
              <w:tabs>
                <w:tab w:val="left" w:pos="0"/>
              </w:tabs>
              <w:rPr>
                <w:rFonts w:hint="eastAsia" w:ascii="宋体" w:hAnsi="宋体" w:cs="宋体"/>
                <w:b/>
                <w:bCs/>
                <w:color w:val="auto"/>
                <w:szCs w:val="21"/>
                <w:highlight w:val="none"/>
                <w:lang w:val="en-US" w:eastAsia="zh-CN"/>
              </w:rPr>
            </w:pPr>
            <w:r>
              <w:rPr>
                <w:rFonts w:hint="eastAsia"/>
                <w:b/>
                <w:bCs/>
                <w:color w:val="auto"/>
                <w:lang w:val="en-US" w:eastAsia="zh-CN"/>
              </w:rPr>
              <w:t>大写：</w:t>
            </w:r>
            <w:r>
              <w:rPr>
                <w:rFonts w:hint="eastAsia" w:ascii="宋体" w:hAnsi="宋体" w:cs="宋体"/>
                <w:b/>
                <w:bCs/>
                <w:color w:val="auto"/>
                <w:szCs w:val="21"/>
                <w:highlight w:val="none"/>
                <w:u w:val="single"/>
                <w:lang w:val="en-US" w:eastAsia="zh-CN"/>
              </w:rPr>
              <w:t xml:space="preserve">          </w:t>
            </w:r>
          </w:p>
          <w:p w14:paraId="6496BFCF">
            <w:pPr>
              <w:pStyle w:val="16"/>
              <w:spacing w:line="360" w:lineRule="auto"/>
              <w:ind w:left="0" w:leftChars="0" w:firstLine="0" w:firstLineChars="0"/>
              <w:jc w:val="left"/>
              <w:rPr>
                <w:rFonts w:hint="default"/>
                <w:color w:val="auto"/>
                <w:lang w:val="en-US" w:eastAsia="zh-CN"/>
              </w:rPr>
            </w:pPr>
            <w:r>
              <w:rPr>
                <w:rFonts w:hint="eastAsia" w:ascii="宋体" w:hAnsi="宋体" w:cs="宋体"/>
                <w:b/>
                <w:bCs/>
                <w:color w:val="auto"/>
                <w:szCs w:val="21"/>
                <w:highlight w:val="none"/>
                <w:lang w:val="en-US" w:eastAsia="zh-CN"/>
              </w:rPr>
              <w:t>小写：</w:t>
            </w:r>
            <w:r>
              <w:rPr>
                <w:rFonts w:hint="eastAsia" w:ascii="宋体" w:hAnsi="宋体" w:cs="宋体"/>
                <w:b/>
                <w:bCs/>
                <w:color w:val="auto"/>
                <w:szCs w:val="21"/>
                <w:highlight w:val="none"/>
                <w:u w:val="single"/>
                <w:lang w:val="en-US" w:eastAsia="zh-CN"/>
              </w:rPr>
              <w:t xml:space="preserve">          </w:t>
            </w:r>
          </w:p>
        </w:tc>
      </w:tr>
      <w:tr w14:paraId="3B34E464">
        <w:tblPrEx>
          <w:tblCellMar>
            <w:top w:w="0" w:type="dxa"/>
            <w:left w:w="0" w:type="dxa"/>
            <w:bottom w:w="0" w:type="dxa"/>
            <w:right w:w="0" w:type="dxa"/>
          </w:tblCellMar>
        </w:tblPrEx>
        <w:trPr>
          <w:cantSplit/>
          <w:trHeight w:val="726"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D5A47EE">
            <w:pPr>
              <w:tabs>
                <w:tab w:val="left" w:pos="4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采购内容</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57883E6">
            <w:pPr>
              <w:pStyle w:val="16"/>
              <w:spacing w:line="360" w:lineRule="auto"/>
              <w:ind w:left="0" w:leftChars="0" w:firstLine="0" w:firstLineChars="0"/>
              <w:jc w:val="left"/>
              <w:rPr>
                <w:rFonts w:hint="eastAsia" w:ascii="宋体" w:hAnsi="宋体" w:cs="宋体"/>
                <w:b/>
                <w:bCs/>
                <w:color w:val="auto"/>
                <w:szCs w:val="21"/>
                <w:highlight w:val="none"/>
                <w:lang w:val="en-US" w:eastAsia="zh-CN"/>
              </w:rPr>
            </w:pPr>
          </w:p>
        </w:tc>
      </w:tr>
      <w:tr w14:paraId="529B4BC7">
        <w:tblPrEx>
          <w:tblCellMar>
            <w:top w:w="0" w:type="dxa"/>
            <w:left w:w="0" w:type="dxa"/>
            <w:bottom w:w="0" w:type="dxa"/>
            <w:right w:w="0" w:type="dxa"/>
          </w:tblCellMar>
        </w:tblPrEx>
        <w:trPr>
          <w:cantSplit/>
          <w:trHeight w:val="606"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A43C864">
            <w:pPr>
              <w:tabs>
                <w:tab w:val="left" w:pos="420"/>
              </w:tabs>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交货期</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BF9A58C">
            <w:pPr>
              <w:tabs>
                <w:tab w:val="left" w:pos="420"/>
              </w:tabs>
              <w:spacing w:line="360" w:lineRule="exact"/>
              <w:jc w:val="left"/>
              <w:rPr>
                <w:rFonts w:hint="eastAsia" w:ascii="宋体" w:hAnsi="宋体" w:eastAsia="宋体" w:cs="宋体"/>
                <w:color w:val="auto"/>
                <w:szCs w:val="21"/>
                <w:highlight w:val="none"/>
                <w:lang w:eastAsia="zh-CN"/>
              </w:rPr>
            </w:pPr>
          </w:p>
        </w:tc>
      </w:tr>
      <w:tr w14:paraId="419D0613">
        <w:tblPrEx>
          <w:tblCellMar>
            <w:top w:w="0" w:type="dxa"/>
            <w:left w:w="0" w:type="dxa"/>
            <w:bottom w:w="0" w:type="dxa"/>
            <w:right w:w="0" w:type="dxa"/>
          </w:tblCellMar>
        </w:tblPrEx>
        <w:trPr>
          <w:cantSplit/>
          <w:trHeight w:val="661"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1F474F6">
            <w:pPr>
              <w:tabs>
                <w:tab w:val="left" w:pos="420"/>
              </w:tabs>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交货地点</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1FEC286">
            <w:pPr>
              <w:tabs>
                <w:tab w:val="left" w:pos="420"/>
              </w:tabs>
              <w:spacing w:line="480" w:lineRule="exact"/>
              <w:jc w:val="left"/>
              <w:rPr>
                <w:rFonts w:hint="eastAsia" w:ascii="宋体" w:hAnsi="宋体" w:cs="宋体"/>
                <w:color w:val="auto"/>
                <w:szCs w:val="21"/>
                <w:highlight w:val="none"/>
              </w:rPr>
            </w:pPr>
          </w:p>
        </w:tc>
      </w:tr>
      <w:tr w14:paraId="6849EED5">
        <w:tblPrEx>
          <w:tblCellMar>
            <w:top w:w="0" w:type="dxa"/>
            <w:left w:w="0" w:type="dxa"/>
            <w:bottom w:w="0" w:type="dxa"/>
            <w:right w:w="0" w:type="dxa"/>
          </w:tblCellMar>
        </w:tblPrEx>
        <w:trPr>
          <w:cantSplit/>
          <w:trHeight w:val="652"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860B230">
            <w:pPr>
              <w:tabs>
                <w:tab w:val="left" w:pos="4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质量要求</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30D0431">
            <w:pPr>
              <w:tabs>
                <w:tab w:val="left" w:pos="420"/>
              </w:tabs>
              <w:spacing w:line="480" w:lineRule="exact"/>
              <w:jc w:val="left"/>
              <w:rPr>
                <w:rFonts w:hint="eastAsia" w:ascii="宋体" w:hAnsi="宋体" w:cs="宋体"/>
                <w:color w:val="auto"/>
                <w:szCs w:val="21"/>
                <w:highlight w:val="none"/>
              </w:rPr>
            </w:pPr>
          </w:p>
        </w:tc>
      </w:tr>
      <w:tr w14:paraId="081762B3">
        <w:tblPrEx>
          <w:tblCellMar>
            <w:top w:w="0" w:type="dxa"/>
            <w:left w:w="0" w:type="dxa"/>
            <w:bottom w:w="0" w:type="dxa"/>
            <w:right w:w="0" w:type="dxa"/>
          </w:tblCellMar>
        </w:tblPrEx>
        <w:trPr>
          <w:cantSplit/>
          <w:trHeight w:val="772"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4678FCB">
            <w:pPr>
              <w:tabs>
                <w:tab w:val="left" w:pos="420"/>
              </w:tabs>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质保期</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A818294">
            <w:pPr>
              <w:tabs>
                <w:tab w:val="left" w:pos="420"/>
              </w:tabs>
              <w:spacing w:line="480" w:lineRule="exact"/>
              <w:jc w:val="left"/>
              <w:rPr>
                <w:rFonts w:hint="eastAsia" w:ascii="宋体" w:hAnsi="宋体" w:cs="宋体"/>
                <w:color w:val="auto"/>
                <w:szCs w:val="21"/>
                <w:highlight w:val="none"/>
              </w:rPr>
            </w:pPr>
          </w:p>
        </w:tc>
      </w:tr>
      <w:tr w14:paraId="7CE49B48">
        <w:tblPrEx>
          <w:tblCellMar>
            <w:top w:w="0" w:type="dxa"/>
            <w:left w:w="0" w:type="dxa"/>
            <w:bottom w:w="0" w:type="dxa"/>
            <w:right w:w="0" w:type="dxa"/>
          </w:tblCellMar>
        </w:tblPrEx>
        <w:trPr>
          <w:cantSplit/>
          <w:trHeight w:val="850"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D03C1B2">
            <w:pPr>
              <w:tabs>
                <w:tab w:val="left" w:pos="420"/>
              </w:tabs>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采购需求</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B6ED9C8">
            <w:pPr>
              <w:tabs>
                <w:tab w:val="left" w:pos="420"/>
              </w:tabs>
              <w:spacing w:line="48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我公司完全响应本项目第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章采购需求</w:t>
            </w:r>
          </w:p>
        </w:tc>
      </w:tr>
      <w:tr w14:paraId="0EF46206">
        <w:tblPrEx>
          <w:tblCellMar>
            <w:top w:w="0" w:type="dxa"/>
            <w:left w:w="0" w:type="dxa"/>
            <w:bottom w:w="0" w:type="dxa"/>
            <w:right w:w="0" w:type="dxa"/>
          </w:tblCellMar>
        </w:tblPrEx>
        <w:trPr>
          <w:cantSplit/>
          <w:trHeight w:val="850"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DC01C41">
            <w:pPr>
              <w:tabs>
                <w:tab w:val="left" w:pos="420"/>
              </w:tabs>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磋商有效期</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EEBD75B">
            <w:pPr>
              <w:tabs>
                <w:tab w:val="left" w:pos="420"/>
              </w:tabs>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r>
      <w:tr w14:paraId="55E1F257">
        <w:tblPrEx>
          <w:tblCellMar>
            <w:top w:w="0" w:type="dxa"/>
            <w:left w:w="0" w:type="dxa"/>
            <w:bottom w:w="0" w:type="dxa"/>
            <w:right w:w="0" w:type="dxa"/>
          </w:tblCellMar>
        </w:tblPrEx>
        <w:trPr>
          <w:cantSplit/>
          <w:trHeight w:val="1177" w:hRule="atLeast"/>
          <w:jc w:val="center"/>
        </w:trPr>
        <w:tc>
          <w:tcPr>
            <w:tcW w:w="186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5837E3D">
            <w:pPr>
              <w:tabs>
                <w:tab w:val="left" w:pos="420"/>
              </w:tabs>
              <w:jc w:val="center"/>
              <w:rPr>
                <w:rFonts w:hint="eastAsia" w:ascii="宋体" w:hAnsi="宋体" w:cs="宋体"/>
                <w:color w:val="auto"/>
                <w:szCs w:val="21"/>
                <w:highlight w:val="none"/>
              </w:rPr>
            </w:pPr>
            <w:r>
              <w:rPr>
                <w:rFonts w:hint="eastAsia" w:ascii="宋体" w:hAnsi="宋体" w:cs="宋体"/>
                <w:color w:val="auto"/>
                <w:szCs w:val="21"/>
                <w:highlight w:val="none"/>
              </w:rPr>
              <w:t>其他声明</w:t>
            </w:r>
          </w:p>
        </w:tc>
        <w:tc>
          <w:tcPr>
            <w:tcW w:w="701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23EC2CA">
            <w:pPr>
              <w:tabs>
                <w:tab w:val="left" w:pos="420"/>
              </w:tabs>
              <w:jc w:val="center"/>
              <w:rPr>
                <w:rFonts w:hint="eastAsia" w:ascii="宋体" w:hAnsi="宋体" w:cs="宋体"/>
                <w:color w:val="auto"/>
                <w:szCs w:val="21"/>
                <w:highlight w:val="none"/>
              </w:rPr>
            </w:pPr>
          </w:p>
        </w:tc>
      </w:tr>
    </w:tbl>
    <w:p w14:paraId="7C5BC180">
      <w:pPr>
        <w:tabs>
          <w:tab w:val="left" w:pos="420"/>
        </w:tabs>
        <w:spacing w:line="440" w:lineRule="exact"/>
        <w:ind w:firstLine="0" w:firstLineChars="0"/>
        <w:jc w:val="left"/>
        <w:rPr>
          <w:rFonts w:hint="eastAsia" w:ascii="宋体" w:hAnsi="宋体" w:cs="宋体"/>
          <w:color w:val="auto"/>
          <w:szCs w:val="21"/>
          <w:highlight w:val="none"/>
          <w:lang w:val="en-US" w:eastAsia="zh-CN"/>
        </w:rPr>
      </w:pPr>
    </w:p>
    <w:p w14:paraId="6A1EC125">
      <w:pPr>
        <w:tabs>
          <w:tab w:val="left" w:pos="420"/>
        </w:tabs>
        <w:spacing w:line="440" w:lineRule="exact"/>
        <w:ind w:firstLine="3758" w:firstLineChars="1790"/>
        <w:jc w:val="lef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（盖单位公章）</w:t>
      </w:r>
    </w:p>
    <w:p w14:paraId="2C07ED6D">
      <w:pPr>
        <w:tabs>
          <w:tab w:val="left" w:pos="420"/>
        </w:tabs>
        <w:spacing w:line="440" w:lineRule="exact"/>
        <w:ind w:firstLine="3758" w:firstLineChars="1790"/>
        <w:jc w:val="left"/>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5549BC96">
      <w:pPr>
        <w:tabs>
          <w:tab w:val="left" w:pos="420"/>
        </w:tabs>
        <w:spacing w:line="440" w:lineRule="exact"/>
        <w:ind w:firstLine="3758" w:firstLineChars="1790"/>
        <w:rPr>
          <w:rFonts w:hint="eastAsia" w:ascii="宋体" w:hAnsi="宋体" w:cs="宋体"/>
          <w:b/>
          <w:color w:val="auto"/>
          <w:kern w:val="0"/>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EEF5B38">
      <w:pPr>
        <w:tabs>
          <w:tab w:val="left" w:pos="420"/>
        </w:tabs>
        <w:jc w:val="center"/>
        <w:outlineLvl w:val="1"/>
        <w:rPr>
          <w:rFonts w:hint="eastAsia" w:ascii="宋体" w:hAnsi="宋体" w:cs="宋体"/>
          <w:b/>
          <w:color w:val="auto"/>
          <w:kern w:val="0"/>
          <w:sz w:val="30"/>
          <w:szCs w:val="30"/>
          <w:highlight w:val="none"/>
        </w:rPr>
      </w:pPr>
      <w:r>
        <w:rPr>
          <w:rFonts w:hint="eastAsia" w:ascii="宋体" w:hAnsi="宋体" w:cs="宋体"/>
          <w:b/>
          <w:color w:val="auto"/>
          <w:kern w:val="0"/>
          <w:sz w:val="30"/>
          <w:szCs w:val="30"/>
          <w:highlight w:val="none"/>
        </w:rPr>
        <w:br w:type="page"/>
      </w:r>
      <w:bookmarkStart w:id="362" w:name="_Toc1548"/>
      <w:bookmarkStart w:id="363" w:name="_Toc23918"/>
      <w:bookmarkStart w:id="364" w:name="_Toc25419"/>
      <w:bookmarkStart w:id="365" w:name="_Toc6788"/>
      <w:bookmarkStart w:id="366" w:name="_Toc6725"/>
      <w:bookmarkStart w:id="367" w:name="_Toc14354"/>
      <w:bookmarkStart w:id="368" w:name="_Toc18315"/>
      <w:bookmarkStart w:id="369" w:name="_Toc14296"/>
      <w:bookmarkStart w:id="370" w:name="_Toc19156"/>
      <w:bookmarkStart w:id="371" w:name="_Toc10727"/>
      <w:bookmarkStart w:id="372" w:name="_Toc27729"/>
      <w:bookmarkStart w:id="373" w:name="_Toc9828"/>
      <w:bookmarkStart w:id="374" w:name="_Toc15263"/>
      <w:bookmarkStart w:id="375" w:name="_Toc4651"/>
      <w:bookmarkStart w:id="376" w:name="_Toc32610"/>
      <w:bookmarkStart w:id="377" w:name="_Toc8038"/>
      <w:bookmarkStart w:id="378" w:name="_Toc27669"/>
      <w:bookmarkStart w:id="379" w:name="_Toc3301"/>
      <w:r>
        <w:rPr>
          <w:rFonts w:hint="eastAsia" w:ascii="宋体" w:hAnsi="宋体" w:cs="宋体"/>
          <w:b/>
          <w:color w:val="auto"/>
          <w:kern w:val="0"/>
          <w:sz w:val="30"/>
          <w:szCs w:val="30"/>
          <w:highlight w:val="none"/>
        </w:rPr>
        <w:t>四、</w:t>
      </w:r>
      <w:bookmarkEnd w:id="362"/>
      <w:bookmarkEnd w:id="363"/>
      <w:bookmarkEnd w:id="364"/>
      <w:bookmarkEnd w:id="365"/>
      <w:bookmarkEnd w:id="366"/>
      <w:r>
        <w:rPr>
          <w:rFonts w:hint="eastAsia" w:ascii="宋体" w:hAnsi="宋体" w:cs="宋体"/>
          <w:b/>
          <w:color w:val="auto"/>
          <w:kern w:val="0"/>
          <w:sz w:val="30"/>
          <w:szCs w:val="30"/>
          <w:highlight w:val="none"/>
        </w:rPr>
        <w:t>资格证明文件</w:t>
      </w:r>
      <w:bookmarkEnd w:id="367"/>
      <w:bookmarkEnd w:id="368"/>
      <w:bookmarkEnd w:id="369"/>
      <w:bookmarkEnd w:id="370"/>
      <w:bookmarkEnd w:id="371"/>
      <w:bookmarkEnd w:id="372"/>
      <w:bookmarkEnd w:id="373"/>
      <w:bookmarkEnd w:id="374"/>
      <w:bookmarkEnd w:id="375"/>
      <w:bookmarkEnd w:id="376"/>
      <w:bookmarkEnd w:id="377"/>
      <w:bookmarkEnd w:id="378"/>
      <w:bookmarkEnd w:id="379"/>
    </w:p>
    <w:p w14:paraId="6C30E6C8">
      <w:pPr>
        <w:pStyle w:val="16"/>
        <w:ind w:firstLine="210"/>
        <w:rPr>
          <w:rFonts w:hint="eastAsia"/>
          <w:color w:val="auto"/>
          <w:highlight w:val="none"/>
        </w:rPr>
      </w:pPr>
    </w:p>
    <w:p w14:paraId="2B2C5C10">
      <w:pPr>
        <w:tabs>
          <w:tab w:val="left" w:pos="420"/>
        </w:tabs>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供应商资格证明文件应包含但不限于以下内容：</w:t>
      </w:r>
    </w:p>
    <w:p w14:paraId="2A4AC07E">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 符合《中华人民共和国政府采购法》第二十二条及《中华人民共和国政府采购法实施条例》第十七条条件，并提供下列材料：</w:t>
      </w:r>
    </w:p>
    <w:p w14:paraId="515B096A">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1.1具有独立承担民事责任的能力的证明材料：</w:t>
      </w:r>
    </w:p>
    <w:p w14:paraId="6CBCCB16">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供应商为企业（包括合伙企业）的，应提供有效的“营业执照”；</w:t>
      </w:r>
    </w:p>
    <w:p w14:paraId="5C3ABB8C">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供应商为事业单位的，应提供有效的“事业单位法人证书”；</w:t>
      </w:r>
    </w:p>
    <w:p w14:paraId="235AA700">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供应商是非企业机构的，应提供有效的“执业许可证”“登记证书”等证明文件；</w:t>
      </w:r>
    </w:p>
    <w:p w14:paraId="034EFAAC">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供应商是个体工商户的，应提供有效的“个体工商户营业执照”；</w:t>
      </w:r>
    </w:p>
    <w:p w14:paraId="0340728A">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供应商是自然人的，应提供有效的自然人身份证明。</w:t>
      </w:r>
    </w:p>
    <w:p w14:paraId="3D0A74EA">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 具有良好的商业信誉和健全的财务会计制度。供应商是企业法人的，应提供2025年度经审计的财务报告（新成立企业从成立之日起计算），包括“三表一注”，即资产负债表、利润表（损益表）、现金流量表及其附注或基本开户银行出具的资信证明。部分其他组织和自然人，没有经审计的财务报告，可以提供银行出具的资信证明。供应商为事业单位的，应至少提供近一年的资产负债表。</w:t>
      </w:r>
    </w:p>
    <w:p w14:paraId="630C93D2">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 具有履行合同所必需的设备和专业技术能力。提供承诺函，格式自拟。</w:t>
      </w:r>
    </w:p>
    <w:p w14:paraId="41A77CE5">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 具有依法缴纳税收和社会保障资金的良好记录。供应商提供2026年1月1日以来任意1个月缴纳税收和社会保险的凭证（新成立企业从成立之日起计算，依法免税或不需要缴纳社会保障资金的供应商，应提供相应行政部门出具的证明文件）。</w:t>
      </w:r>
    </w:p>
    <w:p w14:paraId="33A78BFF">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 参加政府采购活动前三年内，在经营活动中没有重大违法记录。提供承诺函，格式自拟。</w:t>
      </w:r>
    </w:p>
    <w:p w14:paraId="5AE20D20">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2、本项目的特定资格要求：</w:t>
      </w:r>
    </w:p>
    <w:p w14:paraId="4DB100DA">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2.1本项目须具有行政主管部门颁发的有效的《出版物经营许可证》。</w:t>
      </w:r>
    </w:p>
    <w:p w14:paraId="032AE071">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根据《财政部关于在政府采购活动中查询及使用信用记录有关问题的通知》(财库[2016]125号)和豫财购【2016】15号的规定，对列入失信被执行人、重大税收违法失信主体、政府采购严重违法失信行为记录名单的供应商，拒绝参与本项目采购活动。（投标截止时间后，资格审查时，采购代理机构通过 “信用中国”网站(www.creditchina.gov.cn)查询“重大税收违法失信主体”、“政府采购严重违法失信行为记录名单”，通过“中国执行信息公开网”网站（http://zxgk.court.gov.cn/）查询“失信被执行人”，通过“中国政府采购网” 网站(www.ccgp.gov.cn)查询“政府采购严重违法失信行为记录名单”渠道查询供应商信用记录。）</w:t>
      </w:r>
    </w:p>
    <w:p w14:paraId="5A02B119">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2.3单位负责人为同一人或者存在直接控股、管理关系的不同供应商，不得参加同一合同项下的政府采购活动。提供承诺函，格式自拟。</w:t>
      </w:r>
    </w:p>
    <w:p w14:paraId="638D1760">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2.4除单一来源采购项目外，为采购项目提供整体设计、规范编制或者项目管理、监理、检测等服务的供应商，不得再参加该采购项目的其他采购活动。提供承诺函，格式自拟。</w:t>
      </w:r>
    </w:p>
    <w:p w14:paraId="271D1E1C">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3BFE0D2D">
      <w:pPr>
        <w:tabs>
          <w:tab w:val="left" w:pos="420"/>
        </w:tabs>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1、以上相关证书在响应文件中附相应网页截图，并加盖供应商单位公章；</w:t>
      </w:r>
    </w:p>
    <w:p w14:paraId="7940E937">
      <w:pPr>
        <w:tabs>
          <w:tab w:val="left" w:pos="420"/>
        </w:tabs>
        <w:adjustRightInd w:val="0"/>
        <w:snapToGri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2、如发现供应商提供的查询截图存在不清晰、查询内容不全等问题，采购人或采购代理机构在审查时可在相关网站上即时查询相应信息，即时查询结果作为最终资格审查依据。</w:t>
      </w:r>
    </w:p>
    <w:p w14:paraId="24CF9DA4">
      <w:pPr>
        <w:pStyle w:val="16"/>
        <w:tabs>
          <w:tab w:val="left" w:pos="420"/>
        </w:tabs>
        <w:ind w:firstLine="210"/>
        <w:rPr>
          <w:rFonts w:hint="eastAsia" w:ascii="宋体" w:hAnsi="宋体" w:cs="宋体"/>
          <w:color w:val="auto"/>
          <w:highlight w:val="none"/>
        </w:rPr>
      </w:pPr>
    </w:p>
    <w:p w14:paraId="3B7FEBE7">
      <w:pPr>
        <w:pStyle w:val="3"/>
        <w:numPr>
          <w:ilvl w:val="0"/>
          <w:numId w:val="7"/>
        </w:numPr>
        <w:tabs>
          <w:tab w:val="left" w:pos="420"/>
        </w:tabs>
        <w:jc w:val="center"/>
        <w:rPr>
          <w:rFonts w:cs="宋体"/>
          <w:color w:val="auto"/>
          <w:highlight w:val="none"/>
        </w:rPr>
      </w:pPr>
      <w:r>
        <w:rPr>
          <w:rFonts w:hint="eastAsia" w:ascii="宋体" w:hAnsi="宋体" w:cs="宋体"/>
          <w:b w:val="0"/>
          <w:color w:val="auto"/>
          <w:kern w:val="0"/>
          <w:sz w:val="30"/>
          <w:szCs w:val="30"/>
          <w:highlight w:val="none"/>
        </w:rPr>
        <w:br w:type="page"/>
      </w:r>
      <w:bookmarkStart w:id="380" w:name="_Toc5682"/>
      <w:bookmarkStart w:id="381" w:name="_Toc11150"/>
      <w:bookmarkStart w:id="382" w:name="_Toc23385"/>
      <w:bookmarkStart w:id="383" w:name="_Toc29851"/>
      <w:bookmarkStart w:id="384" w:name="_Toc8783"/>
      <w:bookmarkStart w:id="385" w:name="_Toc23891"/>
      <w:bookmarkStart w:id="386" w:name="_Toc26342"/>
      <w:bookmarkStart w:id="387" w:name="_Toc15835"/>
      <w:bookmarkStart w:id="388" w:name="_Toc8351"/>
      <w:bookmarkStart w:id="389" w:name="_Toc9100"/>
      <w:bookmarkStart w:id="390" w:name="_Toc28909"/>
      <w:bookmarkStart w:id="391" w:name="_Toc15455"/>
      <w:bookmarkStart w:id="392" w:name="_Toc32240"/>
      <w:bookmarkStart w:id="393" w:name="_Toc1442"/>
      <w:bookmarkStart w:id="394" w:name="_Toc18142"/>
      <w:bookmarkStart w:id="395" w:name="_Toc263835715"/>
      <w:bookmarkStart w:id="396" w:name="_Toc9618"/>
      <w:bookmarkStart w:id="397" w:name="_Toc28741"/>
      <w:bookmarkStart w:id="398" w:name="_Toc31938"/>
      <w:bookmarkStart w:id="399" w:name="_Toc25233"/>
      <w:bookmarkStart w:id="400" w:name="_Toc21336"/>
      <w:bookmarkStart w:id="401" w:name="_Toc5188"/>
      <w:r>
        <w:rPr>
          <w:rFonts w:hint="eastAsia" w:cs="宋体"/>
          <w:color w:val="auto"/>
          <w:highlight w:val="none"/>
          <w:lang w:val="en-US" w:eastAsia="zh-CN"/>
        </w:rPr>
        <w:t>技术部分</w:t>
      </w:r>
      <w:r>
        <w:rPr>
          <w:rFonts w:cs="宋体"/>
          <w:color w:val="auto"/>
          <w:highlight w:val="none"/>
        </w:rPr>
        <w:t>文件</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3DC79F33">
      <w:pPr>
        <w:tabs>
          <w:tab w:val="left" w:pos="420"/>
        </w:tabs>
        <w:spacing w:line="480" w:lineRule="auto"/>
        <w:ind w:left="0" w:leftChars="0" w:firstLine="420" w:firstLineChars="200"/>
        <w:jc w:val="both"/>
        <w:outlineLvl w:val="1"/>
        <w:rPr>
          <w:rFonts w:hint="eastAsia" w:ascii="宋体" w:hAnsi="宋体" w:eastAsia="宋体" w:cs="宋体"/>
          <w:szCs w:val="21"/>
        </w:rPr>
      </w:pPr>
      <w:bookmarkStart w:id="402" w:name="_Toc22779"/>
      <w:r>
        <w:rPr>
          <w:rFonts w:hint="eastAsia" w:ascii="宋体" w:hAnsi="宋体" w:eastAsia="宋体" w:cs="宋体"/>
          <w:szCs w:val="21"/>
        </w:rPr>
        <w:t>按</w:t>
      </w:r>
      <w:r>
        <w:rPr>
          <w:rFonts w:hint="eastAsia" w:ascii="宋体" w:hAnsi="宋体" w:eastAsia="宋体" w:cs="宋体"/>
          <w:szCs w:val="21"/>
          <w:lang w:val="en-US" w:eastAsia="zh-CN"/>
        </w:rPr>
        <w:t>竞争性磋商</w:t>
      </w:r>
      <w:r>
        <w:rPr>
          <w:rFonts w:hint="eastAsia" w:ascii="宋体" w:hAnsi="宋体" w:eastAsia="宋体" w:cs="宋体"/>
          <w:szCs w:val="21"/>
        </w:rPr>
        <w:t>文件“第</w:t>
      </w:r>
      <w:r>
        <w:rPr>
          <w:rFonts w:hint="eastAsia" w:ascii="宋体" w:hAnsi="宋体" w:eastAsia="宋体" w:cs="宋体"/>
          <w:szCs w:val="21"/>
          <w:lang w:val="en-US" w:eastAsia="zh-CN"/>
        </w:rPr>
        <w:t>五</w:t>
      </w:r>
      <w:r>
        <w:rPr>
          <w:rFonts w:hint="eastAsia" w:ascii="宋体" w:hAnsi="宋体" w:eastAsia="宋体" w:cs="宋体"/>
          <w:szCs w:val="21"/>
        </w:rPr>
        <w:t>章采购需求”以及“第</w:t>
      </w:r>
      <w:r>
        <w:rPr>
          <w:rFonts w:hint="eastAsia" w:ascii="宋体" w:hAnsi="宋体" w:eastAsia="宋体" w:cs="宋体"/>
          <w:szCs w:val="21"/>
          <w:lang w:val="en-US" w:eastAsia="zh-CN"/>
        </w:rPr>
        <w:t>三</w:t>
      </w:r>
      <w:r>
        <w:rPr>
          <w:rFonts w:hint="eastAsia" w:ascii="宋体" w:hAnsi="宋体" w:eastAsia="宋体" w:cs="宋体"/>
          <w:szCs w:val="21"/>
        </w:rPr>
        <w:t>章评审标准和方法”相关要求编制，格式自拟。</w:t>
      </w:r>
      <w:bookmarkEnd w:id="402"/>
    </w:p>
    <w:p w14:paraId="73FD995B">
      <w:pPr>
        <w:tabs>
          <w:tab w:val="left" w:pos="420"/>
        </w:tabs>
        <w:spacing w:line="480" w:lineRule="auto"/>
        <w:ind w:left="0" w:leftChars="0" w:firstLine="420" w:firstLineChars="200"/>
        <w:jc w:val="left"/>
        <w:outlineLvl w:val="1"/>
        <w:rPr>
          <w:rFonts w:hint="eastAsia" w:ascii="宋体" w:hAnsi="宋体" w:eastAsia="宋体" w:cs="宋体"/>
          <w:szCs w:val="21"/>
        </w:rPr>
      </w:pPr>
      <w:bookmarkStart w:id="403" w:name="_Toc27102"/>
      <w:r>
        <w:rPr>
          <w:rFonts w:hint="eastAsia" w:ascii="宋体" w:hAnsi="宋体" w:eastAsia="宋体" w:cs="宋体"/>
          <w:szCs w:val="21"/>
        </w:rPr>
        <w:t>1</w:t>
      </w:r>
      <w:r>
        <w:rPr>
          <w:rFonts w:hint="eastAsia" w:ascii="宋体" w:hAnsi="宋体" w:eastAsia="宋体" w:cs="宋体"/>
          <w:szCs w:val="21"/>
          <w:lang w:eastAsia="zh-CN"/>
        </w:rPr>
        <w:t>.</w:t>
      </w:r>
      <w:r>
        <w:rPr>
          <w:rFonts w:hint="eastAsia" w:ascii="宋体" w:hAnsi="宋体" w:eastAsia="宋体" w:cs="宋体"/>
          <w:szCs w:val="21"/>
        </w:rPr>
        <w:t>供货方案</w:t>
      </w:r>
      <w:bookmarkEnd w:id="403"/>
    </w:p>
    <w:p w14:paraId="7807A0DB">
      <w:pPr>
        <w:tabs>
          <w:tab w:val="left" w:pos="420"/>
        </w:tabs>
        <w:spacing w:line="480" w:lineRule="auto"/>
        <w:ind w:left="0" w:leftChars="0" w:firstLine="420" w:firstLineChars="200"/>
        <w:jc w:val="left"/>
        <w:outlineLvl w:val="1"/>
        <w:rPr>
          <w:rFonts w:hint="eastAsia" w:ascii="宋体" w:hAnsi="宋体" w:eastAsia="宋体" w:cs="宋体"/>
          <w:szCs w:val="21"/>
        </w:rPr>
      </w:pPr>
      <w:bookmarkStart w:id="404" w:name="_Toc1650"/>
      <w:r>
        <w:rPr>
          <w:rFonts w:hint="eastAsia" w:ascii="宋体" w:hAnsi="宋体" w:eastAsia="宋体" w:cs="宋体"/>
          <w:szCs w:val="21"/>
        </w:rPr>
        <w:t>2</w:t>
      </w:r>
      <w:r>
        <w:rPr>
          <w:rFonts w:hint="eastAsia" w:ascii="宋体" w:hAnsi="宋体" w:eastAsia="宋体" w:cs="宋体"/>
          <w:szCs w:val="21"/>
          <w:lang w:eastAsia="zh-CN"/>
        </w:rPr>
        <w:t>.</w:t>
      </w:r>
      <w:r>
        <w:rPr>
          <w:rFonts w:hint="eastAsia" w:ascii="宋体" w:hAnsi="宋体" w:eastAsia="宋体" w:cs="宋体"/>
          <w:szCs w:val="21"/>
        </w:rPr>
        <w:t>采购备货方案</w:t>
      </w:r>
      <w:bookmarkEnd w:id="404"/>
    </w:p>
    <w:p w14:paraId="357F0F29">
      <w:pPr>
        <w:tabs>
          <w:tab w:val="left" w:pos="420"/>
        </w:tabs>
        <w:spacing w:line="480" w:lineRule="auto"/>
        <w:ind w:left="0" w:leftChars="0" w:firstLine="420" w:firstLineChars="200"/>
        <w:jc w:val="left"/>
        <w:outlineLvl w:val="1"/>
        <w:rPr>
          <w:rFonts w:hint="eastAsia" w:ascii="宋体" w:hAnsi="宋体" w:eastAsia="宋体" w:cs="宋体"/>
          <w:szCs w:val="21"/>
        </w:rPr>
        <w:sectPr>
          <w:headerReference r:id="rId5" w:type="default"/>
          <w:footerReference r:id="rId6" w:type="default"/>
          <w:pgSz w:w="11906" w:h="16838"/>
          <w:pgMar w:top="1440" w:right="1080" w:bottom="1440" w:left="1080" w:header="851" w:footer="992" w:gutter="0"/>
          <w:pgNumType w:fmt="decimal" w:start="1"/>
          <w:cols w:space="720" w:num="1"/>
          <w:docGrid w:type="linesAndChars" w:linePitch="312" w:charSpace="0"/>
        </w:sectPr>
      </w:pPr>
      <w:bookmarkStart w:id="405" w:name="_Toc24431"/>
      <w:r>
        <w:rPr>
          <w:rFonts w:hint="eastAsia" w:ascii="宋体" w:hAnsi="宋体" w:eastAsia="宋体" w:cs="宋体"/>
          <w:szCs w:val="21"/>
        </w:rPr>
        <w:t>3</w:t>
      </w:r>
      <w:r>
        <w:rPr>
          <w:rFonts w:hint="eastAsia" w:ascii="宋体" w:hAnsi="宋体" w:eastAsia="宋体" w:cs="宋体"/>
          <w:szCs w:val="21"/>
          <w:lang w:eastAsia="zh-CN"/>
        </w:rPr>
        <w:t>.</w:t>
      </w:r>
      <w:r>
        <w:rPr>
          <w:rFonts w:hint="eastAsia" w:ascii="宋体" w:hAnsi="宋体" w:eastAsia="宋体" w:cs="宋体"/>
          <w:szCs w:val="21"/>
        </w:rPr>
        <w:t>应急保障措施</w:t>
      </w:r>
      <w:bookmarkEnd w:id="405"/>
    </w:p>
    <w:p w14:paraId="0BEBD682">
      <w:pPr>
        <w:pStyle w:val="3"/>
        <w:numPr>
          <w:ilvl w:val="0"/>
          <w:numId w:val="7"/>
        </w:numPr>
        <w:tabs>
          <w:tab w:val="left" w:pos="420"/>
        </w:tabs>
        <w:jc w:val="center"/>
        <w:rPr>
          <w:rFonts w:hint="eastAsia" w:ascii="宋体" w:hAnsi="宋体" w:cs="宋体"/>
          <w:color w:val="auto"/>
          <w:szCs w:val="21"/>
          <w:highlight w:val="none"/>
        </w:rPr>
      </w:pPr>
      <w:bookmarkStart w:id="406" w:name="_Toc14072"/>
      <w:bookmarkStart w:id="407" w:name="_Toc7622"/>
      <w:bookmarkStart w:id="408" w:name="_Toc6035"/>
      <w:bookmarkStart w:id="409" w:name="_Toc2200"/>
      <w:bookmarkStart w:id="410" w:name="_Toc21891"/>
      <w:bookmarkStart w:id="411" w:name="_Toc24007"/>
      <w:bookmarkStart w:id="412" w:name="_Toc32363"/>
      <w:bookmarkStart w:id="413" w:name="_Toc31032"/>
      <w:bookmarkStart w:id="414" w:name="_Toc17609"/>
      <w:bookmarkStart w:id="415" w:name="_Toc12349"/>
      <w:r>
        <w:rPr>
          <w:rFonts w:hint="eastAsia" w:cs="宋体"/>
          <w:b/>
          <w:bCs/>
          <w:color w:val="auto"/>
          <w:szCs w:val="21"/>
          <w:highlight w:val="none"/>
          <w:lang w:val="en-US" w:eastAsia="zh-CN"/>
        </w:rPr>
        <w:t>综合</w:t>
      </w:r>
      <w:r>
        <w:rPr>
          <w:rFonts w:hint="eastAsia" w:ascii="宋体" w:hAnsi="宋体" w:eastAsia="宋体" w:cs="宋体"/>
          <w:color w:val="auto"/>
          <w:highlight w:val="none"/>
          <w:lang w:val="en-US" w:eastAsia="zh-CN"/>
        </w:rPr>
        <w:t>部分</w:t>
      </w:r>
      <w:r>
        <w:rPr>
          <w:rFonts w:ascii="宋体" w:hAnsi="宋体" w:eastAsia="宋体" w:cs="宋体"/>
          <w:color w:val="auto"/>
          <w:highlight w:val="none"/>
        </w:rPr>
        <w:t>文件</w:t>
      </w:r>
      <w:bookmarkEnd w:id="395"/>
      <w:bookmarkEnd w:id="406"/>
      <w:bookmarkEnd w:id="407"/>
      <w:bookmarkEnd w:id="408"/>
      <w:bookmarkEnd w:id="409"/>
      <w:bookmarkEnd w:id="410"/>
      <w:bookmarkEnd w:id="411"/>
      <w:bookmarkEnd w:id="412"/>
      <w:bookmarkEnd w:id="413"/>
      <w:bookmarkEnd w:id="414"/>
      <w:bookmarkEnd w:id="415"/>
    </w:p>
    <w:p w14:paraId="63E62517">
      <w:pPr>
        <w:tabs>
          <w:tab w:val="left" w:pos="420"/>
        </w:tabs>
        <w:spacing w:line="360" w:lineRule="auto"/>
        <w:jc w:val="both"/>
        <w:outlineLvl w:val="1"/>
        <w:rPr>
          <w:rFonts w:hint="eastAsia" w:ascii="宋体" w:hAnsi="宋体" w:eastAsia="宋体" w:cs="宋体"/>
          <w:sz w:val="21"/>
          <w:szCs w:val="21"/>
        </w:rPr>
      </w:pPr>
      <w:bookmarkStart w:id="416" w:name="_Toc7375"/>
      <w:bookmarkStart w:id="417" w:name="_Toc127"/>
      <w:bookmarkStart w:id="418" w:name="_Toc4552"/>
      <w:bookmarkStart w:id="419" w:name="_Toc32226"/>
      <w:bookmarkStart w:id="420" w:name="_Toc24987"/>
      <w:bookmarkStart w:id="421" w:name="_Toc32605"/>
      <w:bookmarkStart w:id="422" w:name="_Toc9541"/>
      <w:bookmarkStart w:id="423" w:name="_Toc27773"/>
      <w:bookmarkStart w:id="424" w:name="_Toc7444"/>
      <w:bookmarkStart w:id="425" w:name="_Toc29180"/>
      <w:bookmarkStart w:id="426" w:name="_Toc28171"/>
      <w:bookmarkStart w:id="427" w:name="_Toc13983"/>
      <w:bookmarkStart w:id="428" w:name="_Toc27627"/>
      <w:bookmarkStart w:id="429" w:name="_Toc27586"/>
      <w:bookmarkStart w:id="430" w:name="_Toc29476"/>
      <w:bookmarkStart w:id="431" w:name="_Toc31236"/>
      <w:bookmarkStart w:id="432" w:name="_Toc1418"/>
      <w:bookmarkStart w:id="433" w:name="_Toc7506"/>
      <w:bookmarkStart w:id="434" w:name="_Toc8149"/>
      <w:bookmarkStart w:id="435" w:name="_Toc25320"/>
      <w:bookmarkStart w:id="436" w:name="_Toc394145987"/>
      <w:bookmarkStart w:id="437" w:name="_Toc5528"/>
      <w:bookmarkStart w:id="438" w:name="_Toc8388"/>
      <w:bookmarkStart w:id="439" w:name="_Toc32599"/>
      <w:r>
        <w:rPr>
          <w:rFonts w:hint="eastAsia" w:ascii="宋体" w:hAnsi="宋体" w:eastAsia="宋体" w:cs="宋体"/>
          <w:sz w:val="21"/>
          <w:szCs w:val="21"/>
        </w:rPr>
        <w:t>按</w:t>
      </w:r>
      <w:r>
        <w:rPr>
          <w:rFonts w:hint="eastAsia" w:ascii="宋体" w:hAnsi="宋体" w:eastAsia="宋体" w:cs="宋体"/>
          <w:sz w:val="21"/>
          <w:szCs w:val="21"/>
          <w:lang w:val="en-US" w:eastAsia="zh-CN"/>
        </w:rPr>
        <w:t>竞争性磋商</w:t>
      </w:r>
      <w:r>
        <w:rPr>
          <w:rFonts w:hint="eastAsia" w:ascii="宋体" w:hAnsi="宋体" w:eastAsia="宋体" w:cs="宋体"/>
          <w:sz w:val="21"/>
          <w:szCs w:val="21"/>
        </w:rPr>
        <w:t>文件“第</w:t>
      </w:r>
      <w:r>
        <w:rPr>
          <w:rFonts w:hint="eastAsia" w:ascii="宋体" w:hAnsi="宋体" w:eastAsia="宋体" w:cs="宋体"/>
          <w:sz w:val="21"/>
          <w:szCs w:val="21"/>
          <w:lang w:val="en-US" w:eastAsia="zh-CN"/>
        </w:rPr>
        <w:t>五</w:t>
      </w:r>
      <w:r>
        <w:rPr>
          <w:rFonts w:hint="eastAsia" w:ascii="宋体" w:hAnsi="宋体" w:eastAsia="宋体" w:cs="宋体"/>
          <w:sz w:val="21"/>
          <w:szCs w:val="21"/>
        </w:rPr>
        <w:t>章采购需求”以及“第</w:t>
      </w:r>
      <w:r>
        <w:rPr>
          <w:rFonts w:hint="eastAsia" w:ascii="宋体" w:hAnsi="宋体" w:eastAsia="宋体" w:cs="宋体"/>
          <w:sz w:val="21"/>
          <w:szCs w:val="21"/>
          <w:lang w:val="en-US" w:eastAsia="zh-CN"/>
        </w:rPr>
        <w:t>三</w:t>
      </w:r>
      <w:r>
        <w:rPr>
          <w:rFonts w:hint="eastAsia" w:ascii="宋体" w:hAnsi="宋体" w:eastAsia="宋体" w:cs="宋体"/>
          <w:sz w:val="21"/>
          <w:szCs w:val="21"/>
        </w:rPr>
        <w:t>章评审标准和方法”相关要求编制，格式自拟。</w:t>
      </w:r>
      <w:bookmarkEnd w:id="416"/>
      <w:bookmarkEnd w:id="417"/>
    </w:p>
    <w:p w14:paraId="1CE9D9DB">
      <w:pPr>
        <w:spacing w:line="360" w:lineRule="auto"/>
        <w:rPr>
          <w:rFonts w:hint="eastAsia" w:ascii="宋体" w:hAnsi="宋体" w:eastAsia="宋体" w:cs="宋体"/>
          <w:sz w:val="21"/>
          <w:szCs w:val="21"/>
        </w:rPr>
      </w:pPr>
      <w:r>
        <w:rPr>
          <w:rFonts w:hint="eastAsia" w:ascii="宋体" w:hAnsi="宋体" w:eastAsia="宋体" w:cs="宋体"/>
          <w:sz w:val="21"/>
          <w:szCs w:val="21"/>
        </w:rPr>
        <w:t>1、业绩</w:t>
      </w:r>
    </w:p>
    <w:tbl>
      <w:tblPr>
        <w:tblStyle w:val="18"/>
        <w:tblW w:w="9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960"/>
        <w:gridCol w:w="2040"/>
        <w:gridCol w:w="1778"/>
        <w:gridCol w:w="1658"/>
        <w:gridCol w:w="764"/>
      </w:tblGrid>
      <w:tr w14:paraId="33B1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958" w:type="dxa"/>
            <w:tcBorders>
              <w:top w:val="single" w:color="auto" w:sz="4" w:space="0"/>
              <w:left w:val="single" w:color="auto" w:sz="4" w:space="0"/>
              <w:bottom w:val="single" w:color="auto" w:sz="4" w:space="0"/>
              <w:right w:val="single" w:color="auto" w:sz="4" w:space="0"/>
            </w:tcBorders>
            <w:vAlign w:val="center"/>
          </w:tcPr>
          <w:p w14:paraId="1E801FF4">
            <w:pPr>
              <w:autoSpaceDE w:val="0"/>
              <w:autoSpaceDN w:val="0"/>
              <w:spacing w:line="360" w:lineRule="auto"/>
              <w:jc w:val="center"/>
              <w:rPr>
                <w:rFonts w:hint="eastAsia" w:ascii="宋体" w:hAnsi="宋体" w:eastAsia="宋体" w:cs="宋体"/>
                <w:b/>
                <w:bCs/>
                <w:kern w:val="0"/>
                <w:sz w:val="21"/>
                <w:szCs w:val="21"/>
                <w:lang w:val="zh-CN" w:bidi="zh-CN"/>
              </w:rPr>
            </w:pPr>
            <w:r>
              <w:rPr>
                <w:rFonts w:hint="eastAsia" w:ascii="宋体" w:hAnsi="宋体" w:eastAsia="宋体" w:cs="宋体"/>
                <w:b/>
                <w:bCs/>
                <w:kern w:val="0"/>
                <w:sz w:val="21"/>
                <w:szCs w:val="21"/>
                <w:lang w:val="zh-CN" w:bidi="zh-CN"/>
              </w:rPr>
              <w:t>序号</w:t>
            </w:r>
          </w:p>
        </w:tc>
        <w:tc>
          <w:tcPr>
            <w:tcW w:w="1960" w:type="dxa"/>
            <w:tcBorders>
              <w:top w:val="single" w:color="auto" w:sz="4" w:space="0"/>
              <w:left w:val="single" w:color="auto" w:sz="4" w:space="0"/>
              <w:bottom w:val="single" w:color="auto" w:sz="4" w:space="0"/>
              <w:right w:val="single" w:color="auto" w:sz="4" w:space="0"/>
            </w:tcBorders>
            <w:vAlign w:val="center"/>
          </w:tcPr>
          <w:p w14:paraId="7E3D4C8F">
            <w:pPr>
              <w:autoSpaceDE w:val="0"/>
              <w:autoSpaceDN w:val="0"/>
              <w:spacing w:line="360" w:lineRule="auto"/>
              <w:jc w:val="center"/>
              <w:rPr>
                <w:rFonts w:hint="eastAsia" w:ascii="宋体" w:hAnsi="宋体" w:eastAsia="宋体" w:cs="宋体"/>
                <w:b/>
                <w:bCs/>
                <w:kern w:val="0"/>
                <w:sz w:val="21"/>
                <w:szCs w:val="21"/>
                <w:lang w:val="zh-CN" w:bidi="zh-CN"/>
              </w:rPr>
            </w:pPr>
            <w:r>
              <w:rPr>
                <w:rFonts w:hint="eastAsia" w:ascii="宋体" w:hAnsi="宋体" w:eastAsia="宋体" w:cs="宋体"/>
                <w:b/>
                <w:bCs/>
                <w:kern w:val="0"/>
                <w:sz w:val="21"/>
                <w:szCs w:val="21"/>
                <w:lang w:bidi="zh-CN"/>
              </w:rPr>
              <w:t>项目</w:t>
            </w:r>
            <w:r>
              <w:rPr>
                <w:rFonts w:hint="eastAsia" w:ascii="宋体" w:hAnsi="宋体" w:eastAsia="宋体" w:cs="宋体"/>
                <w:b/>
                <w:bCs/>
                <w:kern w:val="0"/>
                <w:sz w:val="21"/>
                <w:szCs w:val="21"/>
                <w:lang w:val="zh-CN" w:bidi="zh-CN"/>
              </w:rPr>
              <w:t>名称</w:t>
            </w:r>
          </w:p>
        </w:tc>
        <w:tc>
          <w:tcPr>
            <w:tcW w:w="2040" w:type="dxa"/>
            <w:tcBorders>
              <w:top w:val="single" w:color="auto" w:sz="4" w:space="0"/>
              <w:left w:val="single" w:color="auto" w:sz="4" w:space="0"/>
              <w:bottom w:val="single" w:color="auto" w:sz="4" w:space="0"/>
              <w:right w:val="single" w:color="auto" w:sz="4" w:space="0"/>
            </w:tcBorders>
            <w:vAlign w:val="center"/>
          </w:tcPr>
          <w:p w14:paraId="3C045290">
            <w:pPr>
              <w:autoSpaceDE w:val="0"/>
              <w:autoSpaceDN w:val="0"/>
              <w:spacing w:line="360" w:lineRule="auto"/>
              <w:jc w:val="center"/>
              <w:rPr>
                <w:rFonts w:hint="eastAsia" w:ascii="宋体" w:hAnsi="宋体" w:eastAsia="宋体" w:cs="宋体"/>
                <w:b/>
                <w:bCs/>
                <w:kern w:val="0"/>
                <w:sz w:val="21"/>
                <w:szCs w:val="21"/>
                <w:lang w:val="zh-CN" w:bidi="zh-CN"/>
              </w:rPr>
            </w:pPr>
            <w:r>
              <w:rPr>
                <w:rFonts w:hint="eastAsia" w:ascii="宋体" w:hAnsi="宋体" w:eastAsia="宋体" w:cs="宋体"/>
                <w:b/>
                <w:bCs/>
                <w:kern w:val="0"/>
                <w:sz w:val="21"/>
                <w:szCs w:val="21"/>
                <w:lang w:val="zh-CN" w:bidi="zh-CN"/>
              </w:rPr>
              <w:t xml:space="preserve">项目甲方名称 </w:t>
            </w:r>
          </w:p>
        </w:tc>
        <w:tc>
          <w:tcPr>
            <w:tcW w:w="1778" w:type="dxa"/>
            <w:tcBorders>
              <w:top w:val="single" w:color="auto" w:sz="4" w:space="0"/>
              <w:left w:val="single" w:color="auto" w:sz="4" w:space="0"/>
              <w:bottom w:val="single" w:color="auto" w:sz="4" w:space="0"/>
              <w:right w:val="single" w:color="auto" w:sz="4" w:space="0"/>
            </w:tcBorders>
            <w:vAlign w:val="center"/>
          </w:tcPr>
          <w:p w14:paraId="699DDAF5">
            <w:pPr>
              <w:autoSpaceDE w:val="0"/>
              <w:autoSpaceDN w:val="0"/>
              <w:spacing w:line="360" w:lineRule="auto"/>
              <w:jc w:val="center"/>
              <w:rPr>
                <w:rFonts w:hint="eastAsia" w:ascii="宋体" w:hAnsi="宋体" w:eastAsia="宋体" w:cs="宋体"/>
                <w:b/>
                <w:bCs/>
                <w:kern w:val="0"/>
                <w:sz w:val="21"/>
                <w:szCs w:val="21"/>
                <w:lang w:val="zh-CN" w:bidi="zh-CN"/>
              </w:rPr>
            </w:pPr>
            <w:r>
              <w:rPr>
                <w:rFonts w:hint="eastAsia" w:ascii="宋体" w:hAnsi="宋体" w:eastAsia="宋体" w:cs="宋体"/>
                <w:b/>
                <w:bCs/>
                <w:kern w:val="0"/>
                <w:sz w:val="21"/>
                <w:szCs w:val="21"/>
                <w:lang w:val="zh-CN" w:bidi="zh-CN"/>
              </w:rPr>
              <w:t>合同签订日期</w:t>
            </w:r>
          </w:p>
        </w:tc>
        <w:tc>
          <w:tcPr>
            <w:tcW w:w="1658" w:type="dxa"/>
            <w:tcBorders>
              <w:top w:val="single" w:color="auto" w:sz="4" w:space="0"/>
              <w:left w:val="single" w:color="auto" w:sz="4" w:space="0"/>
              <w:bottom w:val="single" w:color="auto" w:sz="4" w:space="0"/>
              <w:right w:val="single" w:color="auto" w:sz="4" w:space="0"/>
            </w:tcBorders>
            <w:vAlign w:val="center"/>
          </w:tcPr>
          <w:p w14:paraId="7AD3DEB5">
            <w:pPr>
              <w:autoSpaceDE w:val="0"/>
              <w:autoSpaceDN w:val="0"/>
              <w:spacing w:line="360" w:lineRule="auto"/>
              <w:jc w:val="center"/>
              <w:rPr>
                <w:rFonts w:hint="eastAsia" w:ascii="宋体" w:hAnsi="宋体" w:eastAsia="宋体" w:cs="宋体"/>
                <w:b/>
                <w:bCs/>
                <w:kern w:val="0"/>
                <w:sz w:val="21"/>
                <w:szCs w:val="21"/>
                <w:lang w:bidi="zh-CN"/>
              </w:rPr>
            </w:pPr>
            <w:r>
              <w:rPr>
                <w:rFonts w:hint="eastAsia" w:ascii="宋体" w:hAnsi="宋体" w:eastAsia="宋体" w:cs="宋体"/>
                <w:b/>
                <w:bCs/>
                <w:kern w:val="0"/>
                <w:sz w:val="21"/>
                <w:szCs w:val="21"/>
                <w:lang w:bidi="zh-CN"/>
              </w:rPr>
              <w:t>合同金额</w:t>
            </w:r>
          </w:p>
        </w:tc>
        <w:tc>
          <w:tcPr>
            <w:tcW w:w="764" w:type="dxa"/>
            <w:tcBorders>
              <w:top w:val="single" w:color="auto" w:sz="4" w:space="0"/>
              <w:left w:val="single" w:color="auto" w:sz="4" w:space="0"/>
              <w:bottom w:val="single" w:color="auto" w:sz="4" w:space="0"/>
              <w:right w:val="single" w:color="auto" w:sz="4" w:space="0"/>
            </w:tcBorders>
            <w:vAlign w:val="center"/>
          </w:tcPr>
          <w:p w14:paraId="5D20F24E">
            <w:pPr>
              <w:autoSpaceDE w:val="0"/>
              <w:autoSpaceDN w:val="0"/>
              <w:spacing w:line="360" w:lineRule="auto"/>
              <w:jc w:val="center"/>
              <w:rPr>
                <w:rFonts w:hint="eastAsia" w:ascii="宋体" w:hAnsi="宋体" w:eastAsia="宋体" w:cs="宋体"/>
                <w:b/>
                <w:bCs/>
                <w:kern w:val="0"/>
                <w:sz w:val="21"/>
                <w:szCs w:val="21"/>
                <w:lang w:val="zh-CN" w:bidi="zh-CN"/>
              </w:rPr>
            </w:pPr>
            <w:r>
              <w:rPr>
                <w:rFonts w:hint="eastAsia" w:ascii="宋体" w:hAnsi="宋体" w:eastAsia="宋体" w:cs="宋体"/>
                <w:b/>
                <w:bCs/>
                <w:kern w:val="0"/>
                <w:sz w:val="21"/>
                <w:szCs w:val="21"/>
                <w:lang w:val="zh-CN" w:bidi="zh-CN"/>
              </w:rPr>
              <w:t>备注</w:t>
            </w:r>
          </w:p>
        </w:tc>
      </w:tr>
      <w:tr w14:paraId="457D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19F533DA">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374D4A46">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77DC5D1B">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58E6B0AC">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68417C43">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3C0F584C">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3FE7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303B1E73">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50FDB2CC">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7DAFAFFD">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63D9A7F8">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4F0E9ADB">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7367E9A7">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513D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720E296C">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69DD7093">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1B937312">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012E0702">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53CB643C">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1FEC391C">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7ABD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5E80CF97">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61BEC40A">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61F3D499">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3435691F">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41E289F9">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68681E6B">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7CF0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2CD29B66">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3BDC6C72">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68E8E6E5">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772FD084">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6D563AFF">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726BEA41">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189F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4E4819B7">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25352C3E">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269B49EA">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5FC783C5">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1F71DD7A">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155E9AAE">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2F6A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3E3E933F">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1FEF68C5">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6478B15F">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73BB83BD">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23E7E779">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3E5194E4">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432B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1497F966">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15363B68">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722AE646">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64C8C637">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7BC216A4">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0E320F9C">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62C3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0A582C2B">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259EF648">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53E8532C">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14724384">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2F3ECEF6">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3686436E">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78A6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58" w:type="dxa"/>
            <w:tcBorders>
              <w:top w:val="single" w:color="auto" w:sz="4" w:space="0"/>
              <w:left w:val="single" w:color="auto" w:sz="4" w:space="0"/>
              <w:bottom w:val="single" w:color="auto" w:sz="4" w:space="0"/>
              <w:right w:val="single" w:color="auto" w:sz="4" w:space="0"/>
            </w:tcBorders>
            <w:vAlign w:val="center"/>
          </w:tcPr>
          <w:p w14:paraId="135FB997">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34763E7A">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7356A8DC">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228307DC">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0FD275B8">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502DC3B1">
            <w:pPr>
              <w:autoSpaceDE w:val="0"/>
              <w:autoSpaceDN w:val="0"/>
              <w:spacing w:line="360" w:lineRule="auto"/>
              <w:ind w:firstLine="480"/>
              <w:jc w:val="center"/>
              <w:rPr>
                <w:rFonts w:hint="eastAsia" w:ascii="宋体" w:hAnsi="宋体" w:eastAsia="宋体" w:cs="宋体"/>
                <w:kern w:val="0"/>
                <w:sz w:val="21"/>
                <w:szCs w:val="21"/>
                <w:lang w:val="zh-CN" w:bidi="zh-CN"/>
              </w:rPr>
            </w:pPr>
          </w:p>
        </w:tc>
      </w:tr>
      <w:tr w14:paraId="1545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958" w:type="dxa"/>
            <w:tcBorders>
              <w:top w:val="single" w:color="auto" w:sz="4" w:space="0"/>
              <w:left w:val="single" w:color="auto" w:sz="4" w:space="0"/>
              <w:bottom w:val="single" w:color="auto" w:sz="4" w:space="0"/>
              <w:right w:val="single" w:color="auto" w:sz="4" w:space="0"/>
            </w:tcBorders>
            <w:vAlign w:val="center"/>
          </w:tcPr>
          <w:p w14:paraId="537DD2E3">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960" w:type="dxa"/>
            <w:tcBorders>
              <w:top w:val="single" w:color="auto" w:sz="4" w:space="0"/>
              <w:left w:val="single" w:color="auto" w:sz="4" w:space="0"/>
              <w:bottom w:val="single" w:color="auto" w:sz="4" w:space="0"/>
              <w:right w:val="single" w:color="auto" w:sz="4" w:space="0"/>
            </w:tcBorders>
            <w:vAlign w:val="center"/>
          </w:tcPr>
          <w:p w14:paraId="48160538">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2040" w:type="dxa"/>
            <w:tcBorders>
              <w:top w:val="single" w:color="auto" w:sz="4" w:space="0"/>
              <w:left w:val="single" w:color="auto" w:sz="4" w:space="0"/>
              <w:bottom w:val="single" w:color="auto" w:sz="4" w:space="0"/>
              <w:right w:val="single" w:color="auto" w:sz="4" w:space="0"/>
            </w:tcBorders>
            <w:vAlign w:val="center"/>
          </w:tcPr>
          <w:p w14:paraId="0CB4D9DB">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778" w:type="dxa"/>
            <w:tcBorders>
              <w:top w:val="single" w:color="auto" w:sz="4" w:space="0"/>
              <w:left w:val="single" w:color="auto" w:sz="4" w:space="0"/>
              <w:bottom w:val="single" w:color="auto" w:sz="4" w:space="0"/>
              <w:right w:val="single" w:color="auto" w:sz="4" w:space="0"/>
            </w:tcBorders>
            <w:vAlign w:val="center"/>
          </w:tcPr>
          <w:p w14:paraId="2F3B300A">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1658" w:type="dxa"/>
            <w:tcBorders>
              <w:top w:val="single" w:color="auto" w:sz="4" w:space="0"/>
              <w:left w:val="single" w:color="auto" w:sz="4" w:space="0"/>
              <w:bottom w:val="single" w:color="auto" w:sz="4" w:space="0"/>
              <w:right w:val="single" w:color="auto" w:sz="4" w:space="0"/>
            </w:tcBorders>
            <w:vAlign w:val="center"/>
          </w:tcPr>
          <w:p w14:paraId="1CC34E86">
            <w:pPr>
              <w:autoSpaceDE w:val="0"/>
              <w:autoSpaceDN w:val="0"/>
              <w:spacing w:line="360" w:lineRule="auto"/>
              <w:ind w:firstLine="480"/>
              <w:jc w:val="center"/>
              <w:rPr>
                <w:rFonts w:hint="eastAsia" w:ascii="宋体" w:hAnsi="宋体" w:eastAsia="宋体" w:cs="宋体"/>
                <w:kern w:val="0"/>
                <w:sz w:val="21"/>
                <w:szCs w:val="21"/>
                <w:lang w:val="zh-CN" w:bidi="zh-CN"/>
              </w:rPr>
            </w:pPr>
          </w:p>
        </w:tc>
        <w:tc>
          <w:tcPr>
            <w:tcW w:w="764" w:type="dxa"/>
            <w:tcBorders>
              <w:top w:val="single" w:color="auto" w:sz="4" w:space="0"/>
              <w:left w:val="single" w:color="auto" w:sz="4" w:space="0"/>
              <w:bottom w:val="single" w:color="auto" w:sz="4" w:space="0"/>
              <w:right w:val="single" w:color="auto" w:sz="4" w:space="0"/>
            </w:tcBorders>
            <w:vAlign w:val="center"/>
          </w:tcPr>
          <w:p w14:paraId="3D1C94FF">
            <w:pPr>
              <w:autoSpaceDE w:val="0"/>
              <w:autoSpaceDN w:val="0"/>
              <w:spacing w:line="360" w:lineRule="auto"/>
              <w:ind w:firstLine="480"/>
              <w:jc w:val="center"/>
              <w:rPr>
                <w:rFonts w:hint="eastAsia" w:ascii="宋体" w:hAnsi="宋体" w:eastAsia="宋体" w:cs="宋体"/>
                <w:kern w:val="0"/>
                <w:sz w:val="21"/>
                <w:szCs w:val="21"/>
                <w:lang w:val="zh-CN" w:bidi="zh-CN"/>
              </w:rPr>
            </w:pPr>
          </w:p>
        </w:tc>
      </w:tr>
    </w:tbl>
    <w:p w14:paraId="291F4327">
      <w:pPr>
        <w:spacing w:line="360" w:lineRule="auto"/>
        <w:rPr>
          <w:rFonts w:hint="eastAsia" w:ascii="宋体" w:hAnsi="宋体" w:eastAsia="宋体" w:cs="宋体"/>
          <w:sz w:val="21"/>
          <w:szCs w:val="21"/>
        </w:rPr>
      </w:pPr>
    </w:p>
    <w:p w14:paraId="5781DE74">
      <w:pPr>
        <w:spacing w:line="360" w:lineRule="auto"/>
        <w:rPr>
          <w:rFonts w:hint="eastAsia" w:ascii="宋体" w:hAnsi="宋体" w:eastAsia="宋体" w:cs="宋体"/>
          <w:sz w:val="21"/>
          <w:szCs w:val="21"/>
        </w:rPr>
        <w:sectPr>
          <w:pgSz w:w="11906" w:h="16838"/>
          <w:pgMar w:top="1440" w:right="1080" w:bottom="1440" w:left="1080" w:header="851" w:footer="992" w:gutter="0"/>
          <w:pgNumType w:fmt="decimal"/>
          <w:cols w:space="720" w:num="1"/>
          <w:docGrid w:type="linesAndChars" w:linePitch="312" w:charSpace="0"/>
        </w:sectPr>
      </w:pPr>
      <w:r>
        <w:rPr>
          <w:rFonts w:hint="eastAsia" w:ascii="宋体" w:hAnsi="宋体" w:eastAsia="宋体" w:cs="宋体"/>
          <w:sz w:val="21"/>
          <w:szCs w:val="21"/>
        </w:rPr>
        <w:t>本表仅为业绩汇总表，后附相应的证明材料，提供材料应清晰可读；</w:t>
      </w:r>
    </w:p>
    <w:p w14:paraId="5DD0A3F1">
      <w:pPr>
        <w:numPr>
          <w:ilvl w:val="0"/>
          <w:numId w:val="0"/>
        </w:numPr>
        <w:spacing w:line="360" w:lineRule="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rPr>
        <w:t>出版社授权</w:t>
      </w:r>
    </w:p>
    <w:p w14:paraId="4FF50AE0">
      <w:pPr>
        <w:spacing w:line="360" w:lineRule="auto"/>
        <w:rPr>
          <w:rFonts w:hint="eastAsia" w:ascii="宋体" w:hAnsi="宋体" w:eastAsia="宋体" w:cs="宋体"/>
          <w:sz w:val="21"/>
          <w:szCs w:val="21"/>
        </w:rPr>
      </w:pPr>
    </w:p>
    <w:p w14:paraId="4773AB14">
      <w:pPr>
        <w:spacing w:line="360" w:lineRule="auto"/>
        <w:rPr>
          <w:rFonts w:hint="eastAsia" w:ascii="宋体" w:hAnsi="宋体" w:eastAsia="宋体" w:cs="宋体"/>
          <w:sz w:val="21"/>
          <w:szCs w:val="21"/>
        </w:rPr>
      </w:pPr>
    </w:p>
    <w:p w14:paraId="5BA0714D">
      <w:pPr>
        <w:spacing w:line="360" w:lineRule="auto"/>
        <w:rPr>
          <w:rFonts w:hint="eastAsia" w:ascii="宋体" w:hAnsi="宋体" w:eastAsia="宋体" w:cs="宋体"/>
          <w:sz w:val="21"/>
          <w:szCs w:val="21"/>
        </w:rPr>
      </w:pPr>
      <w:r>
        <w:rPr>
          <w:rFonts w:hint="eastAsia" w:ascii="宋体" w:hAnsi="宋体" w:eastAsia="宋体" w:cs="宋体"/>
          <w:sz w:val="21"/>
          <w:szCs w:val="21"/>
        </w:rPr>
        <w:t>3、仓储能力</w:t>
      </w:r>
    </w:p>
    <w:p w14:paraId="052B2E41">
      <w:pPr>
        <w:spacing w:line="360" w:lineRule="auto"/>
        <w:ind w:left="399" w:leftChars="190"/>
        <w:rPr>
          <w:rFonts w:hint="eastAsia" w:ascii="宋体" w:hAnsi="宋体" w:eastAsia="宋体" w:cs="宋体"/>
          <w:sz w:val="21"/>
          <w:szCs w:val="21"/>
        </w:rPr>
      </w:pPr>
    </w:p>
    <w:p w14:paraId="069FA7AD">
      <w:pPr>
        <w:spacing w:line="360" w:lineRule="auto"/>
        <w:ind w:left="399" w:leftChars="190"/>
        <w:rPr>
          <w:rFonts w:hint="eastAsia" w:ascii="宋体" w:hAnsi="宋体" w:eastAsia="宋体" w:cs="宋体"/>
          <w:sz w:val="21"/>
          <w:szCs w:val="21"/>
        </w:rPr>
      </w:pPr>
    </w:p>
    <w:p w14:paraId="1B22801A">
      <w:pPr>
        <w:spacing w:line="360" w:lineRule="auto"/>
        <w:rPr>
          <w:rFonts w:hint="eastAsia" w:ascii="宋体" w:hAnsi="宋体" w:eastAsia="宋体" w:cs="宋体"/>
          <w:sz w:val="21"/>
          <w:szCs w:val="21"/>
        </w:rPr>
      </w:pPr>
      <w:r>
        <w:rPr>
          <w:rFonts w:hint="eastAsia" w:ascii="宋体" w:hAnsi="宋体" w:eastAsia="宋体" w:cs="宋体"/>
          <w:sz w:val="21"/>
          <w:szCs w:val="21"/>
        </w:rPr>
        <w:t>4、配送能力</w:t>
      </w:r>
    </w:p>
    <w:p w14:paraId="64CFF988">
      <w:pPr>
        <w:spacing w:line="360" w:lineRule="auto"/>
        <w:ind w:left="399" w:leftChars="190"/>
        <w:rPr>
          <w:rFonts w:hint="eastAsia" w:ascii="宋体" w:hAnsi="宋体" w:eastAsia="宋体" w:cs="宋体"/>
          <w:sz w:val="21"/>
          <w:szCs w:val="21"/>
        </w:rPr>
      </w:pPr>
    </w:p>
    <w:p w14:paraId="32FDC05C">
      <w:pPr>
        <w:spacing w:line="360" w:lineRule="auto"/>
        <w:ind w:left="399" w:leftChars="190"/>
        <w:rPr>
          <w:rFonts w:hint="eastAsia" w:ascii="宋体" w:hAnsi="宋体" w:eastAsia="宋体" w:cs="宋体"/>
          <w:sz w:val="21"/>
          <w:szCs w:val="21"/>
        </w:rPr>
      </w:pPr>
    </w:p>
    <w:p w14:paraId="4E83B04A">
      <w:pPr>
        <w:spacing w:line="360" w:lineRule="auto"/>
        <w:ind w:left="399" w:leftChars="190"/>
        <w:rPr>
          <w:rFonts w:hint="eastAsia" w:ascii="宋体" w:hAnsi="宋体" w:eastAsia="宋体" w:cs="宋体"/>
          <w:sz w:val="21"/>
          <w:szCs w:val="21"/>
        </w:rPr>
      </w:pPr>
    </w:p>
    <w:p w14:paraId="7ADE08CE">
      <w:pPr>
        <w:spacing w:line="360" w:lineRule="auto"/>
        <w:ind w:left="399" w:leftChars="190"/>
        <w:rPr>
          <w:rFonts w:hint="eastAsia" w:ascii="宋体" w:hAnsi="宋体" w:eastAsia="宋体" w:cs="宋体"/>
          <w:sz w:val="21"/>
          <w:szCs w:val="21"/>
        </w:rPr>
      </w:pPr>
    </w:p>
    <w:p w14:paraId="7CCE2FA5">
      <w:pPr>
        <w:spacing w:line="360" w:lineRule="auto"/>
        <w:rPr>
          <w:rFonts w:hint="eastAsia" w:ascii="宋体" w:hAnsi="宋体" w:eastAsia="宋体" w:cs="宋体"/>
          <w:sz w:val="21"/>
          <w:szCs w:val="21"/>
        </w:rPr>
      </w:pPr>
      <w:r>
        <w:rPr>
          <w:rFonts w:hint="eastAsia" w:ascii="宋体" w:hAnsi="宋体" w:eastAsia="宋体" w:cs="宋体"/>
          <w:sz w:val="21"/>
          <w:szCs w:val="21"/>
        </w:rPr>
        <w:t>5、售后服务方案</w:t>
      </w:r>
    </w:p>
    <w:p w14:paraId="13C53194">
      <w:pPr>
        <w:spacing w:line="480" w:lineRule="auto"/>
        <w:ind w:firstLine="420" w:firstLineChars="200"/>
        <w:rPr>
          <w:szCs w:val="21"/>
        </w:rPr>
      </w:pPr>
    </w:p>
    <w:p w14:paraId="016F92E9">
      <w:pPr>
        <w:tabs>
          <w:tab w:val="left" w:pos="420"/>
        </w:tabs>
        <w:spacing w:after="120"/>
        <w:jc w:val="center"/>
        <w:outlineLvl w:val="1"/>
        <w:rPr>
          <w:rFonts w:hint="eastAsia" w:ascii="宋体" w:hAnsi="宋体" w:cs="宋体"/>
          <w:b/>
          <w:color w:val="auto"/>
          <w:kern w:val="0"/>
          <w:sz w:val="30"/>
          <w:szCs w:val="30"/>
          <w:highlight w:val="none"/>
        </w:rPr>
      </w:pPr>
      <w:r>
        <w:rPr>
          <w:rFonts w:hint="eastAsia" w:ascii="宋体" w:hAnsi="宋体" w:cs="宋体"/>
          <w:color w:val="auto"/>
          <w:szCs w:val="21"/>
          <w:highlight w:val="none"/>
        </w:rPr>
        <w:br w:type="page"/>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Start w:id="440" w:name="_Toc5588"/>
      <w:bookmarkStart w:id="441" w:name="_Toc30093"/>
      <w:bookmarkStart w:id="442" w:name="_Toc28730"/>
      <w:bookmarkStart w:id="443" w:name="_Toc25289"/>
      <w:bookmarkStart w:id="444" w:name="_Toc9298"/>
      <w:bookmarkStart w:id="445" w:name="_Toc26358"/>
      <w:bookmarkStart w:id="446" w:name="_Toc7858"/>
      <w:bookmarkStart w:id="447" w:name="_Toc14747"/>
      <w:bookmarkStart w:id="448" w:name="_Toc25125"/>
      <w:bookmarkStart w:id="449" w:name="_Toc18605"/>
      <w:bookmarkStart w:id="450" w:name="_Toc11461"/>
      <w:bookmarkStart w:id="451" w:name="_Toc18101"/>
      <w:bookmarkStart w:id="452" w:name="_Toc29243"/>
      <w:r>
        <w:rPr>
          <w:rFonts w:hint="eastAsia" w:ascii="宋体" w:hAnsi="宋体" w:cs="宋体"/>
          <w:b/>
          <w:color w:val="auto"/>
          <w:kern w:val="0"/>
          <w:sz w:val="30"/>
          <w:szCs w:val="30"/>
          <w:highlight w:val="none"/>
          <w:lang w:val="en-US" w:eastAsia="zh-CN"/>
        </w:rPr>
        <w:t>七</w:t>
      </w:r>
      <w:r>
        <w:rPr>
          <w:rFonts w:hint="eastAsia" w:ascii="宋体" w:hAnsi="宋体" w:cs="宋体"/>
          <w:b/>
          <w:color w:val="auto"/>
          <w:kern w:val="0"/>
          <w:sz w:val="30"/>
          <w:szCs w:val="30"/>
          <w:highlight w:val="none"/>
        </w:rPr>
        <w:t>、反商业贿赂承诺书</w:t>
      </w:r>
      <w:bookmarkEnd w:id="396"/>
      <w:bookmarkEnd w:id="397"/>
      <w:bookmarkEnd w:id="398"/>
      <w:bookmarkEnd w:id="399"/>
      <w:bookmarkEnd w:id="400"/>
      <w:bookmarkEnd w:id="401"/>
      <w:bookmarkEnd w:id="440"/>
      <w:bookmarkEnd w:id="441"/>
      <w:bookmarkEnd w:id="442"/>
      <w:bookmarkEnd w:id="443"/>
      <w:bookmarkEnd w:id="444"/>
      <w:bookmarkEnd w:id="445"/>
      <w:bookmarkEnd w:id="446"/>
      <w:bookmarkEnd w:id="447"/>
      <w:bookmarkEnd w:id="448"/>
      <w:bookmarkEnd w:id="449"/>
      <w:bookmarkEnd w:id="450"/>
      <w:bookmarkEnd w:id="451"/>
      <w:bookmarkEnd w:id="452"/>
    </w:p>
    <w:p w14:paraId="4E62A74D">
      <w:pPr>
        <w:tabs>
          <w:tab w:val="left" w:pos="420"/>
        </w:tabs>
        <w:spacing w:line="360" w:lineRule="exact"/>
        <w:rPr>
          <w:rFonts w:hint="eastAsia" w:ascii="宋体" w:hAnsi="宋体" w:cs="宋体"/>
          <w:color w:val="auto"/>
          <w:szCs w:val="21"/>
          <w:highlight w:val="none"/>
        </w:rPr>
      </w:pPr>
    </w:p>
    <w:p w14:paraId="5196CE85">
      <w:pPr>
        <w:tabs>
          <w:tab w:val="left" w:pos="420"/>
        </w:tabs>
        <w:spacing w:line="600" w:lineRule="exact"/>
        <w:rPr>
          <w:rFonts w:hint="eastAsia" w:ascii="宋体" w:hAnsi="宋体" w:cs="宋体"/>
          <w:color w:val="auto"/>
          <w:szCs w:val="21"/>
          <w:highlight w:val="none"/>
        </w:rPr>
      </w:pPr>
      <w:r>
        <w:rPr>
          <w:rFonts w:hint="eastAsia" w:ascii="宋体" w:hAnsi="宋体" w:cs="宋体"/>
          <w:color w:val="auto"/>
          <w:szCs w:val="21"/>
          <w:highlight w:val="none"/>
        </w:rPr>
        <w:t>我公司承诺：</w:t>
      </w:r>
    </w:p>
    <w:p w14:paraId="2D9D748E">
      <w:pPr>
        <w:tabs>
          <w:tab w:val="left" w:pos="420"/>
        </w:tabs>
        <w:spacing w:line="6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在</w:t>
      </w:r>
      <w:r>
        <w:rPr>
          <w:rFonts w:hint="eastAsia" w:ascii="宋体" w:hAnsi="宋体" w:cs="宋体"/>
          <w:color w:val="auto"/>
          <w:szCs w:val="21"/>
          <w:highlight w:val="none"/>
          <w:u w:val="single"/>
        </w:rPr>
        <w:t>（项目名称）               采购</w:t>
      </w:r>
      <w:r>
        <w:rPr>
          <w:rFonts w:hint="eastAsia" w:ascii="宋体" w:hAnsi="宋体" w:cs="宋体"/>
          <w:color w:val="auto"/>
          <w:szCs w:val="21"/>
          <w:highlight w:val="none"/>
        </w:rPr>
        <w:t>活动中，我公司保证做到：</w:t>
      </w:r>
    </w:p>
    <w:p w14:paraId="4E2E978C">
      <w:pPr>
        <w:tabs>
          <w:tab w:val="left" w:pos="420"/>
        </w:tabs>
        <w:spacing w:line="6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一、公平参加本次采购活动。</w:t>
      </w:r>
    </w:p>
    <w:p w14:paraId="00D85F02">
      <w:pPr>
        <w:tabs>
          <w:tab w:val="left" w:pos="420"/>
        </w:tabs>
        <w:spacing w:line="6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二、杜绝任何形式的商业贿赂行为。不向国家工作人员、采购代理机构工作人员、评审专家及其亲属提供礼品礼金、回扣、佣金等费用。</w:t>
      </w:r>
    </w:p>
    <w:p w14:paraId="36A4D5E5">
      <w:pPr>
        <w:tabs>
          <w:tab w:val="left" w:pos="420"/>
        </w:tabs>
        <w:spacing w:line="6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三、若出现上述行为，我公司及参与磋商的工作人员愿意接受按照国家法律法规等有关规定的处罚。</w:t>
      </w:r>
    </w:p>
    <w:p w14:paraId="7D828051">
      <w:pPr>
        <w:tabs>
          <w:tab w:val="left" w:pos="420"/>
        </w:tabs>
        <w:spacing w:line="600" w:lineRule="exact"/>
        <w:rPr>
          <w:rFonts w:hint="eastAsia" w:ascii="宋体" w:hAnsi="宋体" w:cs="宋体"/>
          <w:color w:val="auto"/>
          <w:szCs w:val="21"/>
          <w:highlight w:val="none"/>
        </w:rPr>
      </w:pPr>
    </w:p>
    <w:p w14:paraId="4051CA95">
      <w:pPr>
        <w:tabs>
          <w:tab w:val="left" w:pos="420"/>
        </w:tabs>
        <w:spacing w:line="600" w:lineRule="exact"/>
        <w:rPr>
          <w:rFonts w:hint="eastAsia" w:ascii="宋体" w:hAnsi="宋体" w:cs="宋体"/>
          <w:color w:val="auto"/>
          <w:szCs w:val="21"/>
          <w:highlight w:val="none"/>
        </w:rPr>
      </w:pPr>
    </w:p>
    <w:p w14:paraId="6A102284">
      <w:pPr>
        <w:tabs>
          <w:tab w:val="left" w:pos="420"/>
        </w:tabs>
        <w:autoSpaceDE w:val="0"/>
        <w:autoSpaceDN w:val="0"/>
        <w:adjustRightInd w:val="0"/>
        <w:spacing w:line="480" w:lineRule="auto"/>
        <w:ind w:left="2520" w:firstLine="420"/>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（盖单位公章） </w:t>
      </w:r>
    </w:p>
    <w:p w14:paraId="14929B05">
      <w:pPr>
        <w:tabs>
          <w:tab w:val="left" w:pos="420"/>
        </w:tabs>
        <w:autoSpaceDE w:val="0"/>
        <w:autoSpaceDN w:val="0"/>
        <w:adjustRightInd w:val="0"/>
        <w:spacing w:line="480" w:lineRule="auto"/>
        <w:ind w:left="2520" w:firstLine="42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（签字或盖章） </w:t>
      </w:r>
    </w:p>
    <w:p w14:paraId="1B9A0A41">
      <w:pPr>
        <w:tabs>
          <w:tab w:val="left" w:pos="420"/>
        </w:tabs>
        <w:autoSpaceDE w:val="0"/>
        <w:autoSpaceDN w:val="0"/>
        <w:adjustRightInd w:val="0"/>
        <w:spacing w:line="480" w:lineRule="auto"/>
        <w:ind w:left="2520" w:firstLine="420"/>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7CF3C51">
      <w:pPr>
        <w:tabs>
          <w:tab w:val="left" w:pos="420"/>
        </w:tabs>
        <w:jc w:val="center"/>
        <w:rPr>
          <w:rFonts w:hint="eastAsia" w:ascii="宋体" w:hAnsi="宋体" w:cs="宋体"/>
          <w:b/>
          <w:color w:val="auto"/>
          <w:kern w:val="0"/>
          <w:sz w:val="30"/>
          <w:szCs w:val="30"/>
          <w:highlight w:val="none"/>
        </w:rPr>
      </w:pPr>
      <w:r>
        <w:rPr>
          <w:rFonts w:hint="eastAsia" w:ascii="宋体" w:hAnsi="宋体" w:cs="宋体"/>
          <w:b/>
          <w:color w:val="auto"/>
          <w:kern w:val="0"/>
          <w:sz w:val="30"/>
          <w:szCs w:val="30"/>
          <w:highlight w:val="none"/>
        </w:rPr>
        <w:br w:type="page"/>
      </w:r>
      <w:bookmarkStart w:id="453" w:name="_Toc13429"/>
      <w:bookmarkStart w:id="454" w:name="_Toc22222"/>
      <w:bookmarkStart w:id="455" w:name="_Toc29062"/>
      <w:bookmarkStart w:id="456" w:name="_Toc13056"/>
      <w:bookmarkStart w:id="457" w:name="_Toc30439"/>
      <w:bookmarkStart w:id="458" w:name="_Toc5680"/>
      <w:bookmarkStart w:id="459" w:name="_Toc26590"/>
      <w:bookmarkStart w:id="460" w:name="_Toc13134"/>
      <w:bookmarkStart w:id="461" w:name="_Toc10088"/>
      <w:r>
        <w:rPr>
          <w:rFonts w:hint="eastAsia" w:ascii="宋体" w:hAnsi="宋体" w:eastAsia="宋体" w:cs="宋体"/>
          <w:b/>
          <w:color w:val="auto"/>
          <w:kern w:val="0"/>
          <w:sz w:val="30"/>
          <w:szCs w:val="30"/>
          <w:highlight w:val="none"/>
          <w:lang w:val="en-US" w:eastAsia="zh-CN"/>
        </w:rPr>
        <w:t>八</w:t>
      </w:r>
      <w:r>
        <w:rPr>
          <w:rFonts w:hint="eastAsia" w:ascii="宋体" w:hAnsi="宋体" w:eastAsia="宋体" w:cs="宋体"/>
          <w:b/>
          <w:color w:val="auto"/>
          <w:kern w:val="0"/>
          <w:sz w:val="30"/>
          <w:szCs w:val="30"/>
          <w:highlight w:val="none"/>
        </w:rPr>
        <w:t>、投标承诺函</w:t>
      </w:r>
      <w:bookmarkEnd w:id="453"/>
      <w:bookmarkEnd w:id="454"/>
      <w:bookmarkEnd w:id="455"/>
      <w:bookmarkEnd w:id="456"/>
      <w:bookmarkEnd w:id="457"/>
    </w:p>
    <w:p w14:paraId="6D1D685B">
      <w:pPr>
        <w:tabs>
          <w:tab w:val="left" w:pos="420"/>
        </w:tabs>
        <w:spacing w:line="500" w:lineRule="exact"/>
        <w:jc w:val="left"/>
        <w:rPr>
          <w:rFonts w:hint="eastAsia" w:ascii="宋体" w:hAnsi="宋体" w:cs="宋体"/>
          <w:color w:val="auto"/>
          <w:szCs w:val="21"/>
          <w:highlight w:val="none"/>
        </w:rPr>
      </w:pPr>
      <w:r>
        <w:rPr>
          <w:rFonts w:hint="eastAsia" w:ascii="宋体" w:hAnsi="宋体" w:cs="宋体"/>
          <w:b/>
          <w:color w:val="auto"/>
          <w:szCs w:val="21"/>
          <w:highlight w:val="none"/>
        </w:rPr>
        <w:t>致：</w:t>
      </w:r>
      <w:r>
        <w:rPr>
          <w:rFonts w:hint="eastAsia" w:ascii="宋体" w:hAnsi="宋体" w:cs="宋体"/>
          <w:b/>
          <w:color w:val="auto"/>
          <w:szCs w:val="21"/>
          <w:highlight w:val="none"/>
          <w:u w:val="single"/>
        </w:rPr>
        <w:t xml:space="preserve">  （采购人名称）  </w:t>
      </w:r>
      <w:r>
        <w:rPr>
          <w:rFonts w:hint="eastAsia" w:ascii="宋体" w:hAnsi="宋体" w:cs="宋体"/>
          <w:color w:val="auto"/>
          <w:kern w:val="0"/>
          <w:szCs w:val="21"/>
          <w:highlight w:val="none"/>
          <w:lang w:bidi="ar"/>
        </w:rPr>
        <w:t>：</w:t>
      </w:r>
    </w:p>
    <w:p w14:paraId="23BC6A23">
      <w:pPr>
        <w:widowControl/>
        <w:tabs>
          <w:tab w:val="left" w:pos="420"/>
        </w:tabs>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我单位</w:t>
      </w:r>
      <w:r>
        <w:rPr>
          <w:rFonts w:hint="eastAsia" w:ascii="宋体" w:hAnsi="宋体" w:cs="宋体"/>
          <w:color w:val="auto"/>
          <w:kern w:val="0"/>
          <w:szCs w:val="21"/>
          <w:highlight w:val="none"/>
          <w:u w:val="single"/>
          <w:lang w:bidi="ar"/>
        </w:rPr>
        <w:t xml:space="preserve">             （供应商名称） </w:t>
      </w:r>
      <w:r>
        <w:rPr>
          <w:rFonts w:hint="eastAsia" w:ascii="宋体" w:hAnsi="宋体" w:cs="宋体"/>
          <w:color w:val="auto"/>
          <w:kern w:val="0"/>
          <w:szCs w:val="21"/>
          <w:highlight w:val="none"/>
          <w:lang w:bidi="ar"/>
        </w:rPr>
        <w:t>在参加</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采购项目活动中，根据</w:t>
      </w:r>
      <w:r>
        <w:rPr>
          <w:rFonts w:hint="eastAsia" w:ascii="宋体" w:hAnsi="宋体" w:cs="宋体"/>
          <w:color w:val="auto"/>
          <w:szCs w:val="21"/>
          <w:highlight w:val="none"/>
        </w:rPr>
        <w:t>本项目磋商文件的规定，现自愿做出如下承诺：</w:t>
      </w:r>
    </w:p>
    <w:p w14:paraId="14FB80FB">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1、具备磋商文件规定的资格要求；</w:t>
      </w:r>
    </w:p>
    <w:p w14:paraId="0F000E94">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2、完全接受和满足本项目</w:t>
      </w:r>
      <w:r>
        <w:rPr>
          <w:rFonts w:hint="eastAsia" w:ascii="宋体" w:hAnsi="宋体" w:cs="宋体"/>
          <w:color w:val="auto"/>
          <w:szCs w:val="21"/>
          <w:highlight w:val="none"/>
          <w:lang w:val="en-US" w:eastAsia="zh-CN"/>
        </w:rPr>
        <w:t>竞争磋商</w:t>
      </w:r>
      <w:r>
        <w:rPr>
          <w:rFonts w:hint="eastAsia" w:ascii="宋体" w:hAnsi="宋体" w:cs="宋体"/>
          <w:color w:val="auto"/>
          <w:szCs w:val="21"/>
          <w:highlight w:val="none"/>
        </w:rPr>
        <w:t>文件中规定的实质性要求，如对磋商文件有异议，已经在首次响应文件提交截止时间届满前依法进行维权救济，不存在对磋商文件有异议的同时又参加磋商以求侥幸中标或者为实现其他非法目的的行为。</w:t>
      </w:r>
    </w:p>
    <w:p w14:paraId="062ACDD9">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3、参加本次采购活动，不存在与单位负责人为同一人或者存在直接控股、管理关系的其他供应商参与同一合同项下的采购活动的行为。</w:t>
      </w:r>
    </w:p>
    <w:p w14:paraId="4FB71D1B">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4、参加本次采购活动，不存在和其他供应商在同一合同项下的采购项目中，同时委托同一个自然人、同一家庭的人员、同一单位的人员作为代理人的行为。</w:t>
      </w:r>
    </w:p>
    <w:p w14:paraId="61ACB9AF">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5、参加本次采购活动，不存在联合体投标。</w:t>
      </w:r>
    </w:p>
    <w:p w14:paraId="6E2C796A">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6、存在以下行为之一的愿意接受相关部门的处理：</w:t>
      </w:r>
    </w:p>
    <w:p w14:paraId="5F824B5F">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（1）磋商有效期内撤销响应文件的；</w:t>
      </w:r>
    </w:p>
    <w:p w14:paraId="19C9464E">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（2）在采购人确定成交人以前放弃成交候选资格的；</w:t>
      </w:r>
    </w:p>
    <w:p w14:paraId="190B9C67">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（3）由于成交人的原因未能按照磋商文件的规定与采购人签订合同；</w:t>
      </w:r>
    </w:p>
    <w:p w14:paraId="22897F80">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（4）由于成交人的原因未能按照磋商文件的规定交纳履约保证金；</w:t>
      </w:r>
    </w:p>
    <w:p w14:paraId="62B3F2DF">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（6）在响应文件中提供虚假材料谋取中标；</w:t>
      </w:r>
    </w:p>
    <w:p w14:paraId="73228535">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（6）与采购人、其他供应商或者采购代理机构恶意串通的；</w:t>
      </w:r>
    </w:p>
    <w:p w14:paraId="49266AB7">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（7）磋商有效期内，供应商在采购活动中有违法、违规、违纪行为。</w:t>
      </w:r>
    </w:p>
    <w:p w14:paraId="140D8A11">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若我单位被确定为成交人，我方将及时在规定的时间内领取中标（成交）通知书并足额交纳采购代理费；无正当理由不会拒绝与采购人订立采购合同，在签订采购合同时严格按照采购及响应文件确定的事项签订采购合同。</w:t>
      </w:r>
    </w:p>
    <w:p w14:paraId="7D76AF6E">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由此产生的一切法律后果和责任由我公司承担。我公司声明放弃对此提出任何异议和追索的权利。</w:t>
      </w:r>
    </w:p>
    <w:p w14:paraId="59B182C9">
      <w:pPr>
        <w:widowControl/>
        <w:tabs>
          <w:tab w:val="left" w:pos="420"/>
        </w:tabs>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本公司对上述承诺的内容事项真实性负责。如经查实上述承诺的内容事项存在虚假，我公司愿意接受以提供虚假材料谋取中标追究法律责任。</w:t>
      </w:r>
    </w:p>
    <w:p w14:paraId="51D3DF15">
      <w:pPr>
        <w:tabs>
          <w:tab w:val="left" w:pos="420"/>
        </w:tabs>
        <w:autoSpaceDE w:val="0"/>
        <w:autoSpaceDN w:val="0"/>
        <w:adjustRightInd w:val="0"/>
        <w:spacing w:line="360" w:lineRule="auto"/>
        <w:ind w:firstLine="420" w:firstLineChars="200"/>
        <w:jc w:val="right"/>
        <w:rPr>
          <w:rFonts w:hint="eastAsia" w:ascii="宋体" w:hAnsi="宋体" w:cs="宋体"/>
          <w:bCs/>
          <w:color w:val="auto"/>
          <w:kern w:val="0"/>
          <w:szCs w:val="21"/>
          <w:highlight w:val="none"/>
        </w:rPr>
      </w:pPr>
    </w:p>
    <w:p w14:paraId="3E9BFADC">
      <w:pPr>
        <w:tabs>
          <w:tab w:val="left" w:pos="420"/>
        </w:tabs>
        <w:spacing w:line="440" w:lineRule="exact"/>
        <w:ind w:firstLine="3758" w:firstLineChars="1790"/>
        <w:jc w:val="lef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（盖单位公章）</w:t>
      </w:r>
    </w:p>
    <w:p w14:paraId="5AC18BD2">
      <w:pPr>
        <w:tabs>
          <w:tab w:val="left" w:pos="420"/>
        </w:tabs>
        <w:spacing w:line="440" w:lineRule="exact"/>
        <w:ind w:firstLine="3758" w:firstLineChars="1790"/>
        <w:jc w:val="left"/>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3CC4B8EE">
      <w:pPr>
        <w:tabs>
          <w:tab w:val="left" w:pos="420"/>
        </w:tabs>
        <w:spacing w:line="440" w:lineRule="exact"/>
        <w:ind w:firstLine="3758" w:firstLineChars="1790"/>
        <w:rPr>
          <w:rFonts w:hint="eastAsia" w:ascii="宋体" w:hAnsi="宋体" w:cs="宋体"/>
          <w:color w:val="auto"/>
          <w:szCs w:val="21"/>
          <w:highlight w:val="none"/>
        </w:rPr>
        <w:sectPr>
          <w:headerReference r:id="rId7" w:type="default"/>
          <w:footerReference r:id="rId8" w:type="default"/>
          <w:pgSz w:w="11910" w:h="16840"/>
          <w:pgMar w:top="1440" w:right="1080" w:bottom="1440" w:left="1080" w:header="850" w:footer="992" w:gutter="0"/>
          <w:pgBorders>
            <w:top w:val="none" w:sz="0" w:space="0"/>
            <w:left w:val="none" w:sz="0" w:space="0"/>
            <w:bottom w:val="none" w:sz="0" w:space="0"/>
            <w:right w:val="none" w:sz="0" w:space="0"/>
          </w:pgBorders>
          <w:pgNumType w:fmt="decimal"/>
          <w:cols w:space="0" w:num="1"/>
          <w:rtlGutter w:val="0"/>
        </w:sect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bookmarkEnd w:id="458"/>
      <w:bookmarkEnd w:id="459"/>
      <w:bookmarkEnd w:id="460"/>
      <w:bookmarkEnd w:id="461"/>
      <w:bookmarkStart w:id="462" w:name="_Toc25950"/>
      <w:bookmarkStart w:id="463" w:name="_Toc6780"/>
      <w:bookmarkStart w:id="464" w:name="_Toc29057"/>
      <w:bookmarkStart w:id="465" w:name="_Toc15969"/>
      <w:bookmarkStart w:id="466" w:name="_Toc19224"/>
      <w:bookmarkStart w:id="467" w:name="_Toc12996"/>
    </w:p>
    <w:p w14:paraId="181799D5">
      <w:pPr>
        <w:pStyle w:val="34"/>
        <w:rPr>
          <w:rFonts w:hint="eastAsia"/>
          <w:color w:val="auto"/>
        </w:rPr>
      </w:pPr>
    </w:p>
    <w:p w14:paraId="6D1832D0">
      <w:pPr>
        <w:tabs>
          <w:tab w:val="left" w:pos="420"/>
        </w:tabs>
        <w:spacing w:line="520" w:lineRule="exact"/>
        <w:ind w:left="40"/>
        <w:jc w:val="center"/>
        <w:outlineLvl w:val="1"/>
        <w:rPr>
          <w:rFonts w:hint="eastAsia" w:ascii="宋体" w:hAnsi="宋体" w:cs="宋体"/>
          <w:b/>
          <w:color w:val="auto"/>
          <w:kern w:val="0"/>
          <w:sz w:val="30"/>
          <w:szCs w:val="30"/>
          <w:highlight w:val="none"/>
        </w:rPr>
      </w:pPr>
      <w:bookmarkStart w:id="468" w:name="_Toc23370"/>
      <w:bookmarkStart w:id="469" w:name="_Toc14041"/>
      <w:bookmarkStart w:id="470" w:name="_Toc5863"/>
      <w:bookmarkStart w:id="471" w:name="_Toc30060"/>
      <w:bookmarkStart w:id="472" w:name="_Toc24569"/>
      <w:bookmarkStart w:id="473" w:name="_Toc2855"/>
      <w:bookmarkStart w:id="474" w:name="_Toc3684"/>
      <w:bookmarkStart w:id="475" w:name="_Toc28782"/>
      <w:bookmarkStart w:id="476" w:name="_Toc2727"/>
      <w:bookmarkStart w:id="477" w:name="_Toc23906"/>
      <w:bookmarkStart w:id="478" w:name="_Toc22728"/>
      <w:bookmarkStart w:id="479" w:name="_Toc18232"/>
      <w:r>
        <w:rPr>
          <w:rFonts w:hint="eastAsia" w:ascii="宋体" w:hAnsi="宋体" w:cs="宋体"/>
          <w:b/>
          <w:color w:val="auto"/>
          <w:kern w:val="0"/>
          <w:sz w:val="30"/>
          <w:szCs w:val="30"/>
          <w:highlight w:val="none"/>
          <w:lang w:val="en-US" w:eastAsia="zh-CN"/>
        </w:rPr>
        <w:t>九</w:t>
      </w:r>
      <w:r>
        <w:rPr>
          <w:rFonts w:hint="eastAsia" w:ascii="宋体" w:hAnsi="宋体" w:cs="宋体"/>
          <w:b/>
          <w:color w:val="auto"/>
          <w:kern w:val="0"/>
          <w:sz w:val="30"/>
          <w:szCs w:val="30"/>
          <w:highlight w:val="none"/>
        </w:rPr>
        <w:t>、其他材料</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72EC2F7E">
      <w:pPr>
        <w:pStyle w:val="16"/>
        <w:tabs>
          <w:tab w:val="left" w:pos="420"/>
        </w:tabs>
        <w:ind w:firstLine="0" w:firstLineChars="0"/>
        <w:rPr>
          <w:rFonts w:hint="eastAsia" w:ascii="宋体" w:hAnsi="宋体" w:cs="宋体"/>
          <w:color w:val="auto"/>
          <w:highlight w:val="none"/>
        </w:rPr>
      </w:pPr>
    </w:p>
    <w:p w14:paraId="78A1E4E2">
      <w:pPr>
        <w:pStyle w:val="17"/>
        <w:tabs>
          <w:tab w:val="left" w:pos="420"/>
        </w:tabs>
        <w:rPr>
          <w:rFonts w:hint="eastAsia" w:ascii="宋体" w:hAnsi="宋体" w:cs="宋体"/>
          <w:color w:val="auto"/>
          <w:highlight w:val="none"/>
        </w:rPr>
      </w:pPr>
    </w:p>
    <w:p w14:paraId="2A28BB22">
      <w:pPr>
        <w:tabs>
          <w:tab w:val="left" w:pos="420"/>
        </w:tabs>
        <w:spacing w:line="480" w:lineRule="exact"/>
        <w:jc w:val="center"/>
        <w:rPr>
          <w:rFonts w:hint="eastAsia" w:ascii="宋体" w:hAnsi="宋体" w:cs="宋体"/>
          <w:color w:val="auto"/>
          <w:sz w:val="24"/>
          <w:highlight w:val="none"/>
        </w:rPr>
      </w:pPr>
      <w:r>
        <w:rPr>
          <w:rFonts w:hint="eastAsia" w:ascii="宋体" w:hAnsi="宋体" w:cs="宋体"/>
          <w:color w:val="auto"/>
          <w:sz w:val="24"/>
          <w:highlight w:val="none"/>
        </w:rPr>
        <w:t>磋商文件规定的其他材料及供应商认为需要提供的其他材料</w:t>
      </w:r>
    </w:p>
    <w:p w14:paraId="49D9FDB2">
      <w:pPr>
        <w:tabs>
          <w:tab w:val="left" w:pos="420"/>
        </w:tabs>
        <w:spacing w:line="480" w:lineRule="exact"/>
        <w:rPr>
          <w:rFonts w:hint="eastAsia" w:ascii="宋体" w:hAnsi="宋体" w:cs="宋体"/>
          <w:color w:val="auto"/>
          <w:highlight w:val="none"/>
        </w:rPr>
      </w:pPr>
    </w:p>
    <w:bookmarkEnd w:id="288"/>
    <w:bookmarkEnd w:id="289"/>
    <w:p w14:paraId="3F4D46AF">
      <w:pPr>
        <w:spacing w:before="4" w:line="360" w:lineRule="auto"/>
        <w:ind w:firstLine="420" w:firstLineChars="200"/>
        <w:rPr>
          <w:rFonts w:hint="eastAsia" w:ascii="宋体" w:hAnsi="宋体" w:cs="宋体"/>
          <w:color w:val="auto"/>
          <w:highlight w:val="none"/>
        </w:rPr>
      </w:pPr>
    </w:p>
    <w:p w14:paraId="3509E6DA">
      <w:pPr>
        <w:pStyle w:val="7"/>
        <w:rPr>
          <w:rFonts w:hint="eastAsia" w:ascii="宋体" w:hAnsi="宋体" w:cs="宋体"/>
          <w:color w:val="auto"/>
          <w:highlight w:val="none"/>
        </w:rPr>
      </w:pPr>
    </w:p>
    <w:p w14:paraId="77EA809C">
      <w:pPr>
        <w:pStyle w:val="6"/>
        <w:rPr>
          <w:rFonts w:hint="eastAsia" w:ascii="宋体" w:hAnsi="宋体" w:cs="宋体"/>
          <w:color w:val="auto"/>
          <w:highlight w:val="none"/>
        </w:rPr>
      </w:pPr>
    </w:p>
    <w:p w14:paraId="460600BD">
      <w:pPr>
        <w:pStyle w:val="7"/>
        <w:rPr>
          <w:rFonts w:hint="eastAsia" w:ascii="宋体" w:hAnsi="宋体" w:cs="宋体"/>
          <w:color w:val="auto"/>
          <w:highlight w:val="none"/>
        </w:rPr>
      </w:pPr>
    </w:p>
    <w:p w14:paraId="24283C42">
      <w:pPr>
        <w:pStyle w:val="6"/>
        <w:rPr>
          <w:rFonts w:hint="eastAsia" w:ascii="宋体" w:hAnsi="宋体" w:cs="宋体"/>
          <w:color w:val="auto"/>
          <w:highlight w:val="none"/>
        </w:rPr>
      </w:pPr>
    </w:p>
    <w:p w14:paraId="5575C1AB">
      <w:pPr>
        <w:pStyle w:val="7"/>
        <w:rPr>
          <w:rFonts w:hint="eastAsia" w:ascii="宋体" w:hAnsi="宋体" w:cs="宋体"/>
          <w:color w:val="auto"/>
          <w:highlight w:val="none"/>
        </w:rPr>
      </w:pPr>
    </w:p>
    <w:p w14:paraId="75BBD4ED">
      <w:pPr>
        <w:pStyle w:val="6"/>
        <w:rPr>
          <w:rFonts w:hint="eastAsia" w:ascii="宋体" w:hAnsi="宋体" w:cs="宋体"/>
          <w:color w:val="auto"/>
          <w:highlight w:val="none"/>
        </w:rPr>
      </w:pPr>
    </w:p>
    <w:p w14:paraId="2BD95F75">
      <w:pPr>
        <w:pStyle w:val="7"/>
        <w:rPr>
          <w:rFonts w:hint="eastAsia" w:ascii="宋体" w:hAnsi="宋体" w:cs="宋体"/>
          <w:color w:val="auto"/>
          <w:highlight w:val="none"/>
        </w:rPr>
      </w:pPr>
    </w:p>
    <w:p w14:paraId="59BE4763">
      <w:pPr>
        <w:pStyle w:val="6"/>
        <w:rPr>
          <w:rFonts w:hint="eastAsia" w:ascii="宋体" w:hAnsi="宋体" w:cs="宋体"/>
          <w:color w:val="auto"/>
          <w:highlight w:val="none"/>
        </w:rPr>
      </w:pPr>
    </w:p>
    <w:p w14:paraId="2098B866">
      <w:pPr>
        <w:pStyle w:val="7"/>
        <w:rPr>
          <w:rFonts w:hint="eastAsia" w:ascii="宋体" w:hAnsi="宋体" w:cs="宋体"/>
          <w:color w:val="auto"/>
          <w:highlight w:val="none"/>
        </w:rPr>
      </w:pPr>
    </w:p>
    <w:p w14:paraId="7CD0D717">
      <w:pPr>
        <w:pStyle w:val="6"/>
        <w:rPr>
          <w:rFonts w:hint="eastAsia" w:ascii="宋体" w:hAnsi="宋体" w:cs="宋体"/>
          <w:color w:val="auto"/>
          <w:highlight w:val="none"/>
        </w:rPr>
      </w:pPr>
    </w:p>
    <w:p w14:paraId="7CD52DAA">
      <w:pPr>
        <w:pStyle w:val="7"/>
        <w:rPr>
          <w:rFonts w:hint="eastAsia" w:ascii="宋体" w:hAnsi="宋体" w:cs="宋体"/>
          <w:color w:val="auto"/>
          <w:highlight w:val="none"/>
        </w:rPr>
      </w:pPr>
    </w:p>
    <w:p w14:paraId="2E427AD8">
      <w:pPr>
        <w:pStyle w:val="6"/>
        <w:rPr>
          <w:rFonts w:hint="eastAsia" w:ascii="宋体" w:hAnsi="宋体" w:cs="宋体"/>
          <w:color w:val="auto"/>
          <w:highlight w:val="none"/>
        </w:rPr>
      </w:pPr>
    </w:p>
    <w:p w14:paraId="5D16ACC3">
      <w:pPr>
        <w:pStyle w:val="7"/>
        <w:rPr>
          <w:rFonts w:hint="eastAsia" w:ascii="宋体" w:hAnsi="宋体" w:cs="宋体"/>
          <w:color w:val="auto"/>
          <w:highlight w:val="none"/>
        </w:rPr>
      </w:pPr>
    </w:p>
    <w:p w14:paraId="69EB3339">
      <w:pPr>
        <w:pStyle w:val="6"/>
        <w:rPr>
          <w:rFonts w:hint="eastAsia" w:ascii="宋体" w:hAnsi="宋体" w:cs="宋体"/>
          <w:color w:val="auto"/>
          <w:highlight w:val="none"/>
        </w:rPr>
      </w:pPr>
    </w:p>
    <w:p w14:paraId="4752EE0B">
      <w:pPr>
        <w:pStyle w:val="7"/>
        <w:rPr>
          <w:rFonts w:hint="eastAsia" w:ascii="宋体" w:hAnsi="宋体" w:cs="宋体"/>
          <w:color w:val="auto"/>
          <w:highlight w:val="none"/>
        </w:rPr>
      </w:pPr>
    </w:p>
    <w:p w14:paraId="751A2050">
      <w:pPr>
        <w:pStyle w:val="6"/>
        <w:rPr>
          <w:rFonts w:hint="eastAsia" w:ascii="宋体" w:hAnsi="宋体" w:cs="宋体"/>
          <w:color w:val="auto"/>
          <w:highlight w:val="none"/>
        </w:rPr>
      </w:pPr>
    </w:p>
    <w:p w14:paraId="226A9DE4">
      <w:pPr>
        <w:pStyle w:val="7"/>
        <w:rPr>
          <w:rFonts w:hint="eastAsia" w:ascii="宋体" w:hAnsi="宋体" w:cs="宋体"/>
          <w:color w:val="auto"/>
          <w:highlight w:val="none"/>
        </w:rPr>
      </w:pPr>
    </w:p>
    <w:p w14:paraId="2294DE54">
      <w:pPr>
        <w:pStyle w:val="6"/>
        <w:rPr>
          <w:rFonts w:hint="eastAsia" w:ascii="宋体" w:hAnsi="宋体" w:cs="宋体"/>
          <w:color w:val="auto"/>
          <w:highlight w:val="none"/>
        </w:rPr>
      </w:pPr>
    </w:p>
    <w:p w14:paraId="66159EED">
      <w:pPr>
        <w:pStyle w:val="7"/>
        <w:rPr>
          <w:rFonts w:hint="eastAsia" w:ascii="宋体" w:hAnsi="宋体" w:cs="宋体"/>
          <w:color w:val="auto"/>
          <w:highlight w:val="none"/>
        </w:rPr>
      </w:pPr>
    </w:p>
    <w:p w14:paraId="7F3012CC">
      <w:pPr>
        <w:rPr>
          <w:rFonts w:hint="eastAsia" w:ascii="宋体" w:hAnsi="宋体" w:cs="宋体"/>
          <w:color w:val="auto"/>
          <w:highlight w:val="none"/>
        </w:rPr>
      </w:pPr>
    </w:p>
    <w:p w14:paraId="24371211">
      <w:pPr>
        <w:pStyle w:val="16"/>
        <w:ind w:firstLine="210"/>
        <w:rPr>
          <w:rFonts w:hint="eastAsia"/>
          <w:color w:val="auto"/>
          <w:highlight w:val="none"/>
        </w:rPr>
      </w:pPr>
    </w:p>
    <w:p w14:paraId="5DD2B7A1">
      <w:pPr>
        <w:pStyle w:val="16"/>
        <w:ind w:firstLine="210"/>
        <w:rPr>
          <w:rFonts w:hint="eastAsia"/>
          <w:color w:val="auto"/>
          <w:highlight w:val="none"/>
        </w:rPr>
      </w:pPr>
    </w:p>
    <w:p w14:paraId="4C69E98F">
      <w:pPr>
        <w:pStyle w:val="6"/>
        <w:rPr>
          <w:rFonts w:hint="eastAsia"/>
          <w:color w:val="auto"/>
          <w:highlight w:val="none"/>
        </w:rPr>
      </w:pPr>
    </w:p>
    <w:p w14:paraId="0B6E6EBA">
      <w:pPr>
        <w:tabs>
          <w:tab w:val="left" w:pos="420"/>
        </w:tabs>
        <w:spacing w:line="520" w:lineRule="exact"/>
        <w:ind w:left="40"/>
        <w:jc w:val="center"/>
        <w:outlineLvl w:val="1"/>
        <w:rPr>
          <w:rFonts w:hint="eastAsia" w:ascii="宋体" w:hAnsi="宋体" w:cs="宋体"/>
          <w:b/>
          <w:color w:val="auto"/>
          <w:kern w:val="0"/>
          <w:sz w:val="30"/>
          <w:szCs w:val="30"/>
          <w:highlight w:val="none"/>
        </w:rPr>
      </w:pPr>
      <w:bookmarkStart w:id="480" w:name="_Toc22110"/>
      <w:bookmarkStart w:id="481" w:name="_Toc23561"/>
      <w:bookmarkStart w:id="482" w:name="_Toc21217"/>
      <w:bookmarkStart w:id="483" w:name="_Toc28438"/>
      <w:bookmarkStart w:id="484" w:name="_Toc6904"/>
      <w:bookmarkStart w:id="485" w:name="_Toc20451"/>
      <w:bookmarkStart w:id="486" w:name="_Toc14221"/>
      <w:bookmarkStart w:id="487" w:name="_Toc31214"/>
      <w:bookmarkStart w:id="488" w:name="_Toc25974"/>
      <w:bookmarkStart w:id="489" w:name="_Toc10223"/>
      <w:bookmarkStart w:id="490" w:name="_Toc6285"/>
      <w:bookmarkStart w:id="491" w:name="_Toc19824"/>
      <w:bookmarkStart w:id="492" w:name="_Toc10270"/>
      <w:bookmarkStart w:id="493" w:name="_Toc28530"/>
      <w:r>
        <w:rPr>
          <w:rFonts w:hint="eastAsia" w:ascii="宋体" w:hAnsi="宋体" w:cs="宋体"/>
          <w:b/>
          <w:color w:val="auto"/>
          <w:kern w:val="0"/>
          <w:sz w:val="30"/>
          <w:szCs w:val="30"/>
          <w:highlight w:val="none"/>
        </w:rPr>
        <w:t>十、</w:t>
      </w:r>
      <w:bookmarkStart w:id="494" w:name="_Toc497920544"/>
      <w:bookmarkStart w:id="495" w:name="_Toc500170705"/>
      <w:r>
        <w:rPr>
          <w:rFonts w:hint="eastAsia" w:ascii="宋体" w:hAnsi="宋体" w:cs="宋体"/>
          <w:b/>
          <w:color w:val="auto"/>
          <w:kern w:val="0"/>
          <w:sz w:val="30"/>
          <w:szCs w:val="30"/>
          <w:highlight w:val="none"/>
        </w:rPr>
        <w:t>中小微企业、残疾人福利企业、监狱企业</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bookmarkEnd w:id="494"/>
    <w:bookmarkEnd w:id="495"/>
    <w:p w14:paraId="56D99D4E">
      <w:pPr>
        <w:jc w:val="center"/>
        <w:rPr>
          <w:b/>
          <w:color w:val="auto"/>
          <w:sz w:val="28"/>
          <w:szCs w:val="28"/>
          <w:highlight w:val="none"/>
        </w:rPr>
      </w:pPr>
      <w:bookmarkStart w:id="496" w:name="_Toc497920545"/>
      <w:bookmarkStart w:id="497" w:name="_Toc500170706"/>
      <w:bookmarkStart w:id="498" w:name="_Hlk492844196"/>
      <w:r>
        <w:rPr>
          <w:rFonts w:hint="eastAsia"/>
          <w:b/>
          <w:color w:val="auto"/>
          <w:sz w:val="28"/>
          <w:szCs w:val="28"/>
          <w:highlight w:val="none"/>
        </w:rPr>
        <w:t>（一）中小企业声明函（</w:t>
      </w:r>
      <w:r>
        <w:rPr>
          <w:rFonts w:hint="eastAsia"/>
          <w:b/>
          <w:color w:val="auto"/>
          <w:sz w:val="28"/>
          <w:szCs w:val="28"/>
          <w:highlight w:val="none"/>
          <w:lang w:val="en-US" w:eastAsia="zh-CN"/>
        </w:rPr>
        <w:t>货物</w:t>
      </w:r>
      <w:r>
        <w:rPr>
          <w:rFonts w:hint="eastAsia"/>
          <w:b/>
          <w:color w:val="auto"/>
          <w:sz w:val="28"/>
          <w:szCs w:val="28"/>
          <w:highlight w:val="none"/>
        </w:rPr>
        <w:t>）</w:t>
      </w:r>
    </w:p>
    <w:p w14:paraId="244FEC59">
      <w:pPr>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（属于中小企业的填写，不属于的无需填写此项内容）</w:t>
      </w:r>
    </w:p>
    <w:p w14:paraId="359DFCA4">
      <w:pPr>
        <w:spacing w:line="460" w:lineRule="exact"/>
        <w:ind w:left="0" w:leftChars="0" w:firstLine="638" w:firstLineChars="304"/>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本公司（联合体）郑重声明，根据《政府釆购促进中小企业发展管理办法》（财库[2020]46号）的规定，本公司（联合体）參加</w:t>
      </w:r>
      <w:r>
        <w:rPr>
          <w:rFonts w:hint="eastAsia" w:ascii="宋体" w:hAnsi="宋体" w:cs="宋体"/>
          <w:color w:val="auto"/>
          <w:szCs w:val="21"/>
          <w:highlight w:val="none"/>
          <w:u w:val="single"/>
        </w:rPr>
        <w:t xml:space="preserve"> （单位名称）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（项目名称、包号）  </w:t>
      </w:r>
      <w:r>
        <w:rPr>
          <w:rFonts w:hint="eastAsia" w:ascii="宋体" w:hAnsi="宋体" w:cs="宋体"/>
          <w:color w:val="auto"/>
          <w:szCs w:val="21"/>
          <w:highlight w:val="none"/>
        </w:rPr>
        <w:t>釆购活动，提供的货物全部由符合政策要求的中小企业制造。相关企业（含联合体中的中小企业、签订分包意向协议的中小企业）的具体情况如下：</w:t>
      </w:r>
    </w:p>
    <w:p w14:paraId="2C25EABB">
      <w:pPr>
        <w:spacing w:line="460" w:lineRule="exact"/>
        <w:ind w:left="0" w:leftChars="0" w:firstLine="638" w:firstLineChars="304"/>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 xml:space="preserve"> （标的名称） </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行业；制造商为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人，营业收入为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w:t>
      </w:r>
      <w:r>
        <w:rPr>
          <w:rFonts w:hint="eastAsia" w:ascii="宋体" w:hAnsi="宋体" w:cs="宋体"/>
          <w:color w:val="auto"/>
          <w:szCs w:val="21"/>
          <w:highlight w:val="none"/>
          <w:vertAlign w:val="superscript"/>
        </w:rPr>
        <w:t>①</w:t>
      </w:r>
      <w:r>
        <w:rPr>
          <w:rFonts w:hint="eastAsia" w:ascii="宋体" w:hAnsi="宋体" w:cs="宋体"/>
          <w:color w:val="auto"/>
          <w:szCs w:val="21"/>
          <w:highlight w:val="none"/>
        </w:rPr>
        <w:t>，属于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71B6021F">
      <w:pPr>
        <w:spacing w:line="460" w:lineRule="exact"/>
        <w:ind w:left="0" w:leftChars="0" w:firstLine="638" w:firstLineChars="304"/>
        <w:rPr>
          <w:rFonts w:hint="eastAsia" w:ascii="宋体" w:hAnsi="宋体" w:cs="宋体"/>
          <w:color w:val="auto"/>
          <w:szCs w:val="21"/>
          <w:highlight w:val="none"/>
        </w:rPr>
      </w:pPr>
      <w:r>
        <w:rPr>
          <w:rFonts w:hint="eastAsia" w:ascii="宋体" w:hAnsi="宋体" w:cs="宋体"/>
          <w:color w:val="auto"/>
          <w:szCs w:val="21"/>
          <w:highlight w:val="none"/>
        </w:rPr>
        <w:t xml:space="preserve">2. </w:t>
      </w:r>
      <w:r>
        <w:rPr>
          <w:rFonts w:hint="eastAsia" w:ascii="宋体" w:hAnsi="宋体" w:cs="宋体"/>
          <w:color w:val="auto"/>
          <w:szCs w:val="21"/>
          <w:highlight w:val="none"/>
          <w:u w:val="single"/>
        </w:rPr>
        <w:t xml:space="preserve"> （标的名称） </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行业；制造商为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人，营业收入为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w:t>
      </w:r>
      <w:r>
        <w:rPr>
          <w:rFonts w:hint="eastAsia" w:ascii="宋体" w:hAnsi="宋体" w:cs="宋体"/>
          <w:color w:val="auto"/>
          <w:szCs w:val="21"/>
          <w:highlight w:val="none"/>
          <w:vertAlign w:val="superscript"/>
        </w:rPr>
        <w:t>①</w:t>
      </w:r>
      <w:r>
        <w:rPr>
          <w:rFonts w:hint="eastAsia" w:ascii="宋体" w:hAnsi="宋体" w:cs="宋体"/>
          <w:color w:val="auto"/>
          <w:szCs w:val="21"/>
          <w:highlight w:val="none"/>
        </w:rPr>
        <w:t>，属于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52060AB2">
      <w:pPr>
        <w:spacing w:line="460" w:lineRule="exact"/>
        <w:ind w:left="0" w:leftChars="0" w:firstLine="638" w:firstLineChars="304"/>
        <w:rPr>
          <w:rFonts w:hint="eastAsia" w:ascii="宋体" w:hAnsi="宋体" w:cs="宋体"/>
          <w:color w:val="auto"/>
          <w:szCs w:val="21"/>
          <w:highlight w:val="none"/>
        </w:rPr>
      </w:pPr>
      <w:r>
        <w:rPr>
          <w:rFonts w:hint="eastAsia" w:ascii="宋体" w:hAnsi="宋体" w:cs="宋体"/>
          <w:color w:val="auto"/>
          <w:szCs w:val="21"/>
          <w:highlight w:val="none"/>
        </w:rPr>
        <w:t>……</w:t>
      </w:r>
    </w:p>
    <w:p w14:paraId="57ED14EF">
      <w:pPr>
        <w:spacing w:line="460" w:lineRule="exact"/>
        <w:ind w:left="0" w:leftChars="0" w:firstLine="638" w:firstLineChars="304"/>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6C801A6D">
      <w:pPr>
        <w:spacing w:line="460" w:lineRule="exact"/>
        <w:ind w:left="0" w:leftChars="0" w:firstLine="638" w:firstLineChars="304"/>
        <w:rPr>
          <w:rFonts w:hint="eastAsia" w:ascii="宋体" w:hAnsi="宋体" w:cs="宋体"/>
          <w:color w:val="auto"/>
          <w:szCs w:val="21"/>
          <w:highlight w:val="none"/>
        </w:rPr>
      </w:pPr>
      <w:r>
        <w:rPr>
          <w:rFonts w:hint="eastAsia" w:ascii="宋体" w:hAnsi="宋体" w:cs="宋体"/>
          <w:color w:val="auto"/>
          <w:szCs w:val="21"/>
          <w:highlight w:val="none"/>
        </w:rPr>
        <w:t xml:space="preserve">本企业对上述声明内容的真实性负责。如有虚假，将依法承担相应责任。 </w:t>
      </w:r>
    </w:p>
    <w:p w14:paraId="5A47DFC6">
      <w:pPr>
        <w:widowControl/>
        <w:spacing w:line="360" w:lineRule="auto"/>
        <w:ind w:firstLine="5460" w:firstLineChars="2600"/>
        <w:jc w:val="left"/>
        <w:rPr>
          <w:rFonts w:hint="eastAsia"/>
          <w:kern w:val="0"/>
          <w:szCs w:val="21"/>
          <w:lang w:bidi="ar"/>
        </w:rPr>
      </w:pPr>
    </w:p>
    <w:p w14:paraId="33EE8757">
      <w:pPr>
        <w:widowControl/>
        <w:spacing w:line="360" w:lineRule="auto"/>
        <w:ind w:firstLine="5460" w:firstLineChars="2600"/>
        <w:jc w:val="left"/>
        <w:rPr>
          <w:kern w:val="0"/>
          <w:szCs w:val="21"/>
          <w:lang w:bidi="ar"/>
        </w:rPr>
      </w:pPr>
      <w:r>
        <w:rPr>
          <w:rFonts w:hint="eastAsia"/>
          <w:kern w:val="0"/>
          <w:szCs w:val="21"/>
          <w:lang w:bidi="ar"/>
        </w:rPr>
        <w:t xml:space="preserve">企业名称（盖章）： </w:t>
      </w:r>
    </w:p>
    <w:p w14:paraId="46C134B3">
      <w:pPr>
        <w:tabs>
          <w:tab w:val="left" w:pos="5380"/>
          <w:tab w:val="left" w:pos="6520"/>
          <w:tab w:val="left" w:pos="7680"/>
        </w:tabs>
        <w:autoSpaceDE w:val="0"/>
        <w:autoSpaceDN w:val="0"/>
        <w:adjustRightInd w:val="0"/>
        <w:spacing w:line="360" w:lineRule="auto"/>
        <w:ind w:right="-20" w:firstLine="5670" w:firstLineChars="2700"/>
        <w:jc w:val="left"/>
        <w:rPr>
          <w:kern w:val="0"/>
          <w:szCs w:val="21"/>
        </w:rPr>
      </w:pPr>
      <w:r>
        <w:rPr>
          <w:rFonts w:hint="eastAsia"/>
          <w:kern w:val="0"/>
          <w:szCs w:val="21"/>
          <w:u w:val="single"/>
        </w:rPr>
        <w:t xml:space="preserve">     </w:t>
      </w:r>
      <w:r>
        <w:rPr>
          <w:rFonts w:hint="eastAsia"/>
          <w:spacing w:val="43"/>
          <w:kern w:val="0"/>
          <w:szCs w:val="21"/>
          <w:u w:val="single"/>
        </w:rPr>
        <w:t xml:space="preserve"> </w:t>
      </w:r>
      <w:r>
        <w:rPr>
          <w:rFonts w:hint="eastAsia"/>
          <w:kern w:val="0"/>
          <w:szCs w:val="21"/>
        </w:rPr>
        <w:t>年</w:t>
      </w:r>
      <w:r>
        <w:rPr>
          <w:rFonts w:hint="eastAsia"/>
          <w:kern w:val="0"/>
          <w:szCs w:val="21"/>
          <w:u w:val="single"/>
        </w:rPr>
        <w:t xml:space="preserve">       </w:t>
      </w:r>
      <w:r>
        <w:rPr>
          <w:rFonts w:hint="eastAsia"/>
          <w:kern w:val="0"/>
          <w:szCs w:val="21"/>
        </w:rPr>
        <w:t>月</w:t>
      </w:r>
      <w:r>
        <w:rPr>
          <w:rFonts w:hint="eastAsia"/>
          <w:kern w:val="0"/>
          <w:szCs w:val="21"/>
          <w:u w:val="single"/>
        </w:rPr>
        <w:t xml:space="preserve">      </w:t>
      </w:r>
      <w:r>
        <w:rPr>
          <w:rFonts w:hint="eastAsia"/>
          <w:kern w:val="0"/>
          <w:szCs w:val="21"/>
        </w:rPr>
        <w:t>日</w:t>
      </w:r>
    </w:p>
    <w:p w14:paraId="3298CFF3">
      <w:pPr>
        <w:widowControl/>
        <w:spacing w:line="360" w:lineRule="auto"/>
        <w:jc w:val="left"/>
        <w:rPr>
          <w:kern w:val="0"/>
          <w:szCs w:val="21"/>
          <w:lang w:bidi="ar"/>
        </w:rPr>
      </w:pPr>
    </w:p>
    <w:p w14:paraId="682B6AF5">
      <w:pPr>
        <w:widowControl/>
        <w:spacing w:line="480" w:lineRule="auto"/>
        <w:rPr>
          <w:rFonts w:hint="eastAsia" w:ascii="宋体" w:hAnsi="宋体" w:cs="宋体"/>
          <w:color w:val="auto"/>
          <w:kern w:val="0"/>
          <w:szCs w:val="21"/>
          <w:highlight w:val="none"/>
          <w:lang w:bidi="ar"/>
        </w:rPr>
      </w:pPr>
    </w:p>
    <w:bookmarkEnd w:id="496"/>
    <w:bookmarkEnd w:id="497"/>
    <w:bookmarkEnd w:id="498"/>
    <w:p w14:paraId="74E509A4">
      <w:pPr>
        <w:spacing w:line="460" w:lineRule="exact"/>
        <w:rPr>
          <w:rFonts w:ascii="宋体" w:hAnsi="宋体" w:cs="宋体"/>
          <w:color w:val="auto"/>
          <w:szCs w:val="21"/>
          <w:highlight w:val="none"/>
        </w:rPr>
      </w:pPr>
      <w:r>
        <w:rPr>
          <w:rFonts w:hint="eastAsia" w:ascii="宋体" w:hAnsi="宋体" w:cs="宋体"/>
          <w:color w:val="auto"/>
          <w:szCs w:val="21"/>
          <w:highlight w:val="none"/>
        </w:rPr>
        <w:t>备注：1、从业人员、营业收入、资产总额填报上一年度数据，无上一年度数据的新企业可不填报。</w:t>
      </w:r>
    </w:p>
    <w:p w14:paraId="0C04FA0E">
      <w:pPr>
        <w:spacing w:line="4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、供应商提供的货物既有中小企业制造货物，也有大型企业制造货物的，不享受《政府采购促进中小企业发展管理办法》规定的中小企业扶持政策。</w:t>
      </w:r>
    </w:p>
    <w:p w14:paraId="171557C0">
      <w:pPr>
        <w:spacing w:line="4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、以联合体形式参加政府采购活动，联合体各方均为中小企业的，联合体视同中小企业。其中，联合体各方均为小微企业的，联合体视同小微企业。 </w:t>
      </w:r>
    </w:p>
    <w:p w14:paraId="503DDC01">
      <w:pPr>
        <w:spacing w:line="4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、在政府采购活动中，供应商提供的所有货物由小微企业制造，即货物由小微企业生产且使用该小微企业商号或者注册商标的，才能享受《政府采购促进中小企业发展管理办法》规定的价格扣减。</w:t>
      </w:r>
    </w:p>
    <w:p w14:paraId="60A41D72">
      <w:pPr>
        <w:spacing w:line="4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、中小企业声明函格式应严格按照</w:t>
      </w:r>
      <w:r>
        <w:rPr>
          <w:rFonts w:hint="eastAsia" w:ascii="宋体" w:hAnsi="宋体" w:cs="宋体"/>
          <w:color w:val="auto"/>
          <w:szCs w:val="21"/>
          <w:highlight w:val="none"/>
          <w:lang w:val="en-US" w:eastAsia="zh-CN"/>
        </w:rPr>
        <w:t>磋商</w:t>
      </w:r>
      <w:r>
        <w:rPr>
          <w:rFonts w:hint="eastAsia" w:ascii="宋体" w:hAnsi="宋体" w:cs="宋体"/>
          <w:color w:val="auto"/>
          <w:szCs w:val="21"/>
          <w:highlight w:val="none"/>
        </w:rPr>
        <w:t>文件提供的格式填写。非单一产品采购的，设备制造商不止一家时，中小企业声明函中须列出所有的设备及制造商，罗列不全的中小企业声明函不予认可。</w:t>
      </w:r>
    </w:p>
    <w:p w14:paraId="607D30CF">
      <w:pPr>
        <w:spacing w:line="4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、在货物采购项目中，货物应当由中小企业制造，不对其中涉及的服务的承接商作出要求。</w:t>
      </w:r>
    </w:p>
    <w:p w14:paraId="2BCC14DD">
      <w:pPr>
        <w:spacing w:line="460" w:lineRule="exact"/>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xml:space="preserve">、中标、中标供应商享受本办法规定的中小企业扶持政策的，采购人、采购代理机构应当随中标、成交结果公开中标、中标供应商的《中小企业声明函》，投标供应商提供声明函内容不实的，属于提供虚假材料谋取中标，依照《中华人民共和国政府采购法》等国家有关规定追究相应责任。 </w:t>
      </w:r>
    </w:p>
    <w:p w14:paraId="1F733E09">
      <w:pPr>
        <w:spacing w:line="46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、根据《政府采购促进中小企业发展管理办法》（财库〔2020〕46号）、《关于进一步加大政府采购支持中小企业力度的通知》（财库〔2022〕19号）的规定，对符合本办法规定的小微企业报价给予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%的扣除，用扣除后的价格参与评审。</w:t>
      </w:r>
    </w:p>
    <w:p w14:paraId="3110B77A">
      <w:pPr>
        <w:spacing w:line="460" w:lineRule="exact"/>
        <w:rPr>
          <w:rFonts w:hint="eastAsia" w:ascii="宋体" w:hAnsi="宋体" w:eastAsia="宋体" w:cs="宋体"/>
          <w:b w:val="0"/>
          <w:color w:val="auto"/>
          <w:kern w:val="2"/>
          <w:sz w:val="21"/>
          <w:szCs w:val="21"/>
          <w:highlight w:val="none"/>
        </w:rPr>
      </w:pPr>
      <w:r>
        <w:rPr>
          <w:rFonts w:hint="eastAsia" w:ascii="宋体" w:hAnsi="宋体" w:cs="宋体"/>
          <w:b w:val="0"/>
          <w:color w:val="auto"/>
          <w:kern w:val="2"/>
          <w:sz w:val="21"/>
          <w:szCs w:val="21"/>
          <w:highlight w:val="none"/>
          <w:lang w:val="en-US" w:eastAsia="zh-CN"/>
        </w:rPr>
        <w:t>9</w:t>
      </w:r>
      <w:r>
        <w:rPr>
          <w:rFonts w:hint="eastAsia" w:ascii="宋体" w:hAnsi="宋体" w:eastAsia="宋体" w:cs="宋体"/>
          <w:b w:val="0"/>
          <w:color w:val="auto"/>
          <w:kern w:val="2"/>
          <w:sz w:val="21"/>
          <w:szCs w:val="21"/>
          <w:highlight w:val="none"/>
        </w:rPr>
        <w:t>、统计上大中小微型企业划分标准</w:t>
      </w:r>
    </w:p>
    <w:tbl>
      <w:tblPr>
        <w:tblStyle w:val="18"/>
        <w:tblW w:w="10155" w:type="dxa"/>
        <w:jc w:val="center"/>
        <w:shd w:val="clear" w:color="auto" w:fill="FFFFFF"/>
        <w:tblLayout w:type="autofit"/>
        <w:tblCellMar>
          <w:top w:w="0" w:type="dxa"/>
          <w:left w:w="0" w:type="dxa"/>
          <w:bottom w:w="0" w:type="dxa"/>
          <w:right w:w="0" w:type="dxa"/>
        </w:tblCellMar>
      </w:tblPr>
      <w:tblGrid>
        <w:gridCol w:w="2280"/>
        <w:gridCol w:w="1472"/>
        <w:gridCol w:w="760"/>
        <w:gridCol w:w="1213"/>
        <w:gridCol w:w="1827"/>
        <w:gridCol w:w="1536"/>
        <w:gridCol w:w="1067"/>
      </w:tblGrid>
      <w:tr w14:paraId="666FB78E">
        <w:tblPrEx>
          <w:tblCellMar>
            <w:top w:w="0" w:type="dxa"/>
            <w:left w:w="0" w:type="dxa"/>
            <w:bottom w:w="0" w:type="dxa"/>
            <w:right w:w="0" w:type="dxa"/>
          </w:tblCellMar>
        </w:tblPrEx>
        <w:trPr>
          <w:trHeight w:val="615" w:hRule="atLeast"/>
          <w:jc w:val="center"/>
        </w:trPr>
        <w:tc>
          <w:tcPr>
            <w:tcW w:w="2115" w:type="dxa"/>
            <w:tcBorders>
              <w:top w:val="single" w:color="4F81BD" w:sz="6" w:space="0"/>
              <w:left w:val="single" w:color="4F81BD" w:sz="6" w:space="0"/>
              <w:bottom w:val="single" w:color="FFFFFF" w:sz="18" w:space="0"/>
              <w:right w:val="single" w:color="4F81BD" w:sz="6" w:space="0"/>
            </w:tcBorders>
            <w:shd w:val="clear" w:color="auto" w:fill="4F81BD"/>
            <w:noWrap w:val="0"/>
            <w:tcMar>
              <w:left w:w="105" w:type="dxa"/>
              <w:right w:w="105" w:type="dxa"/>
            </w:tcMar>
            <w:vAlign w:val="center"/>
          </w:tcPr>
          <w:p w14:paraId="2BC0B363">
            <w:pPr>
              <w:pStyle w:val="15"/>
              <w:wordWrap w:val="0"/>
              <w:spacing w:before="0" w:beforeAutospacing="0" w:after="0" w:afterAutospacing="0" w:line="240" w:lineRule="atLeast"/>
              <w:jc w:val="center"/>
              <w:rPr>
                <w:rFonts w:hint="eastAsia"/>
                <w:color w:val="auto"/>
                <w:sz w:val="20"/>
                <w:szCs w:val="20"/>
                <w:highlight w:val="none"/>
              </w:rPr>
            </w:pPr>
            <w:r>
              <w:rPr>
                <w:rStyle w:val="21"/>
                <w:rFonts w:hint="eastAsia"/>
                <w:color w:val="auto"/>
                <w:spacing w:val="8"/>
                <w:sz w:val="20"/>
                <w:szCs w:val="20"/>
                <w:highlight w:val="none"/>
              </w:rPr>
              <w:t>行业名称</w:t>
            </w:r>
          </w:p>
        </w:tc>
        <w:tc>
          <w:tcPr>
            <w:tcW w:w="136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170D1822">
            <w:pPr>
              <w:pStyle w:val="15"/>
              <w:wordWrap w:val="0"/>
              <w:spacing w:before="0" w:beforeAutospacing="0" w:after="0" w:afterAutospacing="0"/>
              <w:jc w:val="center"/>
              <w:rPr>
                <w:rFonts w:hint="eastAsia"/>
                <w:color w:val="auto"/>
                <w:sz w:val="20"/>
                <w:szCs w:val="20"/>
                <w:highlight w:val="none"/>
              </w:rPr>
            </w:pPr>
            <w:r>
              <w:rPr>
                <w:rStyle w:val="21"/>
                <w:rFonts w:hint="eastAsia"/>
                <w:color w:val="auto"/>
                <w:spacing w:val="8"/>
                <w:sz w:val="20"/>
                <w:szCs w:val="20"/>
                <w:highlight w:val="none"/>
              </w:rPr>
              <w:t>指标名称</w:t>
            </w:r>
          </w:p>
        </w:tc>
        <w:tc>
          <w:tcPr>
            <w:tcW w:w="70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352A78D">
            <w:pPr>
              <w:pStyle w:val="15"/>
              <w:wordWrap w:val="0"/>
              <w:spacing w:before="0" w:beforeAutospacing="0" w:after="0" w:afterAutospacing="0"/>
              <w:jc w:val="center"/>
              <w:rPr>
                <w:rFonts w:hint="eastAsia"/>
                <w:color w:val="auto"/>
                <w:sz w:val="20"/>
                <w:szCs w:val="20"/>
                <w:highlight w:val="none"/>
              </w:rPr>
            </w:pPr>
            <w:r>
              <w:rPr>
                <w:rStyle w:val="21"/>
                <w:rFonts w:hint="eastAsia"/>
                <w:color w:val="auto"/>
                <w:spacing w:val="8"/>
                <w:sz w:val="20"/>
                <w:szCs w:val="20"/>
                <w:highlight w:val="none"/>
              </w:rPr>
              <w:t>计量单位</w:t>
            </w:r>
          </w:p>
        </w:tc>
        <w:tc>
          <w:tcPr>
            <w:tcW w:w="112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9AED34E">
            <w:pPr>
              <w:pStyle w:val="15"/>
              <w:wordWrap w:val="0"/>
              <w:spacing w:before="0" w:beforeAutospacing="0" w:after="0" w:afterAutospacing="0"/>
              <w:jc w:val="center"/>
              <w:rPr>
                <w:rFonts w:hint="eastAsia"/>
                <w:color w:val="auto"/>
                <w:sz w:val="20"/>
                <w:szCs w:val="20"/>
                <w:highlight w:val="none"/>
              </w:rPr>
            </w:pPr>
            <w:r>
              <w:rPr>
                <w:rStyle w:val="21"/>
                <w:rFonts w:hint="eastAsia"/>
                <w:color w:val="auto"/>
                <w:spacing w:val="8"/>
                <w:sz w:val="20"/>
                <w:szCs w:val="20"/>
                <w:highlight w:val="none"/>
              </w:rPr>
              <w:t>大型</w:t>
            </w:r>
          </w:p>
        </w:tc>
        <w:tc>
          <w:tcPr>
            <w:tcW w:w="169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6B8C28A8">
            <w:pPr>
              <w:pStyle w:val="15"/>
              <w:wordWrap w:val="0"/>
              <w:spacing w:before="0" w:beforeAutospacing="0" w:after="0" w:afterAutospacing="0"/>
              <w:jc w:val="center"/>
              <w:rPr>
                <w:rFonts w:hint="eastAsia"/>
                <w:color w:val="auto"/>
                <w:sz w:val="20"/>
                <w:szCs w:val="20"/>
                <w:highlight w:val="none"/>
              </w:rPr>
            </w:pPr>
            <w:r>
              <w:rPr>
                <w:rStyle w:val="21"/>
                <w:rFonts w:hint="eastAsia"/>
                <w:color w:val="auto"/>
                <w:spacing w:val="8"/>
                <w:sz w:val="20"/>
                <w:szCs w:val="20"/>
                <w:highlight w:val="none"/>
              </w:rPr>
              <w:t>中型</w:t>
            </w:r>
          </w:p>
        </w:tc>
        <w:tc>
          <w:tcPr>
            <w:tcW w:w="142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0ADDF9BB">
            <w:pPr>
              <w:pStyle w:val="15"/>
              <w:wordWrap w:val="0"/>
              <w:spacing w:before="0" w:beforeAutospacing="0" w:after="0" w:afterAutospacing="0"/>
              <w:jc w:val="center"/>
              <w:rPr>
                <w:rFonts w:hint="eastAsia"/>
                <w:color w:val="auto"/>
                <w:sz w:val="20"/>
                <w:szCs w:val="20"/>
                <w:highlight w:val="none"/>
              </w:rPr>
            </w:pPr>
            <w:r>
              <w:rPr>
                <w:rStyle w:val="21"/>
                <w:rFonts w:hint="eastAsia"/>
                <w:color w:val="auto"/>
                <w:spacing w:val="8"/>
                <w:sz w:val="20"/>
                <w:szCs w:val="20"/>
                <w:highlight w:val="none"/>
              </w:rPr>
              <w:t>小型</w:t>
            </w:r>
          </w:p>
        </w:tc>
        <w:tc>
          <w:tcPr>
            <w:tcW w:w="990"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4A4414C7">
            <w:pPr>
              <w:pStyle w:val="15"/>
              <w:wordWrap w:val="0"/>
              <w:spacing w:before="0" w:beforeAutospacing="0" w:after="0" w:afterAutospacing="0"/>
              <w:jc w:val="center"/>
              <w:rPr>
                <w:rFonts w:hint="eastAsia"/>
                <w:color w:val="auto"/>
                <w:sz w:val="20"/>
                <w:szCs w:val="20"/>
                <w:highlight w:val="none"/>
              </w:rPr>
            </w:pPr>
            <w:r>
              <w:rPr>
                <w:rStyle w:val="21"/>
                <w:rFonts w:hint="eastAsia"/>
                <w:color w:val="auto"/>
                <w:spacing w:val="8"/>
                <w:sz w:val="20"/>
                <w:szCs w:val="20"/>
                <w:highlight w:val="none"/>
              </w:rPr>
              <w:t>微型</w:t>
            </w:r>
          </w:p>
        </w:tc>
      </w:tr>
      <w:tr w14:paraId="1046A8CC">
        <w:tblPrEx>
          <w:tblCellMar>
            <w:top w:w="0" w:type="dxa"/>
            <w:left w:w="0" w:type="dxa"/>
            <w:bottom w:w="0" w:type="dxa"/>
            <w:right w:w="0" w:type="dxa"/>
          </w:tblCellMar>
        </w:tblPrEx>
        <w:trPr>
          <w:trHeight w:val="390" w:hRule="atLeast"/>
          <w:jc w:val="center"/>
        </w:trPr>
        <w:tc>
          <w:tcPr>
            <w:tcW w:w="2115" w:type="dxa"/>
            <w:tcBorders>
              <w:top w:val="nil"/>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3E4D7753">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农、林、牧、渔业</w:t>
            </w: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1B958F">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EEC61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8D48B8">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Y≥20000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BC540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500≤Y＜20000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BEF7B7E">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50≤Y＜500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B43C5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Y＜50</w:t>
            </w:r>
          </w:p>
        </w:tc>
      </w:tr>
      <w:tr w14:paraId="463EF107">
        <w:tblPrEx>
          <w:shd w:val="clear" w:color="auto" w:fill="FFFFFF"/>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FDD604E">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工业 *</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835F7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09B509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D1C3EC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54327B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300≤X＜1000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4FAD7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20≤X＜300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1B166D8">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X＜20</w:t>
            </w:r>
          </w:p>
        </w:tc>
      </w:tr>
      <w:tr w14:paraId="44A3F475">
        <w:tblPrEx>
          <w:shd w:val="clear" w:color="auto" w:fill="FFFFFF"/>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11186E6">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28AA5B">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DB9C74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82CBDE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Y≥40000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A2FF8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2000≤Y＜40000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06EC9C0">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300≤Y＜2000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971A90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Y＜300</w:t>
            </w:r>
          </w:p>
        </w:tc>
      </w:tr>
      <w:tr w14:paraId="5C03F394">
        <w:tblPrEx>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6DCA673">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建筑业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2F8356E">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6E510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96A64F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Y≥80000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34A7E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6000≤Y＜80000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6BF7610">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300≤Y＜6000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C831D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Y＜300</w:t>
            </w:r>
          </w:p>
        </w:tc>
      </w:tr>
      <w:tr w14:paraId="7AF8D339">
        <w:tblPrEx>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4562358">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167F8FC">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资产总额(Z)</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543299">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9C2BEF">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Z≥80000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E574068">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5000≤Z＜80000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A1EA04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300≤Z＜5000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655FDC1">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Z＜300</w:t>
            </w:r>
          </w:p>
        </w:tc>
      </w:tr>
      <w:tr w14:paraId="30E4B5BE">
        <w:tblPrEx>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6F9CF44">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批发业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0A49BB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3055C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EAB1FE1">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X≥200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030A8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20≤X＜200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E6CD4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5≤X＜20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32538EF">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X＜5</w:t>
            </w:r>
          </w:p>
        </w:tc>
      </w:tr>
      <w:tr w14:paraId="1C92B572">
        <w:tblPrEx>
          <w:shd w:val="clear" w:color="auto" w:fill="FFFFFF"/>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139107A">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31DC48F">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7A4B42D">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403708">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Y≥40000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8722E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5000≤Y＜40000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0CE1CBD">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1000≤Y＜5000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5CC2D2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Y＜1000</w:t>
            </w:r>
          </w:p>
        </w:tc>
      </w:tr>
      <w:tr w14:paraId="2F1DE928">
        <w:tblPrEx>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9F97C6">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零售业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48089B0">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AC234DF">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B0311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ED66D21">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50≤X＜300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94F894F">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10≤X＜50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2074B1">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w:t>
            </w:r>
          </w:p>
        </w:tc>
      </w:tr>
      <w:tr w14:paraId="1FBB1F74">
        <w:tblPrEx>
          <w:shd w:val="clear" w:color="auto" w:fill="FFFFFF"/>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4E00679">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5704754">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8F16C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2BEB59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Y≥20000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70342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500≤Y＜20000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7B4B37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100≤Y＜500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997785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w:t>
            </w:r>
          </w:p>
        </w:tc>
      </w:tr>
      <w:tr w14:paraId="7658072D">
        <w:tblPrEx>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183B7A2">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交通运输业 *</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86307C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4BE15A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EDEB8F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4AC3B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300≤X＜1000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BCA16C6">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20≤X＜300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31363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X＜20</w:t>
            </w:r>
          </w:p>
        </w:tc>
      </w:tr>
      <w:tr w14:paraId="726E88D1">
        <w:tblPrEx>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EAD9371">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E05CE1D">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3EC2998">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C0A01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Y≥30000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2C0A7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3000≤Y＜30000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0C6CC6F">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200≤Y＜3000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D4304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Y＜200</w:t>
            </w:r>
          </w:p>
        </w:tc>
      </w:tr>
      <w:tr w14:paraId="66E660C4">
        <w:tblPrEx>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900C91E">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仓储业*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EF636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34650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A94478E">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X≥200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23203A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100≤X＜200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FE2D2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20≤X＜100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42CC4E">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X＜20</w:t>
            </w:r>
          </w:p>
        </w:tc>
      </w:tr>
      <w:tr w14:paraId="11297C78">
        <w:tblPrEx>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66DEEF0">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82B591">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4022C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8352B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Y≥30000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0F6221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1000≤Y＜30000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48F97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100≤Y＜1000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5EF544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w:t>
            </w:r>
          </w:p>
        </w:tc>
      </w:tr>
      <w:tr w14:paraId="1EA7B04E">
        <w:tblPrEx>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F45B0C8">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邮政业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11C983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0467FF6">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35C4B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24478D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300≤X＜1000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E4FCEB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20≤X＜300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07E4FD">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X＜20</w:t>
            </w:r>
          </w:p>
        </w:tc>
      </w:tr>
      <w:tr w14:paraId="4B0BA058">
        <w:tblPrEx>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87E4753">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F572FAB">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86CBB08">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2BEF319">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Y≥30000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11C60F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2000≤Y＜30000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CD39B1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100≤Y＜2000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0CBFF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w:t>
            </w:r>
          </w:p>
        </w:tc>
      </w:tr>
      <w:tr w14:paraId="43D946A2">
        <w:tblPrEx>
          <w:shd w:val="clear" w:color="auto" w:fill="FFFFFF"/>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D631A48">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住宿业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7E84C0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3BDC30">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5699B4D">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27F3C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65209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3CD4966">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w:t>
            </w:r>
          </w:p>
        </w:tc>
      </w:tr>
      <w:tr w14:paraId="4EB40117">
        <w:tblPrEx>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455EE96">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6D9256">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437F1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F66FB8">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1CB479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2000≤Y＜10000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A6A43A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100≤Y＜2000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FBA6C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w:t>
            </w:r>
          </w:p>
        </w:tc>
      </w:tr>
      <w:tr w14:paraId="6DBDF4BC">
        <w:tblPrEx>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F997B62">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餐饮业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0EE755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A113A0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0E6416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F23E6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B6A33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2D94F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w:t>
            </w:r>
          </w:p>
        </w:tc>
      </w:tr>
      <w:tr w14:paraId="49507246">
        <w:tblPrEx>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BAAFE81">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9D65953">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25BA521">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65734B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27A7B7D">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2000≤Y＜10000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166259">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100≤Y＜2000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86C0BD0">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w:t>
            </w:r>
          </w:p>
        </w:tc>
      </w:tr>
      <w:tr w14:paraId="41E2F8E8">
        <w:tblPrEx>
          <w:tblCellMar>
            <w:top w:w="0" w:type="dxa"/>
            <w:left w:w="0" w:type="dxa"/>
            <w:bottom w:w="0" w:type="dxa"/>
            <w:right w:w="0" w:type="dxa"/>
          </w:tblCellMar>
        </w:tblPrEx>
        <w:trPr>
          <w:trHeight w:val="390"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F54B3AD">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信息传输业 *</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778332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7F458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F78505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X≥2000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A9C291">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100≤X＜2000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2B025F">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E01D5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w:t>
            </w:r>
          </w:p>
        </w:tc>
      </w:tr>
      <w:tr w14:paraId="1F593BF4">
        <w:tblPrEx>
          <w:shd w:val="clear" w:color="auto" w:fill="FFFFFF"/>
          <w:tblCellMar>
            <w:top w:w="0" w:type="dxa"/>
            <w:left w:w="0" w:type="dxa"/>
            <w:bottom w:w="0" w:type="dxa"/>
            <w:right w:w="0" w:type="dxa"/>
          </w:tblCellMar>
        </w:tblPrEx>
        <w:trPr>
          <w:trHeight w:val="390"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9233F6A">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07E408">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C5287C">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C62C9E">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A3513AE">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1000≤Y＜100000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01CA30">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100≤Y＜1000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42DE8E">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w:t>
            </w:r>
          </w:p>
        </w:tc>
      </w:tr>
      <w:tr w14:paraId="54F70A7A">
        <w:tblPrEx>
          <w:tblCellMar>
            <w:top w:w="0" w:type="dxa"/>
            <w:left w:w="0" w:type="dxa"/>
            <w:bottom w:w="0" w:type="dxa"/>
            <w:right w:w="0" w:type="dxa"/>
          </w:tblCellMar>
        </w:tblPrEx>
        <w:trPr>
          <w:trHeight w:val="345"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90AF6DC">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15"/>
                <w:sz w:val="20"/>
                <w:szCs w:val="20"/>
                <w:highlight w:val="none"/>
              </w:rPr>
              <w:t>软件和信息技术服</w:t>
            </w:r>
            <w:r>
              <w:rPr>
                <w:rFonts w:hint="eastAsia"/>
                <w:color w:val="auto"/>
                <w:spacing w:val="8"/>
                <w:sz w:val="20"/>
                <w:szCs w:val="20"/>
                <w:highlight w:val="none"/>
              </w:rPr>
              <w:t>务业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247DBBD">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0E873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0E7F56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9D9721">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1F9B29">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54E7E7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w:t>
            </w:r>
          </w:p>
        </w:tc>
      </w:tr>
      <w:tr w14:paraId="0F5EFD66">
        <w:tblPrEx>
          <w:tblCellMar>
            <w:top w:w="0" w:type="dxa"/>
            <w:left w:w="0" w:type="dxa"/>
            <w:bottom w:w="0" w:type="dxa"/>
            <w:right w:w="0" w:type="dxa"/>
          </w:tblCellMar>
        </w:tblPrEx>
        <w:trPr>
          <w:trHeight w:val="345"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4936ED2">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0FEED4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313629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A949DA8">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E22B56">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1000≤Y＜10000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417AA16">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50≤Y＜1000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EDAB769">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Y＜50</w:t>
            </w:r>
          </w:p>
        </w:tc>
      </w:tr>
      <w:tr w14:paraId="74E9CFAE">
        <w:tblPrEx>
          <w:tblCellMar>
            <w:top w:w="0" w:type="dxa"/>
            <w:left w:w="0" w:type="dxa"/>
            <w:bottom w:w="0" w:type="dxa"/>
            <w:right w:w="0" w:type="dxa"/>
          </w:tblCellMar>
        </w:tblPrEx>
        <w:trPr>
          <w:trHeight w:val="345"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13AF858">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房地产开发经营</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2194BE">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7CACC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EAFF49D">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Y≥200000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597F19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1000≤Y＜200000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8142B8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100≤Y＜1000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F61F6D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Y＜100</w:t>
            </w:r>
          </w:p>
        </w:tc>
      </w:tr>
      <w:tr w14:paraId="5F348521">
        <w:tblPrEx>
          <w:tblCellMar>
            <w:top w:w="0" w:type="dxa"/>
            <w:left w:w="0" w:type="dxa"/>
            <w:bottom w:w="0" w:type="dxa"/>
            <w:right w:w="0" w:type="dxa"/>
          </w:tblCellMar>
        </w:tblPrEx>
        <w:trPr>
          <w:trHeight w:val="345"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C23C0B9">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78517BD">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资产总额(Z)</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3D6358F">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FC5B111">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Z≥10000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595DB5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5000≤Z＜10000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A4CF1E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2000≤Z＜5000   </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499A2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Z＜2000</w:t>
            </w:r>
          </w:p>
        </w:tc>
      </w:tr>
      <w:tr w14:paraId="5434DD83">
        <w:tblPrEx>
          <w:shd w:val="clear" w:color="auto" w:fill="FFFFFF"/>
          <w:tblCellMar>
            <w:top w:w="0" w:type="dxa"/>
            <w:left w:w="0" w:type="dxa"/>
            <w:bottom w:w="0" w:type="dxa"/>
            <w:right w:w="0" w:type="dxa"/>
          </w:tblCellMar>
        </w:tblPrEx>
        <w:trPr>
          <w:trHeight w:val="345"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B904939">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物业管理</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3CBF28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DEA58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6AF35C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536D128">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300≤X＜1000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A20003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100≤X＜300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9BF7B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X＜100</w:t>
            </w:r>
          </w:p>
        </w:tc>
      </w:tr>
      <w:tr w14:paraId="0B0042E3">
        <w:tblPrEx>
          <w:shd w:val="clear" w:color="auto" w:fill="FFFFFF"/>
          <w:tblCellMar>
            <w:top w:w="0" w:type="dxa"/>
            <w:left w:w="0" w:type="dxa"/>
            <w:bottom w:w="0" w:type="dxa"/>
            <w:right w:w="0" w:type="dxa"/>
          </w:tblCellMar>
        </w:tblPrEx>
        <w:trPr>
          <w:trHeight w:val="345"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977BA33">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9804357">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营业收入(Y)</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60E57AF">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9142732">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Y≥5000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6F88B0">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1000≤Y＜5000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AAF334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500≤Y＜1000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41EAB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Y＜500</w:t>
            </w:r>
          </w:p>
        </w:tc>
      </w:tr>
      <w:tr w14:paraId="57F33C4B">
        <w:tblPrEx>
          <w:tblCellMar>
            <w:top w:w="0" w:type="dxa"/>
            <w:left w:w="0" w:type="dxa"/>
            <w:bottom w:w="0" w:type="dxa"/>
            <w:right w:w="0" w:type="dxa"/>
          </w:tblCellMar>
        </w:tblPrEx>
        <w:trPr>
          <w:trHeight w:val="345" w:hRule="atLeast"/>
          <w:jc w:val="center"/>
        </w:trPr>
        <w:tc>
          <w:tcPr>
            <w:tcW w:w="2115"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5EBABF7">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租赁和商务服务业</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04F4F85">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C29972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5E21C1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E1AB923">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DBEE2C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0443FA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w:t>
            </w:r>
          </w:p>
        </w:tc>
      </w:tr>
      <w:tr w14:paraId="7D53976B">
        <w:tblPrEx>
          <w:shd w:val="clear" w:color="auto" w:fill="FFFFFF"/>
          <w:tblCellMar>
            <w:top w:w="0" w:type="dxa"/>
            <w:left w:w="0" w:type="dxa"/>
            <w:bottom w:w="0" w:type="dxa"/>
            <w:right w:w="0" w:type="dxa"/>
          </w:tblCellMar>
        </w:tblPrEx>
        <w:trPr>
          <w:trHeight w:val="345" w:hRule="atLeast"/>
          <w:jc w:val="center"/>
        </w:trPr>
        <w:tc>
          <w:tcPr>
            <w:tcW w:w="2115"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FBD478E">
            <w:pPr>
              <w:rPr>
                <w:rFonts w:hint="eastAsia" w:ascii="宋体" w:hAnsi="宋体" w:cs="宋体"/>
                <w:color w:val="auto"/>
                <w:spacing w:val="8"/>
                <w:sz w:val="20"/>
                <w:szCs w:val="20"/>
                <w:highlight w:val="none"/>
              </w:rPr>
            </w:pPr>
          </w:p>
        </w:tc>
        <w:tc>
          <w:tcPr>
            <w:tcW w:w="13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D7A1D7">
            <w:pPr>
              <w:pStyle w:val="15"/>
              <w:wordWrap w:val="0"/>
              <w:spacing w:before="0" w:beforeAutospacing="0" w:after="0" w:afterAutospacing="0" w:line="240" w:lineRule="atLeast"/>
              <w:jc w:val="center"/>
              <w:rPr>
                <w:rFonts w:hint="eastAsia"/>
                <w:color w:val="auto"/>
                <w:sz w:val="20"/>
                <w:szCs w:val="20"/>
                <w:highlight w:val="none"/>
              </w:rPr>
            </w:pPr>
            <w:r>
              <w:rPr>
                <w:rFonts w:hint="eastAsia"/>
                <w:color w:val="auto"/>
                <w:spacing w:val="8"/>
                <w:sz w:val="20"/>
                <w:szCs w:val="20"/>
                <w:highlight w:val="none"/>
              </w:rPr>
              <w:t>资产总额(Z)</w:t>
            </w:r>
          </w:p>
        </w:tc>
        <w:tc>
          <w:tcPr>
            <w:tcW w:w="70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6440E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万元</w:t>
            </w:r>
          </w:p>
        </w:tc>
        <w:tc>
          <w:tcPr>
            <w:tcW w:w="11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9FD0BB">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Z≥120000</w:t>
            </w:r>
          </w:p>
        </w:tc>
        <w:tc>
          <w:tcPr>
            <w:tcW w:w="169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EDD653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8000≤Z＜120000</w:t>
            </w:r>
          </w:p>
        </w:tc>
        <w:tc>
          <w:tcPr>
            <w:tcW w:w="142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284AC2E">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100≤Z＜8000</w:t>
            </w:r>
          </w:p>
        </w:tc>
        <w:tc>
          <w:tcPr>
            <w:tcW w:w="99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DF7130">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Z＜100</w:t>
            </w:r>
          </w:p>
        </w:tc>
      </w:tr>
      <w:tr w14:paraId="725FC130">
        <w:tblPrEx>
          <w:tblCellMar>
            <w:top w:w="0" w:type="dxa"/>
            <w:left w:w="0" w:type="dxa"/>
            <w:bottom w:w="0" w:type="dxa"/>
            <w:right w:w="0" w:type="dxa"/>
          </w:tblCellMar>
        </w:tblPrEx>
        <w:trPr>
          <w:trHeight w:val="390" w:hRule="atLeast"/>
          <w:jc w:val="center"/>
        </w:trPr>
        <w:tc>
          <w:tcPr>
            <w:tcW w:w="2115"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735958B">
            <w:pPr>
              <w:pStyle w:val="15"/>
              <w:wordWrap w:val="0"/>
              <w:spacing w:before="0" w:beforeAutospacing="0" w:after="0" w:afterAutospacing="0" w:line="240" w:lineRule="atLeast"/>
              <w:jc w:val="both"/>
              <w:rPr>
                <w:rFonts w:hint="eastAsia"/>
                <w:color w:val="auto"/>
                <w:sz w:val="20"/>
                <w:szCs w:val="20"/>
                <w:highlight w:val="none"/>
              </w:rPr>
            </w:pPr>
            <w:r>
              <w:rPr>
                <w:rFonts w:hint="eastAsia"/>
                <w:color w:val="auto"/>
                <w:spacing w:val="8"/>
                <w:sz w:val="20"/>
                <w:szCs w:val="20"/>
                <w:highlight w:val="none"/>
              </w:rPr>
              <w:t>其他未列明行业 *</w:t>
            </w:r>
          </w:p>
        </w:tc>
        <w:tc>
          <w:tcPr>
            <w:tcW w:w="13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5F1213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从业人员(X)</w:t>
            </w:r>
          </w:p>
        </w:tc>
        <w:tc>
          <w:tcPr>
            <w:tcW w:w="70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59263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人</w:t>
            </w:r>
          </w:p>
        </w:tc>
        <w:tc>
          <w:tcPr>
            <w:tcW w:w="11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C98E7A">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X≥300</w:t>
            </w:r>
          </w:p>
        </w:tc>
        <w:tc>
          <w:tcPr>
            <w:tcW w:w="169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B2BA2A4">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100≤X＜300</w:t>
            </w:r>
          </w:p>
        </w:tc>
        <w:tc>
          <w:tcPr>
            <w:tcW w:w="142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A3BB97">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 10≤X＜100</w:t>
            </w:r>
          </w:p>
        </w:tc>
        <w:tc>
          <w:tcPr>
            <w:tcW w:w="99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1216A91">
            <w:pPr>
              <w:pStyle w:val="15"/>
              <w:wordWrap w:val="0"/>
              <w:spacing w:before="0" w:beforeAutospacing="0" w:after="0" w:afterAutospacing="0"/>
              <w:jc w:val="center"/>
              <w:rPr>
                <w:rFonts w:hint="eastAsia"/>
                <w:color w:val="auto"/>
                <w:sz w:val="20"/>
                <w:szCs w:val="20"/>
                <w:highlight w:val="none"/>
              </w:rPr>
            </w:pPr>
            <w:r>
              <w:rPr>
                <w:rFonts w:hint="eastAsia"/>
                <w:color w:val="auto"/>
                <w:spacing w:val="8"/>
                <w:sz w:val="20"/>
                <w:szCs w:val="20"/>
                <w:highlight w:val="none"/>
              </w:rPr>
              <w:t>X＜10</w:t>
            </w:r>
          </w:p>
        </w:tc>
      </w:tr>
    </w:tbl>
    <w:p w14:paraId="719ACAE9">
      <w:pPr>
        <w:rPr>
          <w:rFonts w:hint="eastAsia" w:ascii="宋体" w:hAnsi="宋体" w:cs="宋体"/>
          <w:color w:val="auto"/>
          <w:spacing w:val="15"/>
          <w:szCs w:val="21"/>
          <w:highlight w:val="none"/>
        </w:rPr>
      </w:pPr>
    </w:p>
    <w:p w14:paraId="4AE37A79">
      <w:pPr>
        <w:spacing w:line="360" w:lineRule="auto"/>
        <w:ind w:firstLine="480" w:firstLineChars="200"/>
        <w:rPr>
          <w:rFonts w:hint="eastAsia" w:ascii="宋体" w:hAnsi="宋体" w:cs="宋体"/>
          <w:color w:val="auto"/>
          <w:spacing w:val="15"/>
          <w:szCs w:val="21"/>
          <w:highlight w:val="none"/>
        </w:rPr>
      </w:pPr>
      <w:r>
        <w:rPr>
          <w:rFonts w:hint="eastAsia" w:ascii="宋体" w:hAnsi="宋体" w:cs="宋体"/>
          <w:color w:val="auto"/>
          <w:spacing w:val="15"/>
          <w:szCs w:val="21"/>
          <w:highlight w:val="none"/>
        </w:rPr>
        <w:t>说明：1.大型、中型和小型企业须同时满足所列指标的下限，否则下划一档；微型企业只须满足所列指标中的一项即可。</w:t>
      </w:r>
    </w:p>
    <w:p w14:paraId="58FB6267">
      <w:pPr>
        <w:numPr>
          <w:ilvl w:val="0"/>
          <w:numId w:val="8"/>
        </w:numPr>
        <w:spacing w:line="360" w:lineRule="auto"/>
        <w:ind w:firstLine="480" w:firstLineChars="200"/>
        <w:rPr>
          <w:rFonts w:hint="eastAsia" w:ascii="宋体" w:hAnsi="宋体" w:cs="宋体"/>
          <w:color w:val="auto"/>
          <w:spacing w:val="15"/>
          <w:szCs w:val="21"/>
          <w:highlight w:val="none"/>
        </w:rPr>
      </w:pPr>
      <w:r>
        <w:rPr>
          <w:rFonts w:hint="eastAsia" w:ascii="宋体" w:hAnsi="宋体" w:cs="宋体"/>
          <w:color w:val="auto"/>
          <w:spacing w:val="15"/>
          <w:szCs w:val="21"/>
          <w:highlight w:val="none"/>
        </w:rPr>
        <w:t>附表中各行业的范围以《国民经济行业分类》（GB/T4754-2017）为准。</w:t>
      </w:r>
      <w:r>
        <w:rPr>
          <w:rFonts w:hint="eastAsia" w:ascii="宋体" w:hAnsi="宋体" w:cs="宋体"/>
          <w:b/>
          <w:bCs/>
          <w:color w:val="auto"/>
          <w:spacing w:val="15"/>
          <w:szCs w:val="21"/>
          <w:highlight w:val="none"/>
        </w:rPr>
        <w:t>带*的项为行业组合类别</w:t>
      </w:r>
      <w:r>
        <w:rPr>
          <w:rFonts w:hint="eastAsia" w:ascii="宋体" w:hAnsi="宋体" w:cs="宋体"/>
          <w:color w:val="auto"/>
          <w:spacing w:val="15"/>
          <w:szCs w:val="21"/>
          <w:highlight w:val="none"/>
        </w:rPr>
        <w:t>，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30C707C">
      <w:pPr>
        <w:numPr>
          <w:ilvl w:val="0"/>
          <w:numId w:val="8"/>
        </w:numPr>
        <w:spacing w:line="360" w:lineRule="auto"/>
        <w:ind w:firstLine="480" w:firstLineChars="200"/>
        <w:rPr>
          <w:rFonts w:hint="eastAsia" w:ascii="宋体" w:hAnsi="宋体" w:cs="宋体"/>
          <w:color w:val="auto"/>
          <w:spacing w:val="15"/>
          <w:szCs w:val="21"/>
          <w:highlight w:val="none"/>
        </w:rPr>
      </w:pPr>
      <w:r>
        <w:rPr>
          <w:rFonts w:hint="eastAsia" w:ascii="宋体" w:hAnsi="宋体" w:cs="宋体"/>
          <w:color w:val="auto"/>
          <w:spacing w:val="15"/>
          <w:szCs w:val="21"/>
          <w:highlight w:val="none"/>
        </w:rPr>
        <w:t>企业划分指标以现行统计制度为准。</w:t>
      </w:r>
    </w:p>
    <w:p w14:paraId="584B9D68">
      <w:pPr>
        <w:spacing w:line="360" w:lineRule="auto"/>
        <w:ind w:firstLine="480" w:firstLineChars="200"/>
        <w:rPr>
          <w:rFonts w:hint="eastAsia" w:ascii="宋体" w:hAnsi="宋体" w:cs="宋体"/>
          <w:color w:val="auto"/>
          <w:spacing w:val="15"/>
          <w:szCs w:val="21"/>
          <w:highlight w:val="none"/>
        </w:rPr>
      </w:pPr>
      <w:r>
        <w:rPr>
          <w:rFonts w:hint="eastAsia" w:ascii="宋体" w:hAnsi="宋体" w:cs="宋体"/>
          <w:color w:val="auto"/>
          <w:spacing w:val="15"/>
          <w:szCs w:val="21"/>
          <w:highlight w:val="none"/>
        </w:rPr>
        <w:t>（1）从业人员，是指期末从业人员数，没有期末从业人员数的，采用全年平均人员数代替。</w:t>
      </w:r>
    </w:p>
    <w:p w14:paraId="015245C1">
      <w:pPr>
        <w:spacing w:line="360" w:lineRule="auto"/>
        <w:ind w:firstLine="480" w:firstLineChars="200"/>
        <w:rPr>
          <w:rFonts w:hint="eastAsia" w:ascii="宋体" w:hAnsi="宋体" w:cs="宋体"/>
          <w:color w:val="auto"/>
          <w:spacing w:val="15"/>
          <w:szCs w:val="21"/>
          <w:highlight w:val="none"/>
        </w:rPr>
      </w:pPr>
      <w:r>
        <w:rPr>
          <w:rFonts w:hint="eastAsia" w:ascii="宋体" w:hAnsi="宋体" w:cs="宋体"/>
          <w:color w:val="auto"/>
          <w:spacing w:val="15"/>
          <w:szCs w:val="21"/>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80D188A">
      <w:pPr>
        <w:pStyle w:val="35"/>
        <w:ind w:firstLine="480" w:firstLineChars="200"/>
        <w:rPr>
          <w:rFonts w:hint="eastAsia"/>
          <w:color w:val="auto"/>
          <w:highlight w:val="none"/>
        </w:rPr>
      </w:pPr>
      <w:r>
        <w:rPr>
          <w:rFonts w:hint="eastAsia" w:ascii="宋体" w:hAnsi="宋体" w:eastAsia="宋体" w:cs="宋体"/>
          <w:color w:val="auto"/>
          <w:spacing w:val="15"/>
          <w:sz w:val="21"/>
          <w:szCs w:val="21"/>
          <w:highlight w:val="none"/>
        </w:rPr>
        <w:t>（3）资产总额，采用资产总计代替。</w:t>
      </w:r>
    </w:p>
    <w:p w14:paraId="30ED9CC1">
      <w:pPr>
        <w:pStyle w:val="7"/>
        <w:rPr>
          <w:color w:val="auto"/>
        </w:rPr>
      </w:pPr>
    </w:p>
    <w:p w14:paraId="2E105E8D">
      <w:pPr>
        <w:spacing w:line="460" w:lineRule="exact"/>
        <w:rPr>
          <w:rFonts w:ascii="宋体" w:hAnsi="宋体" w:cs="宋体"/>
          <w:color w:val="auto"/>
          <w:szCs w:val="21"/>
          <w:highlight w:val="none"/>
        </w:rPr>
        <w:sectPr>
          <w:pgSz w:w="11910" w:h="16840"/>
          <w:pgMar w:top="1440" w:right="1080" w:bottom="1440" w:left="1080" w:header="850" w:footer="992" w:gutter="0"/>
          <w:pgBorders>
            <w:top w:val="none" w:sz="0" w:space="0"/>
            <w:left w:val="none" w:sz="0" w:space="0"/>
            <w:bottom w:val="none" w:sz="0" w:space="0"/>
            <w:right w:val="none" w:sz="0" w:space="0"/>
          </w:pgBorders>
          <w:pgNumType w:fmt="decimal"/>
          <w:cols w:space="0" w:num="1"/>
          <w:rtlGutter w:val="0"/>
        </w:sectPr>
      </w:pPr>
    </w:p>
    <w:p w14:paraId="5D5D1E98">
      <w:pPr>
        <w:pStyle w:val="16"/>
        <w:ind w:firstLine="2808" w:firstLineChars="999"/>
        <w:rPr>
          <w:b/>
          <w:color w:val="auto"/>
          <w:sz w:val="28"/>
          <w:szCs w:val="28"/>
          <w:highlight w:val="none"/>
        </w:rPr>
      </w:pPr>
      <w:r>
        <w:rPr>
          <w:rFonts w:hint="eastAsia"/>
          <w:b/>
          <w:color w:val="auto"/>
          <w:sz w:val="28"/>
          <w:szCs w:val="28"/>
          <w:highlight w:val="none"/>
        </w:rPr>
        <w:t>（二）残疾人福利企业声明函</w:t>
      </w:r>
    </w:p>
    <w:p w14:paraId="45738665">
      <w:pPr>
        <w:jc w:val="center"/>
        <w:rPr>
          <w:rFonts w:hint="eastAsia" w:ascii="宋体" w:hAnsi="宋体" w:cs="宋体"/>
          <w:color w:val="auto"/>
          <w:szCs w:val="21"/>
          <w:highlight w:val="none"/>
        </w:rPr>
      </w:pPr>
      <w:r>
        <w:rPr>
          <w:rFonts w:hint="eastAsia" w:ascii="宋体" w:hAnsi="宋体" w:cs="宋体"/>
          <w:color w:val="auto"/>
          <w:szCs w:val="21"/>
          <w:highlight w:val="none"/>
        </w:rPr>
        <w:t>（属于残疾人福利企业的填写，不属于的无需填写此项内容）</w:t>
      </w:r>
    </w:p>
    <w:p w14:paraId="7CCC6B01">
      <w:pPr>
        <w:pStyle w:val="5"/>
        <w:spacing w:line="360" w:lineRule="auto"/>
        <w:ind w:firstLine="420"/>
        <w:rPr>
          <w:rFonts w:hint="eastAsia" w:ascii="宋体" w:hAnsi="宋体" w:cs="宋体"/>
          <w:color w:val="auto"/>
          <w:sz w:val="21"/>
          <w:szCs w:val="21"/>
          <w:highlight w:val="none"/>
        </w:rPr>
      </w:pPr>
    </w:p>
    <w:p w14:paraId="7D6DCB53">
      <w:pPr>
        <w:pStyle w:val="5"/>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或者提供</w:t>
      </w:r>
      <w:r>
        <w:rPr>
          <w:rFonts w:hint="eastAsia" w:ascii="宋体" w:hAnsi="宋体" w:cs="宋体"/>
          <w:color w:val="auto"/>
          <w:sz w:val="21"/>
          <w:szCs w:val="21"/>
          <w:highlight w:val="none"/>
          <w:u w:val="single"/>
        </w:rPr>
        <w:t>（其他残疾人福利性单位名称）</w:t>
      </w:r>
      <w:r>
        <w:rPr>
          <w:rFonts w:hint="eastAsia" w:ascii="宋体" w:hAnsi="宋体" w:cs="宋体"/>
          <w:color w:val="auto"/>
          <w:sz w:val="21"/>
          <w:szCs w:val="21"/>
          <w:highlight w:val="none"/>
        </w:rPr>
        <w:t>制造的货物（不包括使用非残疾人福利性单位注册商标的货物）。货物的名称品牌型号是。</w:t>
      </w:r>
    </w:p>
    <w:p w14:paraId="11458F13">
      <w:pPr>
        <w:pStyle w:val="5"/>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本单位对上述声明的真实性负责。如有虚假，将承担相应的法律责任。</w:t>
      </w:r>
    </w:p>
    <w:p w14:paraId="40C8545B">
      <w:pPr>
        <w:pStyle w:val="5"/>
        <w:spacing w:line="360" w:lineRule="auto"/>
        <w:ind w:firstLine="420"/>
        <w:rPr>
          <w:rFonts w:hint="eastAsia" w:ascii="宋体" w:hAnsi="宋体" w:cs="宋体"/>
          <w:color w:val="auto"/>
          <w:sz w:val="21"/>
          <w:szCs w:val="21"/>
          <w:highlight w:val="none"/>
        </w:rPr>
      </w:pPr>
    </w:p>
    <w:p w14:paraId="11C36EE4">
      <w:pPr>
        <w:pStyle w:val="5"/>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投标供应商（盖章）：</w:t>
      </w:r>
    </w:p>
    <w:p w14:paraId="7B3676CF">
      <w:pPr>
        <w:pStyle w:val="5"/>
        <w:spacing w:line="360" w:lineRule="auto"/>
        <w:ind w:firstLine="5460" w:firstLineChars="2600"/>
        <w:rPr>
          <w:rFonts w:hint="eastAsia" w:ascii="宋体" w:hAnsi="宋体" w:cs="宋体"/>
          <w:color w:val="auto"/>
          <w:sz w:val="21"/>
          <w:szCs w:val="21"/>
          <w:highlight w:val="none"/>
        </w:rPr>
      </w:pPr>
      <w:r>
        <w:rPr>
          <w:rFonts w:hint="eastAsia" w:ascii="宋体" w:hAnsi="宋体" w:cs="宋体"/>
          <w:color w:val="auto"/>
          <w:sz w:val="21"/>
          <w:szCs w:val="21"/>
          <w:highlight w:val="none"/>
        </w:rPr>
        <w:t>日期：</w:t>
      </w:r>
    </w:p>
    <w:p w14:paraId="43C1901B">
      <w:pPr>
        <w:pStyle w:val="5"/>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注：根据《财政部民政部中国残疾人联合会关于促进残疾人就业政府采购政策的通知》（财库（2017〔141〕号）的规定予以</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%的价格扣除。</w:t>
      </w:r>
    </w:p>
    <w:p w14:paraId="364E1F2D">
      <w:pPr>
        <w:pStyle w:val="5"/>
        <w:spacing w:line="360" w:lineRule="auto"/>
        <w:ind w:firstLine="480"/>
        <w:rPr>
          <w:color w:val="auto"/>
          <w:sz w:val="24"/>
          <w:szCs w:val="24"/>
          <w:highlight w:val="none"/>
        </w:rPr>
      </w:pPr>
    </w:p>
    <w:p w14:paraId="61AF8622">
      <w:pPr>
        <w:rPr>
          <w:rFonts w:cs="宋体"/>
          <w:color w:val="auto"/>
          <w:highlight w:val="none"/>
        </w:rPr>
      </w:pPr>
      <w:r>
        <w:rPr>
          <w:rFonts w:hint="eastAsia" w:ascii="黑体" w:hAnsi="黑体" w:eastAsia="黑体"/>
          <w:color w:val="auto"/>
          <w:highlight w:val="none"/>
        </w:rPr>
        <w:br w:type="page"/>
      </w:r>
    </w:p>
    <w:p w14:paraId="426E1564">
      <w:pPr>
        <w:pStyle w:val="4"/>
        <w:spacing w:before="120" w:after="120"/>
        <w:jc w:val="center"/>
        <w:rPr>
          <w:rFonts w:hint="default" w:eastAsia="宋体" w:cs="宋体"/>
          <w:color w:val="auto"/>
          <w:highlight w:val="none"/>
          <w:lang w:val="en-US" w:eastAsia="zh-CN"/>
        </w:rPr>
      </w:pPr>
      <w:bookmarkStart w:id="499" w:name="_Toc2873"/>
      <w:bookmarkStart w:id="500" w:name="_Toc29824"/>
      <w:bookmarkStart w:id="501" w:name="_Toc22565"/>
      <w:bookmarkStart w:id="502" w:name="_Toc32593"/>
      <w:bookmarkStart w:id="503" w:name="_Toc4842"/>
      <w:bookmarkStart w:id="504" w:name="_Toc12677"/>
      <w:bookmarkStart w:id="505" w:name="_Toc22823"/>
      <w:bookmarkStart w:id="506" w:name="_Toc1104"/>
      <w:bookmarkStart w:id="507" w:name="_Toc5441"/>
      <w:bookmarkStart w:id="508" w:name="_Toc20219"/>
      <w:bookmarkStart w:id="509" w:name="_Toc25618"/>
      <w:bookmarkStart w:id="510" w:name="_Toc27066"/>
      <w:bookmarkStart w:id="511" w:name="_Toc4091"/>
      <w:bookmarkStart w:id="512" w:name="_Toc17387"/>
      <w:bookmarkStart w:id="513" w:name="_Toc30702"/>
      <w:r>
        <w:rPr>
          <w:rFonts w:cs="宋体"/>
          <w:color w:val="auto"/>
          <w:highlight w:val="none"/>
        </w:rPr>
        <w:t>（三）监狱企业</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Pr>
          <w:rFonts w:hint="eastAsia" w:cs="宋体"/>
          <w:color w:val="auto"/>
          <w:highlight w:val="none"/>
          <w:lang w:val="en-US" w:eastAsia="zh-CN"/>
        </w:rPr>
        <w:t>证明材料</w:t>
      </w:r>
    </w:p>
    <w:p w14:paraId="239EB42E">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监狱企业参加政府采购活动时，应当提供由省级以上监狱管理局、戒毒管理局(含新疆生产建设兵团)出具的属于监狱企业的证明文件。</w:t>
      </w:r>
    </w:p>
    <w:p w14:paraId="3094AFA7">
      <w:pPr>
        <w:spacing w:line="460" w:lineRule="exact"/>
        <w:ind w:firstLine="420" w:firstLineChars="200"/>
        <w:rPr>
          <w:rFonts w:hint="eastAsia" w:ascii="宋体" w:hAnsi="宋体" w:cs="宋体"/>
          <w:color w:val="auto"/>
          <w:szCs w:val="21"/>
          <w:highlight w:val="none"/>
        </w:rPr>
      </w:pPr>
    </w:p>
    <w:p w14:paraId="6549078C">
      <w:pPr>
        <w:spacing w:line="460" w:lineRule="exact"/>
        <w:ind w:firstLine="420" w:firstLineChars="200"/>
        <w:rPr>
          <w:rFonts w:hint="eastAsia" w:ascii="宋体" w:hAnsi="宋体" w:cs="宋体"/>
          <w:color w:val="auto"/>
          <w:szCs w:val="21"/>
          <w:highlight w:val="none"/>
        </w:rPr>
      </w:pPr>
    </w:p>
    <w:p w14:paraId="1BD1B934">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提醒</w:t>
      </w:r>
      <w:r>
        <w:rPr>
          <w:rFonts w:hint="eastAsia" w:ascii="宋体" w:hAnsi="宋体" w:cs="宋体"/>
          <w:color w:val="auto"/>
          <w:szCs w:val="21"/>
          <w:highlight w:val="none"/>
          <w:lang w:eastAsia="zh-CN"/>
        </w:rPr>
        <w:t>：</w:t>
      </w:r>
      <w:r>
        <w:rPr>
          <w:rFonts w:hint="eastAsia" w:ascii="宋体" w:hAnsi="宋体" w:cs="宋体"/>
          <w:color w:val="auto"/>
          <w:szCs w:val="21"/>
          <w:highlight w:val="none"/>
        </w:rPr>
        <w:t>如果</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不是监狱企业，则不需要提供监狱企业证明材料</w:t>
      </w:r>
      <w:r>
        <w:rPr>
          <w:rFonts w:hint="eastAsia" w:ascii="宋体" w:hAnsi="宋体" w:cs="宋体"/>
          <w:color w:val="auto"/>
          <w:szCs w:val="21"/>
          <w:highlight w:val="none"/>
          <w:lang w:eastAsia="zh-CN"/>
        </w:rPr>
        <w:t>）</w:t>
      </w:r>
    </w:p>
    <w:p w14:paraId="284DCD65">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szCs w:val="21"/>
          <w:highlight w:val="none"/>
          <w:lang w:eastAsia="zh-CN"/>
        </w:rPr>
        <w:t>：</w:t>
      </w:r>
      <w:r>
        <w:rPr>
          <w:rFonts w:hint="eastAsia" w:ascii="宋体" w:hAnsi="宋体" w:cs="宋体"/>
          <w:color w:val="auto"/>
          <w:szCs w:val="21"/>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8DCA727">
      <w:pPr>
        <w:rPr>
          <w:color w:val="auto"/>
        </w:rPr>
      </w:pPr>
    </w:p>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92BFFB-3BB8-45F5-B882-F51720F6FF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E898EE0-C1B3-46A6-B6B0-0646625FAE64}"/>
  </w:font>
  <w:font w:name="ActionIcon ! importa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 w:name="方正仿宋_GB2312">
    <w:panose1 w:val="02000000000000000000"/>
    <w:charset w:val="86"/>
    <w:family w:val="auto"/>
    <w:pitch w:val="default"/>
    <w:sig w:usb0="A00002BF" w:usb1="184F6CFA" w:usb2="00000012" w:usb3="00000000" w:csb0="00040001" w:csb1="00000000"/>
    <w:embedRegular r:id="rId3" w:fontKey="{625D2DE6-41CF-407F-8651-48D6174F0907}"/>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97486">
    <w:pPr>
      <w:pStyle w:val="10"/>
      <w:pBdr>
        <w:top w:val="none" w:color="auto" w:sz="0" w:space="1"/>
        <w:left w:val="none" w:color="auto" w:sz="0" w:space="4"/>
        <w:bottom w:val="none" w:color="auto" w:sz="0" w:space="1"/>
        <w:right w:val="none" w:color="auto" w:sz="0" w:space="4"/>
        <w:between w:val="none" w:color="auto" w:sz="0" w:space="0"/>
      </w:pBdr>
      <w:rPr>
        <w:rFonts w:hint="default" w:eastAsia="宋体"/>
        <w:i/>
        <w:iCs/>
        <w:color w:val="0000FF"/>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871F8">
    <w:pPr>
      <w:pStyle w:val="10"/>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6FA13">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06FA13">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Style w:val="22"/>
        <w:rFonts w:hint="eastAsia"/>
        <w:sz w:val="21"/>
        <w:szCs w:val="24"/>
      </w:rPr>
      <w:t xml:space="preserve"> </w:t>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2640C">
    <w:pPr>
      <w:pStyle w:val="10"/>
      <w:widowControl w:val="0"/>
      <w:pBdr>
        <w:top w:val="none" w:color="auto" w:sz="0" w:space="1"/>
        <w:left w:val="none" w:color="auto" w:sz="0" w:space="4"/>
        <w:bottom w:val="none" w:color="auto" w:sz="0" w:space="1"/>
        <w:right w:val="none" w:color="auto" w:sz="0" w:space="4"/>
        <w:between w:val="none" w:color="auto" w:sz="0" w:space="0"/>
      </w:pBdr>
      <w:snapToGrid w:val="0"/>
      <w:jc w:val="lef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AB22A">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EAB22A">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01F5A">
    <w:pPr>
      <w:pBdr>
        <w:bottom w:val="none" w:color="auto" w:sz="0" w:space="0"/>
      </w:pBdr>
      <w:spacing w:line="36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62EBE">
    <w:pPr>
      <w:pStyle w:val="11"/>
      <w:pBdr>
        <w:bottom w:val="none" w:color="auto" w:sz="0"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C1D9C">
    <w:pPr>
      <w:widowControl w:val="0"/>
      <w:pBdr>
        <w:top w:val="none" w:color="auto" w:sz="0" w:space="1"/>
        <w:left w:val="none" w:color="auto" w:sz="0" w:space="4"/>
        <w:bottom w:val="none" w:color="auto" w:sz="0" w:space="1"/>
        <w:right w:val="none" w:color="auto" w:sz="0" w:space="4"/>
        <w:between w:val="none" w:color="auto" w:sz="0" w:space="0"/>
      </w:pBdr>
      <w:spacing w:line="240" w:lineRule="auto"/>
      <w:jc w:val="right"/>
      <w:rPr>
        <w:rFonts w:hint="default"/>
        <w:i/>
        <w:iCs/>
        <w:color w:val="0000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C5BFBA"/>
    <w:multiLevelType w:val="singleLevel"/>
    <w:tmpl w:val="8CC5BFBA"/>
    <w:lvl w:ilvl="0" w:tentative="0">
      <w:start w:val="1"/>
      <w:numFmt w:val="decimal"/>
      <w:suff w:val="nothing"/>
      <w:lvlText w:val="（%1）"/>
      <w:lvlJc w:val="left"/>
    </w:lvl>
  </w:abstractNum>
  <w:abstractNum w:abstractNumId="1">
    <w:nsid w:val="94DC5970"/>
    <w:multiLevelType w:val="singleLevel"/>
    <w:tmpl w:val="94DC5970"/>
    <w:lvl w:ilvl="0" w:tentative="0">
      <w:start w:val="2"/>
      <w:numFmt w:val="decimal"/>
      <w:suff w:val="space"/>
      <w:lvlText w:val="%1."/>
      <w:lvlJc w:val="left"/>
    </w:lvl>
  </w:abstractNum>
  <w:abstractNum w:abstractNumId="2">
    <w:nsid w:val="D53F1810"/>
    <w:multiLevelType w:val="singleLevel"/>
    <w:tmpl w:val="D53F1810"/>
    <w:lvl w:ilvl="0" w:tentative="0">
      <w:start w:val="4"/>
      <w:numFmt w:val="chineseCounting"/>
      <w:suff w:val="space"/>
      <w:lvlText w:val="第%1章"/>
      <w:lvlJc w:val="left"/>
      <w:rPr>
        <w:rFonts w:hint="eastAsia"/>
      </w:rPr>
    </w:lvl>
  </w:abstractNum>
  <w:abstractNum w:abstractNumId="3">
    <w:nsid w:val="DA036921"/>
    <w:multiLevelType w:val="multilevel"/>
    <w:tmpl w:val="DA036921"/>
    <w:lvl w:ilvl="0" w:tentative="0">
      <w:start w:val="1"/>
      <w:numFmt w:val="decimal"/>
      <w:suff w:val="space"/>
      <w:lvlText w:val="%1."/>
      <w:lvlJc w:val="left"/>
      <w:pPr>
        <w:tabs>
          <w:tab w:val="left" w:pos="420"/>
        </w:tabs>
        <w:ind w:left="425" w:hanging="425"/>
      </w:pPr>
      <w:rPr>
        <w:rFonts w:hint="default"/>
      </w:rPr>
    </w:lvl>
    <w:lvl w:ilvl="1" w:tentative="0">
      <w:start w:val="1"/>
      <w:numFmt w:val="decimal"/>
      <w:suff w:val="space"/>
      <w:lvlText w:val="%1.%2."/>
      <w:lvlJc w:val="left"/>
      <w:pPr>
        <w:tabs>
          <w:tab w:val="left" w:pos="420"/>
        </w:tabs>
        <w:ind w:left="850" w:hanging="453"/>
      </w:pPr>
      <w:rPr>
        <w:rFonts w:hint="default" w:ascii="宋体" w:hAnsi="宋体" w:eastAsia="宋体" w:cs="宋体"/>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2BBBD5F7"/>
    <w:multiLevelType w:val="singleLevel"/>
    <w:tmpl w:val="2BBBD5F7"/>
    <w:lvl w:ilvl="0" w:tentative="0">
      <w:start w:val="6"/>
      <w:numFmt w:val="decimal"/>
      <w:suff w:val="nothing"/>
      <w:lvlText w:val="%1、"/>
      <w:lvlJc w:val="left"/>
    </w:lvl>
  </w:abstractNum>
  <w:abstractNum w:abstractNumId="5">
    <w:nsid w:val="454FC19F"/>
    <w:multiLevelType w:val="multilevel"/>
    <w:tmpl w:val="454FC19F"/>
    <w:lvl w:ilvl="0" w:tentative="0">
      <w:start w:val="1"/>
      <w:numFmt w:val="decimal"/>
      <w:suff w:val="space"/>
      <w:lvlText w:val="%1."/>
      <w:lvlJc w:val="left"/>
      <w:pPr>
        <w:tabs>
          <w:tab w:val="left" w:pos="420"/>
        </w:tabs>
        <w:ind w:left="425" w:hanging="425"/>
      </w:pPr>
      <w:rPr>
        <w:rFonts w:hint="default" w:ascii="宋体" w:hAnsi="宋体" w:eastAsia="宋体" w:cs="宋体"/>
      </w:rPr>
    </w:lvl>
    <w:lvl w:ilvl="1" w:tentative="0">
      <w:start w:val="1"/>
      <w:numFmt w:val="decimal"/>
      <w:isLgl/>
      <w:suff w:val="space"/>
      <w:lvlText w:val="%1.%2."/>
      <w:lvlJc w:val="left"/>
      <w:pPr>
        <w:tabs>
          <w:tab w:val="left" w:pos="420"/>
        </w:tabs>
        <w:ind w:left="567" w:hanging="567"/>
      </w:pPr>
      <w:rPr>
        <w:rFonts w:hint="default" w:ascii="宋体" w:hAnsi="宋体" w:eastAsia="宋体" w:cs="宋体"/>
      </w:rPr>
    </w:lvl>
    <w:lvl w:ilvl="2" w:tentative="0">
      <w:start w:val="1"/>
      <w:numFmt w:val="decimal"/>
      <w:suff w:val="space"/>
      <w:lvlText w:val="%1.%2.%3."/>
      <w:lvlJc w:val="left"/>
      <w:pPr>
        <w:tabs>
          <w:tab w:val="left" w:pos="420"/>
        </w:tabs>
        <w:ind w:left="709" w:hanging="709"/>
      </w:pPr>
      <w:rPr>
        <w:rFonts w:hint="default" w:ascii="宋体" w:hAnsi="宋体" w:eastAsia="宋体" w:cs="宋体"/>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4F3FF634"/>
    <w:multiLevelType w:val="singleLevel"/>
    <w:tmpl w:val="4F3FF634"/>
    <w:lvl w:ilvl="0" w:tentative="0">
      <w:start w:val="2"/>
      <w:numFmt w:val="decimal"/>
      <w:lvlText w:val="%1."/>
      <w:lvlJc w:val="left"/>
      <w:pPr>
        <w:tabs>
          <w:tab w:val="left" w:pos="312"/>
        </w:tabs>
      </w:pPr>
    </w:lvl>
  </w:abstractNum>
  <w:abstractNum w:abstractNumId="7">
    <w:nsid w:val="6074870A"/>
    <w:multiLevelType w:val="singleLevel"/>
    <w:tmpl w:val="6074870A"/>
    <w:lvl w:ilvl="0" w:tentative="0">
      <w:start w:val="5"/>
      <w:numFmt w:val="chineseCounting"/>
      <w:suff w:val="nothing"/>
      <w:lvlText w:val="%1、"/>
      <w:lvlJc w:val="left"/>
      <w:rPr>
        <w:rFonts w:hint="eastAsia"/>
      </w:rPr>
    </w:lvl>
  </w:abstractNum>
  <w:num w:numId="1">
    <w:abstractNumId w:val="4"/>
  </w:num>
  <w:num w:numId="2">
    <w:abstractNumId w:val="3"/>
  </w:num>
  <w:num w:numId="3">
    <w:abstractNumId w:val="5"/>
  </w:num>
  <w:num w:numId="4">
    <w:abstractNumId w:val="2"/>
  </w:num>
  <w:num w:numId="5">
    <w:abstractNumId w:val="1"/>
    <w:lvlOverride w:ilvl="0">
      <w:startOverride w:val="2"/>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0MzY3ZTYwNzMxODllMzJiYWU0YWRjMDc4ODM4N2MifQ=="/>
  </w:docVars>
  <w:rsids>
    <w:rsidRoot w:val="591E4056"/>
    <w:rsid w:val="0026130D"/>
    <w:rsid w:val="00316629"/>
    <w:rsid w:val="00A23CA3"/>
    <w:rsid w:val="00F52A8D"/>
    <w:rsid w:val="019E081A"/>
    <w:rsid w:val="01D8097D"/>
    <w:rsid w:val="02205845"/>
    <w:rsid w:val="025603C1"/>
    <w:rsid w:val="02F4124E"/>
    <w:rsid w:val="060D1346"/>
    <w:rsid w:val="065C50DC"/>
    <w:rsid w:val="080361AE"/>
    <w:rsid w:val="08245EA0"/>
    <w:rsid w:val="0898267C"/>
    <w:rsid w:val="08C64C27"/>
    <w:rsid w:val="0A0028D6"/>
    <w:rsid w:val="0A5F5B47"/>
    <w:rsid w:val="0B301291"/>
    <w:rsid w:val="0C5E598A"/>
    <w:rsid w:val="0CD8398F"/>
    <w:rsid w:val="0CF15EC5"/>
    <w:rsid w:val="0CFB58CF"/>
    <w:rsid w:val="0D1D3A97"/>
    <w:rsid w:val="0D38442D"/>
    <w:rsid w:val="0DA33F9D"/>
    <w:rsid w:val="0DB42190"/>
    <w:rsid w:val="0E4C4351"/>
    <w:rsid w:val="0E576B35"/>
    <w:rsid w:val="0E6301A5"/>
    <w:rsid w:val="0EF40828"/>
    <w:rsid w:val="0F130CAE"/>
    <w:rsid w:val="0F501F02"/>
    <w:rsid w:val="10597C72"/>
    <w:rsid w:val="10623236"/>
    <w:rsid w:val="106A6FF4"/>
    <w:rsid w:val="10A818CA"/>
    <w:rsid w:val="10D27424"/>
    <w:rsid w:val="110018B9"/>
    <w:rsid w:val="113D0264"/>
    <w:rsid w:val="114C66F9"/>
    <w:rsid w:val="11626394"/>
    <w:rsid w:val="125E3880"/>
    <w:rsid w:val="13174AE5"/>
    <w:rsid w:val="13525B1D"/>
    <w:rsid w:val="13C95DDF"/>
    <w:rsid w:val="13D03611"/>
    <w:rsid w:val="14151024"/>
    <w:rsid w:val="14C60571"/>
    <w:rsid w:val="151B6B0E"/>
    <w:rsid w:val="15BC5A77"/>
    <w:rsid w:val="16163903"/>
    <w:rsid w:val="1632753A"/>
    <w:rsid w:val="16900E36"/>
    <w:rsid w:val="17EE3BAC"/>
    <w:rsid w:val="184C5231"/>
    <w:rsid w:val="18E467E9"/>
    <w:rsid w:val="19185113"/>
    <w:rsid w:val="19B144CC"/>
    <w:rsid w:val="19EA4D01"/>
    <w:rsid w:val="1A3348FA"/>
    <w:rsid w:val="1AFF3530"/>
    <w:rsid w:val="1C4A3493"/>
    <w:rsid w:val="1C4E1577"/>
    <w:rsid w:val="1C5A43C0"/>
    <w:rsid w:val="1C827D8B"/>
    <w:rsid w:val="1C854AEE"/>
    <w:rsid w:val="1CC61A56"/>
    <w:rsid w:val="1D1A3B4F"/>
    <w:rsid w:val="1D28626C"/>
    <w:rsid w:val="1D2F212A"/>
    <w:rsid w:val="1E360515"/>
    <w:rsid w:val="1F525822"/>
    <w:rsid w:val="20250841"/>
    <w:rsid w:val="20A200E4"/>
    <w:rsid w:val="20A41CD0"/>
    <w:rsid w:val="20AE4CDA"/>
    <w:rsid w:val="20EC75B1"/>
    <w:rsid w:val="21463165"/>
    <w:rsid w:val="21902632"/>
    <w:rsid w:val="222F59A7"/>
    <w:rsid w:val="22676ED1"/>
    <w:rsid w:val="22D36EB3"/>
    <w:rsid w:val="23863CED"/>
    <w:rsid w:val="239F6B5C"/>
    <w:rsid w:val="23FF17BA"/>
    <w:rsid w:val="24AC1531"/>
    <w:rsid w:val="254E4396"/>
    <w:rsid w:val="2555371D"/>
    <w:rsid w:val="25911A7F"/>
    <w:rsid w:val="25C66622"/>
    <w:rsid w:val="25EB6089"/>
    <w:rsid w:val="264B2FCC"/>
    <w:rsid w:val="26B741BD"/>
    <w:rsid w:val="27165ED1"/>
    <w:rsid w:val="277E52D7"/>
    <w:rsid w:val="279B763B"/>
    <w:rsid w:val="28F90ABD"/>
    <w:rsid w:val="290D27BA"/>
    <w:rsid w:val="2A0D2901"/>
    <w:rsid w:val="2A7E1E12"/>
    <w:rsid w:val="2B27665D"/>
    <w:rsid w:val="2B392F3E"/>
    <w:rsid w:val="2BA72155"/>
    <w:rsid w:val="2BCA6741"/>
    <w:rsid w:val="2C1C3440"/>
    <w:rsid w:val="2C625DDA"/>
    <w:rsid w:val="2D32459D"/>
    <w:rsid w:val="2D9F0B36"/>
    <w:rsid w:val="2DDA7DC5"/>
    <w:rsid w:val="2DE41D3C"/>
    <w:rsid w:val="2F9A1AF7"/>
    <w:rsid w:val="30A56E8B"/>
    <w:rsid w:val="30F742CA"/>
    <w:rsid w:val="3163741B"/>
    <w:rsid w:val="316867E0"/>
    <w:rsid w:val="33054955"/>
    <w:rsid w:val="33650C0A"/>
    <w:rsid w:val="341B5D8B"/>
    <w:rsid w:val="34B00BC9"/>
    <w:rsid w:val="34CA155F"/>
    <w:rsid w:val="356D0DC2"/>
    <w:rsid w:val="358D0F0B"/>
    <w:rsid w:val="35C44062"/>
    <w:rsid w:val="35E507DD"/>
    <w:rsid w:val="35EC713C"/>
    <w:rsid w:val="364A1C28"/>
    <w:rsid w:val="37513B77"/>
    <w:rsid w:val="37C948C5"/>
    <w:rsid w:val="38465243"/>
    <w:rsid w:val="38660551"/>
    <w:rsid w:val="387B329C"/>
    <w:rsid w:val="38974E08"/>
    <w:rsid w:val="393A3157"/>
    <w:rsid w:val="39683720"/>
    <w:rsid w:val="3AF86E26"/>
    <w:rsid w:val="3B0A4DAB"/>
    <w:rsid w:val="3B24595C"/>
    <w:rsid w:val="3B3E47CB"/>
    <w:rsid w:val="3BF84C04"/>
    <w:rsid w:val="3D721F78"/>
    <w:rsid w:val="3DD041AB"/>
    <w:rsid w:val="3EDF1527"/>
    <w:rsid w:val="3EFE69D5"/>
    <w:rsid w:val="3F8E5FAB"/>
    <w:rsid w:val="40245670"/>
    <w:rsid w:val="4070745F"/>
    <w:rsid w:val="409F5F96"/>
    <w:rsid w:val="40BB780F"/>
    <w:rsid w:val="41FF6CEC"/>
    <w:rsid w:val="42017DE1"/>
    <w:rsid w:val="425A2175"/>
    <w:rsid w:val="427672F0"/>
    <w:rsid w:val="42D24401"/>
    <w:rsid w:val="430814EE"/>
    <w:rsid w:val="43217136"/>
    <w:rsid w:val="43A11EC0"/>
    <w:rsid w:val="43AB7A8A"/>
    <w:rsid w:val="44054362"/>
    <w:rsid w:val="442F34C9"/>
    <w:rsid w:val="445A7EA2"/>
    <w:rsid w:val="451505D5"/>
    <w:rsid w:val="454753AF"/>
    <w:rsid w:val="45D71D2E"/>
    <w:rsid w:val="462E5DF2"/>
    <w:rsid w:val="471054F8"/>
    <w:rsid w:val="47C167F2"/>
    <w:rsid w:val="485A1120"/>
    <w:rsid w:val="4AE03433"/>
    <w:rsid w:val="4B9D424F"/>
    <w:rsid w:val="4BD05255"/>
    <w:rsid w:val="4C910E89"/>
    <w:rsid w:val="4CA50490"/>
    <w:rsid w:val="4CEA0599"/>
    <w:rsid w:val="4D44414D"/>
    <w:rsid w:val="4E0D453F"/>
    <w:rsid w:val="4F734876"/>
    <w:rsid w:val="4F8933C5"/>
    <w:rsid w:val="50355FCF"/>
    <w:rsid w:val="51C27D36"/>
    <w:rsid w:val="52304CA0"/>
    <w:rsid w:val="526B3F2A"/>
    <w:rsid w:val="53172803"/>
    <w:rsid w:val="533B4303"/>
    <w:rsid w:val="533F2E2C"/>
    <w:rsid w:val="53D25828"/>
    <w:rsid w:val="54505185"/>
    <w:rsid w:val="54B42603"/>
    <w:rsid w:val="54F47339"/>
    <w:rsid w:val="54FF095A"/>
    <w:rsid w:val="551E5284"/>
    <w:rsid w:val="55BF0815"/>
    <w:rsid w:val="56114DE8"/>
    <w:rsid w:val="561A3C9D"/>
    <w:rsid w:val="56B37C4E"/>
    <w:rsid w:val="59172716"/>
    <w:rsid w:val="591E4056"/>
    <w:rsid w:val="597950EE"/>
    <w:rsid w:val="59CF60A3"/>
    <w:rsid w:val="5A1B7FE4"/>
    <w:rsid w:val="5AC4067B"/>
    <w:rsid w:val="5AE740C9"/>
    <w:rsid w:val="5B220E4F"/>
    <w:rsid w:val="5B2F3116"/>
    <w:rsid w:val="5BA31B13"/>
    <w:rsid w:val="5BD963A8"/>
    <w:rsid w:val="5C3E7FB9"/>
    <w:rsid w:val="5C8A1451"/>
    <w:rsid w:val="5CFD18B4"/>
    <w:rsid w:val="5D4635C9"/>
    <w:rsid w:val="5D467A6D"/>
    <w:rsid w:val="5D60386B"/>
    <w:rsid w:val="5D9547E3"/>
    <w:rsid w:val="5DBC388C"/>
    <w:rsid w:val="5DFE5C52"/>
    <w:rsid w:val="5E086AD1"/>
    <w:rsid w:val="5EEB665C"/>
    <w:rsid w:val="5FFE6D15"/>
    <w:rsid w:val="60075E2A"/>
    <w:rsid w:val="602F2A3B"/>
    <w:rsid w:val="607F065F"/>
    <w:rsid w:val="60966616"/>
    <w:rsid w:val="60E752BE"/>
    <w:rsid w:val="61D751AE"/>
    <w:rsid w:val="61DC274E"/>
    <w:rsid w:val="626F35C2"/>
    <w:rsid w:val="62BD2580"/>
    <w:rsid w:val="62EC4C13"/>
    <w:rsid w:val="631A6E69"/>
    <w:rsid w:val="63B35731"/>
    <w:rsid w:val="643C1282"/>
    <w:rsid w:val="65424FBE"/>
    <w:rsid w:val="659D3FA3"/>
    <w:rsid w:val="66F422E8"/>
    <w:rsid w:val="67953AD9"/>
    <w:rsid w:val="681A7B2C"/>
    <w:rsid w:val="68E80D8F"/>
    <w:rsid w:val="69E358BE"/>
    <w:rsid w:val="6A315D44"/>
    <w:rsid w:val="6AA67D9D"/>
    <w:rsid w:val="6B617D17"/>
    <w:rsid w:val="6B9A0316"/>
    <w:rsid w:val="6BA047ED"/>
    <w:rsid w:val="6DA02882"/>
    <w:rsid w:val="6DE8785D"/>
    <w:rsid w:val="6E9A5523"/>
    <w:rsid w:val="6E9F307A"/>
    <w:rsid w:val="6F073E88"/>
    <w:rsid w:val="6F771D08"/>
    <w:rsid w:val="6F7A6609"/>
    <w:rsid w:val="703F2826"/>
    <w:rsid w:val="70453BB5"/>
    <w:rsid w:val="70980B26"/>
    <w:rsid w:val="709B5583"/>
    <w:rsid w:val="70F3716D"/>
    <w:rsid w:val="710B41DD"/>
    <w:rsid w:val="71324139"/>
    <w:rsid w:val="713954C7"/>
    <w:rsid w:val="71AF12E6"/>
    <w:rsid w:val="71C31235"/>
    <w:rsid w:val="71D92806"/>
    <w:rsid w:val="71E35389"/>
    <w:rsid w:val="72C161C4"/>
    <w:rsid w:val="73155AC0"/>
    <w:rsid w:val="73412411"/>
    <w:rsid w:val="75526B58"/>
    <w:rsid w:val="75B831AE"/>
    <w:rsid w:val="75E1612D"/>
    <w:rsid w:val="76257DC8"/>
    <w:rsid w:val="766D3293"/>
    <w:rsid w:val="76763FBB"/>
    <w:rsid w:val="76990865"/>
    <w:rsid w:val="76AA4771"/>
    <w:rsid w:val="777F5BFE"/>
    <w:rsid w:val="77B91110"/>
    <w:rsid w:val="78281DF2"/>
    <w:rsid w:val="784529A4"/>
    <w:rsid w:val="784D4D30"/>
    <w:rsid w:val="78F0146E"/>
    <w:rsid w:val="794A5A72"/>
    <w:rsid w:val="7A1268B5"/>
    <w:rsid w:val="7BC942D3"/>
    <w:rsid w:val="7C0869EA"/>
    <w:rsid w:val="7C576D5F"/>
    <w:rsid w:val="7C653614"/>
    <w:rsid w:val="7CCA791B"/>
    <w:rsid w:val="7D0C3A90"/>
    <w:rsid w:val="7D7A30EF"/>
    <w:rsid w:val="7E6478FC"/>
    <w:rsid w:val="7E7F4735"/>
    <w:rsid w:val="7E8104AE"/>
    <w:rsid w:val="7F791185"/>
    <w:rsid w:val="7F80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6"/>
    <w:autoRedefine/>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autoRedefine/>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next w:val="6"/>
    <w:autoRedefine/>
    <w:qFormat/>
    <w:uiPriority w:val="0"/>
    <w:pPr>
      <w:ind w:firstLine="560" w:firstLineChars="200"/>
    </w:pPr>
    <w:rPr>
      <w:sz w:val="28"/>
      <w:szCs w:val="20"/>
    </w:rPr>
  </w:style>
  <w:style w:type="paragraph" w:styleId="6">
    <w:name w:val="Body Text 2"/>
    <w:basedOn w:val="1"/>
    <w:next w:val="7"/>
    <w:qFormat/>
    <w:uiPriority w:val="0"/>
    <w:pPr>
      <w:spacing w:line="480" w:lineRule="auto"/>
    </w:pPr>
  </w:style>
  <w:style w:type="paragraph" w:styleId="7">
    <w:name w:val="Body Text"/>
    <w:basedOn w:val="1"/>
    <w:next w:val="1"/>
    <w:qFormat/>
    <w:uiPriority w:val="0"/>
    <w:pPr>
      <w:spacing w:after="120"/>
    </w:pPr>
  </w:style>
  <w:style w:type="paragraph" w:styleId="8">
    <w:name w:val="annotation text"/>
    <w:basedOn w:val="1"/>
    <w:qFormat/>
    <w:uiPriority w:val="0"/>
    <w:pPr>
      <w:jc w:val="left"/>
    </w:pPr>
  </w:style>
  <w:style w:type="paragraph" w:styleId="9">
    <w:name w:val="Body Text Indent"/>
    <w:basedOn w:val="1"/>
    <w:qFormat/>
    <w:uiPriority w:val="99"/>
    <w:pPr>
      <w:spacing w:line="480" w:lineRule="auto"/>
      <w:ind w:firstLine="4960" w:firstLineChars="1550"/>
    </w:pPr>
    <w:rPr>
      <w:sz w:val="32"/>
      <w:szCs w:val="32"/>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qFormat/>
    <w:uiPriority w:val="99"/>
    <w:pPr>
      <w:widowControl w:val="0"/>
      <w:pBdr>
        <w:bottom w:val="single" w:color="auto" w:sz="6" w:space="1"/>
      </w:pBdr>
      <w:tabs>
        <w:tab w:val="center" w:pos="4153"/>
        <w:tab w:val="right" w:pos="8306"/>
      </w:tabs>
      <w:snapToGrid w:val="0"/>
      <w:jc w:val="center"/>
    </w:pPr>
    <w:rPr>
      <w:rFonts w:ascii="宋体" w:hAnsi="宋体" w:eastAsia="宋体" w:cs="宋体"/>
      <w:kern w:val="2"/>
      <w:sz w:val="18"/>
      <w:szCs w:val="18"/>
      <w:lang w:val="en-US" w:eastAsia="zh-CN" w:bidi="ar-SA"/>
    </w:rPr>
  </w:style>
  <w:style w:type="paragraph" w:styleId="12">
    <w:name w:val="toc 1"/>
    <w:basedOn w:val="1"/>
    <w:next w:val="1"/>
    <w:autoRedefine/>
    <w:qFormat/>
    <w:uiPriority w:val="0"/>
  </w:style>
  <w:style w:type="paragraph" w:styleId="13">
    <w:name w:val="footnote text"/>
    <w:basedOn w:val="1"/>
    <w:autoRedefine/>
    <w:unhideWhenUsed/>
    <w:qFormat/>
    <w:uiPriority w:val="99"/>
    <w:pPr>
      <w:tabs>
        <w:tab w:val="left" w:pos="420"/>
      </w:tabs>
      <w:snapToGrid w:val="0"/>
    </w:pPr>
    <w:rPr>
      <w:sz w:val="18"/>
      <w:szCs w:val="18"/>
    </w:rPr>
  </w:style>
  <w:style w:type="paragraph" w:styleId="14">
    <w:name w:val="toc 2"/>
    <w:basedOn w:val="1"/>
    <w:next w:val="1"/>
    <w:autoRedefine/>
    <w:qFormat/>
    <w:uiPriority w:val="0"/>
    <w:pPr>
      <w:ind w:left="420" w:leftChars="200"/>
    </w:pPr>
  </w:style>
  <w:style w:type="paragraph" w:styleId="15">
    <w:name w:val="Normal (Web)"/>
    <w:basedOn w:val="1"/>
    <w:autoRedefine/>
    <w:qFormat/>
    <w:uiPriority w:val="0"/>
    <w:pPr>
      <w:spacing w:beforeAutospacing="1" w:afterAutospacing="1"/>
      <w:jc w:val="left"/>
    </w:pPr>
    <w:rPr>
      <w:rFonts w:cs="Times New Roman"/>
      <w:kern w:val="0"/>
      <w:sz w:val="24"/>
    </w:rPr>
  </w:style>
  <w:style w:type="paragraph" w:styleId="16">
    <w:name w:val="Body Text First Indent"/>
    <w:basedOn w:val="7"/>
    <w:next w:val="1"/>
    <w:autoRedefine/>
    <w:unhideWhenUsed/>
    <w:qFormat/>
    <w:uiPriority w:val="99"/>
    <w:pPr>
      <w:ind w:firstLine="420" w:firstLineChars="100"/>
    </w:pPr>
    <w:rPr>
      <w:rFonts w:ascii="Times New Roman" w:hAnsi="Times New Roman" w:eastAsia="宋体" w:cs="Times New Roman"/>
    </w:rPr>
  </w:style>
  <w:style w:type="paragraph" w:styleId="17">
    <w:name w:val="Body Text First Indent 2"/>
    <w:basedOn w:val="9"/>
    <w:next w:val="1"/>
    <w:autoRedefine/>
    <w:unhideWhenUsed/>
    <w:qFormat/>
    <w:uiPriority w:val="99"/>
    <w:pPr>
      <w:spacing w:after="120"/>
      <w:ind w:left="420" w:leftChars="200" w:firstLine="420" w:firstLineChars="200"/>
    </w:pPr>
    <w:rPr>
      <w:rFonts w:ascii="Times New Roman" w:hAnsi="Times New Roman" w:eastAsia="宋体" w:cs="Times New Roman"/>
      <w:sz w:val="21"/>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autoRedefine/>
    <w:qFormat/>
    <w:uiPriority w:val="0"/>
    <w:rPr>
      <w:b/>
      <w:bCs/>
    </w:rPr>
  </w:style>
  <w:style w:type="character" w:styleId="22">
    <w:name w:val="page number"/>
    <w:qFormat/>
    <w:uiPriority w:val="0"/>
  </w:style>
  <w:style w:type="character" w:styleId="23">
    <w:name w:val="FollowedHyperlink"/>
    <w:basedOn w:val="20"/>
    <w:qFormat/>
    <w:uiPriority w:val="0"/>
    <w:rPr>
      <w:color w:val="5C5C5C"/>
      <w:u w:val="none"/>
    </w:rPr>
  </w:style>
  <w:style w:type="character" w:styleId="24">
    <w:name w:val="Emphasis"/>
    <w:basedOn w:val="20"/>
    <w:qFormat/>
    <w:uiPriority w:val="0"/>
    <w:rPr>
      <w:rFonts w:ascii="ActionIcon ! important" w:hAnsi="ActionIcon ! important" w:eastAsia="ActionIcon ! important" w:cs="ActionIcon ! important"/>
      <w:b/>
      <w:bCs/>
      <w:vanish/>
      <w:color w:val="DE2A2A"/>
      <w:sz w:val="19"/>
      <w:szCs w:val="19"/>
      <w:shd w:val="clear" w:fill="FFFFFF"/>
    </w:rPr>
  </w:style>
  <w:style w:type="character" w:styleId="25">
    <w:name w:val="HTML Definition"/>
    <w:basedOn w:val="20"/>
    <w:qFormat/>
    <w:uiPriority w:val="0"/>
  </w:style>
  <w:style w:type="character" w:styleId="26">
    <w:name w:val="HTML Typewriter"/>
    <w:basedOn w:val="20"/>
    <w:qFormat/>
    <w:uiPriority w:val="0"/>
    <w:rPr>
      <w:rFonts w:hint="default" w:ascii="monospace" w:hAnsi="monospace" w:eastAsia="monospace" w:cs="monospace"/>
      <w:sz w:val="20"/>
    </w:rPr>
  </w:style>
  <w:style w:type="character" w:styleId="27">
    <w:name w:val="HTML Acronym"/>
    <w:basedOn w:val="20"/>
    <w:qFormat/>
    <w:uiPriority w:val="0"/>
  </w:style>
  <w:style w:type="character" w:styleId="28">
    <w:name w:val="HTML Variable"/>
    <w:basedOn w:val="20"/>
    <w:qFormat/>
    <w:uiPriority w:val="0"/>
  </w:style>
  <w:style w:type="character" w:styleId="29">
    <w:name w:val="Hyperlink"/>
    <w:autoRedefine/>
    <w:qFormat/>
    <w:uiPriority w:val="0"/>
    <w:rPr>
      <w:color w:val="000000"/>
      <w:u w:val="none"/>
    </w:rPr>
  </w:style>
  <w:style w:type="character" w:styleId="30">
    <w:name w:val="HTML Code"/>
    <w:basedOn w:val="20"/>
    <w:qFormat/>
    <w:uiPriority w:val="0"/>
    <w:rPr>
      <w:rFonts w:hint="default" w:ascii="monospace" w:hAnsi="monospace" w:eastAsia="monospace" w:cs="monospace"/>
      <w:sz w:val="20"/>
    </w:rPr>
  </w:style>
  <w:style w:type="character" w:styleId="31">
    <w:name w:val="HTML Cite"/>
    <w:basedOn w:val="20"/>
    <w:qFormat/>
    <w:uiPriority w:val="0"/>
  </w:style>
  <w:style w:type="character" w:styleId="32">
    <w:name w:val="HTML Keyboard"/>
    <w:basedOn w:val="20"/>
    <w:qFormat/>
    <w:uiPriority w:val="0"/>
    <w:rPr>
      <w:rFonts w:ascii="monospace" w:hAnsi="monospace" w:eastAsia="monospace" w:cs="monospace"/>
      <w:sz w:val="20"/>
    </w:rPr>
  </w:style>
  <w:style w:type="character" w:styleId="33">
    <w:name w:val="HTML Sample"/>
    <w:basedOn w:val="20"/>
    <w:qFormat/>
    <w:uiPriority w:val="0"/>
    <w:rPr>
      <w:rFonts w:hint="default" w:ascii="monospace" w:hAnsi="monospace" w:eastAsia="monospace" w:cs="monospace"/>
    </w:rPr>
  </w:style>
  <w:style w:type="paragraph" w:customStyle="1" w:styleId="34">
    <w:name w:val="No Spacing"/>
    <w:basedOn w:val="1"/>
    <w:autoRedefine/>
    <w:qFormat/>
    <w:uiPriority w:val="1"/>
    <w:rPr>
      <w:rFonts w:ascii="Times New Roman" w:hAnsi="Times New Roman" w:eastAsia="宋体" w:cs="Times New Roman"/>
      <w:sz w:val="22"/>
      <w:szCs w:val="22"/>
      <w:lang w:val="en-US" w:eastAsia="zh-CN" w:bidi="ar-SA"/>
    </w:rPr>
  </w:style>
  <w:style w:type="paragraph" w:customStyle="1" w:styleId="35">
    <w:name w:val="Default"/>
    <w:next w:val="1"/>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character" w:customStyle="1" w:styleId="36">
    <w:name w:val="标题 1 Char"/>
    <w:link w:val="2"/>
    <w:autoRedefine/>
    <w:qFormat/>
    <w:uiPriority w:val="0"/>
    <w:rPr>
      <w:rFonts w:hint="eastAsia" w:ascii="宋体" w:hAnsi="宋体"/>
      <w:b/>
      <w:kern w:val="44"/>
      <w:sz w:val="48"/>
      <w:szCs w:val="48"/>
    </w:rPr>
  </w:style>
  <w:style w:type="paragraph" w:customStyle="1" w:styleId="37">
    <w:name w:val="缺省文本"/>
    <w:basedOn w:val="1"/>
    <w:autoRedefine/>
    <w:qFormat/>
    <w:uiPriority w:val="0"/>
    <w:pPr>
      <w:autoSpaceDE w:val="0"/>
      <w:autoSpaceDN w:val="0"/>
      <w:adjustRightInd w:val="0"/>
      <w:jc w:val="left"/>
    </w:pPr>
    <w:rPr>
      <w:kern w:val="0"/>
      <w:sz w:val="24"/>
    </w:rPr>
  </w:style>
  <w:style w:type="paragraph" w:customStyle="1" w:styleId="38">
    <w:name w:val="正文首行缩进1"/>
    <w:basedOn w:val="7"/>
    <w:next w:val="1"/>
    <w:autoRedefine/>
    <w:qFormat/>
    <w:uiPriority w:val="0"/>
    <w:pPr>
      <w:adjustRightInd w:val="0"/>
      <w:spacing w:before="100" w:beforeAutospacing="1" w:after="60" w:line="360" w:lineRule="atLeast"/>
      <w:ind w:left="72" w:leftChars="30" w:right="30" w:rightChars="30" w:firstLine="420"/>
      <w:jc w:val="center"/>
      <w:textAlignment w:val="baseline"/>
    </w:pPr>
    <w:rPr>
      <w:rFonts w:ascii="Times New Roman" w:hAnsi="Times New Roman" w:eastAsia="宋体" w:cs="Times New Roman"/>
      <w:sz w:val="32"/>
      <w:szCs w:val="32"/>
    </w:rPr>
  </w:style>
  <w:style w:type="character" w:customStyle="1" w:styleId="39">
    <w:name w:val="hover"/>
    <w:basedOn w:val="20"/>
    <w:qFormat/>
    <w:uiPriority w:val="0"/>
    <w:rPr>
      <w:color w:val="2590EB"/>
    </w:rPr>
  </w:style>
  <w:style w:type="character" w:customStyle="1" w:styleId="40">
    <w:name w:val="hover1"/>
    <w:basedOn w:val="20"/>
    <w:qFormat/>
    <w:uiPriority w:val="0"/>
    <w:rPr>
      <w:color w:val="2590EB"/>
    </w:rPr>
  </w:style>
  <w:style w:type="character" w:customStyle="1" w:styleId="41">
    <w:name w:val="hover2"/>
    <w:basedOn w:val="20"/>
    <w:qFormat/>
    <w:uiPriority w:val="0"/>
  </w:style>
  <w:style w:type="character" w:customStyle="1" w:styleId="42">
    <w:name w:val="hover3"/>
    <w:basedOn w:val="20"/>
    <w:qFormat/>
    <w:uiPriority w:val="0"/>
    <w:rPr>
      <w:color w:val="2590EB"/>
      <w:shd w:val="clear" w:fill="E9F4FD"/>
    </w:rPr>
  </w:style>
  <w:style w:type="character" w:customStyle="1" w:styleId="43">
    <w:name w:val="hover4"/>
    <w:basedOn w:val="20"/>
    <w:qFormat/>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21436</Words>
  <Characters>22871</Characters>
  <Lines>0</Lines>
  <Paragraphs>0</Paragraphs>
  <TotalTime>304</TotalTime>
  <ScaleCrop>false</ScaleCrop>
  <LinksUpToDate>false</LinksUpToDate>
  <CharactersWithSpaces>23157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2025-03-24T00:53:00Z</dcterms:created>
  <dc:creator>中金泰富工程管理有限公司:毕玮</dc:creator>
  <cp:lastModifiedBy>admin</cp:lastModifiedBy>
  <cp:lastPrinted>2025-03-26T09:39:00Z</cp:lastPrinted>
  <dcterms:modified xsi:type="dcterms:W3CDTF">2026-08-12T02:28:38Z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86B4B0BA29F44080875827B38A70DC9F_13</vt:lpwstr>
  </property>
  <property fmtid="{D5CDD505-2E9C-101B-9397-08002B2CF9AE}" pid="4" name="KSOTemplateDocerSaveRecord">
    <vt:lpwstr>eyJoZGlkIjoiMTU0YTJhNDBiODZjZGIwMGZmMDhhMjRmMGUwYjlmNGMiLCJ1c2VySWQiOiI0NTY1MTgzNjEifQ==</vt:lpwstr>
  </property>
</Properties>
</file>