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0C2B1">
      <w:pPr>
        <w:jc w:val="center"/>
        <w:rPr>
          <w:rFonts w:hint="default" w:ascii="Times New Roman" w:hAnsi="Times New Roman" w:eastAsia="宋体" w:cs="Times New Roman"/>
          <w:b/>
          <w:color w:val="auto"/>
          <w:spacing w:val="20"/>
          <w:sz w:val="56"/>
          <w:szCs w:val="56"/>
          <w:lang w:val="en-US" w:eastAsia="zh-CN"/>
        </w:rPr>
      </w:pPr>
      <w:bookmarkStart w:id="0" w:name="OLE_LINK194"/>
      <w:r>
        <w:rPr>
          <w:rFonts w:hint="eastAsia" w:ascii="Times New Roman" w:hAnsi="Times New Roman" w:eastAsia="宋体" w:cs="Times New Roman"/>
          <w:b/>
          <w:bCs/>
          <w:color w:val="auto"/>
          <w:spacing w:val="20"/>
          <w:sz w:val="56"/>
          <w:szCs w:val="56"/>
          <w:lang w:val="en-US" w:eastAsia="zh-CN"/>
        </w:rPr>
        <w:t>河南省测绘地理信息技术中心实景三维河南建设省级项目2025年软硬件采购项目</w:t>
      </w:r>
      <w:r>
        <w:rPr>
          <w:rFonts w:hint="default" w:ascii="Times New Roman" w:hAnsi="Times New Roman" w:eastAsia="宋体" w:cs="Times New Roman"/>
          <w:b/>
          <w:color w:val="auto"/>
          <w:spacing w:val="20"/>
          <w:sz w:val="56"/>
          <w:szCs w:val="56"/>
          <w:lang w:val="en-US" w:eastAsia="zh-CN"/>
        </w:rPr>
        <w:t xml:space="preserve"> </w:t>
      </w:r>
    </w:p>
    <w:p w14:paraId="65639FEF">
      <w:pPr>
        <w:tabs>
          <w:tab w:val="left" w:pos="1950"/>
        </w:tabs>
        <w:jc w:val="left"/>
        <w:rPr>
          <w:rFonts w:hint="default" w:ascii="Times New Roman" w:hAnsi="Times New Roman" w:eastAsia="宋体" w:cs="Times New Roman"/>
          <w:bCs/>
          <w:color w:val="auto"/>
          <w:lang w:val="en-US" w:eastAsia="zh-CN"/>
        </w:rPr>
      </w:pPr>
      <w:r>
        <w:rPr>
          <w:rFonts w:hint="default" w:ascii="Times New Roman" w:hAnsi="Times New Roman" w:eastAsia="宋体" w:cs="Times New Roman"/>
          <w:b/>
          <w:color w:val="auto"/>
          <w:spacing w:val="20"/>
          <w:sz w:val="56"/>
          <w:szCs w:val="56"/>
          <w:lang w:val="en-US" w:eastAsia="zh-CN"/>
        </w:rPr>
        <w:t xml:space="preserve"> </w:t>
      </w:r>
    </w:p>
    <w:p w14:paraId="29706864">
      <w:pPr>
        <w:jc w:val="center"/>
        <w:rPr>
          <w:rFonts w:hint="default" w:ascii="Times New Roman" w:hAnsi="Times New Roman" w:eastAsia="宋体" w:cs="Times New Roman"/>
          <w:b/>
          <w:color w:val="auto"/>
          <w:sz w:val="160"/>
          <w:szCs w:val="160"/>
          <w:lang w:eastAsia="zh-CN"/>
        </w:rPr>
      </w:pPr>
      <w:r>
        <w:rPr>
          <w:rFonts w:hint="default" w:ascii="Times New Roman" w:hAnsi="Times New Roman" w:eastAsia="宋体" w:cs="Times New Roman"/>
          <w:b/>
          <w:color w:val="auto"/>
          <w:sz w:val="160"/>
          <w:szCs w:val="160"/>
          <w:lang w:eastAsia="zh-CN"/>
        </w:rPr>
        <w:t>招标文件</w:t>
      </w:r>
    </w:p>
    <w:p w14:paraId="2C6236FC">
      <w:pPr>
        <w:jc w:val="center"/>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eastAsia="zh-CN"/>
        </w:rPr>
        <w:t>采购编号：豫财招标采购-2026-891</w:t>
      </w:r>
    </w:p>
    <w:p w14:paraId="10D191BF">
      <w:pPr>
        <w:pStyle w:val="110"/>
        <w:rPr>
          <w:rFonts w:hint="default" w:ascii="Times New Roman" w:hAnsi="Times New Roman" w:cs="Times New Roman"/>
          <w:bCs/>
          <w:lang w:val="en"/>
        </w:rPr>
      </w:pPr>
    </w:p>
    <w:p w14:paraId="46E6A253">
      <w:pPr>
        <w:spacing w:line="240" w:lineRule="atLeast"/>
        <w:ind w:left="1080" w:hanging="540"/>
        <w:jc w:val="center"/>
        <w:rPr>
          <w:rFonts w:hint="default" w:ascii="Times New Roman" w:hAnsi="Times New Roman" w:eastAsia="宋体" w:cs="Times New Roman"/>
          <w:bCs/>
          <w:color w:val="auto"/>
          <w:sz w:val="28"/>
          <w:szCs w:val="28"/>
          <w:lang w:val="en-US"/>
        </w:rPr>
      </w:pPr>
      <w:r>
        <w:rPr>
          <w:rFonts w:hint="default" w:ascii="Times New Roman" w:hAnsi="Times New Roman" w:eastAsia="宋体" w:cs="Times New Roman"/>
          <w:bCs/>
          <w:color w:val="auto"/>
          <w:lang w:val="en-US" w:eastAsia="zh-CN"/>
        </w:rPr>
        <w:drawing>
          <wp:inline distT="0" distB="0" distL="114300" distR="114300">
            <wp:extent cx="1398905" cy="1398905"/>
            <wp:effectExtent l="0" t="0" r="1079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1398905" cy="1398905"/>
                    </a:xfrm>
                    <a:prstGeom prst="rect">
                      <a:avLst/>
                    </a:prstGeom>
                    <a:noFill/>
                    <a:ln>
                      <a:noFill/>
                    </a:ln>
                  </pic:spPr>
                </pic:pic>
              </a:graphicData>
            </a:graphic>
          </wp:inline>
        </w:drawing>
      </w:r>
    </w:p>
    <w:p w14:paraId="4C664538">
      <w:pPr>
        <w:spacing w:line="240" w:lineRule="atLeast"/>
        <w:ind w:left="1080" w:hanging="540"/>
        <w:jc w:val="center"/>
        <w:rPr>
          <w:rFonts w:hint="default" w:ascii="Times New Roman" w:hAnsi="Times New Roman" w:eastAsia="宋体" w:cs="Times New Roman"/>
          <w:bCs/>
          <w:color w:val="auto"/>
          <w:sz w:val="28"/>
          <w:szCs w:val="28"/>
          <w:lang w:val="en-US"/>
        </w:rPr>
      </w:pPr>
    </w:p>
    <w:p w14:paraId="28C50DF0">
      <w:pPr>
        <w:spacing w:line="240" w:lineRule="atLeast"/>
        <w:ind w:left="1080" w:hanging="540"/>
        <w:jc w:val="center"/>
        <w:rPr>
          <w:rFonts w:hint="default" w:ascii="Times New Roman" w:hAnsi="Times New Roman" w:eastAsia="宋体" w:cs="Times New Roman"/>
          <w:bCs/>
          <w:color w:val="auto"/>
          <w:sz w:val="28"/>
          <w:szCs w:val="28"/>
          <w:lang w:val="en-US"/>
        </w:rPr>
      </w:pPr>
    </w:p>
    <w:p w14:paraId="7A434139">
      <w:pPr>
        <w:spacing w:line="700" w:lineRule="exact"/>
        <w:ind w:left="1050" w:leftChars="500"/>
        <w:rPr>
          <w:rFonts w:hint="default" w:ascii="Times New Roman" w:hAnsi="Times New Roman" w:eastAsia="宋体" w:cs="Times New Roman"/>
          <w:b/>
          <w:color w:val="auto"/>
          <w:sz w:val="36"/>
          <w:szCs w:val="36"/>
          <w:highlight w:val="yellow"/>
          <w:lang w:val="en-US" w:eastAsia="zh-CN"/>
        </w:rPr>
      </w:pPr>
      <w:r>
        <w:rPr>
          <w:rFonts w:hint="default" w:ascii="Times New Roman" w:hAnsi="Times New Roman" w:eastAsia="宋体" w:cs="Times New Roman"/>
          <w:b/>
          <w:color w:val="auto"/>
          <w:sz w:val="36"/>
          <w:szCs w:val="36"/>
          <w:lang w:eastAsia="zh-CN"/>
        </w:rPr>
        <w:t>采   购   人：</w:t>
      </w:r>
      <w:r>
        <w:rPr>
          <w:rFonts w:hint="default" w:ascii="Times New Roman" w:hAnsi="Times New Roman" w:eastAsia="宋体" w:cs="Times New Roman"/>
          <w:b/>
          <w:color w:val="auto"/>
          <w:sz w:val="36"/>
          <w:szCs w:val="36"/>
          <w:lang w:val="en-US" w:eastAsia="zh-CN"/>
        </w:rPr>
        <w:t>河南省测绘地理信息技术中心</w:t>
      </w:r>
    </w:p>
    <w:p w14:paraId="7FDB5198">
      <w:pPr>
        <w:spacing w:line="700" w:lineRule="exact"/>
        <w:ind w:left="1050" w:leftChars="500"/>
        <w:rPr>
          <w:rFonts w:hint="default" w:ascii="Times New Roman" w:hAnsi="Times New Roman" w:eastAsia="宋体" w:cs="Times New Roman"/>
          <w:b/>
          <w:color w:val="auto"/>
          <w:sz w:val="36"/>
          <w:szCs w:val="36"/>
          <w:highlight w:val="yellow"/>
          <w:lang w:eastAsia="zh-CN"/>
        </w:rPr>
      </w:pPr>
      <w:r>
        <w:rPr>
          <w:rFonts w:hint="default" w:ascii="Times New Roman" w:hAnsi="Times New Roman" w:eastAsia="宋体" w:cs="Times New Roman"/>
          <w:b/>
          <w:color w:val="auto"/>
          <w:sz w:val="36"/>
          <w:szCs w:val="36"/>
          <w:lang w:eastAsia="zh-CN"/>
        </w:rPr>
        <w:t>集中采购机构：河南省公共资源交易中心</w:t>
      </w:r>
    </w:p>
    <w:p w14:paraId="00C4AB17">
      <w:pPr>
        <w:jc w:val="center"/>
        <w:rPr>
          <w:rFonts w:hint="default" w:ascii="Times New Roman" w:hAnsi="Times New Roman" w:eastAsia="宋体" w:cs="Times New Roman"/>
          <w:b/>
          <w:color w:val="auto"/>
          <w:sz w:val="36"/>
          <w:szCs w:val="36"/>
          <w:lang w:val="en-US" w:eastAsia="zh-CN"/>
        </w:rPr>
      </w:pPr>
    </w:p>
    <w:p w14:paraId="37AC3599">
      <w:pPr>
        <w:jc w:val="center"/>
        <w:rPr>
          <w:rFonts w:hint="default" w:ascii="Times New Roman" w:hAnsi="Times New Roman" w:eastAsia="宋体" w:cs="Times New Roman"/>
          <w:b/>
          <w:color w:val="auto"/>
          <w:sz w:val="36"/>
          <w:szCs w:val="36"/>
          <w:lang w:eastAsia="zh-CN"/>
        </w:rPr>
      </w:pPr>
      <w:r>
        <w:rPr>
          <w:rFonts w:hint="default" w:ascii="Times New Roman" w:hAnsi="Times New Roman" w:eastAsia="宋体" w:cs="Times New Roman"/>
          <w:b/>
          <w:color w:val="auto"/>
          <w:sz w:val="36"/>
          <w:szCs w:val="36"/>
          <w:lang w:val="en" w:eastAsia="zh-CN"/>
        </w:rPr>
        <w:t>2026年8月</w:t>
      </w:r>
    </w:p>
    <w:p w14:paraId="6FF3AA7C">
      <w:pPr>
        <w:rPr>
          <w:rFonts w:hint="default" w:ascii="Times New Roman" w:hAnsi="Times New Roman" w:eastAsia="宋体" w:cs="Times New Roman"/>
          <w:bCs/>
          <w:color w:val="auto"/>
          <w:sz w:val="44"/>
          <w:szCs w:val="44"/>
          <w:lang w:val="en-US"/>
        </w:rPr>
        <w:sectPr>
          <w:pgSz w:w="11900" w:h="16840"/>
          <w:pgMar w:top="1440" w:right="1797" w:bottom="1440" w:left="1797" w:header="851" w:footer="992" w:gutter="0"/>
          <w:cols w:space="720" w:num="1"/>
        </w:sectPr>
      </w:pPr>
    </w:p>
    <w:p w14:paraId="73545C6F">
      <w:pPr>
        <w:pStyle w:val="77"/>
        <w:rPr>
          <w:rFonts w:hint="default" w:ascii="Times New Roman" w:hAnsi="Times New Roman" w:cs="Times New Roman"/>
          <w:bCs/>
        </w:rPr>
      </w:pPr>
    </w:p>
    <w:p w14:paraId="42F73B91">
      <w:pPr>
        <w:jc w:val="center"/>
        <w:rPr>
          <w:rFonts w:hint="default" w:ascii="Times New Roman" w:hAnsi="Times New Roman" w:cs="Times New Roman"/>
          <w:bCs/>
          <w:color w:val="auto"/>
          <w:sz w:val="44"/>
          <w:szCs w:val="44"/>
        </w:rPr>
      </w:pPr>
      <w:bookmarkStart w:id="1" w:name="_Toc391830849_WPSOffice_Type1"/>
      <w:r>
        <w:rPr>
          <w:rFonts w:hint="default" w:ascii="Times New Roman" w:hAnsi="Times New Roman" w:eastAsia="宋体" w:cs="Times New Roman"/>
          <w:bCs/>
          <w:color w:val="auto"/>
          <w:sz w:val="44"/>
          <w:szCs w:val="44"/>
        </w:rPr>
        <w:t>目</w:t>
      </w:r>
      <w:r>
        <w:rPr>
          <w:rFonts w:hint="default" w:ascii="Times New Roman" w:hAnsi="Times New Roman" w:eastAsia="宋体" w:cs="Times New Roman"/>
          <w:bCs/>
          <w:color w:val="auto"/>
          <w:sz w:val="44"/>
          <w:szCs w:val="44"/>
          <w:lang w:val="en"/>
        </w:rPr>
        <w:t xml:space="preserve"> </w:t>
      </w:r>
      <w:r>
        <w:rPr>
          <w:rFonts w:hint="default" w:ascii="Times New Roman" w:hAnsi="Times New Roman" w:eastAsia="宋体" w:cs="Times New Roman"/>
          <w:bCs/>
          <w:color w:val="auto"/>
          <w:sz w:val="44"/>
          <w:szCs w:val="44"/>
        </w:rPr>
        <w:t>录</w:t>
      </w:r>
    </w:p>
    <w:bookmarkEnd w:id="1"/>
    <w:p w14:paraId="767AD3BE">
      <w:pPr>
        <w:pStyle w:val="37"/>
        <w:tabs>
          <w:tab w:val="right" w:leader="dot" w:pos="8306"/>
        </w:tabs>
        <w:spacing w:line="360" w:lineRule="auto"/>
        <w:rPr>
          <w:rFonts w:hint="default" w:ascii="Times New Roman" w:hAnsi="Times New Roman" w:cs="Times New Roman"/>
          <w:bCs/>
          <w:sz w:val="32"/>
          <w:szCs w:val="32"/>
        </w:rPr>
      </w:pPr>
    </w:p>
    <w:p w14:paraId="482D01E1">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TOC \o "1-1" \h \u </w:instrText>
      </w:r>
      <w:r>
        <w:rPr>
          <w:rFonts w:hint="default" w:ascii="Times New Roman" w:hAnsi="Times New Roman" w:eastAsia="仿宋_GB2312" w:cs="Times New Roman"/>
          <w:bCs/>
          <w:sz w:val="36"/>
          <w:szCs w:val="36"/>
        </w:rPr>
        <w:fldChar w:fldCharType="separate"/>
      </w: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"_Toc1653908397"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第一章 投标邀请</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_Toc1653908397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2</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6179B41A">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"_Toc826019295"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第二章 投标人</w:t>
      </w:r>
      <w:bookmarkStart w:id="2" w:name="_Hlt145347466"/>
      <w:bookmarkStart w:id="3" w:name="_Hlt145347467"/>
      <w:r>
        <w:rPr>
          <w:rFonts w:hint="default" w:ascii="Times New Roman" w:hAnsi="Times New Roman" w:eastAsia="仿宋_GB2312" w:cs="Times New Roman"/>
          <w:bCs/>
          <w:sz w:val="36"/>
          <w:szCs w:val="36"/>
        </w:rPr>
        <w:t>须</w:t>
      </w:r>
      <w:bookmarkEnd w:id="2"/>
      <w:bookmarkEnd w:id="3"/>
      <w:r>
        <w:rPr>
          <w:rFonts w:hint="default" w:ascii="Times New Roman" w:hAnsi="Times New Roman" w:eastAsia="仿宋_GB2312" w:cs="Times New Roman"/>
          <w:bCs/>
          <w:sz w:val="36"/>
          <w:szCs w:val="36"/>
        </w:rPr>
        <w:t>知前附表</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_Toc826019295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6</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67CEDB71">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"_Toc876903712"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第三章 投标人须知</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_Toc876903712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12</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200960CF">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"_Toc893337798"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第四章 资格证</w:t>
      </w:r>
      <w:bookmarkStart w:id="4" w:name="_Hlt145347476"/>
      <w:r>
        <w:rPr>
          <w:rFonts w:hint="default" w:ascii="Times New Roman" w:hAnsi="Times New Roman" w:eastAsia="仿宋_GB2312" w:cs="Times New Roman"/>
          <w:bCs/>
          <w:sz w:val="36"/>
          <w:szCs w:val="36"/>
        </w:rPr>
        <w:t>明</w:t>
      </w:r>
      <w:bookmarkEnd w:id="4"/>
      <w:r>
        <w:rPr>
          <w:rFonts w:hint="default" w:ascii="Times New Roman" w:hAnsi="Times New Roman" w:eastAsia="仿宋_GB2312" w:cs="Times New Roman"/>
          <w:bCs/>
          <w:sz w:val="36"/>
          <w:szCs w:val="36"/>
        </w:rPr>
        <w:t>文件格式</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_Toc893337798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35</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2F389C6F">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"_Toc1398644272"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sz w:val="36"/>
          <w:szCs w:val="36"/>
        </w:rPr>
        <w:t>第五章 投标文件格式</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_Toc1398644272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44</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5147EC2C">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"_Toc208470034"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kern w:val="44"/>
          <w:sz w:val="36"/>
          <w:szCs w:val="36"/>
        </w:rPr>
        <w:t>第六章 项目需</w:t>
      </w:r>
      <w:bookmarkStart w:id="5" w:name="_Hlt145350581"/>
      <w:r>
        <w:rPr>
          <w:rFonts w:hint="default" w:ascii="Times New Roman" w:hAnsi="Times New Roman" w:eastAsia="仿宋_GB2312" w:cs="Times New Roman"/>
          <w:bCs/>
          <w:kern w:val="44"/>
          <w:sz w:val="36"/>
          <w:szCs w:val="36"/>
        </w:rPr>
        <w:t>求</w:t>
      </w:r>
      <w:bookmarkEnd w:id="5"/>
      <w:r>
        <w:rPr>
          <w:rFonts w:hint="default" w:ascii="Times New Roman" w:hAnsi="Times New Roman" w:eastAsia="仿宋_GB2312" w:cs="Times New Roman"/>
          <w:bCs/>
          <w:kern w:val="44"/>
          <w:sz w:val="36"/>
          <w:szCs w:val="36"/>
        </w:rPr>
        <w:t>及技术要求</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t>64</w:t>
      </w:r>
      <w:r>
        <w:rPr>
          <w:rFonts w:hint="default" w:ascii="Times New Roman" w:hAnsi="Times New Roman" w:eastAsia="仿宋_GB2312" w:cs="Times New Roman"/>
          <w:bCs/>
          <w:sz w:val="36"/>
          <w:szCs w:val="36"/>
        </w:rPr>
        <w:fldChar w:fldCharType="end"/>
      </w:r>
    </w:p>
    <w:p w14:paraId="0B3CF057">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"_Toc358334306"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kern w:val="44"/>
          <w:sz w:val="36"/>
          <w:szCs w:val="36"/>
        </w:rPr>
        <w:t>第七章 评标</w:t>
      </w:r>
      <w:bookmarkStart w:id="6" w:name="_Hlt145350891"/>
      <w:r>
        <w:rPr>
          <w:rFonts w:hint="default" w:ascii="Times New Roman" w:hAnsi="Times New Roman" w:eastAsia="仿宋_GB2312" w:cs="Times New Roman"/>
          <w:bCs/>
          <w:kern w:val="44"/>
          <w:sz w:val="36"/>
          <w:szCs w:val="36"/>
        </w:rPr>
        <w:t>方</w:t>
      </w:r>
      <w:bookmarkEnd w:id="6"/>
      <w:r>
        <w:rPr>
          <w:rFonts w:hint="default" w:ascii="Times New Roman" w:hAnsi="Times New Roman" w:eastAsia="仿宋_GB2312" w:cs="Times New Roman"/>
          <w:bCs/>
          <w:kern w:val="44"/>
          <w:sz w:val="36"/>
          <w:szCs w:val="36"/>
        </w:rPr>
        <w:t>法</w:t>
      </w:r>
      <w:bookmarkStart w:id="7" w:name="_Hlt145350590"/>
      <w:r>
        <w:rPr>
          <w:rFonts w:hint="default" w:ascii="Times New Roman" w:hAnsi="Times New Roman" w:eastAsia="仿宋_GB2312" w:cs="Times New Roman"/>
          <w:bCs/>
          <w:kern w:val="44"/>
          <w:sz w:val="36"/>
          <w:szCs w:val="36"/>
        </w:rPr>
        <w:t>和</w:t>
      </w:r>
      <w:bookmarkEnd w:id="7"/>
      <w:r>
        <w:rPr>
          <w:rFonts w:hint="default" w:ascii="Times New Roman" w:hAnsi="Times New Roman" w:eastAsia="仿宋_GB2312" w:cs="Times New Roman"/>
          <w:bCs/>
          <w:kern w:val="44"/>
          <w:sz w:val="36"/>
          <w:szCs w:val="36"/>
        </w:rPr>
        <w:t>标准</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_Toc358334306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192</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57B1FDED">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"_Toc120110768"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kern w:val="44"/>
          <w:sz w:val="36"/>
          <w:szCs w:val="36"/>
        </w:rPr>
        <w:t>第八章 政府采购合同</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_Toc120110768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198</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4DA21515">
      <w:pPr>
        <w:pStyle w:val="37"/>
        <w:tabs>
          <w:tab w:val="right" w:leader="dot" w:pos="8306"/>
        </w:tabs>
        <w:rPr>
          <w:rFonts w:hint="default" w:ascii="Times New Roman" w:hAnsi="Times New Roman" w:eastAsia="仿宋_GB2312" w:cs="Times New Roman"/>
          <w:bCs/>
          <w:sz w:val="36"/>
          <w:szCs w:val="36"/>
        </w:rPr>
      </w:pPr>
      <w:r>
        <w:rPr>
          <w:rFonts w:hint="default" w:ascii="Times New Roman" w:hAnsi="Times New Roman" w:cs="Times New Roman"/>
          <w:sz w:val="36"/>
          <w:szCs w:val="36"/>
        </w:rPr>
        <w:fldChar w:fldCharType="begin"/>
      </w:r>
      <w:r>
        <w:rPr>
          <w:rFonts w:hint="default" w:ascii="Times New Roman" w:hAnsi="Times New Roman" w:cs="Times New Roman"/>
          <w:sz w:val="36"/>
          <w:szCs w:val="36"/>
        </w:rPr>
        <w:instrText xml:space="preserve"> HYPERLINK \l "_Toc1535080439" </w:instrText>
      </w:r>
      <w:r>
        <w:rPr>
          <w:rFonts w:hint="default" w:ascii="Times New Roman" w:hAnsi="Times New Roman" w:cs="Times New Roman"/>
          <w:sz w:val="36"/>
          <w:szCs w:val="36"/>
        </w:rPr>
        <w:fldChar w:fldCharType="separate"/>
      </w:r>
      <w:r>
        <w:rPr>
          <w:rFonts w:hint="default" w:ascii="Times New Roman" w:hAnsi="Times New Roman" w:eastAsia="仿宋_GB2312" w:cs="Times New Roman"/>
          <w:bCs/>
          <w:kern w:val="44"/>
          <w:sz w:val="36"/>
          <w:szCs w:val="36"/>
        </w:rPr>
        <w:t>第九章 附件</w:t>
      </w:r>
      <w:r>
        <w:rPr>
          <w:rFonts w:hint="default" w:ascii="Times New Roman" w:hAnsi="Times New Roman" w:eastAsia="仿宋_GB2312" w:cs="Times New Roman"/>
          <w:bCs/>
          <w:sz w:val="36"/>
          <w:szCs w:val="36"/>
        </w:rPr>
        <w:tab/>
      </w:r>
      <w:r>
        <w:rPr>
          <w:rFonts w:hint="default" w:ascii="Times New Roman" w:hAnsi="Times New Roman" w:eastAsia="仿宋_GB2312" w:cs="Times New Roman"/>
          <w:bCs/>
          <w:sz w:val="36"/>
          <w:szCs w:val="36"/>
        </w:rPr>
        <w:fldChar w:fldCharType="begin"/>
      </w:r>
      <w:r>
        <w:rPr>
          <w:rFonts w:hint="default" w:ascii="Times New Roman" w:hAnsi="Times New Roman" w:eastAsia="仿宋_GB2312" w:cs="Times New Roman"/>
          <w:bCs/>
          <w:sz w:val="36"/>
          <w:szCs w:val="36"/>
        </w:rPr>
        <w:instrText xml:space="preserve"> PAGEREF _Toc1535080439 \h </w:instrText>
      </w:r>
      <w:r>
        <w:rPr>
          <w:rFonts w:hint="default" w:ascii="Times New Roman" w:hAnsi="Times New Roman" w:eastAsia="仿宋_GB2312" w:cs="Times New Roman"/>
          <w:bCs/>
          <w:sz w:val="36"/>
          <w:szCs w:val="36"/>
        </w:rPr>
        <w:fldChar w:fldCharType="separate"/>
      </w:r>
      <w:r>
        <w:rPr>
          <w:rFonts w:hint="default" w:ascii="Times New Roman" w:hAnsi="Times New Roman" w:eastAsia="仿宋_GB2312" w:cs="Times New Roman"/>
          <w:bCs/>
          <w:sz w:val="36"/>
          <w:szCs w:val="36"/>
        </w:rPr>
        <w:t>199</w:t>
      </w:r>
      <w:r>
        <w:rPr>
          <w:rFonts w:hint="default" w:ascii="Times New Roman" w:hAnsi="Times New Roman" w:eastAsia="仿宋_GB2312" w:cs="Times New Roman"/>
          <w:bCs/>
          <w:sz w:val="36"/>
          <w:szCs w:val="36"/>
        </w:rPr>
        <w:fldChar w:fldCharType="end"/>
      </w:r>
      <w:r>
        <w:rPr>
          <w:rFonts w:hint="default" w:ascii="Times New Roman" w:hAnsi="Times New Roman" w:eastAsia="仿宋_GB2312" w:cs="Times New Roman"/>
          <w:bCs/>
          <w:sz w:val="36"/>
          <w:szCs w:val="36"/>
        </w:rPr>
        <w:fldChar w:fldCharType="end"/>
      </w:r>
    </w:p>
    <w:p w14:paraId="081DBEA9">
      <w:pPr>
        <w:pStyle w:val="21"/>
        <w:spacing w:line="360" w:lineRule="auto"/>
        <w:rPr>
          <w:rFonts w:hint="default" w:ascii="Times New Roman" w:hAnsi="Times New Roman" w:cs="Times New Roman"/>
          <w:bCs/>
          <w:sz w:val="36"/>
          <w:szCs w:val="36"/>
        </w:rPr>
      </w:pPr>
      <w:r>
        <w:rPr>
          <w:rFonts w:hint="default" w:ascii="Times New Roman" w:hAnsi="Times New Roman" w:eastAsia="仿宋_GB2312" w:cs="Times New Roman"/>
          <w:bCs/>
          <w:sz w:val="36"/>
          <w:szCs w:val="36"/>
        </w:rPr>
        <w:fldChar w:fldCharType="end"/>
      </w:r>
    </w:p>
    <w:p w14:paraId="215766BE">
      <w:pPr>
        <w:pStyle w:val="2"/>
        <w:spacing w:before="0" w:after="0" w:line="240" w:lineRule="auto"/>
        <w:jc w:val="center"/>
        <w:rPr>
          <w:rFonts w:hint="default" w:ascii="Times New Roman" w:hAnsi="Times New Roman" w:eastAsia="宋体" w:cs="Times New Roman"/>
          <w:b w:val="0"/>
          <w:color w:val="auto"/>
          <w:sz w:val="36"/>
          <w:szCs w:val="36"/>
          <w:lang w:eastAsia="zh-CN"/>
        </w:rPr>
        <w:sectPr>
          <w:footerReference r:id="rId5" w:type="default"/>
          <w:pgSz w:w="11900" w:h="16840"/>
          <w:pgMar w:top="1440" w:right="1797" w:bottom="1440" w:left="1797" w:header="851" w:footer="992" w:gutter="0"/>
          <w:pgNumType w:start="1"/>
          <w:cols w:space="720" w:num="1"/>
        </w:sectPr>
      </w:pPr>
      <w:bookmarkStart w:id="8" w:name="_Toc1232167429_WPSOffice_Level1"/>
      <w:bookmarkStart w:id="9" w:name="_Toc1788225408"/>
      <w:bookmarkStart w:id="10" w:name="_Toc175269916"/>
      <w:bookmarkStart w:id="11" w:name="_Toc774922682"/>
      <w:bookmarkStart w:id="12" w:name="_Toc932735091"/>
      <w:bookmarkStart w:id="13" w:name="_Toc424031016"/>
      <w:bookmarkStart w:id="14" w:name="_Toc1076329457"/>
      <w:bookmarkStart w:id="15" w:name="_Toc1592953130"/>
      <w:bookmarkStart w:id="16" w:name="_Toc36262373_WPSOffice_Level1"/>
      <w:bookmarkStart w:id="17" w:name="_Toc968113947"/>
      <w:bookmarkStart w:id="18" w:name="_Toc471743684"/>
      <w:bookmarkStart w:id="19" w:name="_Toc1664555187_WPSOffice_Level1"/>
      <w:bookmarkStart w:id="20" w:name="_Toc1997956478"/>
      <w:bookmarkStart w:id="21" w:name="_Toc1877678980_WPSOffice_Level1"/>
      <w:bookmarkStart w:id="22" w:name="_Toc887145848"/>
      <w:bookmarkStart w:id="23" w:name="_Toc432774317_WPSOffice_Level1"/>
      <w:bookmarkStart w:id="24" w:name="_Toc1306098204"/>
      <w:bookmarkStart w:id="25" w:name="_Toc1653908397"/>
      <w:bookmarkStart w:id="26" w:name="_Toc729479254"/>
      <w:bookmarkStart w:id="27" w:name="_Toc337485847"/>
      <w:bookmarkStart w:id="28" w:name="_Toc969346985"/>
      <w:bookmarkStart w:id="29" w:name="_Toc1718516571"/>
      <w:bookmarkStart w:id="30" w:name="_Toc1932859446_WPSOffice_Level1"/>
      <w:bookmarkStart w:id="31" w:name="_Toc403451568"/>
      <w:bookmarkStart w:id="32" w:name="_Toc894622228"/>
      <w:bookmarkStart w:id="33" w:name="_Toc1378990171"/>
      <w:bookmarkStart w:id="34" w:name="_Toc1520451966"/>
      <w:bookmarkStart w:id="35" w:name="_Toc1158409811_WPSOffice_Level1"/>
      <w:bookmarkStart w:id="36" w:name="_Toc339222953_WPSOffice_Level1"/>
      <w:bookmarkStart w:id="37" w:name="_Toc2032132179"/>
      <w:bookmarkStart w:id="38" w:name="_Toc719882491_WPSOffice_Level1"/>
    </w:p>
    <w:p w14:paraId="24853D89">
      <w:pPr>
        <w:pStyle w:val="2"/>
        <w:spacing w:before="0" w:after="0" w:line="360" w:lineRule="auto"/>
        <w:jc w:val="center"/>
        <w:rPr>
          <w:rFonts w:hint="default" w:ascii="Times New Roman" w:hAnsi="Times New Roman" w:eastAsia="宋体" w:cs="Times New Roman"/>
          <w:b w:val="0"/>
          <w:color w:val="auto"/>
          <w:sz w:val="36"/>
          <w:szCs w:val="36"/>
          <w:lang w:eastAsia="zh-CN"/>
        </w:rPr>
      </w:pPr>
      <w:r>
        <w:rPr>
          <w:rFonts w:hint="default" w:ascii="Times New Roman" w:hAnsi="Times New Roman" w:eastAsia="宋体" w:cs="Times New Roman"/>
          <w:b w:val="0"/>
          <w:color w:val="auto"/>
          <w:sz w:val="36"/>
          <w:szCs w:val="36"/>
          <w:lang w:eastAsia="zh-CN"/>
        </w:rPr>
        <w:t xml:space="preserve">第一章 </w:t>
      </w:r>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hint="default" w:ascii="Times New Roman" w:hAnsi="Times New Roman" w:eastAsia="宋体" w:cs="Times New Roman"/>
          <w:b w:val="0"/>
          <w:color w:val="auto"/>
          <w:sz w:val="36"/>
          <w:szCs w:val="36"/>
          <w:lang w:eastAsia="zh-CN"/>
        </w:rPr>
        <w:t>投标邀请</w:t>
      </w:r>
      <w:bookmarkEnd w:id="22"/>
      <w:bookmarkEnd w:id="23"/>
      <w:bookmarkEnd w:id="24"/>
      <w:bookmarkEnd w:id="25"/>
      <w:bookmarkEnd w:id="26"/>
    </w:p>
    <w:p w14:paraId="2AB2006D">
      <w:pPr>
        <w:spacing w:line="500" w:lineRule="exact"/>
        <w:jc w:val="center"/>
        <w:rPr>
          <w:rFonts w:hint="default" w:ascii="Times New Roman" w:hAnsi="Times New Roman"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河南省测绘地理信息技术中心实景三维河南建设省级项目2025年软硬件采购项目</w:t>
      </w:r>
      <w:r>
        <w:rPr>
          <w:rFonts w:hint="default" w:ascii="Times New Roman" w:hAnsi="Times New Roman" w:eastAsia="仿宋_GB2312" w:cs="Times New Roman"/>
          <w:b/>
          <w:color w:val="auto"/>
          <w:sz w:val="32"/>
          <w:szCs w:val="32"/>
          <w:lang w:val="en-US" w:eastAsia="zh-CN"/>
        </w:rPr>
        <w:t>-公开招标公告</w:t>
      </w:r>
    </w:p>
    <w:p w14:paraId="4A3B1525">
      <w:pPr>
        <w:spacing w:line="500" w:lineRule="exact"/>
        <w:ind w:firstLine="562"/>
        <w:jc w:val="center"/>
        <w:rPr>
          <w:rFonts w:hint="default" w:ascii="Times New Roman" w:hAnsi="Times New Roman" w:eastAsia="仿宋_GB2312" w:cs="Times New Roman"/>
          <w:bCs/>
          <w:color w:val="auto"/>
          <w:sz w:val="28"/>
          <w:szCs w:val="28"/>
          <w:lang w:eastAsia="zh-CN"/>
        </w:rPr>
      </w:pPr>
      <w:r>
        <w:rPr>
          <w:rFonts w:hint="default" w:ascii="Times New Roman" w:hAnsi="Times New Roman" w:cs="Times New Roman"/>
          <w:bCs/>
          <w:color w:val="auto"/>
          <w:u w:val="single"/>
          <w:lang w:val="en-US" w:eastAsia="zh-CN"/>
        </w:rPr>
        <mc:AlternateContent>
          <mc:Choice Requires="wps">
            <w:drawing>
              <wp:anchor distT="0" distB="0" distL="114300" distR="114300" simplePos="0" relativeHeight="251663360" behindDoc="0" locked="0" layoutInCell="1" allowOverlap="1">
                <wp:simplePos x="0" y="0"/>
                <wp:positionH relativeFrom="column">
                  <wp:posOffset>118745</wp:posOffset>
                </wp:positionH>
                <wp:positionV relativeFrom="paragraph">
                  <wp:posOffset>172085</wp:posOffset>
                </wp:positionV>
                <wp:extent cx="5495925" cy="1992630"/>
                <wp:effectExtent l="4445" t="4445" r="5080" b="22225"/>
                <wp:wrapTopAndBottom/>
                <wp:docPr id="22118531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495925" cy="1734820"/>
                        </a:xfrm>
                        <a:prstGeom prst="rect">
                          <a:avLst/>
                        </a:prstGeom>
                        <a:solidFill>
                          <a:srgbClr val="FFFFFF"/>
                        </a:solidFill>
                        <a:ln w="9525" cmpd="sng">
                          <a:solidFill>
                            <a:srgbClr val="000000"/>
                          </a:solidFill>
                          <a:miter lim="800000"/>
                        </a:ln>
                        <a:effectLst/>
                      </wps:spPr>
                      <wps:txbx>
                        <w:txbxContent>
                          <w:p w14:paraId="74E0ABA0">
                            <w:pPr>
                              <w:pStyle w:val="247"/>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36BB6F9F">
                            <w:pPr>
                              <w:pStyle w:val="247"/>
                              <w:spacing w:line="360" w:lineRule="auto"/>
                              <w:ind w:firstLine="562" w:firstLineChars="200"/>
                              <w:jc w:val="both"/>
                              <w:rPr>
                                <w:rFonts w:ascii="Times New Roman" w:hAnsi="Times New Roman" w:eastAsia="仿宋_GB2312" w:cs="Times New Roman"/>
                                <w:sz w:val="28"/>
                                <w:szCs w:val="28"/>
                              </w:rPr>
                            </w:pPr>
                            <w:r>
                              <w:rPr>
                                <w:rFonts w:ascii="Times New Roman" w:hAnsi="Times New Roman" w:eastAsia="仿宋_GB2312" w:cs="Times New Roman"/>
                                <w:b/>
                                <w:bCs/>
                                <w:sz w:val="28"/>
                                <w:szCs w:val="28"/>
                                <w:u w:val="single"/>
                              </w:rPr>
                              <w:t xml:space="preserve"> </w:t>
                            </w:r>
                            <w:r>
                              <w:rPr>
                                <w:rFonts w:hint="eastAsia" w:ascii="Times New Roman" w:hAnsi="Times New Roman" w:eastAsia="仿宋_GB2312" w:cs="Times New Roman"/>
                                <w:b/>
                                <w:bCs/>
                                <w:sz w:val="28"/>
                                <w:szCs w:val="28"/>
                                <w:u w:val="single"/>
                                <w:lang w:val="en-US" w:eastAsia="zh-CN"/>
                              </w:rPr>
                              <w:t>河南省测绘地理信息技术中心实景三维河南建设省级项目2025年软硬件采购项目</w:t>
                            </w:r>
                            <w:r>
                              <w:rPr>
                                <w:rFonts w:ascii="Times New Roman" w:hAnsi="Times New Roman" w:eastAsia="仿宋_GB2312" w:cs="Times New Roman"/>
                                <w:b/>
                                <w:bCs/>
                                <w:sz w:val="28"/>
                                <w:szCs w:val="28"/>
                                <w:u w:val="single"/>
                                <w:lang w:val="en"/>
                              </w:rPr>
                              <w:t xml:space="preserve"> </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fldChar w:fldCharType="begin"/>
                            </w:r>
                            <w:r>
                              <w:instrText xml:space="preserve"> HYPERLINK "http://www.hnggzy.net）获取招标文件，并于2023年" </w:instrText>
                            </w:r>
                            <w:r>
                              <w:fldChar w:fldCharType="separate"/>
                            </w:r>
                            <w:r>
                              <w:rPr>
                                <w:rStyle w:val="70"/>
                                <w:rFonts w:ascii="Times New Roman" w:hAnsi="Times New Roman" w:eastAsia="仿宋_GB2312" w:cs="Times New Roman"/>
                                <w:b/>
                                <w:bCs/>
                                <w:sz w:val="28"/>
                                <w:szCs w:val="28"/>
                              </w:rPr>
                              <w:t>hnsggzyjy.henan.gov.cn）</w:t>
                            </w:r>
                            <w:r>
                              <w:rPr>
                                <w:rStyle w:val="70"/>
                                <w:rFonts w:ascii="Times New Roman" w:hAnsi="Times New Roman" w:eastAsia="仿宋_GB2312" w:cs="Times New Roman"/>
                                <w:sz w:val="28"/>
                                <w:szCs w:val="28"/>
                              </w:rPr>
                              <w:t>获取招标文件，并于</w:t>
                            </w:r>
                            <w:r>
                              <w:rPr>
                                <w:rStyle w:val="70"/>
                                <w:rFonts w:ascii="Times New Roman" w:hAnsi="Times New Roman" w:eastAsia="仿宋_GB2312" w:cs="Times New Roman"/>
                                <w:b/>
                                <w:bCs/>
                                <w:sz w:val="28"/>
                                <w:szCs w:val="28"/>
                                <w:lang w:val="en"/>
                              </w:rPr>
                              <w:t>202</w:t>
                            </w:r>
                            <w:r>
                              <w:rPr>
                                <w:rStyle w:val="70"/>
                                <w:rFonts w:hint="eastAsia" w:ascii="Times New Roman" w:hAnsi="Times New Roman" w:eastAsia="仿宋_GB2312" w:cs="Times New Roman"/>
                                <w:b/>
                                <w:bCs/>
                                <w:sz w:val="28"/>
                                <w:szCs w:val="28"/>
                              </w:rPr>
                              <w:t>6</w:t>
                            </w:r>
                            <w:r>
                              <w:rPr>
                                <w:rStyle w:val="70"/>
                                <w:rFonts w:ascii="Times New Roman" w:hAnsi="Times New Roman" w:eastAsia="仿宋_GB2312" w:cs="Times New Roman"/>
                                <w:b/>
                                <w:bCs/>
                                <w:sz w:val="28"/>
                                <w:szCs w:val="28"/>
                              </w:rPr>
                              <w:t>年</w:t>
                            </w:r>
                            <w:r>
                              <w:rPr>
                                <w:rStyle w:val="70"/>
                                <w:rFonts w:ascii="Times New Roman" w:hAnsi="Times New Roman" w:eastAsia="仿宋_GB2312" w:cs="Times New Roman"/>
                                <w:b/>
                                <w:bCs/>
                                <w:sz w:val="28"/>
                                <w:szCs w:val="28"/>
                              </w:rPr>
                              <w:fldChar w:fldCharType="end"/>
                            </w:r>
                            <w:r>
                              <w:rPr>
                                <w:rStyle w:val="70"/>
                                <w:rFonts w:hint="eastAsia" w:ascii="Times New Roman" w:hAnsi="Times New Roman" w:eastAsia="仿宋_GB2312" w:cs="Times New Roman"/>
                                <w:b/>
                                <w:bCs/>
                                <w:sz w:val="28"/>
                                <w:szCs w:val="28"/>
                                <w:highlight w:val="none"/>
                                <w:lang w:val="en-US" w:eastAsia="zh-CN"/>
                              </w:rPr>
                              <w:t>8</w:t>
                            </w:r>
                            <w:r>
                              <w:rPr>
                                <w:rFonts w:ascii="Times New Roman" w:hAnsi="Times New Roman" w:eastAsia="仿宋_GB2312" w:cs="Times New Roman"/>
                                <w:b/>
                                <w:bCs/>
                                <w:sz w:val="28"/>
                                <w:szCs w:val="28"/>
                                <w:highlight w:val="none"/>
                                <w:u w:val="single"/>
                              </w:rPr>
                              <w:t>月</w:t>
                            </w:r>
                            <w:r>
                              <w:rPr>
                                <w:rFonts w:hint="eastAsia" w:ascii="Times New Roman" w:hAnsi="Times New Roman" w:eastAsia="仿宋_GB2312" w:cs="Times New Roman"/>
                                <w:b/>
                                <w:bCs/>
                                <w:sz w:val="28"/>
                                <w:szCs w:val="28"/>
                                <w:highlight w:val="none"/>
                                <w:u w:val="single"/>
                                <w:lang w:val="en-US" w:eastAsia="zh-CN"/>
                              </w:rPr>
                              <w:t>26</w:t>
                            </w:r>
                            <w:r>
                              <w:rPr>
                                <w:rFonts w:ascii="Times New Roman" w:hAnsi="Times New Roman" w:eastAsia="仿宋_GB2312" w:cs="Times New Roman"/>
                                <w:b/>
                                <w:bCs/>
                                <w:sz w:val="28"/>
                                <w:szCs w:val="28"/>
                                <w:highlight w:val="none"/>
                                <w:u w:val="single"/>
                              </w:rPr>
                              <w:t>日0</w:t>
                            </w:r>
                            <w:r>
                              <w:rPr>
                                <w:rFonts w:ascii="Times New Roman" w:hAnsi="Times New Roman" w:eastAsia="仿宋_GB2312" w:cs="Times New Roman"/>
                                <w:b/>
                                <w:bCs/>
                                <w:sz w:val="28"/>
                                <w:szCs w:val="28"/>
                                <w:u w:val="single"/>
                              </w:rPr>
                              <w:t>9时00分（北京时间）</w:t>
                            </w:r>
                            <w:r>
                              <w:rPr>
                                <w:rFonts w:ascii="Times New Roman" w:hAnsi="Times New Roman" w:eastAsia="仿宋_GB2312" w:cs="Times New Roman"/>
                                <w:sz w:val="28"/>
                                <w:szCs w:val="28"/>
                              </w:rPr>
                              <w:t>前递交投标文件。</w:t>
                            </w:r>
                          </w:p>
                          <w:p w14:paraId="11E596C9">
                            <w:pPr>
                              <w:pStyle w:val="247"/>
                              <w:spacing w:line="360" w:lineRule="auto"/>
                              <w:ind w:firstLine="482"/>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shape id="文本框 7" o:spid="_x0000_s1026" o:spt="202" type="#_x0000_t202" style="position:absolute;left:0pt;margin-left:9.35pt;margin-top:13.55pt;height:156.9pt;width:432.75pt;mso-wrap-distance-bottom:0pt;mso-wrap-distance-top:0pt;z-index:251663360;mso-width-relative:page;mso-height-relative:page;" fillcolor="#FFFFFF" filled="t" stroked="t" coordsize="21600,21600" o:gfxdata="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32R79gAAAAJ&#10;AQAADwAAAAAAAAABACAAAAAiAAAAZHJzL2Rvd25yZXYueG1sUEsBAhQAFAAAAAgAh07iQOiW/gVV&#10;AgAAqQQAAA4AAAAAAAAAAQAgAAAAJwEAAGRycy9lMm9Eb2MueG1sUEsFBgAAAAAGAAYAWQEAAO4F&#10;AAAAAA==&#10;">
                <v:fill on="t" focussize="0,0"/>
                <v:stroke color="#000000" miterlimit="8" joinstyle="miter"/>
                <v:imagedata o:title=""/>
                <o:lock v:ext="edit" aspectratio="f"/>
                <v:textbox>
                  <w:txbxContent>
                    <w:p w14:paraId="74E0ABA0">
                      <w:pPr>
                        <w:pStyle w:val="247"/>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36BB6F9F">
                      <w:pPr>
                        <w:pStyle w:val="247"/>
                        <w:spacing w:line="360" w:lineRule="auto"/>
                        <w:ind w:firstLine="562" w:firstLineChars="200"/>
                        <w:jc w:val="both"/>
                        <w:rPr>
                          <w:rFonts w:ascii="Times New Roman" w:hAnsi="Times New Roman" w:eastAsia="仿宋_GB2312" w:cs="Times New Roman"/>
                          <w:sz w:val="28"/>
                          <w:szCs w:val="28"/>
                        </w:rPr>
                      </w:pPr>
                      <w:r>
                        <w:rPr>
                          <w:rFonts w:ascii="Times New Roman" w:hAnsi="Times New Roman" w:eastAsia="仿宋_GB2312" w:cs="Times New Roman"/>
                          <w:b/>
                          <w:bCs/>
                          <w:sz w:val="28"/>
                          <w:szCs w:val="28"/>
                          <w:u w:val="single"/>
                        </w:rPr>
                        <w:t xml:space="preserve"> </w:t>
                      </w:r>
                      <w:r>
                        <w:rPr>
                          <w:rFonts w:hint="eastAsia" w:ascii="Times New Roman" w:hAnsi="Times New Roman" w:eastAsia="仿宋_GB2312" w:cs="Times New Roman"/>
                          <w:b/>
                          <w:bCs/>
                          <w:sz w:val="28"/>
                          <w:szCs w:val="28"/>
                          <w:u w:val="single"/>
                          <w:lang w:val="en-US" w:eastAsia="zh-CN"/>
                        </w:rPr>
                        <w:t>河南省测绘地理信息技术中心实景三维河南建设省级项目2025年软硬件采购项目</w:t>
                      </w:r>
                      <w:r>
                        <w:rPr>
                          <w:rFonts w:ascii="Times New Roman" w:hAnsi="Times New Roman" w:eastAsia="仿宋_GB2312" w:cs="Times New Roman"/>
                          <w:b/>
                          <w:bCs/>
                          <w:sz w:val="28"/>
                          <w:szCs w:val="28"/>
                          <w:u w:val="single"/>
                          <w:lang w:val="en"/>
                        </w:rPr>
                        <w:t xml:space="preserve"> </w:t>
                      </w:r>
                      <w:r>
                        <w:rPr>
                          <w:rFonts w:ascii="Times New Roman" w:hAnsi="Times New Roman" w:eastAsia="仿宋_GB2312" w:cs="Times New Roman"/>
                          <w:sz w:val="28"/>
                          <w:szCs w:val="28"/>
                        </w:rPr>
                        <w:t>招标项目的潜在投标人应在</w:t>
                      </w:r>
                      <w:r>
                        <w:rPr>
                          <w:rFonts w:ascii="Times New Roman" w:hAnsi="Times New Roman" w:eastAsia="仿宋_GB2312" w:cs="Times New Roman"/>
                          <w:b/>
                          <w:bCs/>
                          <w:sz w:val="28"/>
                          <w:szCs w:val="28"/>
                          <w:u w:val="single"/>
                        </w:rPr>
                        <w:t>河南省公共资源交易中心网站（</w:t>
                      </w:r>
                      <w:r>
                        <w:fldChar w:fldCharType="begin"/>
                      </w:r>
                      <w:r>
                        <w:instrText xml:space="preserve"> HYPERLINK "http://www.hnggzy.net）获取招标文件，并于2023年" </w:instrText>
                      </w:r>
                      <w:r>
                        <w:fldChar w:fldCharType="separate"/>
                      </w:r>
                      <w:r>
                        <w:rPr>
                          <w:rStyle w:val="70"/>
                          <w:rFonts w:ascii="Times New Roman" w:hAnsi="Times New Roman" w:eastAsia="仿宋_GB2312" w:cs="Times New Roman"/>
                          <w:b/>
                          <w:bCs/>
                          <w:sz w:val="28"/>
                          <w:szCs w:val="28"/>
                        </w:rPr>
                        <w:t>hnsggzyjy.henan.gov.cn）</w:t>
                      </w:r>
                      <w:r>
                        <w:rPr>
                          <w:rStyle w:val="70"/>
                          <w:rFonts w:ascii="Times New Roman" w:hAnsi="Times New Roman" w:eastAsia="仿宋_GB2312" w:cs="Times New Roman"/>
                          <w:sz w:val="28"/>
                          <w:szCs w:val="28"/>
                        </w:rPr>
                        <w:t>获取招标文件，并于</w:t>
                      </w:r>
                      <w:r>
                        <w:rPr>
                          <w:rStyle w:val="70"/>
                          <w:rFonts w:ascii="Times New Roman" w:hAnsi="Times New Roman" w:eastAsia="仿宋_GB2312" w:cs="Times New Roman"/>
                          <w:b/>
                          <w:bCs/>
                          <w:sz w:val="28"/>
                          <w:szCs w:val="28"/>
                          <w:lang w:val="en"/>
                        </w:rPr>
                        <w:t>202</w:t>
                      </w:r>
                      <w:r>
                        <w:rPr>
                          <w:rStyle w:val="70"/>
                          <w:rFonts w:hint="eastAsia" w:ascii="Times New Roman" w:hAnsi="Times New Roman" w:eastAsia="仿宋_GB2312" w:cs="Times New Roman"/>
                          <w:b/>
                          <w:bCs/>
                          <w:sz w:val="28"/>
                          <w:szCs w:val="28"/>
                        </w:rPr>
                        <w:t>6</w:t>
                      </w:r>
                      <w:r>
                        <w:rPr>
                          <w:rStyle w:val="70"/>
                          <w:rFonts w:ascii="Times New Roman" w:hAnsi="Times New Roman" w:eastAsia="仿宋_GB2312" w:cs="Times New Roman"/>
                          <w:b/>
                          <w:bCs/>
                          <w:sz w:val="28"/>
                          <w:szCs w:val="28"/>
                        </w:rPr>
                        <w:t>年</w:t>
                      </w:r>
                      <w:r>
                        <w:rPr>
                          <w:rStyle w:val="70"/>
                          <w:rFonts w:ascii="Times New Roman" w:hAnsi="Times New Roman" w:eastAsia="仿宋_GB2312" w:cs="Times New Roman"/>
                          <w:b/>
                          <w:bCs/>
                          <w:sz w:val="28"/>
                          <w:szCs w:val="28"/>
                        </w:rPr>
                        <w:fldChar w:fldCharType="end"/>
                      </w:r>
                      <w:r>
                        <w:rPr>
                          <w:rStyle w:val="70"/>
                          <w:rFonts w:hint="eastAsia" w:ascii="Times New Roman" w:hAnsi="Times New Roman" w:eastAsia="仿宋_GB2312" w:cs="Times New Roman"/>
                          <w:b/>
                          <w:bCs/>
                          <w:sz w:val="28"/>
                          <w:szCs w:val="28"/>
                          <w:highlight w:val="none"/>
                          <w:lang w:val="en-US" w:eastAsia="zh-CN"/>
                        </w:rPr>
                        <w:t>8</w:t>
                      </w:r>
                      <w:r>
                        <w:rPr>
                          <w:rFonts w:ascii="Times New Roman" w:hAnsi="Times New Roman" w:eastAsia="仿宋_GB2312" w:cs="Times New Roman"/>
                          <w:b/>
                          <w:bCs/>
                          <w:sz w:val="28"/>
                          <w:szCs w:val="28"/>
                          <w:highlight w:val="none"/>
                          <w:u w:val="single"/>
                        </w:rPr>
                        <w:t>月</w:t>
                      </w:r>
                      <w:r>
                        <w:rPr>
                          <w:rFonts w:hint="eastAsia" w:ascii="Times New Roman" w:hAnsi="Times New Roman" w:eastAsia="仿宋_GB2312" w:cs="Times New Roman"/>
                          <w:b/>
                          <w:bCs/>
                          <w:sz w:val="28"/>
                          <w:szCs w:val="28"/>
                          <w:highlight w:val="none"/>
                          <w:u w:val="single"/>
                          <w:lang w:val="en-US" w:eastAsia="zh-CN"/>
                        </w:rPr>
                        <w:t>26</w:t>
                      </w:r>
                      <w:r>
                        <w:rPr>
                          <w:rFonts w:ascii="Times New Roman" w:hAnsi="Times New Roman" w:eastAsia="仿宋_GB2312" w:cs="Times New Roman"/>
                          <w:b/>
                          <w:bCs/>
                          <w:sz w:val="28"/>
                          <w:szCs w:val="28"/>
                          <w:highlight w:val="none"/>
                          <w:u w:val="single"/>
                        </w:rPr>
                        <w:t>日0</w:t>
                      </w:r>
                      <w:r>
                        <w:rPr>
                          <w:rFonts w:ascii="Times New Roman" w:hAnsi="Times New Roman" w:eastAsia="仿宋_GB2312" w:cs="Times New Roman"/>
                          <w:b/>
                          <w:bCs/>
                          <w:sz w:val="28"/>
                          <w:szCs w:val="28"/>
                          <w:u w:val="single"/>
                        </w:rPr>
                        <w:t>9时00分（北京时间）</w:t>
                      </w:r>
                      <w:r>
                        <w:rPr>
                          <w:rFonts w:ascii="Times New Roman" w:hAnsi="Times New Roman" w:eastAsia="仿宋_GB2312" w:cs="Times New Roman"/>
                          <w:sz w:val="28"/>
                          <w:szCs w:val="28"/>
                        </w:rPr>
                        <w:t>前递交投标文件。</w:t>
                      </w:r>
                    </w:p>
                    <w:p w14:paraId="11E596C9">
                      <w:pPr>
                        <w:pStyle w:val="247"/>
                        <w:spacing w:line="360" w:lineRule="auto"/>
                        <w:ind w:firstLine="482"/>
                        <w:rPr>
                          <w:rFonts w:ascii="Times New Roman" w:hAnsi="Times New Roman" w:cs="Times New Roman"/>
                        </w:rPr>
                      </w:pPr>
                    </w:p>
                  </w:txbxContent>
                </v:textbox>
                <w10:wrap type="topAndBottom"/>
              </v:shape>
            </w:pict>
          </mc:Fallback>
        </mc:AlternateContent>
      </w:r>
    </w:p>
    <w:p w14:paraId="191AE7C1">
      <w:pPr>
        <w:spacing w:line="440" w:lineRule="exact"/>
        <w:ind w:firstLine="560" w:firstLineChars="200"/>
        <w:jc w:val="left"/>
        <w:rPr>
          <w:rFonts w:hint="default" w:ascii="Times New Roman" w:hAnsi="Times New Roman" w:eastAsia="方正小标宋_GBK" w:cs="Times New Roman"/>
          <w:bCs/>
          <w:color w:val="auto"/>
          <w:sz w:val="28"/>
          <w:szCs w:val="28"/>
          <w:lang w:eastAsia="zh-CN"/>
        </w:rPr>
      </w:pPr>
      <w:bookmarkStart w:id="39" w:name="_Toc1811351892_WPSOffice_Level2"/>
      <w:bookmarkStart w:id="40" w:name="_Toc2031125453_WPSOffice_Level2"/>
      <w:bookmarkStart w:id="41" w:name="_Toc1853601844_WPSOffice_Level2"/>
      <w:bookmarkStart w:id="42" w:name="_Toc1456310841_WPSOffice_Level2"/>
      <w:r>
        <w:rPr>
          <w:rFonts w:hint="default" w:ascii="Times New Roman" w:hAnsi="Times New Roman" w:eastAsia="方正小标宋_GBK" w:cs="Times New Roman"/>
          <w:bCs/>
          <w:color w:val="auto"/>
          <w:sz w:val="28"/>
          <w:szCs w:val="28"/>
          <w:lang w:eastAsia="zh-CN"/>
        </w:rPr>
        <w:t>一、项目基本情况</w:t>
      </w:r>
      <w:bookmarkEnd w:id="39"/>
      <w:bookmarkEnd w:id="40"/>
      <w:bookmarkEnd w:id="41"/>
      <w:bookmarkEnd w:id="42"/>
    </w:p>
    <w:p w14:paraId="695C8813">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43" w:name="_Toc120342159_WPSOffice_Level3"/>
      <w:bookmarkStart w:id="44" w:name="_Toc632830029_WPSOffice_Level3"/>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项目编号</w:t>
      </w:r>
      <w:r>
        <w:rPr>
          <w:rFonts w:hint="default" w:ascii="Times New Roman" w:hAnsi="Times New Roman" w:eastAsia="仿宋_GB2312" w:cs="Times New Roman"/>
          <w:bCs/>
          <w:color w:val="auto"/>
          <w:sz w:val="28"/>
          <w:szCs w:val="28"/>
          <w:lang w:eastAsia="zh-CN"/>
        </w:rPr>
        <w:t>：</w:t>
      </w:r>
      <w:bookmarkEnd w:id="43"/>
      <w:bookmarkEnd w:id="44"/>
      <w:bookmarkStart w:id="45" w:name="_Toc2136105441_WPSOffice_Level3"/>
      <w:bookmarkStart w:id="46" w:name="_Toc1019416_WPSOffice_Level3"/>
      <w:r>
        <w:rPr>
          <w:rFonts w:hint="default" w:ascii="Times New Roman" w:hAnsi="Times New Roman" w:eastAsia="仿宋_GB2312" w:cs="Times New Roman"/>
          <w:bCs/>
          <w:color w:val="auto"/>
          <w:sz w:val="28"/>
          <w:szCs w:val="28"/>
          <w:lang w:eastAsia="zh-CN"/>
        </w:rPr>
        <w:t>豫财招标采购-2026-891</w:t>
      </w:r>
    </w:p>
    <w:p w14:paraId="15F6BCA3">
      <w:pPr>
        <w:spacing w:after="0" w:line="360" w:lineRule="auto"/>
        <w:ind w:firstLine="560" w:firstLineChars="200"/>
        <w:jc w:val="left"/>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2、项目名称：</w:t>
      </w:r>
      <w:bookmarkEnd w:id="45"/>
      <w:bookmarkEnd w:id="46"/>
      <w:bookmarkStart w:id="47" w:name="_Toc1331877378_WPSOffice_Level3"/>
      <w:bookmarkStart w:id="48" w:name="_Toc997609044_WPSOffice_Level3"/>
      <w:r>
        <w:rPr>
          <w:rFonts w:hint="eastAsia" w:ascii="Times New Roman" w:hAnsi="Times New Roman" w:eastAsia="仿宋_GB2312" w:cs="Times New Roman"/>
          <w:bCs/>
          <w:color w:val="auto"/>
          <w:sz w:val="28"/>
          <w:szCs w:val="28"/>
          <w:lang w:val="en-US" w:eastAsia="zh-CN"/>
        </w:rPr>
        <w:t>河南省测绘地理信息技术中心实景三维河南建设省级项目2025年软硬件采购项目</w:t>
      </w:r>
    </w:p>
    <w:p w14:paraId="0A0A7F85">
      <w:pPr>
        <w:spacing w:after="0" w:line="360" w:lineRule="auto"/>
        <w:ind w:firstLine="560" w:firstLineChars="200"/>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3、采购方式：公开招标</w:t>
      </w:r>
      <w:bookmarkEnd w:id="47"/>
      <w:bookmarkEnd w:id="48"/>
    </w:p>
    <w:p w14:paraId="615D4D11">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eastAsia="zh-CN"/>
        </w:rPr>
      </w:pPr>
      <w:bookmarkStart w:id="49" w:name="_Toc91128674_WPSOffice_Level3"/>
      <w:bookmarkStart w:id="50" w:name="_Toc654106674_WPSOffice_Level3"/>
      <w:r>
        <w:rPr>
          <w:rFonts w:hint="default" w:ascii="Times New Roman" w:hAnsi="Times New Roman" w:eastAsia="仿宋_GB2312" w:cs="Times New Roman"/>
          <w:bCs/>
          <w:color w:val="auto"/>
          <w:sz w:val="28"/>
          <w:szCs w:val="28"/>
          <w:lang w:eastAsia="zh-CN"/>
        </w:rPr>
        <w:t>4、预算金额</w:t>
      </w:r>
      <w:r>
        <w:rPr>
          <w:rFonts w:hint="default" w:ascii="Times New Roman" w:hAnsi="Times New Roman" w:eastAsia="仿宋_GB2312" w:cs="Times New Roman"/>
          <w:bCs/>
          <w:color w:val="auto"/>
          <w:sz w:val="28"/>
          <w:szCs w:val="28"/>
          <w:highlight w:val="none"/>
          <w:lang w:eastAsia="zh-CN"/>
        </w:rPr>
        <w:t>：</w:t>
      </w:r>
      <w:r>
        <w:rPr>
          <w:rFonts w:hint="default" w:ascii="Times New Roman" w:hAnsi="Times New Roman" w:eastAsia="仿宋_GB2312" w:cs="Times New Roman"/>
          <w:bCs/>
          <w:color w:val="auto"/>
          <w:sz w:val="28"/>
          <w:szCs w:val="28"/>
          <w:highlight w:val="none"/>
          <w:lang w:val="en-US" w:eastAsia="zh-CN"/>
        </w:rPr>
        <w:t>9230000</w:t>
      </w:r>
      <w:r>
        <w:rPr>
          <w:rFonts w:hint="default" w:ascii="Times New Roman" w:hAnsi="Times New Roman" w:eastAsia="仿宋_GB2312" w:cs="Times New Roman"/>
          <w:bCs/>
          <w:color w:val="auto"/>
          <w:sz w:val="28"/>
          <w:szCs w:val="28"/>
          <w:highlight w:val="none"/>
          <w:lang w:eastAsia="zh-CN"/>
        </w:rPr>
        <w:t>元</w:t>
      </w:r>
      <w:bookmarkEnd w:id="49"/>
      <w:bookmarkEnd w:id="50"/>
    </w:p>
    <w:p w14:paraId="06FE9EDF">
      <w:pPr>
        <w:spacing w:after="0" w:line="360" w:lineRule="auto"/>
        <w:ind w:firstLine="977" w:firstLineChars="349"/>
        <w:jc w:val="left"/>
        <w:rPr>
          <w:rFonts w:hint="default" w:ascii="Times New Roman" w:hAnsi="Times New Roman" w:eastAsia="仿宋_GB2312" w:cs="Times New Roman"/>
          <w:bCs/>
          <w:color w:val="auto"/>
          <w:sz w:val="28"/>
          <w:szCs w:val="28"/>
          <w:highlight w:val="none"/>
          <w:lang w:eastAsia="zh-CN"/>
        </w:rPr>
      </w:pPr>
      <w:bookmarkStart w:id="51" w:name="_Toc1585577024_WPSOffice_Level3"/>
      <w:bookmarkStart w:id="52" w:name="_Toc1882423541_WPSOffice_Level3"/>
      <w:r>
        <w:rPr>
          <w:rFonts w:hint="default" w:ascii="Times New Roman" w:hAnsi="Times New Roman" w:eastAsia="仿宋_GB2312" w:cs="Times New Roman"/>
          <w:bCs/>
          <w:color w:val="auto"/>
          <w:sz w:val="28"/>
          <w:szCs w:val="28"/>
          <w:highlight w:val="none"/>
          <w:lang w:eastAsia="zh-CN"/>
        </w:rPr>
        <w:t>最高限价：</w:t>
      </w:r>
      <w:r>
        <w:rPr>
          <w:rFonts w:hint="default" w:ascii="Times New Roman" w:hAnsi="Times New Roman" w:eastAsia="仿宋_GB2312" w:cs="Times New Roman"/>
          <w:bCs/>
          <w:color w:val="auto"/>
          <w:sz w:val="28"/>
          <w:szCs w:val="28"/>
          <w:highlight w:val="none"/>
          <w:lang w:val="en-US" w:eastAsia="zh-CN"/>
        </w:rPr>
        <w:t>9230000</w:t>
      </w:r>
      <w:r>
        <w:rPr>
          <w:rFonts w:hint="default" w:ascii="Times New Roman" w:hAnsi="Times New Roman" w:eastAsia="仿宋_GB2312" w:cs="Times New Roman"/>
          <w:bCs/>
          <w:color w:val="auto"/>
          <w:sz w:val="28"/>
          <w:szCs w:val="28"/>
          <w:highlight w:val="none"/>
          <w:lang w:eastAsia="zh-CN"/>
        </w:rPr>
        <w:t>元</w:t>
      </w:r>
    </w:p>
    <w:p w14:paraId="506E6AE6">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5、采购需求（包括但不限于标的的名称、数量、简要技术需求或服务要求等）</w:t>
      </w:r>
      <w:bookmarkEnd w:id="51"/>
      <w:bookmarkEnd w:id="52"/>
    </w:p>
    <w:tbl>
      <w:tblPr>
        <w:tblStyle w:val="59"/>
        <w:tblW w:w="9495" w:type="dxa"/>
        <w:tblInd w:w="-511"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524"/>
        <w:gridCol w:w="2392"/>
        <w:gridCol w:w="3655"/>
        <w:gridCol w:w="1691"/>
        <w:gridCol w:w="1233"/>
      </w:tblGrid>
      <w:tr w14:paraId="16E2258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61" w:hRule="atLeast"/>
        </w:trPr>
        <w:tc>
          <w:tcPr>
            <w:tcW w:w="52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3462B30">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序号</w:t>
            </w:r>
          </w:p>
        </w:tc>
        <w:tc>
          <w:tcPr>
            <w:tcW w:w="239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D15EA79">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包号</w:t>
            </w:r>
          </w:p>
        </w:tc>
        <w:tc>
          <w:tcPr>
            <w:tcW w:w="3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EA8F9A0">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包名称</w:t>
            </w:r>
          </w:p>
        </w:tc>
        <w:tc>
          <w:tcPr>
            <w:tcW w:w="169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446CED1">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包预算（元）</w:t>
            </w:r>
          </w:p>
        </w:tc>
        <w:tc>
          <w:tcPr>
            <w:tcW w:w="123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7D6FF26">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rPr>
              <w:t>包最高限价（元）</w:t>
            </w:r>
          </w:p>
        </w:tc>
      </w:tr>
      <w:tr w14:paraId="49C2CA7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56" w:hRule="atLeast"/>
        </w:trPr>
        <w:tc>
          <w:tcPr>
            <w:tcW w:w="52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1B9E519">
            <w:pPr>
              <w:spacing w:line="440" w:lineRule="exact"/>
              <w:jc w:val="center"/>
              <w:rPr>
                <w:rFonts w:hint="default" w:ascii="Times New Roman" w:hAnsi="Times New Roman" w:eastAsia="仿宋_GB2312" w:cs="Times New Roman"/>
                <w:bCs/>
                <w:color w:val="auto"/>
                <w:kern w:val="0"/>
                <w:sz w:val="24"/>
                <w:szCs w:val="24"/>
                <w:highlight w:val="none"/>
              </w:rPr>
            </w:pPr>
            <w:r>
              <w:rPr>
                <w:rFonts w:hint="default" w:ascii="Times New Roman" w:hAnsi="Times New Roman" w:eastAsia="仿宋_GB2312" w:cs="Times New Roman"/>
                <w:bCs/>
                <w:color w:val="auto"/>
                <w:kern w:val="0"/>
                <w:sz w:val="24"/>
                <w:szCs w:val="24"/>
                <w:highlight w:val="none"/>
                <w:lang w:val="en-US"/>
              </w:rPr>
              <w:t>1</w:t>
            </w:r>
          </w:p>
        </w:tc>
        <w:tc>
          <w:tcPr>
            <w:tcW w:w="239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2BBB090">
            <w:pPr>
              <w:spacing w:line="440" w:lineRule="exact"/>
              <w:jc w:val="center"/>
              <w:rPr>
                <w:rFonts w:hint="default" w:ascii="Times New Roman" w:hAnsi="Times New Roman" w:eastAsia="仿宋_GB2312" w:cs="Times New Roman"/>
                <w:bCs/>
                <w:color w:val="auto"/>
                <w:kern w:val="0"/>
                <w:sz w:val="24"/>
                <w:szCs w:val="24"/>
                <w:highlight w:val="none"/>
                <w:lang w:val="en-US" w:eastAsia="zh-CN"/>
              </w:rPr>
            </w:pPr>
            <w:r>
              <w:rPr>
                <w:rFonts w:hint="default" w:ascii="Times New Roman" w:hAnsi="Times New Roman" w:eastAsia="仿宋_GB2312" w:cs="Times New Roman"/>
                <w:bCs/>
                <w:color w:val="auto"/>
                <w:kern w:val="0"/>
                <w:sz w:val="24"/>
                <w:szCs w:val="24"/>
                <w:highlight w:val="none"/>
                <w:lang w:val="en-US" w:eastAsia="zh-CN"/>
              </w:rPr>
              <w:t>豫政采(1)20260219-1</w:t>
            </w:r>
          </w:p>
        </w:tc>
        <w:tc>
          <w:tcPr>
            <w:tcW w:w="365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7811BE0">
            <w:pPr>
              <w:spacing w:line="440" w:lineRule="exact"/>
              <w:jc w:val="center"/>
              <w:rPr>
                <w:rFonts w:hint="default" w:ascii="Times New Roman" w:hAnsi="Times New Roman" w:eastAsia="仿宋_GB2312" w:cs="Times New Roman"/>
                <w:bCs/>
                <w:color w:val="auto"/>
                <w:kern w:val="0"/>
                <w:sz w:val="24"/>
                <w:szCs w:val="24"/>
                <w:highlight w:val="none"/>
                <w:lang w:val="en-US" w:eastAsia="zh-CN"/>
              </w:rPr>
            </w:pPr>
            <w:r>
              <w:rPr>
                <w:rFonts w:hint="eastAsia" w:ascii="Times New Roman" w:hAnsi="Times New Roman" w:eastAsia="仿宋_GB2312" w:cs="Times New Roman"/>
                <w:bCs/>
                <w:color w:val="auto"/>
                <w:kern w:val="0"/>
                <w:sz w:val="24"/>
                <w:szCs w:val="24"/>
                <w:highlight w:val="none"/>
                <w:lang w:val="en-US" w:eastAsia="zh-CN"/>
              </w:rPr>
              <w:t>河南省测绘地理信息技术中心实景三维河南建设省级项目2025年软硬件采购项目</w:t>
            </w:r>
            <w:r>
              <w:rPr>
                <w:rFonts w:hint="default" w:ascii="Times New Roman" w:hAnsi="Times New Roman" w:eastAsia="仿宋_GB2312" w:cs="Times New Roman"/>
                <w:bCs/>
                <w:color w:val="auto"/>
                <w:kern w:val="0"/>
                <w:sz w:val="24"/>
                <w:szCs w:val="24"/>
                <w:highlight w:val="none"/>
                <w:lang w:val="en-US" w:eastAsia="zh-CN"/>
              </w:rPr>
              <w:t xml:space="preserve"> </w:t>
            </w:r>
          </w:p>
        </w:tc>
        <w:tc>
          <w:tcPr>
            <w:tcW w:w="169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3853089">
            <w:pPr>
              <w:spacing w:line="440" w:lineRule="exact"/>
              <w:jc w:val="center"/>
              <w:rPr>
                <w:rFonts w:hint="default" w:ascii="Times New Roman" w:hAnsi="Times New Roman" w:eastAsia="仿宋_GB2312" w:cs="Times New Roman"/>
                <w:bCs/>
                <w:color w:val="auto"/>
                <w:kern w:val="0"/>
                <w:sz w:val="24"/>
                <w:szCs w:val="24"/>
                <w:highlight w:val="none"/>
                <w:lang w:val="en" w:eastAsia="zh-CN"/>
              </w:rPr>
            </w:pPr>
            <w:r>
              <w:rPr>
                <w:rFonts w:hint="default" w:ascii="Times New Roman" w:hAnsi="Times New Roman" w:eastAsia="仿宋_GB2312" w:cs="Times New Roman"/>
                <w:bCs/>
                <w:color w:val="auto"/>
                <w:sz w:val="28"/>
                <w:szCs w:val="28"/>
                <w:highlight w:val="none"/>
                <w:lang w:val="en-US" w:eastAsia="zh-CN"/>
              </w:rPr>
              <w:t>9230000</w:t>
            </w:r>
          </w:p>
        </w:tc>
        <w:tc>
          <w:tcPr>
            <w:tcW w:w="123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BF37EEA">
            <w:pPr>
              <w:spacing w:line="440" w:lineRule="exact"/>
              <w:jc w:val="center"/>
              <w:rPr>
                <w:rFonts w:hint="default" w:ascii="Times New Roman" w:hAnsi="Times New Roman" w:eastAsia="仿宋_GB2312" w:cs="Times New Roman"/>
                <w:bCs/>
                <w:color w:val="auto"/>
                <w:kern w:val="0"/>
                <w:sz w:val="24"/>
                <w:szCs w:val="24"/>
                <w:highlight w:val="none"/>
                <w:lang w:val="en" w:eastAsia="zh-CN"/>
              </w:rPr>
            </w:pPr>
            <w:r>
              <w:rPr>
                <w:rFonts w:hint="default" w:ascii="Times New Roman" w:hAnsi="Times New Roman" w:eastAsia="仿宋_GB2312" w:cs="Times New Roman"/>
                <w:bCs/>
                <w:color w:val="auto"/>
                <w:sz w:val="28"/>
                <w:szCs w:val="28"/>
                <w:highlight w:val="none"/>
                <w:lang w:val="en-US" w:eastAsia="zh-CN"/>
              </w:rPr>
              <w:t>9230000</w:t>
            </w:r>
          </w:p>
        </w:tc>
      </w:tr>
    </w:tbl>
    <w:p w14:paraId="3BC07656">
      <w:pPr>
        <w:spacing w:after="0" w:line="360" w:lineRule="auto"/>
        <w:ind w:firstLine="560" w:firstLineChars="200"/>
        <w:rPr>
          <w:rFonts w:hint="default" w:ascii="Times New Roman" w:hAnsi="Times New Roman" w:eastAsia="仿宋_GB2312" w:cs="Times New Roman"/>
          <w:bCs/>
          <w:color w:val="auto"/>
          <w:sz w:val="28"/>
          <w:szCs w:val="28"/>
          <w:lang w:val="en" w:eastAsia="zh-CN"/>
        </w:rPr>
      </w:pPr>
      <w:bookmarkStart w:id="53" w:name="_Toc1866155745_WPSOffice_Level3"/>
      <w:bookmarkStart w:id="54" w:name="_Toc1031072132_WPSOffice_Level3"/>
      <w:r>
        <w:rPr>
          <w:rFonts w:hint="default" w:ascii="Times New Roman" w:hAnsi="Times New Roman" w:eastAsia="仿宋_GB2312" w:cs="Times New Roman"/>
          <w:bCs/>
          <w:color w:val="auto"/>
          <w:sz w:val="28"/>
          <w:szCs w:val="28"/>
          <w:lang w:val="en-US" w:eastAsia="zh-CN"/>
        </w:rPr>
        <w:t>（1）采购内容：</w:t>
      </w:r>
      <w:r>
        <w:rPr>
          <w:rFonts w:hint="eastAsia" w:ascii="Times New Roman" w:hAnsi="Times New Roman" w:eastAsia="仿宋_GB2312" w:cs="Times New Roman"/>
          <w:bCs/>
          <w:color w:val="auto"/>
          <w:sz w:val="28"/>
          <w:szCs w:val="28"/>
          <w:lang w:val="en-US" w:eastAsia="zh-CN"/>
        </w:rPr>
        <w:t>河南省测绘地理信息技术中心实景三维河南建设省级项目2025年软硬件采购项目</w:t>
      </w:r>
      <w:r>
        <w:rPr>
          <w:rFonts w:hint="default" w:ascii="Times New Roman" w:hAnsi="Times New Roman" w:eastAsia="仿宋_GB2312" w:cs="Times New Roman"/>
          <w:bCs/>
          <w:color w:val="auto"/>
          <w:sz w:val="28"/>
          <w:szCs w:val="28"/>
          <w:lang w:val="en" w:eastAsia="zh-CN"/>
        </w:rPr>
        <w:t>，包含2套分布式存储、4台存储业务交换机、4台管理交换机、3台空间数据库集群、3台图数据库、3台非关系数据库集群、6台应用服务器集群、4台GIS集群、5台计算集群、1台高性能服务器、3套数据库系统、34套操作系统、8套中间件、1台运维安全管理系统</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设备的安装、调试、验收、质保期内服务、与货物相关的运输和保险及其它伴随服务等。</w:t>
      </w:r>
    </w:p>
    <w:p w14:paraId="71B698DC">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（2）交货期：合同签订后</w:t>
      </w:r>
      <w:r>
        <w:rPr>
          <w:rFonts w:hint="eastAsia"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val="en-US" w:eastAsia="zh-CN"/>
        </w:rPr>
        <w:t>0日历日内完成本项目的供货、安装及调试。</w:t>
      </w:r>
    </w:p>
    <w:p w14:paraId="25CCB582">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（3）交货地点：河南省测绘地理信息技术中心</w:t>
      </w:r>
      <w:r>
        <w:rPr>
          <w:rFonts w:hint="default" w:ascii="Times New Roman" w:hAnsi="Times New Roman" w:eastAsia="仿宋_GB2312" w:cs="Times New Roman"/>
          <w:bCs/>
          <w:color w:val="auto"/>
          <w:sz w:val="28"/>
          <w:szCs w:val="28"/>
          <w:lang w:val="en" w:eastAsia="zh-CN"/>
        </w:rPr>
        <w:t>（</w:t>
      </w:r>
      <w:r>
        <w:rPr>
          <w:rFonts w:hint="eastAsia" w:ascii="Times New Roman" w:hAnsi="Times New Roman" w:eastAsia="仿宋_GB2312" w:cs="Times New Roman"/>
          <w:bCs/>
          <w:color w:val="auto"/>
          <w:sz w:val="28"/>
          <w:szCs w:val="28"/>
          <w:lang w:val="en-US" w:eastAsia="zh-CN"/>
        </w:rPr>
        <w:t>河南省郑州市金水区黄河路8号</w:t>
      </w:r>
      <w:r>
        <w:rPr>
          <w:rFonts w:hint="default" w:ascii="Times New Roman" w:hAnsi="Times New Roman" w:eastAsia="仿宋_GB2312" w:cs="Times New Roman"/>
          <w:bCs/>
          <w:color w:val="auto"/>
          <w:sz w:val="28"/>
          <w:szCs w:val="28"/>
          <w:lang w:val="en" w:eastAsia="zh-CN"/>
        </w:rPr>
        <w:t>）</w:t>
      </w:r>
    </w:p>
    <w:p w14:paraId="2C013A47">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（4）质量标准：合格。</w:t>
      </w:r>
    </w:p>
    <w:p w14:paraId="0C788A0B">
      <w:pPr>
        <w:spacing w:after="0" w:line="360" w:lineRule="auto"/>
        <w:ind w:firstLine="560" w:firstLineChars="200"/>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color w:val="auto"/>
          <w:sz w:val="28"/>
          <w:szCs w:val="28"/>
          <w:lang w:val="en-US" w:eastAsia="zh-CN"/>
        </w:rPr>
        <w:t>（5）质量保证期：</w:t>
      </w:r>
      <w:r>
        <w:rPr>
          <w:rFonts w:hint="default" w:ascii="Times New Roman" w:hAnsi="Times New Roman" w:eastAsia="仿宋_GB2312" w:cs="Times New Roman"/>
          <w:bCs/>
          <w:sz w:val="28"/>
          <w:szCs w:val="28"/>
          <w:lang w:val="en-US" w:eastAsia="zh-CN"/>
        </w:rPr>
        <w:t>3年，从验收合格之日起开始计算。</w:t>
      </w:r>
    </w:p>
    <w:p w14:paraId="45B9C3DF">
      <w:pPr>
        <w:spacing w:after="0" w:line="360" w:lineRule="auto"/>
        <w:ind w:firstLine="560" w:firstLineChars="200"/>
        <w:jc w:val="left"/>
        <w:rPr>
          <w:rFonts w:hint="default" w:ascii="Times New Roman" w:hAnsi="Times New Roman" w:eastAsia="仿宋_GB2312" w:cs="Times New Roman"/>
          <w:bCs/>
          <w:color w:val="auto"/>
          <w:sz w:val="28"/>
          <w:szCs w:val="28"/>
          <w:highlight w:val="red"/>
          <w:lang w:val="en-US" w:eastAsia="zh-CN"/>
        </w:rPr>
      </w:pPr>
      <w:r>
        <w:rPr>
          <w:rFonts w:hint="default" w:ascii="Times New Roman" w:hAnsi="Times New Roman" w:eastAsia="仿宋_GB2312" w:cs="Times New Roman"/>
          <w:bCs/>
          <w:color w:val="auto"/>
          <w:sz w:val="28"/>
          <w:szCs w:val="28"/>
          <w:lang w:val="en-US" w:eastAsia="zh-CN"/>
        </w:rPr>
        <w:t>6.合同履行期限：</w:t>
      </w:r>
      <w:bookmarkEnd w:id="53"/>
      <w:bookmarkEnd w:id="54"/>
      <w:r>
        <w:rPr>
          <w:rFonts w:hint="default" w:ascii="Times New Roman" w:hAnsi="Times New Roman" w:eastAsia="仿宋_GB2312" w:cs="Times New Roman"/>
          <w:bCs/>
          <w:color w:val="auto"/>
          <w:sz w:val="28"/>
          <w:szCs w:val="28"/>
          <w:lang w:val="en-US" w:eastAsia="zh-CN"/>
        </w:rPr>
        <w:t>同交货期</w:t>
      </w:r>
    </w:p>
    <w:p w14:paraId="4ECDE7AD">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55" w:name="_Toc1547155158_WPSOffice_Level3"/>
      <w:bookmarkStart w:id="56" w:name="_Toc804008546_WPSOffice_Level3"/>
      <w:r>
        <w:rPr>
          <w:rFonts w:hint="default" w:ascii="Times New Roman" w:hAnsi="Times New Roman" w:eastAsia="仿宋_GB2312" w:cs="Times New Roman"/>
          <w:bCs/>
          <w:color w:val="auto"/>
          <w:sz w:val="28"/>
          <w:szCs w:val="28"/>
          <w:lang w:val="en-US" w:eastAsia="zh-CN"/>
        </w:rPr>
        <w:t>7.本项目是否接受联合体投标：否</w:t>
      </w:r>
      <w:bookmarkEnd w:id="55"/>
      <w:bookmarkEnd w:id="56"/>
    </w:p>
    <w:p w14:paraId="105D08FE">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57" w:name="_Toc1075148766_WPSOffice_Level3"/>
      <w:bookmarkStart w:id="58" w:name="_Toc1454916570_WPSOffice_Level3"/>
      <w:r>
        <w:rPr>
          <w:rFonts w:hint="default" w:ascii="Times New Roman" w:hAnsi="Times New Roman" w:eastAsia="仿宋_GB2312" w:cs="Times New Roman"/>
          <w:bCs/>
          <w:color w:val="auto"/>
          <w:sz w:val="28"/>
          <w:szCs w:val="28"/>
          <w:lang w:val="en-US" w:eastAsia="zh-CN"/>
        </w:rPr>
        <w:t>8.是否</w:t>
      </w:r>
      <w:r>
        <w:rPr>
          <w:rFonts w:hint="eastAsia" w:ascii="Times New Roman" w:hAnsi="Times New Roman" w:eastAsia="仿宋_GB2312" w:cs="Times New Roman"/>
          <w:bCs/>
          <w:color w:val="auto"/>
          <w:sz w:val="28"/>
          <w:szCs w:val="28"/>
          <w:lang w:val="en-US" w:eastAsia="zh-CN"/>
        </w:rPr>
        <w:t>接受</w:t>
      </w:r>
      <w:r>
        <w:rPr>
          <w:rFonts w:hint="default" w:ascii="Times New Roman" w:hAnsi="Times New Roman" w:eastAsia="仿宋_GB2312" w:cs="Times New Roman"/>
          <w:bCs/>
          <w:color w:val="auto"/>
          <w:sz w:val="28"/>
          <w:szCs w:val="28"/>
          <w:lang w:val="en-US" w:eastAsia="zh-CN"/>
        </w:rPr>
        <w:t>采购进口产品：</w:t>
      </w:r>
      <w:bookmarkEnd w:id="57"/>
      <w:bookmarkEnd w:id="58"/>
      <w:r>
        <w:rPr>
          <w:rFonts w:hint="default" w:ascii="Times New Roman" w:hAnsi="Times New Roman" w:eastAsia="仿宋_GB2312" w:cs="Times New Roman"/>
          <w:bCs/>
          <w:color w:val="auto"/>
          <w:sz w:val="28"/>
          <w:szCs w:val="28"/>
          <w:lang w:val="en-US" w:eastAsia="zh-CN"/>
        </w:rPr>
        <w:t>否</w:t>
      </w:r>
    </w:p>
    <w:p w14:paraId="7C5E7371">
      <w:pPr>
        <w:pStyle w:val="77"/>
        <w:adjustRightInd/>
        <w:spacing w:after="0"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9.是否专门面向中小企业：否</w:t>
      </w:r>
    </w:p>
    <w:p w14:paraId="1DBC8694">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59" w:name="_Toc2026118901_WPSOffice_Level2"/>
      <w:bookmarkStart w:id="60" w:name="_Toc407944620_WPSOffice_Level2"/>
      <w:bookmarkStart w:id="61" w:name="_Toc1298400066_WPSOffice_Level2"/>
      <w:bookmarkStart w:id="62" w:name="_Toc584363550_WPSOffice_Level2"/>
      <w:r>
        <w:rPr>
          <w:rFonts w:hint="default" w:ascii="Times New Roman" w:hAnsi="Times New Roman" w:eastAsia="方正小标宋_GBK" w:cs="Times New Roman"/>
          <w:bCs/>
          <w:color w:val="auto"/>
          <w:sz w:val="28"/>
          <w:szCs w:val="28"/>
          <w:lang w:val="en-US" w:eastAsia="zh-CN"/>
        </w:rPr>
        <w:t>二、申请人资格要求</w:t>
      </w:r>
      <w:bookmarkEnd w:id="59"/>
      <w:bookmarkEnd w:id="60"/>
      <w:bookmarkEnd w:id="61"/>
      <w:bookmarkEnd w:id="62"/>
      <w:r>
        <w:rPr>
          <w:rFonts w:hint="default" w:ascii="Times New Roman" w:hAnsi="Times New Roman" w:eastAsia="仿宋_GB2312" w:cs="Times New Roman"/>
          <w:bCs/>
          <w:color w:val="auto"/>
          <w:sz w:val="28"/>
          <w:szCs w:val="28"/>
          <w:lang w:val="en-US" w:eastAsia="zh-CN"/>
        </w:rPr>
        <w:t>：</w:t>
      </w:r>
    </w:p>
    <w:p w14:paraId="46ED7278">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63" w:name="_Toc288167634_WPSOffice_Level3"/>
      <w:bookmarkStart w:id="64" w:name="_Toc795001869_WPSOffice_Level3"/>
      <w:r>
        <w:rPr>
          <w:rFonts w:hint="default" w:ascii="Times New Roman" w:hAnsi="Times New Roman" w:eastAsia="仿宋_GB2312" w:cs="Times New Roman"/>
          <w:bCs/>
          <w:color w:val="auto"/>
          <w:sz w:val="28"/>
          <w:szCs w:val="28"/>
          <w:lang w:val="en-US" w:eastAsia="zh-CN"/>
        </w:rPr>
        <w:t>1.满足《中华人民共和国政府采购法》第二十二条规定；</w:t>
      </w:r>
      <w:bookmarkEnd w:id="63"/>
      <w:bookmarkEnd w:id="64"/>
    </w:p>
    <w:p w14:paraId="2079A13F">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65" w:name="_Toc1004075335_WPSOffice_Level3"/>
      <w:bookmarkStart w:id="66" w:name="_Toc282163985_WPSOffice_Level3"/>
      <w:r>
        <w:rPr>
          <w:rFonts w:hint="default" w:ascii="Times New Roman" w:hAnsi="Times New Roman" w:eastAsia="仿宋_GB2312" w:cs="Times New Roman"/>
          <w:bCs/>
          <w:color w:val="auto"/>
          <w:sz w:val="28"/>
          <w:szCs w:val="28"/>
          <w:lang w:val="en-US" w:eastAsia="zh-CN"/>
        </w:rPr>
        <w:t>2.</w:t>
      </w:r>
      <w:bookmarkEnd w:id="65"/>
      <w:r>
        <w:rPr>
          <w:rFonts w:hint="default" w:ascii="Times New Roman" w:hAnsi="Times New Roman" w:eastAsia="仿宋_GB2312" w:cs="Times New Roman"/>
          <w:bCs/>
          <w:color w:val="auto"/>
          <w:sz w:val="28"/>
          <w:szCs w:val="28"/>
          <w:lang w:val="en-US" w:eastAsia="zh-CN"/>
        </w:rPr>
        <w:t>落实政府采购政策满足的资格要求：</w:t>
      </w:r>
    </w:p>
    <w:bookmarkEnd w:id="66"/>
    <w:p w14:paraId="18F31C71">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无</w:t>
      </w:r>
    </w:p>
    <w:p w14:paraId="31C0A648">
      <w:pPr>
        <w:numPr>
          <w:ilvl w:val="0"/>
          <w:numId w:val="1"/>
        </w:num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本项目的特定资格要求：</w:t>
      </w:r>
    </w:p>
    <w:p w14:paraId="0FB046C7">
      <w:pPr>
        <w:spacing w:after="0" w:line="360" w:lineRule="auto"/>
        <w:ind w:firstLine="560" w:firstLineChars="200"/>
        <w:jc w:val="left"/>
        <w:rPr>
          <w:rFonts w:hint="default" w:ascii="Times New Roman" w:hAnsi="Times New Roman" w:eastAsia="仿宋_GB2312" w:cs="Times New Roman"/>
          <w:bCs/>
          <w:color w:val="auto"/>
          <w:sz w:val="28"/>
          <w:szCs w:val="28"/>
          <w:lang w:val="en" w:eastAsia="zh-CN"/>
        </w:rPr>
      </w:pPr>
      <w:bookmarkStart w:id="67" w:name="_Toc872248170_WPSOffice_Level2"/>
      <w:bookmarkStart w:id="68" w:name="_Toc1144697108_WPSOffice_Level2"/>
      <w:bookmarkStart w:id="69" w:name="_Toc295468326_WPSOffice_Level2"/>
      <w:bookmarkStart w:id="70" w:name="_Toc2045253496_WPSOffice_Level2"/>
      <w:r>
        <w:rPr>
          <w:rFonts w:hint="default" w:ascii="Times New Roman" w:hAnsi="Times New Roman" w:eastAsia="仿宋_GB2312" w:cs="Times New Roman"/>
          <w:bCs/>
          <w:color w:val="auto"/>
          <w:sz w:val="28"/>
          <w:szCs w:val="28"/>
          <w:lang w:val="en-US" w:eastAsia="zh-CN"/>
        </w:rPr>
        <w:t>无</w:t>
      </w:r>
    </w:p>
    <w:p w14:paraId="7E58CBCA">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r>
        <w:rPr>
          <w:rFonts w:hint="default" w:ascii="Times New Roman" w:hAnsi="Times New Roman" w:eastAsia="方正小标宋_GBK" w:cs="Times New Roman"/>
          <w:bCs/>
          <w:color w:val="auto"/>
          <w:sz w:val="28"/>
          <w:szCs w:val="28"/>
          <w:lang w:val="en-US" w:eastAsia="zh-CN"/>
        </w:rPr>
        <w:t>三、获取招标文件</w:t>
      </w:r>
      <w:bookmarkEnd w:id="67"/>
      <w:bookmarkEnd w:id="68"/>
      <w:bookmarkEnd w:id="69"/>
      <w:bookmarkEnd w:id="70"/>
    </w:p>
    <w:p w14:paraId="6EAD3F07">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1.时间：2026年8月</w:t>
      </w:r>
      <w:r>
        <w:rPr>
          <w:rFonts w:hint="eastAsia" w:ascii="Times New Roman" w:hAnsi="Times New Roman" w:eastAsia="仿宋_GB2312" w:cs="Times New Roman"/>
          <w:bCs/>
          <w:color w:val="auto"/>
          <w:sz w:val="28"/>
          <w:szCs w:val="28"/>
          <w:highlight w:val="none"/>
          <w:lang w:val="en-US" w:eastAsia="zh-CN"/>
        </w:rPr>
        <w:t>5</w:t>
      </w:r>
      <w:r>
        <w:rPr>
          <w:rFonts w:hint="default" w:ascii="Times New Roman" w:hAnsi="Times New Roman" w:eastAsia="仿宋_GB2312" w:cs="Times New Roman"/>
          <w:bCs/>
          <w:color w:val="auto"/>
          <w:sz w:val="28"/>
          <w:szCs w:val="28"/>
          <w:highlight w:val="none"/>
          <w:lang w:val="en-US" w:eastAsia="zh-CN"/>
        </w:rPr>
        <w:t>日至2026年8月</w:t>
      </w:r>
      <w:r>
        <w:rPr>
          <w:rFonts w:hint="eastAsia" w:ascii="Times New Roman" w:hAnsi="Times New Roman" w:eastAsia="仿宋_GB2312" w:cs="Times New Roman"/>
          <w:bCs/>
          <w:color w:val="auto"/>
          <w:sz w:val="28"/>
          <w:szCs w:val="28"/>
          <w:highlight w:val="none"/>
          <w:lang w:val="en-US" w:eastAsia="zh-CN"/>
        </w:rPr>
        <w:t>12</w:t>
      </w:r>
      <w:r>
        <w:rPr>
          <w:rFonts w:hint="default" w:ascii="Times New Roman" w:hAnsi="Times New Roman" w:eastAsia="仿宋_GB2312" w:cs="Times New Roman"/>
          <w:bCs/>
          <w:color w:val="auto"/>
          <w:sz w:val="28"/>
          <w:szCs w:val="28"/>
          <w:highlight w:val="none"/>
          <w:lang w:val="en-US" w:eastAsia="zh-CN"/>
        </w:rPr>
        <w:t>日</w:t>
      </w:r>
      <w:r>
        <w:rPr>
          <w:rFonts w:hint="default" w:ascii="Times New Roman" w:hAnsi="Times New Roman" w:eastAsia="仿宋_GB2312" w:cs="Times New Roman"/>
          <w:bCs/>
          <w:color w:val="auto"/>
          <w:sz w:val="28"/>
          <w:szCs w:val="28"/>
          <w:lang w:val="en-US" w:eastAsia="zh-CN"/>
        </w:rPr>
        <w:t xml:space="preserve">，每天上午00:00至12:00，下午12:00至23:59（北京时间，法定节假日除外。） </w:t>
      </w:r>
    </w:p>
    <w:p w14:paraId="7F3DF960">
      <w:pPr>
        <w:spacing w:after="0"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2.地点：河南省公共资源交易中心网站（hnsggzyjy.henan.gov.cn）。</w:t>
      </w:r>
    </w:p>
    <w:p w14:paraId="54198AAF">
      <w:pPr>
        <w:spacing w:after="0" w:line="360" w:lineRule="auto"/>
        <w:ind w:firstLine="560" w:firstLineChars="200"/>
        <w:rPr>
          <w:rFonts w:hint="default" w:ascii="Times New Roman" w:hAnsi="Times New Roman" w:eastAsia="仿宋"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3.方式：投标人</w:t>
      </w:r>
      <w:r>
        <w:rPr>
          <w:rFonts w:hint="default" w:ascii="Times New Roman" w:hAnsi="Times New Roman" w:eastAsia="仿宋" w:cs="Times New Roman"/>
          <w:bCs/>
          <w:color w:val="auto"/>
          <w:sz w:val="28"/>
          <w:szCs w:val="28"/>
          <w:lang w:eastAsia="zh-CN"/>
        </w:rPr>
        <w:t>使用</w:t>
      </w:r>
      <w:r>
        <w:rPr>
          <w:rFonts w:hint="default" w:ascii="Times New Roman" w:hAnsi="Times New Roman" w:eastAsia="仿宋" w:cs="Times New Roman"/>
          <w:bCs/>
          <w:color w:val="auto"/>
          <w:sz w:val="28"/>
          <w:szCs w:val="28"/>
          <w:highlight w:val="none"/>
          <w:lang w:val="en-US" w:eastAsia="zh-CN"/>
        </w:rPr>
        <w:t>CA</w:t>
      </w:r>
      <w:r>
        <w:rPr>
          <w:rFonts w:hint="default" w:ascii="Times New Roman" w:hAnsi="Times New Roman" w:eastAsia="仿宋" w:cs="Times New Roman"/>
          <w:bCs/>
          <w:color w:val="auto"/>
          <w:sz w:val="28"/>
          <w:szCs w:val="28"/>
          <w:highlight w:val="none"/>
          <w:lang w:eastAsia="zh-CN"/>
        </w:rPr>
        <w:t>数字证书登录</w:t>
      </w:r>
      <w:r>
        <w:rPr>
          <w:rFonts w:hint="default" w:ascii="Times New Roman" w:hAnsi="Times New Roman" w:eastAsia="仿宋" w:cs="Times New Roman"/>
          <w:bCs/>
          <w:color w:val="auto"/>
          <w:sz w:val="28"/>
          <w:szCs w:val="28"/>
          <w:highlight w:val="none"/>
          <w:lang w:val="en-US" w:eastAsia="zh-CN"/>
        </w:rPr>
        <w:t>“</w:t>
      </w:r>
      <w:r>
        <w:rPr>
          <w:rFonts w:hint="default" w:ascii="Times New Roman" w:hAnsi="Times New Roman" w:eastAsia="仿宋" w:cs="Times New Roman"/>
          <w:bCs/>
          <w:color w:val="auto"/>
          <w:sz w:val="28"/>
          <w:szCs w:val="28"/>
          <w:highlight w:val="none"/>
          <w:lang w:eastAsia="zh-CN"/>
        </w:rPr>
        <w:t>河南省公共资源交易中心</w:t>
      </w:r>
      <w:r>
        <w:rPr>
          <w:rFonts w:hint="default" w:ascii="Times New Roman" w:hAnsi="Times New Roman" w:eastAsia="仿宋" w:cs="Times New Roman"/>
          <w:bCs/>
          <w:color w:val="auto"/>
          <w:sz w:val="28"/>
          <w:szCs w:val="28"/>
          <w:highlight w:val="none"/>
          <w:lang w:val="en-US" w:eastAsia="zh-CN"/>
        </w:rPr>
        <w:t>网站（hnsggzyjy.henan.gov.cn）</w:t>
      </w:r>
      <w:r>
        <w:rPr>
          <w:rFonts w:hint="default" w:ascii="Times New Roman" w:hAnsi="Times New Roman" w:eastAsia="仿宋" w:cs="Times New Roman"/>
          <w:bCs/>
          <w:color w:val="auto"/>
          <w:sz w:val="28"/>
          <w:szCs w:val="28"/>
          <w:lang w:val="en-US" w:eastAsia="zh-CN"/>
        </w:rPr>
        <w:t>”，</w:t>
      </w:r>
      <w:r>
        <w:rPr>
          <w:rFonts w:hint="default" w:ascii="Times New Roman" w:hAnsi="Times New Roman" w:eastAsia="仿宋" w:cs="Times New Roman"/>
          <w:bCs/>
          <w:color w:val="auto"/>
          <w:sz w:val="28"/>
          <w:szCs w:val="28"/>
          <w:lang w:eastAsia="zh-CN"/>
        </w:rPr>
        <w:t>并按网上提示下载投标项目所含格式</w:t>
      </w:r>
      <w:r>
        <w:rPr>
          <w:rFonts w:hint="default" w:ascii="Times New Roman" w:hAnsi="Times New Roman" w:eastAsia="仿宋" w:cs="Times New Roman"/>
          <w:bCs/>
          <w:color w:val="auto"/>
          <w:sz w:val="28"/>
          <w:szCs w:val="28"/>
          <w:lang w:val="en-US" w:eastAsia="zh-CN"/>
        </w:rPr>
        <w:t>(.hnzf)</w:t>
      </w:r>
      <w:r>
        <w:rPr>
          <w:rFonts w:hint="default" w:ascii="Times New Roman" w:hAnsi="Times New Roman" w:eastAsia="仿宋" w:cs="Times New Roman"/>
          <w:bCs/>
          <w:color w:val="auto"/>
          <w:sz w:val="28"/>
          <w:szCs w:val="28"/>
          <w:lang w:eastAsia="zh-CN"/>
        </w:rPr>
        <w:t>的招标文件及资料。注册、登录、下载等</w:t>
      </w:r>
      <w:r>
        <w:rPr>
          <w:rFonts w:hint="default" w:ascii="Times New Roman" w:hAnsi="Times New Roman" w:eastAsia="仿宋" w:cs="Times New Roman"/>
          <w:bCs/>
          <w:color w:val="auto"/>
          <w:sz w:val="28"/>
          <w:szCs w:val="28"/>
          <w:lang w:val="en-US" w:eastAsia="zh-CN"/>
        </w:rPr>
        <w:t>具体事宜请查阅河南省公共资源交易中心网站“公共服务”→“办事指南”。</w:t>
      </w:r>
    </w:p>
    <w:p w14:paraId="33A43ED9">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4.售价：0元 </w:t>
      </w:r>
    </w:p>
    <w:p w14:paraId="13DA85B8">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71" w:name="_Toc2091398558_WPSOffice_Level2"/>
      <w:bookmarkStart w:id="72" w:name="_Toc1361166934_WPSOffice_Level2"/>
      <w:bookmarkStart w:id="73" w:name="_Toc1432496505_WPSOffice_Level2"/>
      <w:bookmarkStart w:id="74" w:name="_Toc994305580_WPSOffice_Level2"/>
      <w:r>
        <w:rPr>
          <w:rFonts w:hint="default" w:ascii="Times New Roman" w:hAnsi="Times New Roman" w:eastAsia="方正小标宋_GBK" w:cs="Times New Roman"/>
          <w:bCs/>
          <w:color w:val="auto"/>
          <w:sz w:val="28"/>
          <w:szCs w:val="28"/>
          <w:lang w:val="en-US" w:eastAsia="zh-CN"/>
        </w:rPr>
        <w:t>四、投标截止时间及地点</w:t>
      </w:r>
      <w:bookmarkEnd w:id="71"/>
      <w:bookmarkEnd w:id="72"/>
      <w:bookmarkEnd w:id="73"/>
      <w:bookmarkEnd w:id="74"/>
    </w:p>
    <w:p w14:paraId="750F2F81">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1.时间：2026年</w:t>
      </w:r>
      <w:r>
        <w:rPr>
          <w:rFonts w:hint="default" w:ascii="Times New Roman" w:hAnsi="Times New Roman" w:eastAsia="仿宋_GB2312" w:cs="Times New Roman"/>
          <w:bCs/>
          <w:color w:val="auto"/>
          <w:sz w:val="28"/>
          <w:szCs w:val="28"/>
          <w:highlight w:val="none"/>
          <w:lang w:val="en-US" w:eastAsia="zh-CN"/>
        </w:rPr>
        <w:t>8月</w:t>
      </w:r>
      <w:r>
        <w:rPr>
          <w:rFonts w:hint="eastAsia" w:ascii="Times New Roman" w:hAnsi="Times New Roman" w:eastAsia="仿宋_GB2312" w:cs="Times New Roman"/>
          <w:bCs/>
          <w:color w:val="auto"/>
          <w:sz w:val="28"/>
          <w:szCs w:val="28"/>
          <w:highlight w:val="none"/>
          <w:lang w:val="en-US" w:eastAsia="zh-CN"/>
        </w:rPr>
        <w:t>26</w:t>
      </w:r>
      <w:r>
        <w:rPr>
          <w:rFonts w:hint="default" w:ascii="Times New Roman" w:hAnsi="Times New Roman" w:eastAsia="仿宋_GB2312" w:cs="Times New Roman"/>
          <w:bCs/>
          <w:color w:val="auto"/>
          <w:sz w:val="28"/>
          <w:szCs w:val="28"/>
          <w:highlight w:val="none"/>
          <w:lang w:val="en-US" w:eastAsia="zh-CN"/>
        </w:rPr>
        <w:t>日09</w:t>
      </w:r>
      <w:r>
        <w:rPr>
          <w:rFonts w:hint="default" w:ascii="Times New Roman" w:hAnsi="Times New Roman" w:eastAsia="仿宋_GB2312" w:cs="Times New Roman"/>
          <w:bCs/>
          <w:color w:val="auto"/>
          <w:sz w:val="28"/>
          <w:szCs w:val="28"/>
          <w:lang w:val="en-US" w:eastAsia="zh-CN"/>
        </w:rPr>
        <w:t>时00分（北京时间）</w:t>
      </w:r>
    </w:p>
    <w:p w14:paraId="6A3731B1">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2.地点：</w:t>
      </w:r>
      <w:r>
        <w:rPr>
          <w:rFonts w:hint="default" w:ascii="Times New Roman" w:hAnsi="Times New Roman" w:eastAsia="仿宋" w:cs="Times New Roman"/>
          <w:bCs/>
          <w:color w:val="auto"/>
          <w:sz w:val="28"/>
          <w:szCs w:val="28"/>
          <w:lang w:eastAsia="zh-CN"/>
        </w:rPr>
        <w:t>河南省公共资源交易中心网</w:t>
      </w:r>
      <w:r>
        <w:rPr>
          <w:rFonts w:hint="default" w:ascii="Times New Roman" w:hAnsi="Times New Roman" w:eastAsia="仿宋" w:cs="Times New Roman"/>
          <w:bCs/>
          <w:color w:val="auto"/>
          <w:sz w:val="28"/>
          <w:szCs w:val="28"/>
          <w:lang w:val="en-US" w:eastAsia="zh-CN"/>
        </w:rPr>
        <w:t>（hnsggzyjy.henan.gov.cn）</w:t>
      </w:r>
    </w:p>
    <w:p w14:paraId="2342A0C9">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75" w:name="_Toc2015382973_WPSOffice_Level2"/>
      <w:bookmarkStart w:id="76" w:name="_Toc1501260250_WPSOffice_Level2"/>
      <w:bookmarkStart w:id="77" w:name="_Toc29068487_WPSOffice_Level2"/>
      <w:bookmarkStart w:id="78" w:name="_Toc843072336_WPSOffice_Level2"/>
      <w:r>
        <w:rPr>
          <w:rFonts w:hint="default" w:ascii="Times New Roman" w:hAnsi="Times New Roman" w:eastAsia="方正小标宋_GBK" w:cs="Times New Roman"/>
          <w:bCs/>
          <w:color w:val="auto"/>
          <w:sz w:val="28"/>
          <w:szCs w:val="28"/>
          <w:lang w:val="en-US" w:eastAsia="zh-CN"/>
        </w:rPr>
        <w:t>五、开标时间及地点</w:t>
      </w:r>
      <w:bookmarkEnd w:id="75"/>
      <w:bookmarkEnd w:id="76"/>
      <w:bookmarkEnd w:id="77"/>
      <w:bookmarkEnd w:id="78"/>
    </w:p>
    <w:p w14:paraId="03C2C6CB">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1.时间：2026</w:t>
      </w:r>
      <w:r>
        <w:rPr>
          <w:rFonts w:hint="default" w:ascii="Times New Roman" w:hAnsi="Times New Roman" w:eastAsia="仿宋_GB2312" w:cs="Times New Roman"/>
          <w:bCs/>
          <w:color w:val="auto"/>
          <w:sz w:val="28"/>
          <w:szCs w:val="28"/>
          <w:highlight w:val="none"/>
          <w:lang w:val="en-US" w:eastAsia="zh-CN"/>
        </w:rPr>
        <w:t>年8月</w:t>
      </w:r>
      <w:r>
        <w:rPr>
          <w:rFonts w:hint="eastAsia" w:ascii="Times New Roman" w:hAnsi="Times New Roman" w:eastAsia="仿宋_GB2312" w:cs="Times New Roman"/>
          <w:bCs/>
          <w:color w:val="auto"/>
          <w:sz w:val="28"/>
          <w:szCs w:val="28"/>
          <w:highlight w:val="none"/>
          <w:lang w:val="en-US" w:eastAsia="zh-CN"/>
        </w:rPr>
        <w:t>26</w:t>
      </w:r>
      <w:r>
        <w:rPr>
          <w:rFonts w:hint="default" w:ascii="Times New Roman" w:hAnsi="Times New Roman" w:eastAsia="仿宋_GB2312" w:cs="Times New Roman"/>
          <w:bCs/>
          <w:color w:val="auto"/>
          <w:sz w:val="28"/>
          <w:szCs w:val="28"/>
          <w:highlight w:val="none"/>
          <w:lang w:val="en-US" w:eastAsia="zh-CN"/>
        </w:rPr>
        <w:t>日0</w:t>
      </w:r>
      <w:r>
        <w:rPr>
          <w:rFonts w:hint="default" w:ascii="Times New Roman" w:hAnsi="Times New Roman" w:eastAsia="仿宋_GB2312" w:cs="Times New Roman"/>
          <w:bCs/>
          <w:color w:val="auto"/>
          <w:sz w:val="28"/>
          <w:szCs w:val="28"/>
          <w:lang w:val="en-US" w:eastAsia="zh-CN"/>
        </w:rPr>
        <w:t>9时00分（北京时间）</w:t>
      </w:r>
    </w:p>
    <w:p w14:paraId="02BDADAB">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2.地点：</w:t>
      </w:r>
      <w:bookmarkStart w:id="79" w:name="_Toc1101443234_WPSOffice_Level2"/>
      <w:bookmarkStart w:id="80" w:name="_Toc847108981_WPSOffice_Level2"/>
      <w:bookmarkStart w:id="81" w:name="_Toc74330375_WPSOffice_Level2"/>
      <w:r>
        <w:rPr>
          <w:rFonts w:hint="default" w:ascii="Times New Roman" w:hAnsi="Times New Roman" w:eastAsia="仿宋_GB2312" w:cs="Times New Roman"/>
          <w:bCs/>
          <w:color w:val="auto"/>
          <w:sz w:val="28"/>
          <w:szCs w:val="28"/>
          <w:lang w:val="en-US" w:eastAsia="zh-CN"/>
        </w:rPr>
        <w:t>河南省公共资源交易中心远程开标室；“河南省公共资源交易中心”网站（hnsggzyjy.henan.gov.cn）——不见面开标大厅。</w:t>
      </w:r>
    </w:p>
    <w:p w14:paraId="6478BB01">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82" w:name="_Toc1299643612_WPSOffice_Level2"/>
      <w:r>
        <w:rPr>
          <w:rFonts w:hint="default" w:ascii="Times New Roman" w:hAnsi="Times New Roman" w:eastAsia="方正小标宋_GBK" w:cs="Times New Roman"/>
          <w:bCs/>
          <w:color w:val="auto"/>
          <w:sz w:val="28"/>
          <w:szCs w:val="28"/>
          <w:lang w:val="en-US" w:eastAsia="zh-CN"/>
        </w:rPr>
        <w:t>六、发布公告的媒介及招标公告期限</w:t>
      </w:r>
      <w:bookmarkEnd w:id="79"/>
      <w:bookmarkEnd w:id="80"/>
      <w:bookmarkEnd w:id="81"/>
      <w:bookmarkEnd w:id="82"/>
    </w:p>
    <w:p w14:paraId="351D95A0">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本次招标公告在《河南省政府采购网》《河南省公共资源交易中心网》上发布，招标公告期限为五个工作日。</w:t>
      </w:r>
    </w:p>
    <w:p w14:paraId="7161082A">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bookmarkStart w:id="83" w:name="_Toc1765891161_WPSOffice_Level2"/>
      <w:bookmarkStart w:id="84" w:name="_Toc271688487_WPSOffice_Level2"/>
      <w:bookmarkStart w:id="85" w:name="_Toc934758795_WPSOffice_Level2"/>
      <w:bookmarkStart w:id="86" w:name="_Toc1849985481_WPSOffice_Level2"/>
      <w:r>
        <w:rPr>
          <w:rFonts w:hint="default" w:ascii="Times New Roman" w:hAnsi="Times New Roman" w:eastAsia="方正小标宋_GBK" w:cs="Times New Roman"/>
          <w:bCs/>
          <w:color w:val="auto"/>
          <w:sz w:val="28"/>
          <w:szCs w:val="28"/>
          <w:lang w:val="en-US" w:eastAsia="zh-CN"/>
        </w:rPr>
        <w:t>七、其他补充事宜</w:t>
      </w:r>
      <w:bookmarkEnd w:id="83"/>
      <w:bookmarkEnd w:id="84"/>
      <w:bookmarkEnd w:id="85"/>
      <w:bookmarkEnd w:id="86"/>
    </w:p>
    <w:p w14:paraId="2CDFC6F7">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87" w:name="_Toc1844119755_WPSOffice_Level2"/>
      <w:bookmarkStart w:id="88" w:name="_Toc104417590_WPSOffice_Level2"/>
      <w:bookmarkStart w:id="89" w:name="_Toc1643921422_WPSOffice_Level2"/>
      <w:bookmarkStart w:id="90" w:name="_Toc1528591159_WPSOffice_Level2"/>
      <w:r>
        <w:rPr>
          <w:rFonts w:hint="default" w:ascii="Times New Roman" w:hAnsi="Times New Roman" w:eastAsia="仿宋_GB2312" w:cs="Times New Roman"/>
          <w:bCs/>
          <w:color w:val="auto"/>
          <w:sz w:val="28"/>
          <w:szCs w:val="28"/>
          <w:lang w:val="en-US" w:eastAsia="zh-CN"/>
        </w:rPr>
        <w:t>本项目落实节约能源、保护环境、促进中小企业发展等政府采购政策。</w:t>
      </w:r>
    </w:p>
    <w:p w14:paraId="214048B8">
      <w:pPr>
        <w:spacing w:after="0" w:line="360" w:lineRule="auto"/>
        <w:ind w:firstLine="560" w:firstLineChars="200"/>
        <w:jc w:val="left"/>
        <w:rPr>
          <w:rFonts w:hint="default" w:ascii="Times New Roman" w:hAnsi="Times New Roman" w:eastAsia="方正小标宋_GBK" w:cs="Times New Roman"/>
          <w:bCs/>
          <w:color w:val="auto"/>
          <w:sz w:val="28"/>
          <w:szCs w:val="28"/>
          <w:lang w:val="en-US" w:eastAsia="zh-CN"/>
        </w:rPr>
      </w:pPr>
      <w:r>
        <w:rPr>
          <w:rFonts w:hint="default" w:ascii="Times New Roman" w:hAnsi="Times New Roman" w:eastAsia="方正小标宋_GBK" w:cs="Times New Roman"/>
          <w:bCs/>
          <w:color w:val="auto"/>
          <w:sz w:val="28"/>
          <w:szCs w:val="28"/>
          <w:lang w:val="en-US" w:eastAsia="zh-CN"/>
        </w:rPr>
        <w:t>八、凡对本次招标提出询问，请按照以下方式联系</w:t>
      </w:r>
      <w:bookmarkEnd w:id="87"/>
      <w:bookmarkEnd w:id="88"/>
      <w:bookmarkEnd w:id="89"/>
      <w:bookmarkEnd w:id="90"/>
    </w:p>
    <w:p w14:paraId="799196C0">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bookmarkStart w:id="91" w:name="_Toc116085146_WPSOffice_Level3"/>
      <w:bookmarkStart w:id="92" w:name="_Toc1644240802_WPSOffice_Level3"/>
      <w:r>
        <w:rPr>
          <w:rFonts w:hint="default" w:ascii="Times New Roman" w:hAnsi="Times New Roman" w:eastAsia="仿宋_GB2312" w:cs="Times New Roman"/>
          <w:bCs/>
          <w:color w:val="auto"/>
          <w:sz w:val="28"/>
          <w:szCs w:val="28"/>
          <w:lang w:val="en-US" w:eastAsia="zh-CN"/>
        </w:rPr>
        <w:t xml:space="preserve">1. 采购人信息 </w:t>
      </w:r>
    </w:p>
    <w:p w14:paraId="35877371">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名称：河南省测绘地理信息技术中心 </w:t>
      </w:r>
    </w:p>
    <w:p w14:paraId="41240FD7">
      <w:pPr>
        <w:spacing w:after="0" w:line="360" w:lineRule="auto"/>
        <w:ind w:firstLine="560" w:firstLineChars="20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地址：</w:t>
      </w:r>
      <w:r>
        <w:rPr>
          <w:rFonts w:hint="eastAsia" w:ascii="Times New Roman" w:hAnsi="Times New Roman" w:eastAsia="仿宋_GB2312" w:cs="Times New Roman"/>
          <w:bCs/>
          <w:color w:val="auto"/>
          <w:sz w:val="28"/>
          <w:szCs w:val="28"/>
          <w:lang w:val="en-US" w:eastAsia="zh-CN"/>
        </w:rPr>
        <w:t>郑州市金水区纬二路10号</w:t>
      </w:r>
    </w:p>
    <w:p w14:paraId="6207A0A9">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联系人：</w:t>
      </w:r>
      <w:r>
        <w:rPr>
          <w:rFonts w:hint="eastAsia" w:ascii="Times New Roman" w:hAnsi="Times New Roman" w:eastAsia="仿宋_GB2312" w:cs="Times New Roman"/>
          <w:bCs/>
          <w:color w:val="auto"/>
          <w:sz w:val="28"/>
          <w:szCs w:val="28"/>
          <w:highlight w:val="none"/>
          <w:lang w:val="en-US" w:eastAsia="zh-CN"/>
        </w:rPr>
        <w:t>屈万新</w:t>
      </w:r>
    </w:p>
    <w:p w14:paraId="7C3620AC">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联系方式：</w:t>
      </w:r>
      <w:r>
        <w:rPr>
          <w:rFonts w:hint="eastAsia" w:ascii="Times New Roman" w:hAnsi="Times New Roman" w:eastAsia="仿宋_GB2312" w:cs="Times New Roman"/>
          <w:bCs/>
          <w:color w:val="auto"/>
          <w:sz w:val="28"/>
          <w:szCs w:val="28"/>
          <w:highlight w:val="none"/>
          <w:lang w:val="en-US" w:eastAsia="zh-CN"/>
        </w:rPr>
        <w:t>0371-65919315</w:t>
      </w:r>
    </w:p>
    <w:p w14:paraId="6CE04962">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2.采购代理机构信息（如有）</w:t>
      </w:r>
    </w:p>
    <w:p w14:paraId="554F4045">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名称：河南省公共资源交易中心</w:t>
      </w:r>
    </w:p>
    <w:p w14:paraId="5351D101">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地址：郑州市经二路12号</w:t>
      </w:r>
    </w:p>
    <w:p w14:paraId="341222F7">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联系人：郭老师 余老师 沈老师</w:t>
      </w:r>
    </w:p>
    <w:p w14:paraId="2CD07E8A">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联系方式：0371-65915560</w:t>
      </w:r>
    </w:p>
    <w:p w14:paraId="30DD841D">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3.项目联系方式</w:t>
      </w:r>
    </w:p>
    <w:p w14:paraId="52AC122B">
      <w:pPr>
        <w:spacing w:after="0" w:line="360" w:lineRule="auto"/>
        <w:ind w:firstLine="560" w:firstLineChars="20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项目联系人：</w:t>
      </w:r>
      <w:r>
        <w:rPr>
          <w:rFonts w:hint="eastAsia" w:ascii="Times New Roman" w:hAnsi="Times New Roman" w:eastAsia="仿宋_GB2312" w:cs="Times New Roman"/>
          <w:bCs/>
          <w:color w:val="auto"/>
          <w:sz w:val="28"/>
          <w:szCs w:val="28"/>
          <w:highlight w:val="none"/>
          <w:lang w:val="en-US" w:eastAsia="zh-CN"/>
        </w:rPr>
        <w:t>屈万新</w:t>
      </w:r>
    </w:p>
    <w:p w14:paraId="28107FDC">
      <w:pPr>
        <w:spacing w:after="0" w:line="360" w:lineRule="auto"/>
        <w:ind w:firstLine="560" w:firstLineChars="200"/>
        <w:jc w:val="left"/>
        <w:rPr>
          <w:rFonts w:hint="default" w:ascii="Times New Roman" w:hAnsi="Times New Roman" w:eastAsia="仿宋_GB2312" w:cs="Times New Roman"/>
          <w:bCs/>
          <w:color w:val="auto"/>
          <w:sz w:val="28"/>
          <w:szCs w:val="28"/>
          <w:highlight w:val="green"/>
          <w:lang w:val="en-US" w:eastAsia="zh-CN"/>
        </w:rPr>
      </w:pPr>
      <w:r>
        <w:rPr>
          <w:rFonts w:hint="default" w:ascii="Times New Roman" w:hAnsi="Times New Roman" w:eastAsia="仿宋_GB2312" w:cs="Times New Roman"/>
          <w:bCs/>
          <w:color w:val="auto"/>
          <w:sz w:val="28"/>
          <w:szCs w:val="28"/>
          <w:highlight w:val="none"/>
          <w:lang w:val="en-US" w:eastAsia="zh-CN"/>
        </w:rPr>
        <w:t>联系方式：</w:t>
      </w:r>
      <w:r>
        <w:rPr>
          <w:rFonts w:hint="eastAsia" w:ascii="Times New Roman" w:hAnsi="Times New Roman" w:eastAsia="仿宋_GB2312" w:cs="Times New Roman"/>
          <w:bCs/>
          <w:color w:val="auto"/>
          <w:sz w:val="28"/>
          <w:szCs w:val="28"/>
          <w:highlight w:val="none"/>
          <w:lang w:val="en-US" w:eastAsia="zh-CN"/>
        </w:rPr>
        <w:t>0371-65919315</w:t>
      </w:r>
    </w:p>
    <w:bookmarkEnd w:id="91"/>
    <w:bookmarkEnd w:id="92"/>
    <w:p w14:paraId="1B6A2314">
      <w:pPr>
        <w:rPr>
          <w:rFonts w:hint="default" w:ascii="Times New Roman" w:hAnsi="Times New Roman" w:eastAsia="宋体" w:cs="Times New Roman"/>
          <w:bCs/>
          <w:color w:val="auto"/>
          <w:sz w:val="36"/>
          <w:szCs w:val="36"/>
          <w:lang w:eastAsia="zh-CN"/>
        </w:rPr>
      </w:pPr>
      <w:bookmarkStart w:id="93" w:name="_Toc888082094"/>
      <w:bookmarkStart w:id="94" w:name="_Toc826019295"/>
      <w:bookmarkStart w:id="95" w:name="_Toc827828127_WPSOffice_Level1"/>
      <w:r>
        <w:rPr>
          <w:rFonts w:hint="default" w:ascii="Times New Roman" w:hAnsi="Times New Roman" w:eastAsia="宋体" w:cs="Times New Roman"/>
          <w:bCs/>
          <w:color w:val="auto"/>
          <w:sz w:val="36"/>
          <w:szCs w:val="36"/>
          <w:lang w:eastAsia="zh-CN"/>
        </w:rPr>
        <w:br w:type="page"/>
      </w:r>
    </w:p>
    <w:p w14:paraId="51C056EC">
      <w:pPr>
        <w:pStyle w:val="2"/>
        <w:spacing w:before="0" w:after="0" w:line="360" w:lineRule="auto"/>
        <w:jc w:val="center"/>
        <w:rPr>
          <w:rFonts w:hint="default" w:ascii="Times New Roman" w:hAnsi="Times New Roman" w:eastAsia="宋体" w:cs="Times New Roman"/>
          <w:b w:val="0"/>
          <w:color w:val="auto"/>
          <w:sz w:val="36"/>
          <w:szCs w:val="36"/>
          <w:lang w:eastAsia="zh-CN"/>
        </w:rPr>
      </w:pPr>
      <w:r>
        <w:rPr>
          <w:rFonts w:hint="default" w:ascii="Times New Roman" w:hAnsi="Times New Roman" w:eastAsia="宋体" w:cs="Times New Roman"/>
          <w:b w:val="0"/>
          <w:color w:val="auto"/>
          <w:sz w:val="36"/>
          <w:szCs w:val="36"/>
          <w:lang w:eastAsia="zh-CN"/>
        </w:rPr>
        <w:t>第二章 投标人须知前附表</w:t>
      </w:r>
      <w:bookmarkEnd w:id="27"/>
      <w:bookmarkEnd w:id="28"/>
      <w:bookmarkEnd w:id="29"/>
      <w:bookmarkEnd w:id="30"/>
      <w:bookmarkEnd w:id="31"/>
      <w:bookmarkEnd w:id="32"/>
      <w:bookmarkEnd w:id="33"/>
      <w:bookmarkEnd w:id="34"/>
      <w:bookmarkEnd w:id="35"/>
      <w:bookmarkEnd w:id="36"/>
      <w:bookmarkEnd w:id="37"/>
      <w:bookmarkEnd w:id="38"/>
      <w:bookmarkEnd w:id="93"/>
      <w:bookmarkEnd w:id="94"/>
      <w:bookmarkEnd w:id="95"/>
    </w:p>
    <w:p w14:paraId="21FAD1E5">
      <w:pPr>
        <w:spacing w:line="5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本表是对投标人须知的具体补充和修改，如有矛盾，应以本表为准。</w:t>
      </w:r>
    </w:p>
    <w:tbl>
      <w:tblPr>
        <w:tblStyle w:val="59"/>
        <w:tblW w:w="8703"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52"/>
        <w:gridCol w:w="7751"/>
      </w:tblGrid>
      <w:tr w14:paraId="76322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60" w:hRule="atLeast"/>
          <w:tblHeader/>
        </w:trPr>
        <w:tc>
          <w:tcPr>
            <w:tcW w:w="952" w:type="dxa"/>
            <w:vAlign w:val="center"/>
          </w:tcPr>
          <w:p w14:paraId="3005890D">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条款号</w:t>
            </w:r>
          </w:p>
        </w:tc>
        <w:tc>
          <w:tcPr>
            <w:tcW w:w="7751" w:type="dxa"/>
            <w:vAlign w:val="center"/>
          </w:tcPr>
          <w:p w14:paraId="0ED24FFA">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内      容</w:t>
            </w:r>
          </w:p>
        </w:tc>
      </w:tr>
      <w:tr w14:paraId="79448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3" w:hRule="atLeast"/>
        </w:trPr>
        <w:tc>
          <w:tcPr>
            <w:tcW w:w="952" w:type="dxa"/>
            <w:vAlign w:val="center"/>
          </w:tcPr>
          <w:p w14:paraId="5BD287E4">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1.2</w:t>
            </w:r>
          </w:p>
        </w:tc>
        <w:tc>
          <w:tcPr>
            <w:tcW w:w="7751" w:type="dxa"/>
            <w:vAlign w:val="center"/>
          </w:tcPr>
          <w:p w14:paraId="6B29DB34">
            <w:pPr>
              <w:spacing w:after="0" w:line="50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lang w:eastAsia="zh-CN"/>
              </w:rPr>
              <w:t>采购项目：</w:t>
            </w:r>
            <w:r>
              <w:rPr>
                <w:rFonts w:hint="eastAsia" w:ascii="Times New Roman" w:hAnsi="Times New Roman" w:eastAsia="仿宋_GB2312" w:cs="Times New Roman"/>
                <w:bCs/>
                <w:sz w:val="28"/>
                <w:szCs w:val="28"/>
                <w:lang w:eastAsia="zh-CN"/>
              </w:rPr>
              <w:t>河南省测绘地理信息技术中心实景三维河南建设省级项目2025年软硬件采购项目</w:t>
            </w:r>
            <w:r>
              <w:rPr>
                <w:rFonts w:hint="default" w:ascii="Times New Roman" w:hAnsi="Times New Roman" w:eastAsia="仿宋_GB2312" w:cs="Times New Roman"/>
                <w:bCs/>
                <w:color w:val="auto"/>
                <w:sz w:val="28"/>
                <w:szCs w:val="28"/>
                <w:lang w:val="en" w:eastAsia="zh-CN"/>
              </w:rPr>
              <w:t xml:space="preserve"> </w:t>
            </w:r>
          </w:p>
        </w:tc>
      </w:tr>
      <w:tr w14:paraId="7D83F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76" w:hRule="atLeast"/>
        </w:trPr>
        <w:tc>
          <w:tcPr>
            <w:tcW w:w="952" w:type="dxa"/>
            <w:vAlign w:val="center"/>
          </w:tcPr>
          <w:p w14:paraId="03B70172">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1.3</w:t>
            </w:r>
          </w:p>
        </w:tc>
        <w:tc>
          <w:tcPr>
            <w:tcW w:w="7751" w:type="dxa"/>
            <w:vAlign w:val="center"/>
          </w:tcPr>
          <w:p w14:paraId="28274D74">
            <w:pPr>
              <w:spacing w:after="0" w:line="500" w:lineRule="exact"/>
              <w:jc w:val="left"/>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eastAsia="zh-CN"/>
              </w:rPr>
              <w:t>采购编号：豫财招标采购-2026-891</w:t>
            </w:r>
          </w:p>
        </w:tc>
      </w:tr>
      <w:tr w14:paraId="68E76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7A35B32E">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1.4</w:t>
            </w:r>
          </w:p>
        </w:tc>
        <w:tc>
          <w:tcPr>
            <w:tcW w:w="7751" w:type="dxa"/>
            <w:vAlign w:val="center"/>
          </w:tcPr>
          <w:p w14:paraId="232D7B0B">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采购项目简要说明：见“第一章 投标邀请”</w:t>
            </w:r>
          </w:p>
        </w:tc>
      </w:tr>
      <w:tr w14:paraId="528BD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6FAF576B">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2.2</w:t>
            </w:r>
          </w:p>
        </w:tc>
        <w:tc>
          <w:tcPr>
            <w:tcW w:w="7751" w:type="dxa"/>
            <w:vAlign w:val="center"/>
          </w:tcPr>
          <w:p w14:paraId="47AD63AC">
            <w:pPr>
              <w:spacing w:after="0" w:line="50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采购人：</w:t>
            </w:r>
            <w:r>
              <w:rPr>
                <w:rFonts w:hint="default" w:ascii="Times New Roman" w:hAnsi="Times New Roman" w:eastAsia="仿宋_GB2312" w:cs="Times New Roman"/>
                <w:bCs/>
                <w:color w:val="auto"/>
                <w:sz w:val="28"/>
                <w:szCs w:val="28"/>
                <w:lang w:val="en-US" w:eastAsia="zh-CN"/>
              </w:rPr>
              <w:t>河南省测绘地理信息技术中心</w:t>
            </w:r>
          </w:p>
          <w:p w14:paraId="0713DDD6">
            <w:pPr>
              <w:spacing w:after="0" w:line="50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lang w:eastAsia="zh-CN"/>
              </w:rPr>
              <w:t>地址：</w:t>
            </w:r>
            <w:r>
              <w:rPr>
                <w:rFonts w:hint="eastAsia" w:ascii="Times New Roman" w:hAnsi="Times New Roman" w:eastAsia="仿宋_GB2312" w:cs="Times New Roman"/>
                <w:bCs/>
                <w:color w:val="auto"/>
                <w:sz w:val="28"/>
                <w:szCs w:val="28"/>
                <w:lang w:val="en-US" w:eastAsia="zh-CN"/>
              </w:rPr>
              <w:t>郑州市金水区纬二路10号</w:t>
            </w:r>
          </w:p>
          <w:p w14:paraId="31E2F4F1">
            <w:pPr>
              <w:spacing w:after="0" w:line="500" w:lineRule="exact"/>
              <w:jc w:val="left"/>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eastAsia="zh-CN"/>
              </w:rPr>
              <w:t>联系人：</w:t>
            </w:r>
            <w:r>
              <w:rPr>
                <w:rFonts w:hint="eastAsia" w:ascii="Times New Roman" w:hAnsi="Times New Roman" w:eastAsia="仿宋_GB2312" w:cs="Times New Roman"/>
                <w:bCs/>
                <w:sz w:val="28"/>
                <w:szCs w:val="28"/>
                <w:lang w:val="en-US" w:eastAsia="zh-CN"/>
              </w:rPr>
              <w:t>屈万新</w:t>
            </w:r>
          </w:p>
          <w:p w14:paraId="27531A1C">
            <w:pPr>
              <w:spacing w:after="0" w:line="500" w:lineRule="exact"/>
              <w:jc w:val="left"/>
              <w:rPr>
                <w:rFonts w:hint="eastAsia"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rPr>
              <w:t>联系方式：</w:t>
            </w:r>
            <w:r>
              <w:rPr>
                <w:rFonts w:hint="eastAsia" w:ascii="Times New Roman" w:hAnsi="Times New Roman" w:eastAsia="仿宋_GB2312" w:cs="Times New Roman"/>
                <w:bCs/>
                <w:color w:val="auto"/>
                <w:sz w:val="28"/>
                <w:szCs w:val="28"/>
                <w:highlight w:val="none"/>
                <w:lang w:val="en-US" w:eastAsia="zh-CN"/>
              </w:rPr>
              <w:t>0371-65919315</w:t>
            </w:r>
          </w:p>
          <w:p w14:paraId="542E2D3F">
            <w:pPr>
              <w:spacing w:after="0" w:line="500" w:lineRule="exact"/>
              <w:jc w:val="left"/>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rPr>
              <w:t>邮箱：</w:t>
            </w:r>
            <w:r>
              <w:rPr>
                <w:rFonts w:hint="eastAsia" w:ascii="Times New Roman" w:hAnsi="Times New Roman" w:eastAsia="仿宋_GB2312" w:cs="Times New Roman"/>
                <w:bCs/>
                <w:sz w:val="28"/>
                <w:szCs w:val="28"/>
                <w:lang w:val="en-US" w:eastAsia="zh-CN"/>
              </w:rPr>
              <w:t>289285877@qq.com</w:t>
            </w:r>
          </w:p>
        </w:tc>
      </w:tr>
      <w:tr w14:paraId="79A05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934" w:hRule="atLeast"/>
        </w:trPr>
        <w:tc>
          <w:tcPr>
            <w:tcW w:w="952" w:type="dxa"/>
            <w:vAlign w:val="center"/>
          </w:tcPr>
          <w:p w14:paraId="77AB1F33">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2.3</w:t>
            </w:r>
          </w:p>
        </w:tc>
        <w:tc>
          <w:tcPr>
            <w:tcW w:w="7751" w:type="dxa"/>
            <w:vAlign w:val="center"/>
          </w:tcPr>
          <w:p w14:paraId="60CF75D2">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集中采购机构：河南省公共资源交易中心</w:t>
            </w:r>
          </w:p>
          <w:p w14:paraId="6F5FF740">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地址：郑州市经二路12号</w:t>
            </w:r>
          </w:p>
          <w:p w14:paraId="13520D20">
            <w:pPr>
              <w:spacing w:after="0"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联系人：郭老师</w:t>
            </w: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余老师</w:t>
            </w:r>
            <w:r>
              <w:rPr>
                <w:rFonts w:hint="default" w:ascii="Times New Roman" w:hAnsi="Times New Roman" w:eastAsia="仿宋_GB2312" w:cs="Times New Roman"/>
                <w:bCs/>
                <w:color w:val="auto"/>
                <w:sz w:val="28"/>
                <w:szCs w:val="28"/>
                <w:lang w:val="en-US" w:eastAsia="zh-CN"/>
              </w:rPr>
              <w:t xml:space="preserve"> 沈老师</w:t>
            </w:r>
          </w:p>
          <w:p w14:paraId="7B39584E">
            <w:pPr>
              <w:spacing w:after="0" w:line="360" w:lineRule="auto"/>
              <w:rPr>
                <w:rFonts w:hint="default" w:ascii="Times New Roman" w:hAnsi="Times New Roman" w:eastAsia="仿宋_GB2312" w:cs="Times New Roman"/>
                <w:bCs/>
                <w:color w:val="auto"/>
                <w:sz w:val="28"/>
                <w:szCs w:val="28"/>
                <w:lang w:val="en-US"/>
              </w:rPr>
            </w:pPr>
            <w:r>
              <w:rPr>
                <w:rFonts w:hint="default" w:ascii="Times New Roman" w:hAnsi="Times New Roman" w:eastAsia="仿宋_GB2312" w:cs="Times New Roman"/>
                <w:bCs/>
                <w:color w:val="auto"/>
                <w:sz w:val="28"/>
                <w:szCs w:val="28"/>
              </w:rPr>
              <w:t>联系方式</w:t>
            </w:r>
            <w:r>
              <w:rPr>
                <w:rFonts w:hint="default" w:ascii="Times New Roman" w:hAnsi="Times New Roman" w:eastAsia="仿宋_GB2312" w:cs="Times New Roman"/>
                <w:bCs/>
                <w:color w:val="auto"/>
                <w:sz w:val="28"/>
                <w:szCs w:val="28"/>
                <w:lang w:val="en-US"/>
              </w:rPr>
              <w:t>：0371-65915560</w:t>
            </w:r>
          </w:p>
          <w:p w14:paraId="43BB3B1F">
            <w:pPr>
              <w:spacing w:after="0" w:line="360" w:lineRule="auto"/>
              <w:rPr>
                <w:rFonts w:hint="default" w:ascii="Times New Roman" w:hAnsi="Times New Roman" w:eastAsia="仿宋_GB2312" w:cs="Times New Roman"/>
                <w:bCs/>
                <w:color w:val="auto"/>
                <w:sz w:val="28"/>
                <w:szCs w:val="28"/>
                <w:lang w:val="en-US"/>
              </w:rPr>
            </w:pPr>
            <w:r>
              <w:rPr>
                <w:rFonts w:hint="default" w:ascii="Times New Roman" w:hAnsi="Times New Roman" w:eastAsia="仿宋_GB2312" w:cs="Times New Roman"/>
                <w:bCs/>
                <w:color w:val="auto"/>
                <w:sz w:val="28"/>
                <w:szCs w:val="28"/>
              </w:rPr>
              <w:t>邮箱</w:t>
            </w:r>
            <w:r>
              <w:rPr>
                <w:rFonts w:hint="default" w:ascii="Times New Roman" w:hAnsi="Times New Roman" w:eastAsia="仿宋_GB2312" w:cs="Times New Roman"/>
                <w:bCs/>
                <w:color w:val="auto"/>
                <w:sz w:val="28"/>
                <w:szCs w:val="28"/>
                <w:lang w:val="en-US"/>
              </w:rPr>
              <w:t>：hnggzyzfcg@163.com</w:t>
            </w:r>
          </w:p>
        </w:tc>
      </w:tr>
      <w:tr w14:paraId="18869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72186716">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2.5.1</w:t>
            </w:r>
          </w:p>
        </w:tc>
        <w:tc>
          <w:tcPr>
            <w:tcW w:w="7751" w:type="dxa"/>
            <w:vAlign w:val="center"/>
          </w:tcPr>
          <w:p w14:paraId="01721314">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是否为专门面向中小企业采购：否</w:t>
            </w:r>
          </w:p>
        </w:tc>
      </w:tr>
      <w:tr w14:paraId="567BC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7" w:hRule="atLeast"/>
        </w:trPr>
        <w:tc>
          <w:tcPr>
            <w:tcW w:w="952" w:type="dxa"/>
            <w:vAlign w:val="center"/>
          </w:tcPr>
          <w:p w14:paraId="601FC480">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2.5.2</w:t>
            </w:r>
          </w:p>
        </w:tc>
        <w:tc>
          <w:tcPr>
            <w:tcW w:w="7751" w:type="dxa"/>
            <w:vAlign w:val="center"/>
          </w:tcPr>
          <w:p w14:paraId="1411D903">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w:t>
            </w:r>
            <w:r>
              <w:rPr>
                <w:rFonts w:hint="eastAsia" w:ascii="Times New Roman" w:hAnsi="Times New Roman" w:eastAsia="仿宋_GB2312" w:cs="Times New Roman"/>
                <w:bCs/>
                <w:color w:val="auto"/>
                <w:sz w:val="28"/>
                <w:szCs w:val="28"/>
                <w:lang w:val="en-US" w:eastAsia="zh-CN"/>
              </w:rPr>
              <w:t>接受</w:t>
            </w:r>
            <w:r>
              <w:rPr>
                <w:rFonts w:hint="default" w:ascii="Times New Roman" w:hAnsi="Times New Roman" w:eastAsia="仿宋_GB2312" w:cs="Times New Roman"/>
                <w:bCs/>
                <w:color w:val="auto"/>
                <w:sz w:val="28"/>
                <w:szCs w:val="28"/>
                <w:lang w:val="en-US" w:eastAsia="zh-CN"/>
              </w:rPr>
              <w:t>进口产品：否</w:t>
            </w:r>
          </w:p>
        </w:tc>
      </w:tr>
      <w:tr w14:paraId="746E1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2DC1E5FE">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4</w:t>
            </w:r>
          </w:p>
        </w:tc>
        <w:tc>
          <w:tcPr>
            <w:tcW w:w="7751" w:type="dxa"/>
            <w:vAlign w:val="center"/>
          </w:tcPr>
          <w:p w14:paraId="55488179">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踏勘现场：</w:t>
            </w:r>
          </w:p>
          <w:p w14:paraId="5A88FF57">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不组织，投标人可自行对项目现场和周围环境进行踏勘，踏勘现场所发生的费用由投标人自己承担。出现事故，责任由投标人自行承担。</w:t>
            </w:r>
          </w:p>
          <w:p w14:paraId="4C7E5A42">
            <w:pPr>
              <w:spacing w:line="440" w:lineRule="exact"/>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组织，踏勘时间：</w:t>
            </w:r>
            <w:r>
              <w:rPr>
                <w:rFonts w:hint="default" w:ascii="Times New Roman" w:hAnsi="Times New Roman" w:eastAsia="仿宋_GB2312" w:cs="Times New Roman"/>
                <w:bCs/>
                <w:color w:val="auto"/>
                <w:sz w:val="28"/>
                <w:szCs w:val="28"/>
                <w:u w:val="single"/>
                <w:lang w:eastAsia="zh-CN"/>
              </w:rPr>
              <w:t xml:space="preserve">  /  </w:t>
            </w:r>
          </w:p>
          <w:p w14:paraId="31FECAE3">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 xml:space="preserve">        踏勘集中地点：</w:t>
            </w:r>
            <w:r>
              <w:rPr>
                <w:rFonts w:hint="default" w:ascii="Times New Roman" w:hAnsi="Times New Roman" w:eastAsia="仿宋_GB2312" w:cs="Times New Roman"/>
                <w:bCs/>
                <w:color w:val="auto"/>
                <w:sz w:val="28"/>
                <w:szCs w:val="28"/>
                <w:u w:val="single"/>
                <w:lang w:eastAsia="zh-CN"/>
              </w:rPr>
              <w:t xml:space="preserve">  /  </w:t>
            </w:r>
          </w:p>
        </w:tc>
      </w:tr>
      <w:tr w14:paraId="59251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2" w:hRule="atLeast"/>
        </w:trPr>
        <w:tc>
          <w:tcPr>
            <w:tcW w:w="952" w:type="dxa"/>
            <w:vAlign w:val="center"/>
          </w:tcPr>
          <w:p w14:paraId="12CB21BC">
            <w:pPr>
              <w:spacing w:line="440" w:lineRule="exact"/>
              <w:jc w:val="center"/>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val="en" w:eastAsia="zh-CN"/>
              </w:rPr>
              <w:t>6.6</w:t>
            </w:r>
          </w:p>
        </w:tc>
        <w:tc>
          <w:tcPr>
            <w:tcW w:w="7751" w:type="dxa"/>
            <w:vAlign w:val="center"/>
          </w:tcPr>
          <w:p w14:paraId="244DE253">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是否允许联合体投标：否</w:t>
            </w:r>
          </w:p>
        </w:tc>
      </w:tr>
      <w:tr w14:paraId="3094C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19" w:hRule="atLeast"/>
        </w:trPr>
        <w:tc>
          <w:tcPr>
            <w:tcW w:w="952" w:type="dxa"/>
            <w:vAlign w:val="center"/>
          </w:tcPr>
          <w:p w14:paraId="7DEAFD9F">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16</w:t>
            </w:r>
          </w:p>
        </w:tc>
        <w:tc>
          <w:tcPr>
            <w:tcW w:w="7751" w:type="dxa"/>
            <w:vAlign w:val="center"/>
          </w:tcPr>
          <w:p w14:paraId="7DCB100E">
            <w:pPr>
              <w:widowControl w:val="0"/>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如投标人对多个分包进行投标，按照分包顺序可以中标</w:t>
            </w:r>
            <w:r>
              <w:rPr>
                <w:rFonts w:hint="default" w:ascii="Times New Roman" w:hAnsi="Times New Roman" w:eastAsia="仿宋_GB2312" w:cs="Times New Roman"/>
                <w:bCs/>
                <w:color w:val="auto"/>
                <w:sz w:val="28"/>
                <w:szCs w:val="28"/>
                <w:lang w:val="en-US" w:eastAsia="zh-CN"/>
              </w:rPr>
              <w:sym w:font="Wingdings 2" w:char="0052"/>
            </w:r>
            <w:r>
              <w:rPr>
                <w:rFonts w:hint="default" w:ascii="Times New Roman" w:hAnsi="Times New Roman" w:eastAsia="仿宋_GB2312" w:cs="Times New Roman"/>
                <w:bCs/>
                <w:color w:val="auto"/>
                <w:sz w:val="28"/>
                <w:szCs w:val="28"/>
                <w:lang w:val="en-US" w:eastAsia="zh-CN"/>
              </w:rPr>
              <w:t>一个包</w:t>
            </w:r>
          </w:p>
        </w:tc>
      </w:tr>
      <w:tr w14:paraId="211F3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1" w:hRule="atLeast"/>
        </w:trPr>
        <w:tc>
          <w:tcPr>
            <w:tcW w:w="952" w:type="dxa"/>
            <w:vAlign w:val="center"/>
          </w:tcPr>
          <w:p w14:paraId="4CBE69CE">
            <w:pPr>
              <w:spacing w:line="440" w:lineRule="exact"/>
              <w:jc w:val="center"/>
              <w:rPr>
                <w:rFonts w:hint="default" w:ascii="Times New Roman" w:hAnsi="Times New Roman" w:eastAsia="仿宋_GB2312" w:cs="Times New Roman"/>
                <w:bCs/>
                <w:strike/>
                <w:color w:val="auto"/>
                <w:sz w:val="28"/>
                <w:szCs w:val="28"/>
                <w:highlight w:val="cyan"/>
              </w:rPr>
            </w:pPr>
            <w:r>
              <w:rPr>
                <w:rFonts w:hint="default" w:ascii="Times New Roman" w:hAnsi="Times New Roman" w:eastAsia="仿宋_GB2312" w:cs="Times New Roman"/>
                <w:bCs/>
                <w:color w:val="auto"/>
                <w:sz w:val="28"/>
                <w:szCs w:val="28"/>
                <w:lang w:val="en-US" w:eastAsia="zh-CN"/>
              </w:rPr>
              <w:t>17.2</w:t>
            </w:r>
          </w:p>
        </w:tc>
        <w:tc>
          <w:tcPr>
            <w:tcW w:w="7751" w:type="dxa"/>
            <w:vAlign w:val="center"/>
          </w:tcPr>
          <w:p w14:paraId="2D5725EB">
            <w:pPr>
              <w:spacing w:line="440" w:lineRule="exact"/>
              <w:rPr>
                <w:rFonts w:hint="default" w:ascii="Times New Roman" w:hAnsi="Times New Roman" w:eastAsia="仿宋_GB2312" w:cs="Times New Roman"/>
                <w:bCs/>
                <w:strike/>
                <w:color w:val="auto"/>
                <w:sz w:val="28"/>
                <w:szCs w:val="28"/>
                <w:highlight w:val="cyan"/>
                <w:lang w:eastAsia="zh-CN"/>
              </w:rPr>
            </w:pPr>
            <w:r>
              <w:rPr>
                <w:rFonts w:hint="default" w:ascii="Times New Roman" w:hAnsi="Times New Roman" w:eastAsia="仿宋_GB2312" w:cs="Times New Roman"/>
                <w:bCs/>
                <w:color w:val="auto"/>
                <w:sz w:val="28"/>
                <w:szCs w:val="28"/>
                <w:lang w:eastAsia="zh-CN"/>
              </w:rPr>
              <w:t>资格审查内容：须上传到“资格审查材料”中。</w:t>
            </w:r>
          </w:p>
        </w:tc>
      </w:tr>
      <w:tr w14:paraId="1FD13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7BFEAF54">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18.3</w:t>
            </w:r>
          </w:p>
        </w:tc>
        <w:tc>
          <w:tcPr>
            <w:tcW w:w="7751" w:type="dxa"/>
            <w:vAlign w:val="center"/>
          </w:tcPr>
          <w:p w14:paraId="24ECFBF1">
            <w:pPr>
              <w:pStyle w:val="77"/>
              <w:spacing w:line="440" w:lineRule="exact"/>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（1）投标报价：货物和附属装置、备品备件和专用工具、卖方技术服务（安装、调试、运行）报价、采购人派员参加技术联络和工厂监造、检验、技术培训费用、运保费、各类税费及验收检测费等一切费用。</w:t>
            </w:r>
          </w:p>
          <w:p w14:paraId="3713C3EB">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）投标报价超过</w:t>
            </w:r>
            <w:r>
              <w:rPr>
                <w:rFonts w:hint="default" w:ascii="Times New Roman" w:hAnsi="Times New Roman" w:eastAsia="仿宋_GB2312" w:cs="Times New Roman"/>
                <w:bCs/>
                <w:color w:val="auto"/>
                <w:kern w:val="0"/>
                <w:sz w:val="28"/>
                <w:szCs w:val="28"/>
                <w:lang w:eastAsia="zh-CN"/>
              </w:rPr>
              <w:t>最高限价</w:t>
            </w:r>
            <w:r>
              <w:rPr>
                <w:rFonts w:hint="default" w:ascii="Times New Roman" w:hAnsi="Times New Roman" w:eastAsia="仿宋_GB2312" w:cs="Times New Roman"/>
                <w:bCs/>
                <w:color w:val="auto"/>
                <w:sz w:val="28"/>
                <w:szCs w:val="28"/>
                <w:lang w:eastAsia="zh-CN"/>
              </w:rPr>
              <w:t>的按无效投标处理。</w:t>
            </w:r>
          </w:p>
        </w:tc>
      </w:tr>
      <w:tr w14:paraId="06888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5" w:hRule="atLeast"/>
        </w:trPr>
        <w:tc>
          <w:tcPr>
            <w:tcW w:w="952" w:type="dxa"/>
            <w:vAlign w:val="center"/>
          </w:tcPr>
          <w:p w14:paraId="34CAC3F3">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snapToGrid w:val="0"/>
                <w:color w:val="auto"/>
                <w:sz w:val="28"/>
                <w:szCs w:val="28"/>
              </w:rPr>
              <w:t>19</w:t>
            </w:r>
          </w:p>
        </w:tc>
        <w:tc>
          <w:tcPr>
            <w:tcW w:w="7751" w:type="dxa"/>
            <w:vAlign w:val="center"/>
          </w:tcPr>
          <w:p w14:paraId="135915F1">
            <w:pPr>
              <w:spacing w:line="440" w:lineRule="exact"/>
              <w:rPr>
                <w:rFonts w:hint="default" w:ascii="Times New Roman" w:hAnsi="Times New Roman" w:eastAsia="仿宋_GB2312" w:cs="Times New Roman"/>
                <w:bCs/>
                <w:color w:val="auto"/>
                <w:sz w:val="28"/>
                <w:szCs w:val="28"/>
                <w:u w:val="single"/>
              </w:rPr>
            </w:pPr>
            <w:r>
              <w:rPr>
                <w:rFonts w:hint="default" w:ascii="Times New Roman" w:hAnsi="Times New Roman" w:eastAsia="仿宋_GB2312" w:cs="Times New Roman"/>
                <w:bCs/>
                <w:color w:val="auto"/>
                <w:sz w:val="28"/>
                <w:szCs w:val="28"/>
              </w:rPr>
              <w:t>投标货币：人民币。</w:t>
            </w:r>
          </w:p>
        </w:tc>
      </w:tr>
      <w:tr w14:paraId="7C3FD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89" w:hRule="atLeast"/>
        </w:trPr>
        <w:tc>
          <w:tcPr>
            <w:tcW w:w="952" w:type="dxa"/>
            <w:vAlign w:val="center"/>
          </w:tcPr>
          <w:p w14:paraId="42EBC485">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rPr>
              <w:t>.1</w:t>
            </w:r>
          </w:p>
        </w:tc>
        <w:tc>
          <w:tcPr>
            <w:tcW w:w="7751" w:type="dxa"/>
            <w:vAlign w:val="center"/>
          </w:tcPr>
          <w:p w14:paraId="5172880C">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投标有效期：从投标截止之日起60</w:t>
            </w:r>
            <w:r>
              <w:rPr>
                <w:rFonts w:hint="default" w:ascii="Times New Roman" w:hAnsi="Times New Roman" w:eastAsia="仿宋_GB2312" w:cs="Times New Roman"/>
                <w:bCs/>
                <w:color w:val="auto"/>
                <w:sz w:val="28"/>
                <w:szCs w:val="28"/>
                <w:lang w:val="en-US" w:eastAsia="zh-CN"/>
              </w:rPr>
              <w:t>天</w:t>
            </w:r>
          </w:p>
        </w:tc>
      </w:tr>
      <w:tr w14:paraId="30E7D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12403B0F">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rPr>
              <w:t>.1</w:t>
            </w:r>
          </w:p>
        </w:tc>
        <w:tc>
          <w:tcPr>
            <w:tcW w:w="7751" w:type="dxa"/>
            <w:vAlign w:val="center"/>
          </w:tcPr>
          <w:p w14:paraId="036CF169">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加密电子投标文件的上传：加密电子投标文件须在投标截止时间前通过“河南省公共资源交易中心</w:t>
            </w:r>
            <w:r>
              <w:rPr>
                <w:rFonts w:hint="default" w:ascii="Times New Roman" w:hAnsi="Times New Roman" w:eastAsia="仿宋_GB2312" w:cs="Times New Roman"/>
                <w:bCs/>
                <w:color w:val="auto"/>
                <w:sz w:val="28"/>
                <w:szCs w:val="28"/>
                <w:lang w:val="en-US" w:eastAsia="zh-CN"/>
              </w:rPr>
              <w:t>网站</w:t>
            </w:r>
            <w:r>
              <w:rPr>
                <w:rFonts w:hint="default" w:ascii="Times New Roman" w:hAnsi="Times New Roman" w:eastAsia="仿宋_GB2312" w:cs="Times New Roman"/>
                <w:bCs/>
                <w:color w:val="auto"/>
                <w:sz w:val="28"/>
                <w:szCs w:val="28"/>
                <w:lang w:eastAsia="zh-CN"/>
              </w:rPr>
              <w:t>（hnsggzyjy.henan.gov.cn）”电子交易平台加密上传。</w:t>
            </w:r>
          </w:p>
        </w:tc>
      </w:tr>
      <w:tr w14:paraId="75A1E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76AB31E">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rPr>
              <w:t>.1</w:t>
            </w:r>
          </w:p>
        </w:tc>
        <w:tc>
          <w:tcPr>
            <w:tcW w:w="7751" w:type="dxa"/>
            <w:vAlign w:val="center"/>
          </w:tcPr>
          <w:p w14:paraId="481591BD">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开标及解密方式：“远程不见面”开标方式，投标人无需到河南省公共资源交易中心现场参加开标会议。在投标截止时间前，投标人登录不见面开标大厅，在线准时参加开标活动并进行文件解密。未在规定时间内解密投标文件的投标人，其投标文件不予接受并退回。</w:t>
            </w:r>
          </w:p>
        </w:tc>
      </w:tr>
      <w:tr w14:paraId="647D5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90" w:hRule="atLeast"/>
        </w:trPr>
        <w:tc>
          <w:tcPr>
            <w:tcW w:w="952" w:type="dxa"/>
            <w:vAlign w:val="center"/>
          </w:tcPr>
          <w:p w14:paraId="74A66324">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rPr>
              <w:t>.2</w:t>
            </w:r>
          </w:p>
        </w:tc>
        <w:tc>
          <w:tcPr>
            <w:tcW w:w="7751" w:type="dxa"/>
            <w:vAlign w:val="center"/>
          </w:tcPr>
          <w:p w14:paraId="09B0CA09">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远程开标大厅网址：河南省公共资源交易中心</w:t>
            </w:r>
            <w:r>
              <w:rPr>
                <w:rFonts w:hint="default" w:ascii="Times New Roman" w:hAnsi="Times New Roman" w:eastAsia="仿宋_GB2312" w:cs="Times New Roman"/>
                <w:bCs/>
                <w:color w:val="auto"/>
                <w:sz w:val="28"/>
                <w:szCs w:val="28"/>
                <w:lang w:val="en-US" w:eastAsia="zh-CN"/>
              </w:rPr>
              <w:t>网站</w:t>
            </w:r>
            <w:r>
              <w:rPr>
                <w:rFonts w:hint="default" w:ascii="Times New Roman" w:hAnsi="Times New Roman" w:eastAsia="仿宋_GB2312" w:cs="Times New Roman"/>
                <w:bCs/>
                <w:color w:val="auto"/>
                <w:sz w:val="28"/>
                <w:szCs w:val="28"/>
                <w:lang w:eastAsia="zh-CN"/>
              </w:rPr>
              <w:t>（hnsggzyjy.henan.gov.cn）——不见面开标大厅。</w:t>
            </w:r>
          </w:p>
        </w:tc>
      </w:tr>
      <w:tr w14:paraId="10AF2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vAlign w:val="center"/>
          </w:tcPr>
          <w:p w14:paraId="09FBDFD1">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31</w:t>
            </w:r>
            <w:r>
              <w:rPr>
                <w:rFonts w:hint="default" w:ascii="Times New Roman" w:hAnsi="Times New Roman" w:eastAsia="仿宋_GB2312" w:cs="Times New Roman"/>
                <w:bCs/>
                <w:color w:val="auto"/>
                <w:sz w:val="28"/>
                <w:szCs w:val="28"/>
              </w:rPr>
              <w:t>.3</w:t>
            </w:r>
          </w:p>
        </w:tc>
        <w:tc>
          <w:tcPr>
            <w:tcW w:w="7751" w:type="dxa"/>
            <w:vAlign w:val="center"/>
          </w:tcPr>
          <w:p w14:paraId="518F24DD">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采购人依据以下标准对投标人的资格进行审查，有一项不符合审查标准的，该投标人资格为不合格。</w:t>
            </w:r>
          </w:p>
          <w:p w14:paraId="7C73FDB1">
            <w:pPr>
              <w:tabs>
                <w:tab w:val="left" w:pos="5580"/>
              </w:tabs>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（1）法人或者其他组织的营业执照等证明文件或自然人的身份证明符合招标文件规定；</w:t>
            </w:r>
          </w:p>
          <w:p w14:paraId="7FD9B589">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color w:val="auto"/>
                <w:sz w:val="28"/>
                <w:szCs w:val="28"/>
                <w:lang w:eastAsia="zh-CN"/>
              </w:rPr>
              <w:t>具有良好的商业信誉和健全的财务会计制度（提供投标人</w:t>
            </w:r>
            <w:r>
              <w:rPr>
                <w:rFonts w:hint="eastAsia" w:ascii="Times New Roman" w:hAnsi="Times New Roman" w:eastAsia="仿宋_GB2312" w:cs="Times New Roman"/>
                <w:color w:val="auto"/>
                <w:sz w:val="28"/>
                <w:szCs w:val="28"/>
                <w:lang w:val="en-US" w:eastAsia="zh-CN"/>
              </w:rPr>
              <w:t>2025</w:t>
            </w:r>
            <w:r>
              <w:rPr>
                <w:rFonts w:hint="default" w:ascii="Times New Roman" w:hAnsi="Times New Roman" w:eastAsia="仿宋_GB2312" w:cs="Times New Roman"/>
                <w:color w:val="auto"/>
                <w:sz w:val="28"/>
                <w:szCs w:val="28"/>
                <w:lang w:eastAsia="zh-CN"/>
              </w:rPr>
              <w:t>年</w:t>
            </w:r>
            <w:r>
              <w:rPr>
                <w:rFonts w:hint="eastAsia" w:ascii="Times New Roman" w:hAnsi="Times New Roman" w:eastAsia="仿宋_GB2312" w:cs="Times New Roman"/>
                <w:color w:val="auto"/>
                <w:sz w:val="28"/>
                <w:szCs w:val="28"/>
                <w:lang w:val="en-US" w:eastAsia="zh-CN"/>
              </w:rPr>
              <w:t>度</w:t>
            </w:r>
            <w:r>
              <w:rPr>
                <w:rFonts w:hint="default" w:ascii="Times New Roman" w:hAnsi="Times New Roman" w:eastAsia="仿宋_GB2312" w:cs="Times New Roman"/>
                <w:color w:val="auto"/>
                <w:sz w:val="28"/>
                <w:szCs w:val="28"/>
                <w:lang w:eastAsia="zh-CN"/>
              </w:rPr>
              <w:t>经审计的财务报告，要求注册会计师签名盖章并经会计师事务所盖章，如截止到开标时间投标人成立时间不足</w:t>
            </w:r>
            <w:r>
              <w:rPr>
                <w:rFonts w:hint="eastAsia" w:ascii="Times New Roman" w:hAnsi="Times New Roman" w:eastAsia="仿宋_GB2312" w:cs="Times New Roman"/>
                <w:color w:val="auto"/>
                <w:sz w:val="28"/>
                <w:szCs w:val="28"/>
                <w:lang w:val="en-US" w:eastAsia="zh-CN"/>
              </w:rPr>
              <w:t>1年</w:t>
            </w:r>
            <w:r>
              <w:rPr>
                <w:rFonts w:hint="default" w:ascii="Times New Roman" w:hAnsi="Times New Roman" w:eastAsia="仿宋_GB2312" w:cs="Times New Roman"/>
                <w:color w:val="auto"/>
                <w:sz w:val="28"/>
                <w:szCs w:val="28"/>
                <w:lang w:eastAsia="zh-CN"/>
              </w:rPr>
              <w:t>的，须提供其开户银行出具的资信证明等）</w:t>
            </w:r>
            <w:r>
              <w:rPr>
                <w:rFonts w:hint="default" w:ascii="Times New Roman" w:hAnsi="Times New Roman" w:eastAsia="仿宋_GB2312" w:cs="Times New Roman"/>
                <w:bCs/>
                <w:color w:val="auto"/>
                <w:sz w:val="28"/>
                <w:szCs w:val="28"/>
                <w:lang w:eastAsia="zh-CN"/>
              </w:rPr>
              <w:t>；</w:t>
            </w:r>
          </w:p>
          <w:p w14:paraId="3AE39F7A">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color w:val="auto"/>
                <w:sz w:val="28"/>
                <w:szCs w:val="28"/>
                <w:lang w:eastAsia="zh-CN"/>
              </w:rPr>
              <w:t>依法缴纳税收和依法缴纳社会保障资金的证明材料符合招标文件规定（提供投标人自</w:t>
            </w:r>
            <w:r>
              <w:rPr>
                <w:rFonts w:ascii="Times New Roman" w:hAnsi="Times New Roman" w:eastAsia="仿宋_GB2312" w:cs="Times New Roman"/>
                <w:color w:val="auto"/>
                <w:sz w:val="28"/>
                <w:szCs w:val="28"/>
                <w:lang w:eastAsia="zh-CN"/>
              </w:rPr>
              <w:t>202</w:t>
            </w:r>
            <w:r>
              <w:rPr>
                <w:rFonts w:hint="eastAsia" w:ascii="Times New Roman" w:hAnsi="Times New Roman" w:eastAsia="仿宋_GB2312" w:cs="Times New Roman"/>
                <w:color w:val="auto"/>
                <w:sz w:val="28"/>
                <w:szCs w:val="28"/>
                <w:lang w:val="en-US" w:eastAsia="zh-CN"/>
              </w:rPr>
              <w:t>6</w:t>
            </w:r>
            <w:r>
              <w:rPr>
                <w:rFonts w:ascii="Times New Roman" w:hAnsi="Times New Roman" w:eastAsia="仿宋_GB2312" w:cs="Times New Roman"/>
                <w:color w:val="auto"/>
                <w:sz w:val="28"/>
                <w:szCs w:val="28"/>
                <w:lang w:eastAsia="zh-CN"/>
              </w:rPr>
              <w:t>年1月1日</w:t>
            </w:r>
            <w:r>
              <w:rPr>
                <w:rFonts w:hint="default" w:ascii="Times New Roman" w:hAnsi="Times New Roman" w:eastAsia="仿宋_GB2312" w:cs="Times New Roman"/>
                <w:color w:val="auto"/>
                <w:sz w:val="28"/>
                <w:szCs w:val="28"/>
                <w:lang w:eastAsia="zh-CN"/>
              </w:rPr>
              <w:t>以来至少一个月的纳税证明和社保缴纳证明，依法免税或不需要缴纳社会保障资金的，应提供相应文件证明其依法免税或不需要缴纳）</w:t>
            </w:r>
            <w:r>
              <w:rPr>
                <w:rFonts w:hint="default" w:ascii="Times New Roman" w:hAnsi="Times New Roman" w:eastAsia="仿宋_GB2312" w:cs="Times New Roman"/>
                <w:bCs/>
                <w:color w:val="auto"/>
                <w:sz w:val="28"/>
                <w:szCs w:val="28"/>
                <w:lang w:eastAsia="zh-CN"/>
              </w:rPr>
              <w:t>；</w:t>
            </w:r>
          </w:p>
          <w:p w14:paraId="74D99A91">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（4）具备履行合同所必需的设备和专业技术能力</w:t>
            </w:r>
            <w:r>
              <w:rPr>
                <w:rFonts w:hint="default" w:ascii="Times New Roman" w:hAnsi="Times New Roman" w:eastAsia="仿宋_GB2312" w:cs="Times New Roman"/>
                <w:strike w:val="0"/>
                <w:color w:val="auto"/>
                <w:sz w:val="28"/>
                <w:szCs w:val="28"/>
                <w:highlight w:val="none"/>
                <w:lang w:val="en-US" w:eastAsia="zh-CN"/>
              </w:rPr>
              <w:t>（提供承诺函）</w:t>
            </w:r>
            <w:r>
              <w:rPr>
                <w:rFonts w:hint="default" w:ascii="Times New Roman" w:hAnsi="Times New Roman" w:eastAsia="仿宋_GB2312" w:cs="Times New Roman"/>
                <w:bCs/>
                <w:color w:val="auto"/>
                <w:sz w:val="28"/>
                <w:szCs w:val="28"/>
                <w:lang w:eastAsia="zh-CN"/>
              </w:rPr>
              <w:t>；</w:t>
            </w:r>
          </w:p>
          <w:p w14:paraId="47E8AD1C">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（5）参加政府采购活动前3年内在经营活动中没有重大违法记录声明符合招标文件规定；</w:t>
            </w:r>
          </w:p>
          <w:p w14:paraId="4B4E1525">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（6）信用查询记录符合招标文件规定（采购人查询，投标人无需提供证明材料）；</w:t>
            </w:r>
          </w:p>
          <w:p w14:paraId="450817D6">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（7）单位负责人为同一人或者存在直接控股、管理关系的不同投标人，不得参加同一合同项下的政府采购活动（</w:t>
            </w:r>
            <w:r>
              <w:rPr>
                <w:rFonts w:hint="default" w:ascii="Times New Roman" w:hAnsi="Times New Roman" w:eastAsia="仿宋_GB2312" w:cs="Times New Roman"/>
                <w:strike w:val="0"/>
                <w:color w:val="auto"/>
                <w:sz w:val="28"/>
                <w:szCs w:val="28"/>
                <w:highlight w:val="none"/>
                <w:lang w:val="en-US" w:eastAsia="zh-CN"/>
              </w:rPr>
              <w:t>投标人</w:t>
            </w:r>
            <w:r>
              <w:rPr>
                <w:rFonts w:hint="eastAsia" w:ascii="Times New Roman" w:hAnsi="Times New Roman" w:eastAsia="仿宋_GB2312" w:cs="Times New Roman"/>
                <w:strike w:val="0"/>
                <w:color w:val="auto"/>
                <w:sz w:val="28"/>
                <w:szCs w:val="28"/>
                <w:highlight w:val="none"/>
                <w:lang w:val="en-US" w:eastAsia="zh-CN"/>
              </w:rPr>
              <w:t>提供</w:t>
            </w:r>
            <w:r>
              <w:rPr>
                <w:rFonts w:hint="default" w:ascii="Times New Roman" w:hAnsi="Times New Roman" w:eastAsia="仿宋_GB2312" w:cs="Times New Roman"/>
                <w:strike w:val="0"/>
                <w:color w:val="auto"/>
                <w:sz w:val="28"/>
                <w:szCs w:val="28"/>
                <w:highlight w:val="none"/>
                <w:lang w:val="en-US" w:eastAsia="zh-CN"/>
              </w:rPr>
              <w:t>关联关系名单</w:t>
            </w:r>
            <w:r>
              <w:rPr>
                <w:rFonts w:hint="eastAsia" w:ascii="Times New Roman" w:hAnsi="Times New Roman" w:eastAsia="仿宋_GB2312" w:cs="Times New Roman"/>
                <w:strike w:val="0"/>
                <w:color w:val="auto"/>
                <w:sz w:val="28"/>
                <w:szCs w:val="28"/>
                <w:highlight w:val="none"/>
                <w:lang w:val="en-US" w:eastAsia="zh-CN"/>
              </w:rPr>
              <w:t>，</w:t>
            </w:r>
            <w:r>
              <w:rPr>
                <w:rFonts w:hint="default" w:ascii="Times New Roman" w:hAnsi="Times New Roman" w:eastAsia="仿宋_GB2312" w:cs="Times New Roman"/>
                <w:bCs/>
                <w:color w:val="auto"/>
                <w:sz w:val="28"/>
                <w:szCs w:val="28"/>
                <w:lang w:eastAsia="zh-CN"/>
              </w:rPr>
              <w:t>不满足本项的各投标人资格均不合格）；</w:t>
            </w:r>
          </w:p>
          <w:p w14:paraId="64BF2C27">
            <w:pPr>
              <w:spacing w:after="0"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（8）非联合体投标（投标人无需提供证明材料）。</w:t>
            </w:r>
          </w:p>
        </w:tc>
      </w:tr>
      <w:tr w14:paraId="12D68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5C45D034">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rPr>
              <w:t>.4</w:t>
            </w:r>
          </w:p>
        </w:tc>
        <w:tc>
          <w:tcPr>
            <w:tcW w:w="7751" w:type="dxa"/>
            <w:vAlign w:val="center"/>
          </w:tcPr>
          <w:p w14:paraId="0FE3EC22">
            <w:pPr>
              <w:spacing w:line="440" w:lineRule="exact"/>
              <w:rPr>
                <w:rFonts w:hint="default" w:ascii="Times New Roman" w:hAnsi="Times New Roman" w:eastAsia="仿宋_GB2312" w:cs="Times New Roman"/>
                <w:b/>
                <w:bCs w:val="0"/>
                <w:color w:val="auto"/>
                <w:sz w:val="28"/>
                <w:szCs w:val="28"/>
                <w:lang w:val="en-US" w:eastAsia="zh-CN"/>
              </w:rPr>
            </w:pPr>
            <w:r>
              <w:rPr>
                <w:rFonts w:hint="default" w:ascii="Times New Roman" w:hAnsi="Times New Roman" w:eastAsia="仿宋_GB2312" w:cs="Times New Roman"/>
                <w:b/>
                <w:bCs w:val="0"/>
                <w:color w:val="auto"/>
                <w:sz w:val="28"/>
                <w:szCs w:val="28"/>
                <w:lang w:val="en-US" w:eastAsia="zh-CN"/>
              </w:rPr>
              <w:t>信用记录:</w:t>
            </w:r>
          </w:p>
          <w:p w14:paraId="0B03DA66">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根据《关于在政府采购活动中查询及使用信用记录有关问题的通知》(财库〔2016〕125号)文的要求，采购人将在投标截止时间后当天在“信用中国”网站查询投标人“失信被执行人”和“重大税收违法案件当事人名单（重大税收违法失信主体名单）”，在“中国政府采购网”站查询投标人“政府采购严重违法失信行为记录名单”；投标人被列入失信被执行人、重大税收违法案件当事人名单（重大税收违法失信主体名单）、政府采购严重违法失信行为记录名单的，其投标文件作为无效处理。</w:t>
            </w:r>
          </w:p>
          <w:p w14:paraId="6CC1BFC5">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
                <w:bCs w:val="0"/>
                <w:color w:val="auto"/>
                <w:sz w:val="28"/>
                <w:szCs w:val="28"/>
                <w:lang w:val="en-US" w:eastAsia="zh-CN"/>
              </w:rPr>
              <w:t>查询及记录方式：</w:t>
            </w:r>
            <w:r>
              <w:rPr>
                <w:rFonts w:hint="default" w:ascii="Times New Roman" w:hAnsi="Times New Roman" w:eastAsia="仿宋_GB2312" w:cs="Times New Roman"/>
                <w:bCs/>
                <w:color w:val="auto"/>
                <w:sz w:val="28"/>
                <w:szCs w:val="28"/>
                <w:lang w:val="en-US" w:eastAsia="zh-CN"/>
              </w:rPr>
              <w:t>采购人将查询网页打印、存档备查。投标人信用记录以采购人查询结果为准，采购人查询之后，网站信息发生的任何变更均不再作为资格审查或评审依据，投标人自行提供的与网站信息不一致的其他证明材料亦不作为资格审查或评审依据。</w:t>
            </w:r>
          </w:p>
        </w:tc>
      </w:tr>
      <w:tr w14:paraId="0503E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77379EB9">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rPr>
              <w:t>.1</w:t>
            </w:r>
          </w:p>
        </w:tc>
        <w:tc>
          <w:tcPr>
            <w:tcW w:w="7751" w:type="dxa"/>
            <w:vAlign w:val="center"/>
          </w:tcPr>
          <w:p w14:paraId="4645EFB5">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评标委员会负责具体评标事务。评标委员会由采购人代表和评审专家组成，成员人数应当为</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人，其中评审专家不得少于成员总数的三分之二。</w:t>
            </w:r>
          </w:p>
        </w:tc>
      </w:tr>
      <w:tr w14:paraId="74587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30D6D23D">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35.4</w:t>
            </w:r>
          </w:p>
        </w:tc>
        <w:tc>
          <w:tcPr>
            <w:tcW w:w="7751" w:type="dxa"/>
            <w:vAlign w:val="center"/>
          </w:tcPr>
          <w:p w14:paraId="59C5A279">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节能环保政策</w:t>
            </w:r>
          </w:p>
          <w:p w14:paraId="3704F93B">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（1）本项目若含有节能产品政府采购品目清单内政府强制采购产品，投标人须选用国家确定的认证机构认证的处于有效期之内的政府强制采购节能产品。</w:t>
            </w:r>
          </w:p>
          <w:p w14:paraId="2B006B18">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774F3C5D">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（3）本项目若含有节能产品、环境标志产品政府采购品目清单内产品，投标人应提供国家确定的认证机构出具的处于有效期之内的节能产品、环境标志产品认证证书作为证明材料。</w:t>
            </w:r>
          </w:p>
        </w:tc>
      </w:tr>
      <w:tr w14:paraId="59374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vAlign w:val="center"/>
          </w:tcPr>
          <w:p w14:paraId="70033EDB">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35.6</w:t>
            </w:r>
          </w:p>
        </w:tc>
        <w:tc>
          <w:tcPr>
            <w:tcW w:w="7751" w:type="dxa"/>
            <w:vAlign w:val="center"/>
          </w:tcPr>
          <w:p w14:paraId="0E633E9B">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投标人承诺商品包装符合《商品包装政府采购需求标准（试行）》，快递包装符合《快递包装政府采购需求标准（试行）》的，在评标时优先采购。</w:t>
            </w:r>
          </w:p>
        </w:tc>
      </w:tr>
      <w:tr w14:paraId="2895F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1A32C71">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rPr>
              <w:t>.1</w:t>
            </w:r>
          </w:p>
        </w:tc>
        <w:tc>
          <w:tcPr>
            <w:tcW w:w="7751" w:type="dxa"/>
            <w:vAlign w:val="center"/>
          </w:tcPr>
          <w:p w14:paraId="2F6F1340">
            <w:pPr>
              <w:spacing w:after="0"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中小企业扶持：</w:t>
            </w:r>
          </w:p>
          <w:p w14:paraId="270EFB22">
            <w:pPr>
              <w:spacing w:after="0"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highlight w:val="none"/>
                <w:lang w:val="en-US" w:eastAsia="zh-CN"/>
              </w:rPr>
              <w:t>货物制造商全部为小型或微型企业的，对投标人报价给予10%的扣除，用扣除后的价格参与评审。</w:t>
            </w:r>
            <w:r>
              <w:rPr>
                <w:rFonts w:hint="default" w:ascii="Times New Roman" w:hAnsi="Times New Roman" w:eastAsia="仿宋_GB2312" w:cs="Times New Roman"/>
                <w:bCs/>
                <w:color w:val="auto"/>
                <w:sz w:val="28"/>
                <w:szCs w:val="28"/>
                <w:lang w:val="en-US" w:eastAsia="zh-CN"/>
              </w:rPr>
              <w:t>小型和微型企业的认定根据投标人提供的《中小企业声明函》（第五章 投标文件格式）进行。（投标人提供的货物既有中小企业制造货物，也有大型企业制造货物的，不享受中小企业扶持政策）。</w:t>
            </w:r>
          </w:p>
          <w:p w14:paraId="3F7AAB36">
            <w:pPr>
              <w:spacing w:line="440" w:lineRule="exact"/>
              <w:jc w:val="left"/>
              <w:rPr>
                <w:rFonts w:hint="default" w:ascii="Times New Roman" w:hAnsi="Times New Roman" w:cs="Times New Roman"/>
                <w:bCs/>
                <w:lang w:val="en-US" w:eastAsia="zh-CN"/>
              </w:rPr>
            </w:pPr>
            <w:r>
              <w:rPr>
                <w:rFonts w:hint="default" w:ascii="Times New Roman" w:hAnsi="Times New Roman" w:eastAsia="仿宋_GB2312" w:cs="Times New Roman"/>
                <w:bCs/>
                <w:color w:val="auto"/>
                <w:sz w:val="28"/>
                <w:szCs w:val="28"/>
                <w:lang w:val="en-US" w:eastAsia="zh-CN"/>
              </w:rPr>
              <w:t>本采购项目所属行业：</w:t>
            </w:r>
            <w:r>
              <w:rPr>
                <w:rFonts w:hint="default" w:ascii="Times New Roman" w:hAnsi="Times New Roman" w:eastAsia="仿宋_GB2312" w:cs="Times New Roman"/>
                <w:bCs/>
                <w:sz w:val="28"/>
                <w:szCs w:val="28"/>
                <w:lang w:val="en-US" w:eastAsia="zh-CN"/>
              </w:rPr>
              <w:t>“第六章 项目需求及技术要求”。</w:t>
            </w:r>
          </w:p>
        </w:tc>
      </w:tr>
      <w:tr w14:paraId="61DDC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43A4E973">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36.2</w:t>
            </w:r>
          </w:p>
        </w:tc>
        <w:tc>
          <w:tcPr>
            <w:tcW w:w="7751" w:type="dxa"/>
            <w:vAlign w:val="center"/>
          </w:tcPr>
          <w:p w14:paraId="5BE74784">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支持本国产品内容：</w:t>
            </w:r>
          </w:p>
          <w:p w14:paraId="634233E8">
            <w:pPr>
              <w:spacing w:line="48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sym w:font="Wingdings 2" w:char="0052"/>
            </w:r>
            <w:r>
              <w:rPr>
                <w:rFonts w:hint="default" w:ascii="Times New Roman" w:hAnsi="Times New Roman" w:eastAsia="仿宋_GB2312" w:cs="Times New Roman"/>
                <w:bCs/>
                <w:color w:val="auto"/>
                <w:sz w:val="28"/>
                <w:szCs w:val="28"/>
                <w:lang w:val="en-US" w:eastAsia="zh-CN"/>
              </w:rPr>
              <w:t>适用，本国产品标准适用于货物，包括政府采购货物项目和服务项目中涉及的货物。政府采购活动中既有本国产品又有非本国产品参与竞争的，依法对本国产品给予价格评审优惠，</w:t>
            </w:r>
            <w:r>
              <w:rPr>
                <w:rFonts w:hint="default" w:ascii="Times New Roman" w:hAnsi="Times New Roman" w:eastAsia="仿宋_GB2312" w:cs="Times New Roman"/>
                <w:bCs/>
                <w:color w:val="auto"/>
                <w:sz w:val="28"/>
                <w:szCs w:val="28"/>
                <w:highlight w:val="none"/>
                <w:lang w:val="en-US" w:eastAsia="zh-CN"/>
              </w:rPr>
              <w:t>对本国产品的报价给予20%的价格扣除，用扣除后的价格参与评审</w:t>
            </w:r>
            <w:r>
              <w:rPr>
                <w:rFonts w:hint="default" w:ascii="Times New Roman" w:hAnsi="Times New Roman" w:eastAsia="仿宋_GB2312" w:cs="Times New Roman"/>
                <w:bCs/>
                <w:color w:val="auto"/>
                <w:sz w:val="28"/>
                <w:szCs w:val="28"/>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default" w:ascii="Times New Roman" w:hAnsi="Times New Roman" w:eastAsia="仿宋_GB2312" w:cs="Times New Roman"/>
                <w:bCs/>
                <w:sz w:val="28"/>
                <w:szCs w:val="28"/>
                <w:lang w:val="en-US" w:eastAsia="zh-CN"/>
              </w:rPr>
              <w:t>供应商对其提供的产品出具《关于符合本国产品标准的声明函》（格式详见第五章 投标文件格式）或财政部会同有关部门规定的有关证明文件，《关于符合本国产品标准的声明函》或有关证明文件符合要求的，该产品视为本国产品。</w:t>
            </w:r>
          </w:p>
          <w:p w14:paraId="548BF38B">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□不适用</w:t>
            </w:r>
          </w:p>
        </w:tc>
      </w:tr>
      <w:tr w14:paraId="3B885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94" w:hRule="atLeast"/>
        </w:trPr>
        <w:tc>
          <w:tcPr>
            <w:tcW w:w="952" w:type="dxa"/>
            <w:vAlign w:val="center"/>
          </w:tcPr>
          <w:p w14:paraId="3412278D">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rPr>
              <w:t>.</w:t>
            </w:r>
            <w:r>
              <w:rPr>
                <w:rFonts w:hint="default" w:ascii="Times New Roman" w:hAnsi="Times New Roman" w:eastAsia="仿宋_GB2312" w:cs="Times New Roman"/>
                <w:bCs/>
                <w:color w:val="auto"/>
                <w:sz w:val="28"/>
                <w:szCs w:val="28"/>
                <w:lang w:val="en-US" w:eastAsia="zh-CN"/>
              </w:rPr>
              <w:t>1</w:t>
            </w:r>
          </w:p>
        </w:tc>
        <w:tc>
          <w:tcPr>
            <w:tcW w:w="7751" w:type="dxa"/>
            <w:vAlign w:val="center"/>
          </w:tcPr>
          <w:p w14:paraId="189CB93A">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评标方法：综合评分法。</w:t>
            </w:r>
          </w:p>
          <w:p w14:paraId="3DDB77BF">
            <w:pPr>
              <w:spacing w:line="440" w:lineRule="exact"/>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14:paraId="7950E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88" w:hRule="atLeast"/>
        </w:trPr>
        <w:tc>
          <w:tcPr>
            <w:tcW w:w="952" w:type="dxa"/>
            <w:vAlign w:val="center"/>
          </w:tcPr>
          <w:p w14:paraId="54E09667">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38</w:t>
            </w:r>
          </w:p>
        </w:tc>
        <w:tc>
          <w:tcPr>
            <w:tcW w:w="7751" w:type="dxa"/>
            <w:vAlign w:val="center"/>
          </w:tcPr>
          <w:p w14:paraId="0C9D0132">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（1）根据评审后得分由高到低的顺序推荐3名中标候选人</w:t>
            </w:r>
          </w:p>
          <w:p w14:paraId="1ED3D67F">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（2）评审得分相同的，按投标报价由低到高顺序推荐排列；评审得分且投标报价相同的并列。</w:t>
            </w:r>
          </w:p>
        </w:tc>
      </w:tr>
      <w:tr w14:paraId="718CA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vAlign w:val="center"/>
          </w:tcPr>
          <w:p w14:paraId="3CF8523C">
            <w:pPr>
              <w:spacing w:line="440" w:lineRule="exact"/>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41.1</w:t>
            </w:r>
          </w:p>
        </w:tc>
        <w:tc>
          <w:tcPr>
            <w:tcW w:w="7751" w:type="dxa"/>
            <w:vAlign w:val="center"/>
          </w:tcPr>
          <w:p w14:paraId="073B24AA">
            <w:pPr>
              <w:spacing w:line="44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中标结果公告媒介：《河南省政府采购网》《河南省公共资源交易中心网》</w:t>
            </w:r>
          </w:p>
        </w:tc>
      </w:tr>
      <w:tr w14:paraId="4FAA6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09D6F5D0">
            <w:pPr>
              <w:spacing w:line="440" w:lineRule="exact"/>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t>4</w:t>
            </w:r>
            <w:r>
              <w:rPr>
                <w:rFonts w:hint="default" w:ascii="Times New Roman" w:hAnsi="Times New Roman" w:eastAsia="仿宋_GB2312" w:cs="Times New Roman"/>
                <w:bCs/>
                <w:color w:val="auto"/>
                <w:sz w:val="28"/>
                <w:szCs w:val="28"/>
                <w:lang w:val="en-US" w:eastAsia="zh-CN"/>
              </w:rPr>
              <w:t>4</w:t>
            </w:r>
          </w:p>
        </w:tc>
        <w:tc>
          <w:tcPr>
            <w:tcW w:w="7751" w:type="dxa"/>
            <w:vAlign w:val="center"/>
          </w:tcPr>
          <w:p w14:paraId="44F7FD7C">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数量</w:t>
            </w:r>
            <w:r>
              <w:rPr>
                <w:rFonts w:hint="default" w:ascii="Times New Roman" w:hAnsi="Times New Roman" w:eastAsia="仿宋_GB2312" w:cs="Times New Roman"/>
                <w:bCs/>
                <w:color w:val="auto"/>
                <w:sz w:val="28"/>
                <w:szCs w:val="28"/>
                <w:lang w:val="en-US" w:eastAsia="zh-CN"/>
              </w:rPr>
              <w:t>追加</w:t>
            </w:r>
            <w:r>
              <w:rPr>
                <w:rFonts w:hint="default" w:ascii="Times New Roman" w:hAnsi="Times New Roman" w:eastAsia="仿宋_GB2312" w:cs="Times New Roman"/>
                <w:bCs/>
                <w:color w:val="auto"/>
                <w:sz w:val="28"/>
                <w:szCs w:val="28"/>
                <w:lang w:eastAsia="zh-CN"/>
              </w:rPr>
              <w:t>范围：采购人需追加与合同标的相同的货物的，在不改变合同其它条款的前提下，可以与投标人签订补充合同，但所有补充合同的采购金额不得超过原合同金额的百分之十。</w:t>
            </w:r>
          </w:p>
        </w:tc>
      </w:tr>
      <w:tr w14:paraId="0988B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4D9570D3">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sz w:val="28"/>
                <w:szCs w:val="28"/>
                <w:lang w:val="en-US" w:eastAsia="zh-CN"/>
              </w:rPr>
              <w:t>46</w:t>
            </w:r>
          </w:p>
        </w:tc>
        <w:tc>
          <w:tcPr>
            <w:tcW w:w="7751" w:type="dxa"/>
            <w:vAlign w:val="center"/>
          </w:tcPr>
          <w:p w14:paraId="11D325F4">
            <w:pPr>
              <w:numPr>
                <w:ilvl w:val="0"/>
                <w:numId w:val="0"/>
              </w:num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highlight w:val="none"/>
                <w:lang w:eastAsia="zh-CN"/>
              </w:rPr>
              <w:t>履约保证金：合同总金额的5%</w:t>
            </w:r>
          </w:p>
        </w:tc>
      </w:tr>
      <w:tr w14:paraId="4223F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7EB39DFB">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48</w:t>
            </w:r>
          </w:p>
        </w:tc>
        <w:tc>
          <w:tcPr>
            <w:tcW w:w="7751" w:type="dxa"/>
            <w:vAlign w:val="center"/>
          </w:tcPr>
          <w:p w14:paraId="2DEC2E21">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招标代理费</w:t>
            </w:r>
            <w:r>
              <w:rPr>
                <w:rFonts w:hint="default" w:ascii="Times New Roman" w:hAnsi="Times New Roman" w:eastAsia="仿宋_GB2312" w:cs="Times New Roman"/>
                <w:bCs/>
                <w:color w:val="auto"/>
                <w:sz w:val="28"/>
                <w:szCs w:val="28"/>
              </w:rPr>
              <w:t>：免费。</w:t>
            </w:r>
          </w:p>
        </w:tc>
      </w:tr>
      <w:tr w14:paraId="1DF51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487526EC">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49.2</w:t>
            </w:r>
          </w:p>
        </w:tc>
        <w:tc>
          <w:tcPr>
            <w:tcW w:w="7751" w:type="dxa"/>
            <w:vAlign w:val="center"/>
          </w:tcPr>
          <w:p w14:paraId="0D810E9A">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投标人应在法定质疑期内针对同一采购程序环节的质疑次数：一次</w:t>
            </w:r>
          </w:p>
        </w:tc>
      </w:tr>
      <w:tr w14:paraId="22820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3" w:hRule="atLeast"/>
        </w:trPr>
        <w:tc>
          <w:tcPr>
            <w:tcW w:w="952" w:type="dxa"/>
            <w:vAlign w:val="center"/>
          </w:tcPr>
          <w:p w14:paraId="5FA33BC7">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50</w:t>
            </w:r>
          </w:p>
        </w:tc>
        <w:tc>
          <w:tcPr>
            <w:tcW w:w="7751" w:type="dxa"/>
            <w:vAlign w:val="center"/>
          </w:tcPr>
          <w:p w14:paraId="25938AB2">
            <w:pPr>
              <w:spacing w:line="440" w:lineRule="exact"/>
              <w:jc w:val="center"/>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需要补充的其他内容</w:t>
            </w:r>
          </w:p>
        </w:tc>
      </w:tr>
      <w:tr w14:paraId="370D5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01F36D50">
            <w:pPr>
              <w:spacing w:line="440" w:lineRule="exact"/>
              <w:jc w:val="center"/>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val="en-US" w:eastAsia="zh-CN"/>
              </w:rPr>
              <w:t>50</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sz w:val="28"/>
                <w:szCs w:val="28"/>
                <w:lang w:val="en-US" w:eastAsia="zh-CN"/>
              </w:rPr>
              <w:t>1</w:t>
            </w:r>
          </w:p>
        </w:tc>
        <w:tc>
          <w:tcPr>
            <w:tcW w:w="7751" w:type="dxa"/>
            <w:vAlign w:val="center"/>
          </w:tcPr>
          <w:p w14:paraId="3792E7AE">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val="en-US" w:eastAsia="zh-CN"/>
              </w:rPr>
              <w:t>（1）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0CA59816">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eq \o\ac(</w:instrText>
            </w:r>
            <w:r>
              <w:rPr>
                <w:rFonts w:hint="default" w:ascii="Times New Roman" w:hAnsi="Times New Roman" w:eastAsia="仿宋_GB2312" w:cs="Times New Roman"/>
                <w:bCs/>
                <w:color w:val="auto"/>
                <w:position w:val="-5"/>
                <w:sz w:val="42"/>
                <w:szCs w:val="28"/>
                <w:lang w:eastAsia="zh-CN"/>
              </w:rPr>
              <w:instrText xml:space="preserve">□</w:instrText>
            </w:r>
            <w:r>
              <w:rPr>
                <w:rFonts w:hint="default" w:ascii="Times New Roman" w:hAnsi="Times New Roman" w:eastAsia="仿宋_GB2312" w:cs="Times New Roman"/>
                <w:bCs/>
                <w:color w:val="auto"/>
                <w:sz w:val="28"/>
                <w:szCs w:val="28"/>
                <w:lang w:eastAsia="zh-CN"/>
              </w:rPr>
              <w:instrText xml:space="preserve">,√)</w:instrTex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val="en-US" w:eastAsia="zh-CN"/>
              </w:rPr>
              <w:t>（2）非单一产品采购项目，将在招标文件中载明核心产品。多家投标人提供的核心产品品牌相同的，按（1）“单一产品采购项目”规定处理。</w:t>
            </w:r>
          </w:p>
          <w:p w14:paraId="013F5CC5">
            <w:pPr>
              <w:spacing w:line="440" w:lineRule="exact"/>
              <w:rPr>
                <w:rFonts w:hint="default" w:ascii="Times New Roman" w:hAnsi="Times New Roman" w:cs="Times New Roman"/>
                <w:bCs/>
                <w:lang w:val="en-US" w:eastAsia="zh-CN"/>
              </w:rPr>
            </w:pPr>
            <w:r>
              <w:rPr>
                <w:rFonts w:hint="default" w:ascii="Times New Roman" w:hAnsi="Times New Roman" w:eastAsia="仿宋_GB2312" w:cs="Times New Roman"/>
                <w:bCs/>
                <w:color w:val="auto"/>
                <w:sz w:val="28"/>
                <w:szCs w:val="28"/>
                <w:lang w:val="en-US" w:eastAsia="zh-CN"/>
              </w:rPr>
              <w:t>核心产品：</w:t>
            </w:r>
            <w:r>
              <w:rPr>
                <w:rFonts w:hint="default" w:ascii="Times New Roman" w:hAnsi="Times New Roman" w:eastAsia="仿宋_GB2312" w:cs="Times New Roman"/>
                <w:b/>
                <w:color w:val="auto"/>
                <w:sz w:val="28"/>
                <w:szCs w:val="28"/>
                <w:u w:val="single"/>
                <w:lang w:val="en-US" w:eastAsia="zh-CN"/>
              </w:rPr>
              <w:t xml:space="preserve"> 分布式存储 </w:t>
            </w:r>
          </w:p>
        </w:tc>
      </w:tr>
      <w:tr w14:paraId="7AC22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952" w:type="dxa"/>
            <w:vAlign w:val="center"/>
          </w:tcPr>
          <w:p w14:paraId="3B06E824">
            <w:pPr>
              <w:spacing w:line="440" w:lineRule="exact"/>
              <w:jc w:val="center"/>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50.2</w:t>
            </w:r>
          </w:p>
        </w:tc>
        <w:tc>
          <w:tcPr>
            <w:tcW w:w="7751" w:type="dxa"/>
            <w:vAlign w:val="center"/>
          </w:tcPr>
          <w:p w14:paraId="245E9427">
            <w:pPr>
              <w:spacing w:line="440" w:lineRule="exact"/>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kern w:val="0"/>
                <w:sz w:val="28"/>
                <w:szCs w:val="28"/>
                <w:lang w:val="en-US" w:eastAsia="zh-CN" w:bidi="ar"/>
              </w:rPr>
              <w:t>“</w:t>
            </w:r>
            <w:r>
              <w:rPr>
                <w:rFonts w:hint="default" w:ascii="Times New Roman" w:hAnsi="Times New Roman" w:eastAsia="仿宋_GB2312" w:cs="Times New Roman"/>
                <w:bCs/>
                <w:color w:val="auto"/>
                <w:sz w:val="28"/>
                <w:szCs w:val="28"/>
                <w:lang w:val="en-US" w:eastAsia="zh-CN"/>
              </w:rPr>
              <w:t>一号咨询”服务：</w:t>
            </w:r>
            <w:r>
              <w:rPr>
                <w:rFonts w:hint="default" w:ascii="Times New Roman" w:hAnsi="Times New Roman" w:eastAsia="仿宋_GB2312" w:cs="Times New Roman"/>
                <w:bCs/>
                <w:color w:val="auto"/>
                <w:kern w:val="0"/>
                <w:sz w:val="28"/>
                <w:szCs w:val="28"/>
                <w:lang w:val="en-US" w:eastAsia="zh-CN" w:bidi="ar"/>
              </w:rPr>
              <w:t>市场主体拨打0371-61335566即可咨询河南省公共资源交易中心业务的相关问题。</w:t>
            </w:r>
          </w:p>
        </w:tc>
      </w:tr>
    </w:tbl>
    <w:p w14:paraId="09C4DC5D">
      <w:pPr>
        <w:spacing w:line="540" w:lineRule="exact"/>
        <w:ind w:left="1077" w:hanging="539"/>
        <w:rPr>
          <w:rFonts w:hint="default" w:ascii="Times New Roman" w:hAnsi="Times New Roman" w:eastAsia="宋体" w:cs="Times New Roman"/>
          <w:bCs/>
          <w:color w:val="auto"/>
          <w:lang w:eastAsia="zh-CN"/>
        </w:rPr>
        <w:sectPr>
          <w:footerReference r:id="rId6" w:type="default"/>
          <w:pgSz w:w="11900" w:h="16840"/>
          <w:pgMar w:top="1440" w:right="1797" w:bottom="1440" w:left="1797" w:header="851" w:footer="992" w:gutter="0"/>
          <w:cols w:space="720" w:num="1"/>
        </w:sectPr>
      </w:pPr>
    </w:p>
    <w:p w14:paraId="5B0E809D">
      <w:pPr>
        <w:pStyle w:val="2"/>
        <w:spacing w:before="0" w:after="0" w:line="360" w:lineRule="auto"/>
        <w:jc w:val="center"/>
        <w:rPr>
          <w:rFonts w:hint="default" w:ascii="Times New Roman" w:hAnsi="Times New Roman" w:eastAsia="宋体" w:cs="Times New Roman"/>
          <w:b w:val="0"/>
          <w:color w:val="auto"/>
          <w:sz w:val="36"/>
          <w:szCs w:val="36"/>
          <w:lang w:val="en-US" w:eastAsia="zh-CN"/>
        </w:rPr>
      </w:pPr>
      <w:bookmarkStart w:id="96" w:name="_Toc754728636"/>
      <w:bookmarkStart w:id="97" w:name="_Toc2118786865_WPSOffice_Level1"/>
      <w:bookmarkStart w:id="98" w:name="_Toc755709613"/>
      <w:bookmarkStart w:id="99" w:name="_Toc511855247"/>
      <w:bookmarkStart w:id="100" w:name="_Toc194396107"/>
      <w:bookmarkStart w:id="101" w:name="_Toc309192439"/>
      <w:bookmarkStart w:id="102" w:name="_Toc653624039"/>
      <w:bookmarkStart w:id="103" w:name="_Toc580298809"/>
      <w:bookmarkStart w:id="104" w:name="_Toc1426170078"/>
      <w:bookmarkStart w:id="105" w:name="_Toc1341383622_WPSOffice_Level1"/>
      <w:bookmarkStart w:id="106" w:name="_Toc540794793"/>
      <w:bookmarkStart w:id="107" w:name="_Toc1484219635"/>
      <w:bookmarkStart w:id="108" w:name="_Toc876903712"/>
      <w:bookmarkStart w:id="109" w:name="_Toc1069896118_WPSOffice_Level1"/>
      <w:bookmarkStart w:id="110" w:name="_Toc457436968_WPSOffice_Level1"/>
      <w:bookmarkStart w:id="111" w:name="_Toc672784450_WPSOffice_Level1"/>
      <w:r>
        <w:rPr>
          <w:rFonts w:hint="default" w:ascii="Times New Roman" w:hAnsi="Times New Roman" w:eastAsia="宋体" w:cs="Times New Roman"/>
          <w:b w:val="0"/>
          <w:color w:val="auto"/>
          <w:sz w:val="36"/>
          <w:szCs w:val="36"/>
          <w:lang w:val="en-US" w:eastAsia="zh-CN"/>
        </w:rPr>
        <w:t xml:space="preserve">第三章 </w:t>
      </w:r>
      <w:r>
        <w:rPr>
          <w:rFonts w:hint="default" w:ascii="Times New Roman" w:hAnsi="Times New Roman" w:eastAsia="宋体" w:cs="Times New Roman"/>
          <w:b w:val="0"/>
          <w:color w:val="auto"/>
          <w:sz w:val="36"/>
          <w:szCs w:val="36"/>
          <w:lang w:eastAsia="zh-CN"/>
        </w:rPr>
        <w:t>投标人须知</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59750F31">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12" w:name="_Toc1420306246"/>
      <w:bookmarkStart w:id="113" w:name="_Toc587412607"/>
      <w:bookmarkStart w:id="114" w:name="_Toc1875035149"/>
      <w:bookmarkStart w:id="115" w:name="_Toc795505054"/>
      <w:bookmarkStart w:id="116" w:name="_Toc1605126531"/>
      <w:bookmarkStart w:id="117" w:name="_Toc940441734"/>
      <w:bookmarkStart w:id="118" w:name="_Toc1597513343"/>
      <w:bookmarkStart w:id="119" w:name="_Toc753331058"/>
      <w:bookmarkStart w:id="120" w:name="_Toc1724158210_WPSOffice_Level2"/>
      <w:bookmarkStart w:id="121" w:name="_Toc1698066625"/>
      <w:bookmarkStart w:id="122" w:name="_Toc72595909_WPSOffice_Level2"/>
      <w:bookmarkStart w:id="123" w:name="_Toc1820077040_WPSOffice_Level2"/>
      <w:bookmarkStart w:id="124" w:name="_Toc225324457"/>
      <w:bookmarkStart w:id="125" w:name="_Toc1053718759_WPSOffice_Level2"/>
      <w:bookmarkStart w:id="126" w:name="_Toc6348"/>
      <w:r>
        <w:rPr>
          <w:rFonts w:hint="default" w:ascii="Times New Roman" w:hAnsi="Times New Roman" w:eastAsia="方正小标宋_GBK" w:cs="Times New Roman"/>
          <w:bCs/>
          <w:color w:val="auto"/>
          <w:kern w:val="0"/>
          <w:sz w:val="30"/>
          <w:szCs w:val="30"/>
          <w:lang w:val="en-US" w:eastAsia="zh-CN"/>
        </w:rPr>
        <w:t>一、说  明</w:t>
      </w:r>
      <w:bookmarkEnd w:id="112"/>
      <w:bookmarkEnd w:id="113"/>
      <w:bookmarkEnd w:id="114"/>
      <w:bookmarkEnd w:id="115"/>
      <w:bookmarkEnd w:id="116"/>
      <w:bookmarkEnd w:id="117"/>
      <w:bookmarkEnd w:id="118"/>
      <w:bookmarkEnd w:id="119"/>
      <w:bookmarkEnd w:id="120"/>
      <w:bookmarkEnd w:id="121"/>
      <w:bookmarkEnd w:id="122"/>
      <w:bookmarkEnd w:id="123"/>
    </w:p>
    <w:p w14:paraId="1863FEA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适用范围</w:t>
      </w:r>
    </w:p>
    <w:p w14:paraId="754212A7">
      <w:pPr>
        <w:spacing w:line="360" w:lineRule="auto"/>
        <w:rPr>
          <w:rFonts w:hint="default" w:ascii="Times New Roman" w:hAnsi="Times New Roman" w:eastAsia="仿宋_GB2312" w:cs="Times New Roman"/>
          <w:bCs/>
          <w:color w:val="auto"/>
          <w:sz w:val="28"/>
          <w:szCs w:val="28"/>
          <w:lang w:eastAsia="zh-CN"/>
        </w:rPr>
      </w:pPr>
      <w:bookmarkStart w:id="127" w:name="_Toc196648728_WPSOffice_Level3"/>
      <w:bookmarkStart w:id="128" w:name="_Toc532150620_WPSOffice_Level3"/>
      <w:r>
        <w:rPr>
          <w:rFonts w:hint="default" w:ascii="Times New Roman" w:hAnsi="Times New Roman" w:eastAsia="仿宋_GB2312" w:cs="Times New Roman"/>
          <w:bCs/>
          <w:color w:val="auto"/>
          <w:sz w:val="28"/>
          <w:szCs w:val="28"/>
          <w:lang w:eastAsia="zh-CN"/>
        </w:rPr>
        <w:t>1.1本招标文件仅适用于本次公开招标所述的货物。</w:t>
      </w:r>
      <w:bookmarkEnd w:id="127"/>
      <w:bookmarkEnd w:id="128"/>
    </w:p>
    <w:p w14:paraId="2AFB16B4">
      <w:pPr>
        <w:spacing w:line="360" w:lineRule="auto"/>
        <w:rPr>
          <w:rFonts w:hint="default" w:ascii="Times New Roman" w:hAnsi="Times New Roman" w:eastAsia="仿宋_GB2312" w:cs="Times New Roman"/>
          <w:bCs/>
          <w:color w:val="auto"/>
          <w:sz w:val="28"/>
          <w:szCs w:val="28"/>
          <w:lang w:eastAsia="zh-CN"/>
        </w:rPr>
      </w:pPr>
      <w:bookmarkStart w:id="129" w:name="_Toc900722191_WPSOffice_Level3"/>
      <w:bookmarkStart w:id="130" w:name="_Toc1359847161_WPSOffice_Level3"/>
      <w:r>
        <w:rPr>
          <w:rFonts w:hint="default" w:ascii="Times New Roman" w:hAnsi="Times New Roman" w:eastAsia="仿宋_GB2312" w:cs="Times New Roman"/>
          <w:bCs/>
          <w:color w:val="auto"/>
          <w:sz w:val="28"/>
          <w:szCs w:val="28"/>
          <w:lang w:eastAsia="zh-CN"/>
        </w:rPr>
        <w:t>1.2</w:t>
      </w:r>
      <w:r>
        <w:rPr>
          <w:rFonts w:hint="default" w:ascii="Times New Roman" w:hAnsi="Times New Roman" w:eastAsia="仿宋_GB2312" w:cs="Times New Roman"/>
          <w:bCs/>
          <w:color w:val="auto"/>
          <w:sz w:val="28"/>
          <w:szCs w:val="28"/>
          <w:lang w:val="en" w:eastAsia="zh-CN"/>
        </w:rPr>
        <w:t>采购项目</w:t>
      </w:r>
      <w:r>
        <w:rPr>
          <w:rFonts w:hint="default" w:ascii="Times New Roman" w:hAnsi="Times New Roman" w:eastAsia="仿宋_GB2312" w:cs="Times New Roman"/>
          <w:bCs/>
          <w:color w:val="auto"/>
          <w:sz w:val="28"/>
          <w:szCs w:val="28"/>
          <w:lang w:eastAsia="zh-CN"/>
        </w:rPr>
        <w:t>：见“投标人须知前附表”。</w:t>
      </w:r>
      <w:bookmarkEnd w:id="129"/>
      <w:bookmarkEnd w:id="130"/>
    </w:p>
    <w:p w14:paraId="603349FD">
      <w:pPr>
        <w:spacing w:line="360" w:lineRule="auto"/>
        <w:rPr>
          <w:rFonts w:hint="default" w:ascii="Times New Roman" w:hAnsi="Times New Roman" w:eastAsia="仿宋_GB2312" w:cs="Times New Roman"/>
          <w:bCs/>
          <w:color w:val="auto"/>
          <w:sz w:val="28"/>
          <w:szCs w:val="28"/>
          <w:lang w:eastAsia="zh-CN"/>
        </w:rPr>
      </w:pPr>
      <w:bookmarkStart w:id="131" w:name="_Toc334765003_WPSOffice_Level3"/>
      <w:bookmarkStart w:id="132" w:name="_Toc1512585633_WPSOffice_Level3"/>
      <w:r>
        <w:rPr>
          <w:rFonts w:hint="default" w:ascii="Times New Roman" w:hAnsi="Times New Roman" w:eastAsia="仿宋_GB2312" w:cs="Times New Roman"/>
          <w:bCs/>
          <w:color w:val="auto"/>
          <w:sz w:val="28"/>
          <w:szCs w:val="28"/>
          <w:lang w:eastAsia="zh-CN"/>
        </w:rPr>
        <w:t>1.3采购</w:t>
      </w:r>
      <w:r>
        <w:rPr>
          <w:rFonts w:hint="default" w:ascii="Times New Roman" w:hAnsi="Times New Roman" w:eastAsia="仿宋_GB2312" w:cs="Times New Roman"/>
          <w:bCs/>
          <w:color w:val="auto"/>
          <w:sz w:val="28"/>
          <w:szCs w:val="28"/>
          <w:lang w:val="en" w:eastAsia="zh-CN"/>
        </w:rPr>
        <w:t>编号</w:t>
      </w:r>
      <w:r>
        <w:rPr>
          <w:rFonts w:hint="default" w:ascii="Times New Roman" w:hAnsi="Times New Roman" w:eastAsia="仿宋_GB2312" w:cs="Times New Roman"/>
          <w:bCs/>
          <w:color w:val="auto"/>
          <w:sz w:val="28"/>
          <w:szCs w:val="28"/>
          <w:lang w:eastAsia="zh-CN"/>
        </w:rPr>
        <w:t>：见“投标人须知前附表”。</w:t>
      </w:r>
      <w:bookmarkEnd w:id="131"/>
      <w:bookmarkEnd w:id="132"/>
    </w:p>
    <w:p w14:paraId="61A3D9DD">
      <w:pPr>
        <w:spacing w:line="360" w:lineRule="auto"/>
        <w:rPr>
          <w:rFonts w:hint="default" w:ascii="Times New Roman" w:hAnsi="Times New Roman" w:eastAsia="仿宋_GB2312" w:cs="Times New Roman"/>
          <w:bCs/>
          <w:color w:val="auto"/>
          <w:sz w:val="28"/>
          <w:szCs w:val="28"/>
          <w:lang w:eastAsia="zh-CN"/>
        </w:rPr>
      </w:pPr>
      <w:bookmarkStart w:id="133" w:name="_Toc2062433103_WPSOffice_Level3"/>
      <w:bookmarkStart w:id="134" w:name="_Toc1513112147_WPSOffice_Level3"/>
      <w:r>
        <w:rPr>
          <w:rFonts w:hint="default" w:ascii="Times New Roman" w:hAnsi="Times New Roman" w:eastAsia="仿宋_GB2312" w:cs="Times New Roman"/>
          <w:bCs/>
          <w:color w:val="auto"/>
          <w:sz w:val="28"/>
          <w:szCs w:val="28"/>
          <w:lang w:eastAsia="zh-CN"/>
        </w:rPr>
        <w:t>1.4采购项目简要说明：见“投标人须知前附表”。</w:t>
      </w:r>
      <w:bookmarkEnd w:id="133"/>
      <w:bookmarkEnd w:id="134"/>
    </w:p>
    <w:p w14:paraId="730B399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定义</w:t>
      </w:r>
    </w:p>
    <w:p w14:paraId="6EB7ED0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2.1政府采购监督管理部门：河南省财政厅。</w:t>
      </w:r>
    </w:p>
    <w:p w14:paraId="31CE188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2.2采购人：</w:t>
      </w:r>
      <w:r>
        <w:rPr>
          <w:rFonts w:hint="default" w:ascii="Times New Roman" w:hAnsi="Times New Roman" w:eastAsia="仿宋_GB2312" w:cs="Times New Roman"/>
          <w:bCs/>
          <w:color w:val="auto"/>
          <w:sz w:val="28"/>
          <w:szCs w:val="28"/>
          <w:lang w:val="en-US" w:eastAsia="zh-CN"/>
        </w:rPr>
        <w:t>是指依法进行政府采购的国家机关、事业单位、团体组织。本项目的采购人见投标人须知前附表。</w:t>
      </w:r>
    </w:p>
    <w:p w14:paraId="257697A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2.3集中采购机构：“投标人须知前附表”中所述的受采购人委托组织集中采购的代理机构。</w:t>
      </w:r>
    </w:p>
    <w:p w14:paraId="5C01979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2.4集中采购：是指政府集中采购目录及限额标准规定的集中采购项目的采购活动。</w:t>
      </w:r>
    </w:p>
    <w:p w14:paraId="6AA3746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2.5 投标人（供应商）：是指参加政府采购活动，向采购人提供货物、工程或者服务的法人、其他组织或者自然人。</w:t>
      </w:r>
    </w:p>
    <w:p w14:paraId="440A05B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合格投标人：提供资格证明文件并通过资格审查的投标人。</w:t>
      </w:r>
    </w:p>
    <w:p w14:paraId="6516AFD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2.6.1若投标人须知前附表中写明专门面向中小企业采购的，如投标人非中小企业，其投标将被认定为投标无效。</w:t>
      </w:r>
    </w:p>
    <w:p w14:paraId="5B3E6D26">
      <w:pPr>
        <w:spacing w:line="360" w:lineRule="auto"/>
        <w:rPr>
          <w:rFonts w:hint="default" w:ascii="Times New Roman" w:hAnsi="Times New Roman" w:eastAsia="仿宋_GB2312" w:cs="Times New Roman"/>
          <w:bCs/>
          <w:color w:val="auto"/>
          <w:lang w:val="en-US" w:eastAsia="zh-CN"/>
        </w:rPr>
      </w:pPr>
      <w:r>
        <w:rPr>
          <w:rFonts w:hint="default" w:ascii="Times New Roman" w:hAnsi="Times New Roman" w:eastAsia="仿宋_GB2312" w:cs="Times New Roman"/>
          <w:bCs/>
          <w:color w:val="auto"/>
          <w:sz w:val="28"/>
          <w:szCs w:val="28"/>
          <w:lang w:val="en-US" w:eastAsia="zh-CN"/>
        </w:rPr>
        <w:t>2.6.2</w:t>
      </w:r>
      <w:r>
        <w:rPr>
          <w:rFonts w:hint="default" w:ascii="Times New Roman" w:hAnsi="Times New Roman" w:eastAsia="仿宋_GB2312" w:cs="Times New Roman"/>
          <w:bCs/>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370ECBB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投标文件：指投标人根据招标文件提交的所有文件。</w:t>
      </w:r>
    </w:p>
    <w:p w14:paraId="4745329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8</w:t>
      </w:r>
      <w:r>
        <w:rPr>
          <w:rFonts w:hint="default" w:ascii="Times New Roman" w:hAnsi="Times New Roman" w:eastAsia="仿宋_GB2312" w:cs="Times New Roman"/>
          <w:bCs/>
          <w:color w:val="auto"/>
          <w:sz w:val="28"/>
          <w:szCs w:val="28"/>
          <w:lang w:eastAsia="zh-CN"/>
        </w:rPr>
        <w:t>货物及相关服务：按项目需求及有关要求提供的全部货物及相关服务。</w:t>
      </w:r>
    </w:p>
    <w:p w14:paraId="5277B30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投标费用</w:t>
      </w:r>
    </w:p>
    <w:p w14:paraId="4DD0A74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投标人须自行承担所有与参加投标有关的费用，无论投标的结果如何，采购人和集中采购机构在任何情况下均无义务和责任承担这些费用。</w:t>
      </w:r>
    </w:p>
    <w:p w14:paraId="5F0A08B9">
      <w:pPr>
        <w:spacing w:line="360" w:lineRule="auto"/>
        <w:rPr>
          <w:rFonts w:hint="default" w:ascii="Times New Roman" w:hAnsi="Times New Roman" w:eastAsia="仿宋_GB2312" w:cs="Times New Roman"/>
          <w:bCs/>
          <w:color w:val="auto"/>
          <w:sz w:val="28"/>
          <w:szCs w:val="28"/>
          <w:lang w:eastAsia="zh-CN"/>
        </w:rPr>
      </w:pPr>
      <w:bookmarkStart w:id="135" w:name="_Toc284337471"/>
      <w:bookmarkStart w:id="136" w:name="_Toc337225031"/>
      <w:bookmarkStart w:id="137" w:name="_Toc441214089"/>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踏勘现场</w:t>
      </w:r>
      <w:bookmarkEnd w:id="135"/>
      <w:bookmarkEnd w:id="136"/>
      <w:bookmarkEnd w:id="137"/>
    </w:p>
    <w:p w14:paraId="729615D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4.1“投标人须知前附表”规定组织踏勘现场的，采购人按“投标人须知前附表”规定的时间、地点组织投标人踏勘项目现场。</w:t>
      </w:r>
    </w:p>
    <w:p w14:paraId="6216AED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4.2投标人踏勘现场发生的费用自理。</w:t>
      </w:r>
    </w:p>
    <w:p w14:paraId="3372F00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4.3除采购人的原因外，投标人自行负责在踏勘现场中所发生的人员伤亡和财产损失。</w:t>
      </w:r>
    </w:p>
    <w:p w14:paraId="407C8BC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4.4采购人在踏勘现场中介绍的项目现场和相关的周边环境情况，供投标人在编制投标文件时参考，采购人不对投标人据此作出的判断和决策负责。</w:t>
      </w:r>
    </w:p>
    <w:p w14:paraId="347A604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5.知识产权</w:t>
      </w:r>
    </w:p>
    <w:p w14:paraId="4C1ECA6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GB" w:eastAsia="zh-CN"/>
        </w:rPr>
        <w:t>所有涉及知识产权的成果，</w:t>
      </w:r>
      <w:r>
        <w:rPr>
          <w:rFonts w:hint="default" w:ascii="Times New Roman" w:hAnsi="Times New Roman" w:eastAsia="仿宋_GB2312" w:cs="Times New Roman"/>
          <w:bCs/>
          <w:color w:val="auto"/>
          <w:sz w:val="28"/>
          <w:szCs w:val="28"/>
          <w:lang w:eastAsia="zh-CN"/>
        </w:rPr>
        <w:t>投标人</w:t>
      </w:r>
      <w:r>
        <w:rPr>
          <w:rFonts w:hint="default" w:ascii="Times New Roman" w:hAnsi="Times New Roman" w:eastAsia="仿宋_GB2312" w:cs="Times New Roman"/>
          <w:bCs/>
          <w:color w:val="auto"/>
          <w:sz w:val="28"/>
          <w:szCs w:val="28"/>
          <w:lang w:val="en-GB" w:eastAsia="zh-CN"/>
        </w:rPr>
        <w:t>必须确保采购人拥有其合法的、不受限制的无偿使用权，并免受任何侵权诉讼或索偿，否则，由此产生的一切经济损失和法律责任由</w:t>
      </w:r>
      <w:r>
        <w:rPr>
          <w:rFonts w:hint="default" w:ascii="Times New Roman" w:hAnsi="Times New Roman" w:eastAsia="仿宋_GB2312" w:cs="Times New Roman"/>
          <w:bCs/>
          <w:color w:val="auto"/>
          <w:sz w:val="28"/>
          <w:szCs w:val="28"/>
          <w:lang w:eastAsia="zh-CN"/>
        </w:rPr>
        <w:t>投标人</w:t>
      </w:r>
      <w:r>
        <w:rPr>
          <w:rFonts w:hint="default" w:ascii="Times New Roman" w:hAnsi="Times New Roman" w:eastAsia="仿宋_GB2312" w:cs="Times New Roman"/>
          <w:bCs/>
          <w:color w:val="auto"/>
          <w:sz w:val="28"/>
          <w:szCs w:val="28"/>
          <w:lang w:val="en-GB" w:eastAsia="zh-CN"/>
        </w:rPr>
        <w:t>承担。</w:t>
      </w:r>
    </w:p>
    <w:p w14:paraId="7530150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联合体投标</w:t>
      </w:r>
    </w:p>
    <w:p w14:paraId="71CA4DF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6.1除非本项目明确要求不接受联合体形式投标外，两个或两个以上投标人可以组成一个联合体，以一个投标人的身份共同参加投标。</w:t>
      </w:r>
    </w:p>
    <w:p w14:paraId="7C9DF33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6.2以联合体形式参加投标的，联合体各方均应当符合《政府采购法》第二十二条规定的条件，并应当向采购人提交联合协议，载明联合体各方承担的工作和义务。根据采购项目的特殊要求规定投标人特定条件的，联合体各方中至少应当有一方符合。</w:t>
      </w:r>
    </w:p>
    <w:p w14:paraId="26B83B9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6.3联合体中有同类资质的投标人按照联合体分工承担相同工作的，应当按照资质等级较低的投标人确定资质等级。</w:t>
      </w:r>
    </w:p>
    <w:p w14:paraId="391800C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6.4联合体投标的，可以由联合体中的牵头人或者共同提交投标承诺函，以牵头人名义提交投标承诺函的，对联合体各方均具有约束力。</w:t>
      </w:r>
    </w:p>
    <w:p w14:paraId="48DCD1A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6.5以联合体形式参加政府采购活动的，联合体各方不得再单独参加或者与其他投标人另外组成联合体参加同一合同项下的政府采购活动。</w:t>
      </w:r>
    </w:p>
    <w:p w14:paraId="27746740">
      <w:pPr>
        <w:pStyle w:val="21"/>
        <w:spacing w:line="360" w:lineRule="auto"/>
        <w:rPr>
          <w:rFonts w:hint="default" w:ascii="Times New Roman" w:hAnsi="Times New Roman" w:cs="Times New Roman"/>
          <w:bCs/>
          <w:lang w:val="en" w:eastAsia="zh-CN"/>
        </w:rPr>
      </w:pPr>
      <w:r>
        <w:rPr>
          <w:rFonts w:hint="default" w:ascii="Times New Roman" w:hAnsi="Times New Roman" w:eastAsia="仿宋_GB2312" w:cs="Times New Roman"/>
          <w:bCs/>
          <w:sz w:val="28"/>
          <w:szCs w:val="28"/>
          <w:lang w:val="en" w:eastAsia="zh-CN"/>
        </w:rPr>
        <w:t>6.6</w:t>
      </w:r>
      <w:r>
        <w:rPr>
          <w:rFonts w:hint="default" w:ascii="Times New Roman" w:hAnsi="Times New Roman" w:eastAsia="仿宋_GB2312" w:cs="Times New Roman"/>
          <w:bCs/>
          <w:sz w:val="28"/>
          <w:szCs w:val="28"/>
          <w:lang w:val="en-US" w:eastAsia="zh-CN"/>
        </w:rPr>
        <w:t>是否允许联合体投标见投标人须知前附表。</w:t>
      </w:r>
    </w:p>
    <w:p w14:paraId="718EFAF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7.保密</w:t>
      </w:r>
    </w:p>
    <w:p w14:paraId="67753251">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参与招标投标活动的各方应对招标文件和投标文件中的商业和技术等秘密保密，违者应对由此造成的后果承担法律责任。</w:t>
      </w:r>
    </w:p>
    <w:p w14:paraId="4414EA8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8.市场主体信息库</w:t>
      </w:r>
    </w:p>
    <w:p w14:paraId="4149D2E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（1）投标人应及时对入库信息进行补充、更新，若投标人提供虚假信息或未及时对入库信息进行补充、更新，由投标人承担全部责任。</w:t>
      </w:r>
    </w:p>
    <w:p w14:paraId="60B1860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（2）投标人可将本项目评审涉及到的资质、业绩、人员、获奖、证书、纳税、社保等信息补充到其市场主体信息库中。</w:t>
      </w:r>
    </w:p>
    <w:p w14:paraId="261DAF2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（3）投标人应当按照招标文件的要求编制投标文件，并予以提交。投标人的入库信息不作为评审的依据。</w:t>
      </w:r>
    </w:p>
    <w:p w14:paraId="6816C05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9.采购信息的发布</w:t>
      </w:r>
    </w:p>
    <w:p w14:paraId="6E47AE8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与本次采购活动相关的信息，将在《河南省政府采购网》《河南省公共资源交易中心网》上及时发布。</w:t>
      </w:r>
    </w:p>
    <w:p w14:paraId="6D369122">
      <w:pPr>
        <w:spacing w:line="360" w:lineRule="auto"/>
        <w:rPr>
          <w:rFonts w:hint="default" w:ascii="Times New Roman" w:hAnsi="Times New Roman" w:eastAsia="仿宋_GB2312" w:cs="Times New Roman"/>
          <w:bCs/>
          <w:color w:val="auto"/>
          <w:sz w:val="28"/>
          <w:szCs w:val="28"/>
          <w:lang w:eastAsia="zh-CN"/>
        </w:rPr>
      </w:pPr>
    </w:p>
    <w:p w14:paraId="1AAEBF91">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38" w:name="_Toc1090042493_WPSOffice_Level2"/>
      <w:bookmarkStart w:id="139" w:name="_Toc1225442179_WPSOffice_Level2"/>
      <w:bookmarkStart w:id="140" w:name="_Toc923512225_WPSOffice_Level2"/>
      <w:bookmarkStart w:id="141" w:name="_Toc812246970"/>
      <w:bookmarkStart w:id="142" w:name="_Toc1145263954"/>
      <w:bookmarkStart w:id="143" w:name="_Toc1613525329"/>
      <w:bookmarkStart w:id="144" w:name="_Toc601554517"/>
      <w:bookmarkStart w:id="145" w:name="_Toc60779224"/>
      <w:bookmarkStart w:id="146" w:name="_Toc28660129"/>
      <w:bookmarkStart w:id="147" w:name="_Toc2021756318"/>
      <w:bookmarkStart w:id="148" w:name="_Toc1045699149"/>
      <w:bookmarkStart w:id="149" w:name="_Toc1035752825"/>
      <w:r>
        <w:rPr>
          <w:rFonts w:hint="default" w:ascii="Times New Roman" w:hAnsi="Times New Roman" w:eastAsia="方正小标宋_GBK" w:cs="Times New Roman"/>
          <w:bCs/>
          <w:color w:val="auto"/>
          <w:kern w:val="0"/>
          <w:sz w:val="30"/>
          <w:szCs w:val="30"/>
          <w:lang w:val="en-US" w:eastAsia="zh-CN"/>
        </w:rPr>
        <w:t>二、招标文件</w:t>
      </w:r>
      <w:bookmarkEnd w:id="138"/>
      <w:bookmarkEnd w:id="139"/>
      <w:bookmarkEnd w:id="140"/>
      <w:bookmarkEnd w:id="141"/>
      <w:bookmarkEnd w:id="142"/>
      <w:bookmarkEnd w:id="143"/>
      <w:bookmarkEnd w:id="144"/>
      <w:bookmarkEnd w:id="145"/>
      <w:bookmarkEnd w:id="146"/>
      <w:bookmarkEnd w:id="147"/>
      <w:bookmarkEnd w:id="148"/>
      <w:bookmarkEnd w:id="149"/>
    </w:p>
    <w:p w14:paraId="62973AE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10.招标文件的组成</w:t>
      </w:r>
    </w:p>
    <w:p w14:paraId="44F3FCCE">
      <w:pPr>
        <w:widowControl w:val="0"/>
        <w:spacing w:line="360" w:lineRule="auto"/>
        <w:ind w:left="1050" w:hanging="1050" w:hangingChars="375"/>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10.1   招标文件共八章，构成如下：</w:t>
      </w:r>
    </w:p>
    <w:p w14:paraId="7BB9A4CF">
      <w:pPr>
        <w:widowControl w:val="0"/>
        <w:numPr>
          <w:ilvl w:val="0"/>
          <w:numId w:val="2"/>
        </w:numPr>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 投标邀请</w:t>
      </w:r>
    </w:p>
    <w:p w14:paraId="770AF6C5">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第二章  投标人须知前附表</w:t>
      </w:r>
    </w:p>
    <w:p w14:paraId="25566A34">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第三章  投标人须知</w:t>
      </w:r>
    </w:p>
    <w:p w14:paraId="41FE8149">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第四章  资格证明文件格式</w:t>
      </w:r>
    </w:p>
    <w:p w14:paraId="2D2B9A37">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第五章  投标文件格式</w:t>
      </w:r>
    </w:p>
    <w:p w14:paraId="127D9647">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第六章  项目需求及技术要求</w:t>
      </w:r>
    </w:p>
    <w:p w14:paraId="173AB1E7">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第七章  评标方法和标准</w:t>
      </w:r>
    </w:p>
    <w:p w14:paraId="48F44E95">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第八章  政府采购合同</w:t>
      </w:r>
    </w:p>
    <w:p w14:paraId="2DAAE722">
      <w:pPr>
        <w:widowControl w:val="0"/>
        <w:spacing w:line="360" w:lineRule="auto"/>
        <w:ind w:left="901" w:leftChars="429"/>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第九章  附件</w:t>
      </w:r>
    </w:p>
    <w:p w14:paraId="33575E4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10.2</w:t>
      </w:r>
      <w:r>
        <w:rPr>
          <w:rFonts w:hint="default" w:ascii="Times New Roman" w:hAnsi="Times New Roman" w:eastAsia="仿宋_GB2312" w:cs="Times New Roman"/>
          <w:bCs/>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1495AD7C">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62A4E741">
      <w:pPr>
        <w:numPr>
          <w:ilvl w:val="0"/>
          <w:numId w:val="3"/>
        </w:num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t>招标文件的澄清</w:t>
      </w:r>
      <w:r>
        <w:rPr>
          <w:rFonts w:hint="default" w:ascii="Times New Roman" w:hAnsi="Times New Roman" w:eastAsia="仿宋_GB2312" w:cs="Times New Roman"/>
          <w:bCs/>
          <w:color w:val="auto"/>
          <w:sz w:val="28"/>
          <w:szCs w:val="28"/>
          <w:lang w:val="en-US" w:eastAsia="zh-CN"/>
        </w:rPr>
        <w:t>与修改</w:t>
      </w:r>
    </w:p>
    <w:p w14:paraId="51C9D63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11.1投标人应仔细阅读和检查招标文件的全部内容。如有疑问，应及时向采购人或</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提出。</w:t>
      </w:r>
    </w:p>
    <w:p w14:paraId="66E36DC4">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11.2采购人或</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55F3FC1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11.3招标文件的澄清（更正）或修改在交易平台上公布给投标人，但不指明澄清问题的来源。</w:t>
      </w:r>
    </w:p>
    <w:p w14:paraId="7F1C9875">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11.4对已发出的招标文件进行的澄清、更正或修改，澄清、更正或修改的内容将作为招标文件的组成部分。通过“</w:t>
      </w:r>
      <w:r>
        <w:rPr>
          <w:rFonts w:hint="default" w:ascii="Times New Roman" w:hAnsi="Times New Roman" w:cs="Times New Roman"/>
        </w:rPr>
        <w:fldChar w:fldCharType="begin"/>
      </w:r>
      <w:r>
        <w:rPr>
          <w:rFonts w:hint="default" w:ascii="Times New Roman" w:hAnsi="Times New Roman" w:cs="Times New Roman"/>
        </w:rPr>
        <w:instrText xml:space="preserve"> HYPERLINK "http://www.ccgp-henan.gov.cn)和河南省政府采购网河南省公共资源交易网" </w:instrText>
      </w:r>
      <w:r>
        <w:rPr>
          <w:rFonts w:hint="default" w:ascii="Times New Roman" w:hAnsi="Times New Roman" w:cs="Times New Roman"/>
        </w:rPr>
        <w:fldChar w:fldCharType="separate"/>
      </w:r>
      <w:r>
        <w:rPr>
          <w:rFonts w:hint="default" w:ascii="Times New Roman" w:hAnsi="Times New Roman" w:eastAsia="仿宋_GB2312" w:cs="Times New Roman"/>
          <w:bCs/>
          <w:color w:val="auto"/>
          <w:sz w:val="28"/>
          <w:szCs w:val="28"/>
          <w:lang w:val="en-US" w:eastAsia="zh-CN"/>
        </w:rPr>
        <w:t>河南省政府采购网”（zfcg.henan.gov.cn）“河南省公共资源交易网</w:t>
      </w:r>
      <w:r>
        <w:rPr>
          <w:rFonts w:hint="default" w:ascii="Times New Roman" w:hAnsi="Times New Roman" w:eastAsia="仿宋_GB2312" w:cs="Times New Roman"/>
          <w:bCs/>
          <w:color w:val="auto"/>
          <w:sz w:val="28"/>
          <w:szCs w:val="28"/>
          <w:lang w:val="en-US" w:eastAsia="zh-CN"/>
        </w:rPr>
        <w:fldChar w:fldCharType="end"/>
      </w:r>
      <w:r>
        <w:rPr>
          <w:rFonts w:hint="default" w:ascii="Times New Roman" w:hAnsi="Times New Roman" w:eastAsia="仿宋_GB2312" w:cs="Times New Roman"/>
          <w:bCs/>
          <w:color w:val="auto"/>
          <w:sz w:val="28"/>
          <w:szCs w:val="28"/>
          <w:lang w:val="en-US" w:eastAsia="zh-CN"/>
        </w:rPr>
        <w:t>”（hnsggzyjy.henan.gov.cn）网站“变更（澄清或更正）公告”和系统内部“答疑文件”告知投标人，各投标人重新下载最新的答疑、变更（澄清或更正）文件，以此编制投标文件。</w:t>
      </w:r>
    </w:p>
    <w:p w14:paraId="0D58D27F">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11.5</w:t>
      </w:r>
      <w:bookmarkStart w:id="150" w:name="_Hlk86850585"/>
      <w:r>
        <w:rPr>
          <w:rFonts w:hint="default" w:ascii="Times New Roman" w:hAnsi="Times New Roman" w:eastAsia="仿宋_GB2312" w:cs="Times New Roman"/>
          <w:bCs/>
          <w:color w:val="auto"/>
          <w:sz w:val="28"/>
          <w:szCs w:val="28"/>
          <w:lang w:val="en-US" w:eastAsia="zh-CN"/>
        </w:rPr>
        <w:t>《河南省公共资源交易中心》</w:t>
      </w:r>
      <w:bookmarkEnd w:id="150"/>
      <w:r>
        <w:rPr>
          <w:rFonts w:hint="default" w:ascii="Times New Roman" w:hAnsi="Times New Roman" w:eastAsia="仿宋_GB2312" w:cs="Times New Roman"/>
          <w:bCs/>
          <w:color w:val="auto"/>
          <w:sz w:val="28"/>
          <w:szCs w:val="28"/>
          <w:lang w:val="en-US" w:eastAsia="zh-CN"/>
        </w:rPr>
        <w:t>交易平台投标人信息在投标截止时间前具有保密性，投标人在投标截止时间前应当自行查看项目进展、答疑、变更（澄清或更正）通知、澄清及回复</w:t>
      </w:r>
      <w:bookmarkStart w:id="151" w:name="_Hlk86850663"/>
      <w:r>
        <w:rPr>
          <w:rFonts w:hint="default" w:ascii="Times New Roman" w:hAnsi="Times New Roman" w:eastAsia="仿宋_GB2312" w:cs="Times New Roman"/>
          <w:bCs/>
          <w:color w:val="auto"/>
          <w:sz w:val="28"/>
          <w:szCs w:val="28"/>
          <w:lang w:val="en-US" w:eastAsia="zh-CN"/>
        </w:rPr>
        <w:t>。</w:t>
      </w:r>
    </w:p>
    <w:bookmarkEnd w:id="151"/>
    <w:p w14:paraId="169F1FB3">
      <w:pPr>
        <w:spacing w:line="360" w:lineRule="auto"/>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12.</w:t>
      </w:r>
      <w:r>
        <w:rPr>
          <w:rFonts w:hint="default" w:ascii="Times New Roman" w:hAnsi="Times New Roman" w:eastAsia="仿宋_GB2312" w:cs="Times New Roman"/>
          <w:bCs/>
          <w:color w:val="auto"/>
          <w:sz w:val="28"/>
          <w:szCs w:val="28"/>
          <w:lang w:val="en-US" w:eastAsia="zh-CN"/>
        </w:rPr>
        <w:t>投标截止时间的顺延</w:t>
      </w:r>
    </w:p>
    <w:p w14:paraId="2E9BCF57">
      <w:pPr>
        <w:spacing w:line="360" w:lineRule="auto"/>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为使投标人有足够的时间对招标文件的澄清或者修改部分进行研究而准备投标或因其他原因，采购人将依法决定是否顺延投标截止时间。</w:t>
      </w:r>
    </w:p>
    <w:p w14:paraId="68786880">
      <w:pPr>
        <w:pStyle w:val="21"/>
        <w:rPr>
          <w:rFonts w:hint="default" w:ascii="Times New Roman" w:hAnsi="Times New Roman" w:cs="Times New Roman"/>
          <w:bCs/>
          <w:lang w:val="en-US" w:eastAsia="zh-CN"/>
        </w:rPr>
      </w:pPr>
    </w:p>
    <w:p w14:paraId="5148ADD0">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52" w:name="_Toc933740821_WPSOffice_Level2"/>
      <w:bookmarkStart w:id="153" w:name="_Toc1289807408"/>
      <w:bookmarkStart w:id="154" w:name="_Toc1106273699"/>
      <w:bookmarkStart w:id="155" w:name="_Toc760401867"/>
      <w:bookmarkStart w:id="156" w:name="_Toc395976497"/>
      <w:bookmarkStart w:id="157" w:name="_Toc587380469_WPSOffice_Level2"/>
      <w:bookmarkStart w:id="158" w:name="_Toc1060332415"/>
      <w:bookmarkStart w:id="159" w:name="_Toc993246922"/>
      <w:bookmarkStart w:id="160" w:name="_Toc1317763722"/>
      <w:bookmarkStart w:id="161" w:name="_Toc1078664286_WPSOffice_Level2"/>
      <w:bookmarkStart w:id="162" w:name="_Toc1574480330"/>
      <w:bookmarkStart w:id="163" w:name="_Toc868408535"/>
      <w:r>
        <w:rPr>
          <w:rFonts w:hint="default" w:ascii="Times New Roman" w:hAnsi="Times New Roman" w:eastAsia="方正小标宋_GBK" w:cs="Times New Roman"/>
          <w:bCs/>
          <w:color w:val="auto"/>
          <w:kern w:val="0"/>
          <w:sz w:val="30"/>
          <w:szCs w:val="30"/>
          <w:lang w:val="en-US" w:eastAsia="zh-CN"/>
        </w:rPr>
        <w:t>三、投标文件的编制</w:t>
      </w:r>
      <w:bookmarkEnd w:id="152"/>
      <w:bookmarkEnd w:id="153"/>
      <w:bookmarkEnd w:id="154"/>
      <w:bookmarkEnd w:id="155"/>
      <w:bookmarkEnd w:id="156"/>
      <w:bookmarkEnd w:id="157"/>
      <w:bookmarkEnd w:id="158"/>
      <w:bookmarkEnd w:id="159"/>
      <w:bookmarkEnd w:id="160"/>
      <w:bookmarkEnd w:id="161"/>
      <w:bookmarkEnd w:id="162"/>
      <w:bookmarkEnd w:id="163"/>
    </w:p>
    <w:p w14:paraId="514C2BE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13.投标语言</w:t>
      </w:r>
    </w:p>
    <w:p w14:paraId="7163F35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投标文件以及投标人所有与采购人及集中采购机构就投标来往的函电均使用中文。投标人提供的外文资料应附有相应的中文译本，并以中文译本为准。</w:t>
      </w:r>
    </w:p>
    <w:p w14:paraId="452A40F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14.</w:t>
      </w:r>
      <w:r>
        <w:rPr>
          <w:rFonts w:hint="default" w:ascii="Times New Roman" w:hAnsi="Times New Roman" w:eastAsia="仿宋_GB2312" w:cs="Times New Roman"/>
          <w:bCs/>
          <w:color w:val="auto"/>
          <w:sz w:val="28"/>
          <w:szCs w:val="28"/>
          <w:lang w:eastAsia="zh-CN"/>
        </w:rPr>
        <w:t>投标文件计量单位</w:t>
      </w:r>
    </w:p>
    <w:p w14:paraId="76C120D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除招标文件中有特殊要求外，投标文件中所使用的计量单位，应采用中华人民共和国法定计量单位。</w:t>
      </w:r>
    </w:p>
    <w:p w14:paraId="14D99BC3">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15.投标文件的组成</w:t>
      </w:r>
    </w:p>
    <w:p w14:paraId="69892D4B">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4916FF3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16.</w:t>
      </w:r>
      <w:r>
        <w:rPr>
          <w:rFonts w:hint="default" w:ascii="Times New Roman" w:hAnsi="Times New Roman" w:eastAsia="仿宋_GB2312" w:cs="Times New Roman"/>
          <w:bCs/>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hint="default" w:ascii="Times New Roman" w:hAnsi="Times New Roman" w:eastAsia="仿宋_GB2312" w:cs="Times New Roman"/>
          <w:bCs/>
          <w:color w:val="auto"/>
          <w:sz w:val="28"/>
          <w:szCs w:val="28"/>
          <w:lang w:val="en-US" w:eastAsia="zh-CN"/>
        </w:rPr>
        <w:t>投标人可对招标文件中一个或几个分包进行投标，除投标人须知前附表中另有规定。</w:t>
      </w:r>
    </w:p>
    <w:p w14:paraId="24C57BA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17.投标文件编制</w:t>
      </w:r>
    </w:p>
    <w:p w14:paraId="0F935AA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17.1投标文件应按招标文件要求的内容编制投标文件，应当对招标文件提出的实质性要求和条件做出响应。</w:t>
      </w:r>
    </w:p>
    <w:p w14:paraId="1285263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17.2投标人在编制投标文件时，涉及到投标人须知前附表中要求的资格审查证明文件，须上传到“资格审查材料”中。</w:t>
      </w:r>
    </w:p>
    <w:p w14:paraId="3734AC1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18.</w:t>
      </w:r>
      <w:r>
        <w:rPr>
          <w:rFonts w:hint="default" w:ascii="Times New Roman" w:hAnsi="Times New Roman" w:eastAsia="仿宋_GB2312" w:cs="Times New Roman"/>
          <w:bCs/>
          <w:color w:val="auto"/>
          <w:sz w:val="28"/>
          <w:szCs w:val="28"/>
          <w:lang w:eastAsia="zh-CN"/>
        </w:rPr>
        <w:t>投标报价</w:t>
      </w:r>
    </w:p>
    <w:p w14:paraId="3E0610C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18.1投标人报价超过招标文件规定的预算金额或者分项、分包最高限价的，其投标将被认定为投标无效。</w:t>
      </w:r>
    </w:p>
    <w:p w14:paraId="075035C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 w:eastAsia="zh-CN"/>
        </w:rPr>
        <w:t>8</w:t>
      </w:r>
      <w:r>
        <w:rPr>
          <w:rFonts w:hint="default" w:ascii="Times New Roman" w:hAnsi="Times New Roman" w:eastAsia="仿宋_GB2312" w:cs="Times New Roman"/>
          <w:bCs/>
          <w:color w:val="auto"/>
          <w:sz w:val="28"/>
          <w:szCs w:val="28"/>
          <w:lang w:eastAsia="zh-CN"/>
        </w:rPr>
        <w:t>.2投标人应在投标分项报价表上标明投标货物及相关服务的单价（如适用）和总价。</w:t>
      </w:r>
    </w:p>
    <w:p w14:paraId="4CE1C7D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 w:eastAsia="zh-CN"/>
        </w:rPr>
        <w:t>8</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投标人所报的各分项投标单价在合同履行过程中是固定不变的，不得以任何理由予以变更。任何包含价格调整要求的投标，其投标将被认定为投标无效。</w:t>
      </w:r>
    </w:p>
    <w:p w14:paraId="304375C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w:t>
      </w:r>
      <w:r>
        <w:rPr>
          <w:rFonts w:hint="default" w:ascii="Times New Roman" w:hAnsi="Times New Roman" w:eastAsia="仿宋_GB2312" w:cs="Times New Roman"/>
          <w:bCs/>
          <w:color w:val="auto"/>
          <w:sz w:val="28"/>
          <w:szCs w:val="28"/>
          <w:lang w:val="en" w:eastAsia="zh-CN"/>
        </w:rPr>
        <w:t>8</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每种货物只能有一个投标报价。采购人不接受具有附加条件的报价。</w:t>
      </w:r>
    </w:p>
    <w:p w14:paraId="25BE551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19.</w:t>
      </w:r>
      <w:r>
        <w:rPr>
          <w:rFonts w:hint="default" w:ascii="Times New Roman" w:hAnsi="Times New Roman" w:eastAsia="仿宋_GB2312" w:cs="Times New Roman"/>
          <w:bCs/>
          <w:color w:val="auto"/>
          <w:sz w:val="28"/>
          <w:szCs w:val="28"/>
          <w:lang w:eastAsia="zh-CN"/>
        </w:rPr>
        <w:t>投标货币</w:t>
      </w:r>
    </w:p>
    <w:p w14:paraId="33994BE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除非“投标人须知前附表”另有规定，投标人提供的所有货物及相关服务用人民币报价。</w:t>
      </w:r>
    </w:p>
    <w:p w14:paraId="1B826C2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20.</w:t>
      </w:r>
      <w:r>
        <w:rPr>
          <w:rFonts w:hint="default" w:ascii="Times New Roman" w:hAnsi="Times New Roman" w:eastAsia="仿宋_GB2312" w:cs="Times New Roman"/>
          <w:bCs/>
          <w:color w:val="auto"/>
          <w:sz w:val="28"/>
          <w:szCs w:val="28"/>
          <w:lang w:eastAsia="zh-CN"/>
        </w:rPr>
        <w:t>投标人资格证明文件</w:t>
      </w:r>
    </w:p>
    <w:p w14:paraId="1870C88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依据“投标人须知前附表”中的要求按“第四章”的规定提交相应的资格证明文件，作为投标文件的一部分，以证明其有资格进行投标和有能力履行合同。</w:t>
      </w:r>
    </w:p>
    <w:p w14:paraId="70EA316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21</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投标人</w:t>
      </w:r>
      <w:r>
        <w:rPr>
          <w:rFonts w:hint="default" w:ascii="Times New Roman" w:hAnsi="Times New Roman" w:eastAsia="仿宋_GB2312" w:cs="Times New Roman"/>
          <w:bCs/>
          <w:color w:val="auto"/>
          <w:sz w:val="28"/>
          <w:szCs w:val="28"/>
          <w:lang w:val="en-US" w:eastAsia="zh-CN"/>
        </w:rPr>
        <w:t>商务、</w:t>
      </w:r>
      <w:r>
        <w:rPr>
          <w:rFonts w:hint="default" w:ascii="Times New Roman" w:hAnsi="Times New Roman" w:eastAsia="仿宋_GB2312" w:cs="Times New Roman"/>
          <w:bCs/>
          <w:color w:val="auto"/>
          <w:sz w:val="28"/>
          <w:szCs w:val="28"/>
          <w:lang w:eastAsia="zh-CN"/>
        </w:rPr>
        <w:t>技术证明文件</w:t>
      </w:r>
    </w:p>
    <w:p w14:paraId="67C83F58">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21.1</w:t>
      </w:r>
      <w:r>
        <w:rPr>
          <w:rFonts w:hint="default" w:ascii="Times New Roman" w:hAnsi="Times New Roman" w:eastAsia="仿宋_GB2312" w:cs="Times New Roman"/>
          <w:bCs/>
          <w:color w:val="auto"/>
          <w:sz w:val="28"/>
          <w:szCs w:val="28"/>
          <w:lang w:val="en-US" w:eastAsia="zh-CN"/>
        </w:rPr>
        <w:t>投标人应按招标文件要求提交证明文件，证明其投标标的符合招标文件规定。</w:t>
      </w:r>
    </w:p>
    <w:p w14:paraId="4D34CF66">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21.2上款所述的证明文件，可以是文字资料、图纸和数据。</w:t>
      </w:r>
    </w:p>
    <w:p w14:paraId="1ACE97A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投标函</w:t>
      </w:r>
    </w:p>
    <w:p w14:paraId="21567A4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22.1投标人应按招标文件规定的格式和内容提交投标函。</w:t>
      </w:r>
    </w:p>
    <w:p w14:paraId="5BD6579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22.2下列任何情况发生时，按国家有关法律法规进行处理并按投标函的约定向采购人支付违约赔偿金：</w:t>
      </w:r>
    </w:p>
    <w:p w14:paraId="69717C8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）投标人在招标文件规定的投标有效期内实质上修改或撤回其投标；</w:t>
      </w:r>
    </w:p>
    <w:p w14:paraId="4D5E18C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）在投标文件中有意提供虚假材料；</w:t>
      </w:r>
    </w:p>
    <w:p w14:paraId="7C97066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）中标人拒绝在中标通知书规定的时间内签订合同。</w:t>
      </w:r>
    </w:p>
    <w:p w14:paraId="25E53FAC">
      <w:pPr>
        <w:keepNext/>
        <w:keepLines/>
        <w:widowControl w:val="0"/>
        <w:autoSpaceDE w:val="0"/>
        <w:autoSpaceDN w:val="0"/>
        <w:adjustRightInd w:val="0"/>
        <w:spacing w:line="360" w:lineRule="auto"/>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sz w:val="28"/>
          <w:szCs w:val="28"/>
          <w:lang w:eastAsia="zh-CN"/>
        </w:rPr>
        <w:t>23</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kern w:val="0"/>
          <w:sz w:val="28"/>
          <w:szCs w:val="28"/>
          <w:lang w:val="en-US" w:eastAsia="zh-CN"/>
        </w:rPr>
        <w:t>投标保证金</w:t>
      </w:r>
    </w:p>
    <w:p w14:paraId="0009F1F3">
      <w:pPr>
        <w:spacing w:line="360" w:lineRule="auto"/>
        <w:rPr>
          <w:rFonts w:hint="default" w:ascii="Times New Roman" w:hAnsi="Times New Roman" w:eastAsia="仿宋_GB2312" w:cs="Times New Roman"/>
          <w:bCs/>
          <w:color w:val="auto"/>
          <w:sz w:val="28"/>
          <w:szCs w:val="28"/>
          <w:lang w:val="en-US" w:eastAsia="zh-CN"/>
        </w:rPr>
      </w:pPr>
      <w:bookmarkStart w:id="164" w:name="_Toc975469575_WPSOffice_Level3"/>
      <w:r>
        <w:rPr>
          <w:rFonts w:hint="default" w:ascii="Times New Roman" w:hAnsi="Times New Roman" w:eastAsia="仿宋_GB2312" w:cs="Times New Roman"/>
          <w:bCs/>
          <w:color w:val="auto"/>
          <w:sz w:val="28"/>
          <w:szCs w:val="28"/>
          <w:lang w:val="en-US" w:eastAsia="zh-CN"/>
        </w:rPr>
        <w:t>本项目投标人无需提交投标保证金。</w:t>
      </w:r>
      <w:bookmarkEnd w:id="164"/>
    </w:p>
    <w:p w14:paraId="58133AF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24.</w:t>
      </w:r>
      <w:r>
        <w:rPr>
          <w:rFonts w:hint="default" w:ascii="Times New Roman" w:hAnsi="Times New Roman" w:eastAsia="仿宋_GB2312" w:cs="Times New Roman"/>
          <w:bCs/>
          <w:color w:val="auto"/>
          <w:sz w:val="28"/>
          <w:szCs w:val="28"/>
          <w:lang w:eastAsia="zh-CN"/>
        </w:rPr>
        <w:t>投标有效期</w:t>
      </w:r>
    </w:p>
    <w:p w14:paraId="652510E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.1投标文件应自招标文件规定的投标截止日起，在“投标人须知前附表”规定的时间内保持有效。投标有效期不足的投标文件无效。</w:t>
      </w:r>
    </w:p>
    <w:p w14:paraId="345CBA1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.2在特殊情况下，采购人可征求投标人同意延长投标文件的有效期。这种要求与答复均应以书面形式提交。投标人可以拒绝这种要求，原有效期到期后</w:t>
      </w:r>
      <w:r>
        <w:rPr>
          <w:rFonts w:hint="default" w:ascii="Times New Roman" w:hAnsi="Times New Roman" w:eastAsia="仿宋_GB2312" w:cs="Times New Roman"/>
          <w:bCs/>
          <w:color w:val="auto"/>
          <w:sz w:val="28"/>
          <w:szCs w:val="28"/>
          <w:lang w:val="zh-CN" w:eastAsia="zh-CN"/>
        </w:rPr>
        <w:t>其投标文件失效</w:t>
      </w:r>
      <w:r>
        <w:rPr>
          <w:rFonts w:hint="default" w:ascii="Times New Roman" w:hAnsi="Times New Roman" w:eastAsia="仿宋_GB2312" w:cs="Times New Roman"/>
          <w:bCs/>
          <w:color w:val="auto"/>
          <w:sz w:val="28"/>
          <w:szCs w:val="28"/>
          <w:lang w:eastAsia="zh-CN"/>
        </w:rPr>
        <w:t>。同意延期的投标人将不会被要求也不允许修改其投标文件，</w:t>
      </w:r>
      <w:r>
        <w:rPr>
          <w:rFonts w:hint="default" w:ascii="Times New Roman" w:hAnsi="Times New Roman" w:eastAsia="仿宋_GB2312" w:cs="Times New Roman"/>
          <w:bCs/>
          <w:color w:val="auto"/>
          <w:sz w:val="28"/>
          <w:szCs w:val="28"/>
          <w:lang w:val="zh-CN" w:eastAsia="zh-CN"/>
        </w:rPr>
        <w:t>其投标文件</w:t>
      </w:r>
      <w:r>
        <w:rPr>
          <w:rFonts w:hint="default" w:ascii="Times New Roman" w:hAnsi="Times New Roman" w:eastAsia="仿宋_GB2312" w:cs="Times New Roman"/>
          <w:bCs/>
          <w:color w:val="auto"/>
          <w:sz w:val="28"/>
          <w:szCs w:val="28"/>
          <w:lang w:eastAsia="zh-CN"/>
        </w:rPr>
        <w:t>相应延长到新的有效期。</w:t>
      </w:r>
    </w:p>
    <w:p w14:paraId="7E041EE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25.</w:t>
      </w:r>
      <w:r>
        <w:rPr>
          <w:rFonts w:hint="default" w:ascii="Times New Roman" w:hAnsi="Times New Roman" w:eastAsia="仿宋_GB2312" w:cs="Times New Roman"/>
          <w:bCs/>
          <w:color w:val="auto"/>
          <w:sz w:val="28"/>
          <w:szCs w:val="28"/>
          <w:lang w:eastAsia="zh-CN"/>
        </w:rPr>
        <w:t>投标文件形式和签署</w:t>
      </w:r>
    </w:p>
    <w:p w14:paraId="3895E74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.1投标人须在投标截止时间前制作并提交加密的电子投标文件。</w:t>
      </w:r>
    </w:p>
    <w:p w14:paraId="61B1F20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投标人可登录“河南省公共资源交易中心（hnsggzyjy.henan.gov.cn）”网站查看公共服务—办事指南—</w:t>
      </w:r>
      <w:r>
        <w:rPr>
          <w:rFonts w:hint="default" w:ascii="Times New Roman" w:hAnsi="Times New Roman" w:eastAsia="仿宋_GB2312" w:cs="Times New Roman"/>
          <w:bCs/>
          <w:color w:val="auto"/>
          <w:sz w:val="28"/>
          <w:szCs w:val="28"/>
          <w:lang w:val="en-US" w:eastAsia="zh-CN"/>
        </w:rPr>
        <w:t>新交易平台使用手册（培训资料）</w:t>
      </w:r>
      <w:r>
        <w:rPr>
          <w:rFonts w:hint="default" w:ascii="Times New Roman" w:hAnsi="Times New Roman" w:eastAsia="仿宋_GB2312" w:cs="Times New Roman"/>
          <w:bCs/>
          <w:color w:val="auto"/>
          <w:sz w:val="28"/>
          <w:szCs w:val="28"/>
          <w:lang w:eastAsia="zh-CN"/>
        </w:rPr>
        <w:t>。</w:t>
      </w:r>
    </w:p>
    <w:p w14:paraId="30019A5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val="zh-CN" w:eastAsia="zh-CN"/>
        </w:rPr>
        <w:t>投标人在制作电子投标文件时，按格式内容要求进行电子签章（包括企业电子签章、个人电子签章）</w:t>
      </w:r>
      <w:r>
        <w:rPr>
          <w:rFonts w:hint="default" w:ascii="Times New Roman" w:hAnsi="Times New Roman" w:eastAsia="仿宋_GB2312" w:cs="Times New Roman"/>
          <w:bCs/>
          <w:color w:val="auto"/>
          <w:sz w:val="28"/>
          <w:szCs w:val="28"/>
          <w:lang w:eastAsia="zh-CN"/>
        </w:rPr>
        <w:t>。</w:t>
      </w:r>
    </w:p>
    <w:p w14:paraId="285EB50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投标人在制作电子投标文件时，开标一览表按照格式编辑，并作为电子开标系统上传的依据。</w:t>
      </w:r>
    </w:p>
    <w:p w14:paraId="14BC497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投标文件以外的任何资料采购人和集中采购机构将拒收。</w:t>
      </w:r>
    </w:p>
    <w:p w14:paraId="4D92541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其他形式的投标文件一律不接受。</w:t>
      </w:r>
    </w:p>
    <w:p w14:paraId="09FD6B04">
      <w:pPr>
        <w:pStyle w:val="21"/>
        <w:rPr>
          <w:rFonts w:hint="default" w:ascii="Times New Roman" w:hAnsi="Times New Roman" w:cs="Times New Roman"/>
          <w:bCs/>
          <w:lang w:eastAsia="zh-CN"/>
        </w:rPr>
      </w:pPr>
    </w:p>
    <w:p w14:paraId="0E9597B2">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65" w:name="_Toc99171812"/>
      <w:bookmarkStart w:id="166" w:name="_Toc814900001_WPSOffice_Level2"/>
      <w:bookmarkStart w:id="167" w:name="_Toc1446727086"/>
      <w:bookmarkStart w:id="168" w:name="_Toc340063481"/>
      <w:bookmarkStart w:id="169" w:name="_Toc1958475392"/>
      <w:bookmarkStart w:id="170" w:name="_Toc99139981"/>
      <w:bookmarkStart w:id="171" w:name="_Toc477778366"/>
      <w:bookmarkStart w:id="172" w:name="_Toc2066227387"/>
      <w:bookmarkStart w:id="173" w:name="_Toc269831806"/>
      <w:bookmarkStart w:id="174" w:name="_Toc1602167768_WPSOffice_Level2"/>
      <w:bookmarkStart w:id="175" w:name="_Toc689398289_WPSOffice_Level2"/>
      <w:bookmarkStart w:id="176" w:name="_Toc1517317572"/>
      <w:r>
        <w:rPr>
          <w:rFonts w:hint="default" w:ascii="Times New Roman" w:hAnsi="Times New Roman" w:eastAsia="方正小标宋_GBK" w:cs="Times New Roman"/>
          <w:bCs/>
          <w:color w:val="auto"/>
          <w:kern w:val="0"/>
          <w:sz w:val="30"/>
          <w:szCs w:val="30"/>
          <w:lang w:val="en-US" w:eastAsia="zh-CN"/>
        </w:rPr>
        <w:t>四、投标文件的上传</w:t>
      </w:r>
      <w:bookmarkEnd w:id="165"/>
      <w:bookmarkEnd w:id="166"/>
      <w:bookmarkEnd w:id="167"/>
      <w:bookmarkEnd w:id="168"/>
      <w:bookmarkEnd w:id="169"/>
      <w:bookmarkEnd w:id="170"/>
      <w:bookmarkEnd w:id="171"/>
      <w:bookmarkEnd w:id="172"/>
      <w:bookmarkEnd w:id="173"/>
      <w:bookmarkEnd w:id="174"/>
      <w:bookmarkEnd w:id="175"/>
      <w:bookmarkEnd w:id="176"/>
    </w:p>
    <w:p w14:paraId="75A6ACD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.投标文件的上传</w:t>
      </w:r>
    </w:p>
    <w:p w14:paraId="19E759C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.1加密电子投标文件的上传：见“投标人须知前附表”。</w:t>
      </w:r>
    </w:p>
    <w:p w14:paraId="67C83E1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45BB2DB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27.</w:t>
      </w:r>
      <w:r>
        <w:rPr>
          <w:rFonts w:hint="default" w:ascii="Times New Roman" w:hAnsi="Times New Roman" w:eastAsia="仿宋_GB2312" w:cs="Times New Roman"/>
          <w:bCs/>
          <w:color w:val="auto"/>
          <w:sz w:val="28"/>
          <w:szCs w:val="28"/>
          <w:lang w:eastAsia="zh-CN"/>
        </w:rPr>
        <w:t>投标截止时间</w:t>
      </w:r>
    </w:p>
    <w:p w14:paraId="2ECDD05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.1投标人应在“投标人须知前附表”规定的投标截止时间前上传投标文件。</w:t>
      </w:r>
    </w:p>
    <w:p w14:paraId="772E9C6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.2采购人和集中采购机构可以按本章第12条规定，通过修改招标文件自行决定酌情延长投标截止期限。</w:t>
      </w:r>
    </w:p>
    <w:p w14:paraId="6370BA1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28.</w:t>
      </w:r>
      <w:r>
        <w:rPr>
          <w:rFonts w:hint="default" w:ascii="Times New Roman" w:hAnsi="Times New Roman" w:eastAsia="仿宋_GB2312" w:cs="Times New Roman"/>
          <w:bCs/>
          <w:color w:val="auto"/>
          <w:sz w:val="28"/>
          <w:szCs w:val="28"/>
          <w:lang w:eastAsia="zh-CN"/>
        </w:rPr>
        <w:t>迟交的投标文件</w:t>
      </w:r>
    </w:p>
    <w:p w14:paraId="7EAFC47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投标人在投标截止时间后上传的投标文件，将被拒绝。</w:t>
      </w:r>
    </w:p>
    <w:p w14:paraId="0FF0A4D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29.</w:t>
      </w:r>
      <w:r>
        <w:rPr>
          <w:rFonts w:hint="default" w:ascii="Times New Roman" w:hAnsi="Times New Roman" w:eastAsia="仿宋_GB2312" w:cs="Times New Roman"/>
          <w:bCs/>
          <w:color w:val="auto"/>
          <w:sz w:val="28"/>
          <w:szCs w:val="28"/>
          <w:lang w:eastAsia="zh-CN"/>
        </w:rPr>
        <w:t>投标文件的修改和撤回</w:t>
      </w:r>
    </w:p>
    <w:p w14:paraId="23B9C1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.1在投标截止时间前，投标人可以修改或撤回已上传的投标文件。</w:t>
      </w:r>
    </w:p>
    <w:p w14:paraId="138A62B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.2在投标截止时间后，投标人不得修改或撤回其投标文件。</w:t>
      </w:r>
    </w:p>
    <w:p w14:paraId="363737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.3在招标文件规定的投标有效期内，投标人不得实质上修改或撤回其投标。</w:t>
      </w:r>
    </w:p>
    <w:p w14:paraId="7B897BD6">
      <w:pPr>
        <w:pStyle w:val="21"/>
        <w:rPr>
          <w:rFonts w:hint="default" w:ascii="Times New Roman" w:hAnsi="Times New Roman" w:cs="Times New Roman"/>
          <w:bCs/>
          <w:lang w:eastAsia="zh-CN"/>
        </w:rPr>
      </w:pPr>
    </w:p>
    <w:p w14:paraId="128E0046">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77" w:name="_Toc960388964"/>
      <w:bookmarkStart w:id="178" w:name="_Toc1239968650"/>
      <w:bookmarkStart w:id="179" w:name="_Toc1130786219"/>
      <w:bookmarkStart w:id="180" w:name="_Toc1744903856_WPSOffice_Level2"/>
      <w:bookmarkStart w:id="181" w:name="_Toc516757662_WPSOffice_Level2"/>
      <w:bookmarkStart w:id="182" w:name="_Toc874621790"/>
      <w:bookmarkStart w:id="183" w:name="_Toc1550393937_WPSOffice_Level2"/>
      <w:bookmarkStart w:id="184" w:name="_Toc516778272"/>
      <w:bookmarkStart w:id="185" w:name="_Toc1288741030"/>
      <w:bookmarkStart w:id="186" w:name="_Toc1109071882"/>
      <w:bookmarkStart w:id="187" w:name="_Toc705042226"/>
      <w:bookmarkStart w:id="188" w:name="_Toc229139457"/>
      <w:r>
        <w:rPr>
          <w:rFonts w:hint="default" w:ascii="Times New Roman" w:hAnsi="Times New Roman" w:eastAsia="方正小标宋_GBK" w:cs="Times New Roman"/>
          <w:bCs/>
          <w:color w:val="auto"/>
          <w:kern w:val="0"/>
          <w:sz w:val="30"/>
          <w:szCs w:val="30"/>
          <w:lang w:val="en-US" w:eastAsia="zh-CN"/>
        </w:rPr>
        <w:t>五、开标与评标</w:t>
      </w:r>
      <w:bookmarkEnd w:id="177"/>
      <w:bookmarkEnd w:id="178"/>
      <w:bookmarkEnd w:id="179"/>
      <w:bookmarkEnd w:id="180"/>
      <w:bookmarkEnd w:id="181"/>
      <w:bookmarkEnd w:id="182"/>
      <w:bookmarkEnd w:id="183"/>
      <w:bookmarkEnd w:id="184"/>
      <w:bookmarkEnd w:id="185"/>
      <w:bookmarkEnd w:id="186"/>
      <w:bookmarkEnd w:id="187"/>
      <w:bookmarkEnd w:id="188"/>
    </w:p>
    <w:p w14:paraId="5AAB14E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.开标</w:t>
      </w:r>
    </w:p>
    <w:p w14:paraId="6D0FDAA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.1开标及解密方式：见“投标人须知前附表”。</w:t>
      </w:r>
    </w:p>
    <w:p w14:paraId="693E1A6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.2不见面开标大厅网址：见“投标人须知前附表”。</w:t>
      </w:r>
    </w:p>
    <w:p w14:paraId="11E344D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.3开标时间和开标地点：见“投标人须知前附表”。</w:t>
      </w:r>
    </w:p>
    <w:p w14:paraId="417E807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30</w:t>
      </w:r>
      <w:r>
        <w:rPr>
          <w:rFonts w:hint="default" w:ascii="Times New Roman" w:hAnsi="Times New Roman" w:eastAsia="仿宋_GB2312" w:cs="Times New Roman"/>
          <w:bCs/>
          <w:color w:val="auto"/>
          <w:sz w:val="28"/>
          <w:szCs w:val="28"/>
          <w:lang w:eastAsia="zh-CN"/>
        </w:rPr>
        <w:t>.4开标时，集中采购机构将通过网上开标系统公布投标人名称、投标价格以及其它有关内容。</w:t>
      </w:r>
    </w:p>
    <w:p w14:paraId="0A4103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31.</w:t>
      </w:r>
      <w:r>
        <w:rPr>
          <w:rFonts w:hint="default" w:ascii="Times New Roman" w:hAnsi="Times New Roman" w:eastAsia="仿宋_GB2312" w:cs="Times New Roman"/>
          <w:bCs/>
          <w:color w:val="auto"/>
          <w:sz w:val="28"/>
          <w:szCs w:val="28"/>
          <w:lang w:eastAsia="zh-CN"/>
        </w:rPr>
        <w:t>资格审查</w:t>
      </w:r>
    </w:p>
    <w:p w14:paraId="335442D6">
      <w:pPr>
        <w:spacing w:line="360" w:lineRule="auto"/>
        <w:rPr>
          <w:rFonts w:hint="default" w:ascii="Times New Roman" w:hAnsi="Times New Roman" w:eastAsia="仿宋_GB2312" w:cs="Times New Roman"/>
          <w:bCs/>
          <w:color w:val="auto"/>
          <w:sz w:val="28"/>
          <w:szCs w:val="28"/>
          <w:lang w:eastAsia="zh-CN"/>
        </w:rPr>
      </w:pPr>
      <w:bookmarkStart w:id="189" w:name="_Toc1584989513_WPSOffice_Level3"/>
      <w:bookmarkStart w:id="190" w:name="_Toc694141672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.1开标结束后，采购人对投标人的资格进行审查。</w:t>
      </w:r>
      <w:bookmarkEnd w:id="189"/>
      <w:bookmarkEnd w:id="190"/>
    </w:p>
    <w:p w14:paraId="15B74AD7">
      <w:pPr>
        <w:spacing w:line="360" w:lineRule="auto"/>
        <w:rPr>
          <w:rFonts w:hint="default" w:ascii="Times New Roman" w:hAnsi="Times New Roman" w:eastAsia="仿宋_GB2312" w:cs="Times New Roman"/>
          <w:bCs/>
          <w:color w:val="auto"/>
          <w:sz w:val="28"/>
          <w:szCs w:val="28"/>
          <w:lang w:eastAsia="zh-CN"/>
        </w:rPr>
      </w:pPr>
      <w:bookmarkStart w:id="191" w:name="_Toc1693296442_WPSOffice_Level3"/>
      <w:bookmarkStart w:id="192" w:name="_Toc1493406836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.2合格投标人不足3家的，不得评标。</w:t>
      </w:r>
      <w:bookmarkEnd w:id="191"/>
      <w:bookmarkEnd w:id="192"/>
    </w:p>
    <w:p w14:paraId="162D8DD9">
      <w:pPr>
        <w:spacing w:line="360" w:lineRule="auto"/>
        <w:rPr>
          <w:rFonts w:hint="default" w:ascii="Times New Roman" w:hAnsi="Times New Roman" w:eastAsia="仿宋_GB2312" w:cs="Times New Roman"/>
          <w:bCs/>
          <w:color w:val="auto"/>
          <w:sz w:val="28"/>
          <w:szCs w:val="28"/>
          <w:lang w:eastAsia="zh-CN"/>
        </w:rPr>
      </w:pPr>
      <w:bookmarkStart w:id="193" w:name="_Toc1285333830_WPSOffice_Level3"/>
      <w:bookmarkStart w:id="194" w:name="_Toc1971674233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.3资格审查标准见“投标人须知前附表”。</w:t>
      </w:r>
      <w:bookmarkEnd w:id="193"/>
      <w:bookmarkEnd w:id="194"/>
    </w:p>
    <w:p w14:paraId="138EF6FF">
      <w:pPr>
        <w:spacing w:line="360" w:lineRule="auto"/>
        <w:rPr>
          <w:rFonts w:hint="default" w:ascii="Times New Roman" w:hAnsi="Times New Roman" w:eastAsia="仿宋_GB2312" w:cs="Times New Roman"/>
          <w:bCs/>
          <w:color w:val="auto"/>
          <w:sz w:val="28"/>
          <w:szCs w:val="28"/>
          <w:lang w:eastAsia="zh-CN"/>
        </w:rPr>
      </w:pPr>
      <w:bookmarkStart w:id="195" w:name="_Toc1102086292_WPSOffice_Level3"/>
      <w:bookmarkStart w:id="196" w:name="_Toc468577997_WPSOffice_Level3"/>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.4 信用记录的查询方法：见“投标人须知前附表”。</w:t>
      </w:r>
      <w:bookmarkEnd w:id="195"/>
      <w:bookmarkEnd w:id="196"/>
    </w:p>
    <w:p w14:paraId="033B98E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.评标委员会</w:t>
      </w:r>
    </w:p>
    <w:p w14:paraId="5A4CE27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1评标由评标委员会负责，评标委员会由采购人代表和有关技术、经济等方面的专家组成，成员人数见“投标人须知前附表”。其中技术、经济等方面的专家不少于成员总数的三分之二。评审专家由采购人从河南省财政厅政府采购专家库中</w:t>
      </w:r>
      <w:r>
        <w:rPr>
          <w:rFonts w:hint="default" w:ascii="Times New Roman" w:hAnsi="Times New Roman" w:eastAsia="仿宋_GB2312" w:cs="Times New Roman"/>
          <w:bCs/>
          <w:color w:val="auto"/>
          <w:sz w:val="28"/>
          <w:szCs w:val="28"/>
          <w:lang w:val="en-US" w:eastAsia="zh-CN"/>
        </w:rPr>
        <w:t>提交</w:t>
      </w:r>
      <w:r>
        <w:rPr>
          <w:rFonts w:hint="default" w:ascii="Times New Roman" w:hAnsi="Times New Roman" w:eastAsia="仿宋_GB2312" w:cs="Times New Roman"/>
          <w:bCs/>
          <w:color w:val="auto"/>
          <w:sz w:val="28"/>
          <w:szCs w:val="28"/>
          <w:lang w:eastAsia="zh-CN"/>
        </w:rPr>
        <w:t>抽取</w:t>
      </w:r>
      <w:r>
        <w:rPr>
          <w:rFonts w:hint="default" w:ascii="Times New Roman" w:hAnsi="Times New Roman" w:eastAsia="仿宋_GB2312" w:cs="Times New Roman"/>
          <w:bCs/>
          <w:color w:val="auto"/>
          <w:sz w:val="28"/>
          <w:szCs w:val="28"/>
          <w:lang w:val="en-US" w:eastAsia="zh-CN"/>
        </w:rPr>
        <w:t>申请</w:t>
      </w:r>
      <w:r>
        <w:rPr>
          <w:rFonts w:hint="default" w:ascii="Times New Roman" w:hAnsi="Times New Roman" w:eastAsia="仿宋_GB2312" w:cs="Times New Roman"/>
          <w:bCs/>
          <w:color w:val="auto"/>
          <w:sz w:val="28"/>
          <w:szCs w:val="28"/>
          <w:lang w:eastAsia="zh-CN"/>
        </w:rPr>
        <w:t>，有关人员对评标委员会成员名单须严格保密。</w:t>
      </w:r>
    </w:p>
    <w:p w14:paraId="2384973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.2与投标人有利害关系的人员不得进入评标委员会。</w:t>
      </w:r>
    </w:p>
    <w:p w14:paraId="0EFFE47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33.</w:t>
      </w:r>
      <w:r>
        <w:rPr>
          <w:rFonts w:hint="default" w:ascii="Times New Roman" w:hAnsi="Times New Roman" w:eastAsia="仿宋_GB2312" w:cs="Times New Roman"/>
          <w:bCs/>
          <w:color w:val="auto"/>
          <w:sz w:val="28"/>
          <w:szCs w:val="28"/>
          <w:lang w:eastAsia="zh-CN"/>
        </w:rPr>
        <w:t>投标文件的澄清</w:t>
      </w:r>
    </w:p>
    <w:p w14:paraId="1A84348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.1为了有助于对投标文件进行审查、评估和比较，评标委员会有权向投标人</w:t>
      </w:r>
      <w:r>
        <w:rPr>
          <w:rFonts w:hint="default" w:ascii="Times New Roman" w:hAnsi="Times New Roman" w:eastAsia="仿宋_GB2312" w:cs="Times New Roman"/>
          <w:bCs/>
          <w:color w:val="auto"/>
          <w:sz w:val="28"/>
          <w:szCs w:val="28"/>
          <w:lang w:val="en-US" w:eastAsia="zh-CN"/>
        </w:rPr>
        <w:t>提出澄清</w:t>
      </w:r>
      <w:r>
        <w:rPr>
          <w:rFonts w:hint="default" w:ascii="Times New Roman" w:hAnsi="Times New Roman" w:eastAsia="仿宋_GB2312" w:cs="Times New Roman"/>
          <w:bCs/>
          <w:color w:val="auto"/>
          <w:sz w:val="28"/>
          <w:szCs w:val="28"/>
          <w:lang w:eastAsia="zh-CN"/>
        </w:rPr>
        <w:t>，请投标人澄清其投标内容。</w:t>
      </w:r>
    </w:p>
    <w:p w14:paraId="1752DC6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.2澄清的答复应加盖投标人公章（或企业电子签章）或由法定代表人（或其委托代理人）签字或签章（或个人电子签章）。</w:t>
      </w:r>
    </w:p>
    <w:p w14:paraId="6836A3D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.3投标人的澄清文件是投标文件的组成部分。</w:t>
      </w:r>
    </w:p>
    <w:p w14:paraId="0D24726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.4投标文件的澄清不得对投标内容进行实质性修改。</w:t>
      </w:r>
    </w:p>
    <w:p w14:paraId="6D27480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sz w:val="28"/>
          <w:szCs w:val="28"/>
          <w:lang w:val="en-US" w:eastAsia="zh-CN"/>
        </w:rPr>
        <w:t>33.5投标人所出具的《关于符合本国产品标准的声明函》内容含义不明确、同类事项与投标（响应）文件表述不一致或者有明显文字错误等情况的，</w:t>
      </w:r>
      <w:r>
        <w:rPr>
          <w:rFonts w:hint="default" w:ascii="Times New Roman" w:hAnsi="Times New Roman" w:eastAsia="仿宋_GB2312" w:cs="Times New Roman"/>
          <w:bCs/>
          <w:sz w:val="28"/>
          <w:szCs w:val="28"/>
          <w:lang w:eastAsia="zh-CN"/>
        </w:rPr>
        <w:t>评标委员会</w:t>
      </w:r>
      <w:r>
        <w:rPr>
          <w:rFonts w:hint="default" w:ascii="Times New Roman" w:hAnsi="Times New Roman" w:eastAsia="仿宋_GB2312" w:cs="Times New Roman"/>
          <w:bCs/>
          <w:sz w:val="28"/>
          <w:szCs w:val="28"/>
          <w:lang w:val="en-US" w:eastAsia="zh-CN"/>
        </w:rPr>
        <w:t>应当要求投标人作出必要的澄清、说明或者补正。经澄清、说明或者补正的《关于符合本国产品标准的声明函》仍然不符合《国务院办公厅关于在政府采购中实施本国产品标准及相关政策的通知》（国办发〔2025〕34号）规定要求的，投标人提供的相关产品视为不符合本国产品标准。</w:t>
      </w:r>
    </w:p>
    <w:p w14:paraId="64BD4FA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34.</w:t>
      </w:r>
      <w:r>
        <w:rPr>
          <w:rFonts w:hint="default" w:ascii="Times New Roman" w:hAnsi="Times New Roman" w:eastAsia="仿宋_GB2312" w:cs="Times New Roman"/>
          <w:bCs/>
          <w:color w:val="auto"/>
          <w:sz w:val="28"/>
          <w:szCs w:val="28"/>
          <w:lang w:eastAsia="zh-CN"/>
        </w:rPr>
        <w:t>投标文件的符合性审查</w:t>
      </w:r>
    </w:p>
    <w:p w14:paraId="183AA9D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.1评标委员会将审查投标文件是否实质上响应招标文件。通过</w:t>
      </w:r>
      <w:r>
        <w:rPr>
          <w:rFonts w:hint="default" w:ascii="Times New Roman" w:hAnsi="Times New Roman" w:eastAsia="仿宋_GB2312" w:cs="Times New Roman"/>
          <w:bCs/>
          <w:color w:val="auto"/>
          <w:sz w:val="28"/>
          <w:szCs w:val="28"/>
          <w:lang w:val="en-US" w:eastAsia="zh-CN"/>
        </w:rPr>
        <w:t>符合性审查的</w:t>
      </w:r>
      <w:r>
        <w:rPr>
          <w:rFonts w:hint="default" w:ascii="Times New Roman" w:hAnsi="Times New Roman" w:eastAsia="仿宋_GB2312" w:cs="Times New Roman"/>
          <w:bCs/>
          <w:color w:val="auto"/>
          <w:sz w:val="28"/>
          <w:szCs w:val="28"/>
          <w:lang w:eastAsia="zh-CN"/>
        </w:rPr>
        <w:t>合格投标人不足3家的，</w:t>
      </w:r>
      <w:r>
        <w:rPr>
          <w:rFonts w:hint="default" w:ascii="Times New Roman" w:hAnsi="Times New Roman" w:eastAsia="仿宋_GB2312" w:cs="Times New Roman"/>
          <w:bCs/>
          <w:color w:val="auto"/>
          <w:sz w:val="28"/>
          <w:szCs w:val="28"/>
          <w:lang w:val="en-US" w:eastAsia="zh-CN"/>
        </w:rPr>
        <w:t>项目废标</w:t>
      </w:r>
      <w:r>
        <w:rPr>
          <w:rFonts w:hint="default" w:ascii="Times New Roman" w:hAnsi="Times New Roman" w:eastAsia="仿宋_GB2312" w:cs="Times New Roman"/>
          <w:bCs/>
          <w:color w:val="auto"/>
          <w:sz w:val="28"/>
          <w:szCs w:val="28"/>
          <w:lang w:eastAsia="zh-CN"/>
        </w:rPr>
        <w:t>。</w:t>
      </w:r>
    </w:p>
    <w:p w14:paraId="499C426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.2允许修正投标文件中不构成重大偏离的、微小的、非正规的、不一致或不规则的地方。</w:t>
      </w:r>
    </w:p>
    <w:p w14:paraId="0D3F55A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.3在对投标文件进行详细评</w:t>
      </w:r>
      <w:r>
        <w:rPr>
          <w:rFonts w:hint="default" w:ascii="Times New Roman" w:hAnsi="Times New Roman" w:eastAsia="仿宋_GB2312" w:cs="Times New Roman"/>
          <w:bCs/>
          <w:color w:val="auto"/>
          <w:sz w:val="28"/>
          <w:szCs w:val="28"/>
          <w:lang w:val="en-US" w:eastAsia="zh-CN"/>
        </w:rPr>
        <w:t>审</w:t>
      </w:r>
      <w:r>
        <w:rPr>
          <w:rFonts w:hint="default" w:ascii="Times New Roman" w:hAnsi="Times New Roman" w:eastAsia="仿宋_GB2312" w:cs="Times New Roman"/>
          <w:bCs/>
          <w:color w:val="auto"/>
          <w:sz w:val="28"/>
          <w:szCs w:val="28"/>
          <w:lang w:eastAsia="zh-CN"/>
        </w:rPr>
        <w:t>之前，评标委员会将确定</w:t>
      </w:r>
      <w:r>
        <w:rPr>
          <w:rFonts w:hint="default" w:ascii="Times New Roman" w:hAnsi="Times New Roman" w:eastAsia="仿宋_GB2312" w:cs="Times New Roman"/>
          <w:bCs/>
          <w:color w:val="auto"/>
          <w:sz w:val="28"/>
          <w:szCs w:val="28"/>
          <w:lang w:val="en-US" w:eastAsia="zh-CN"/>
        </w:rPr>
        <w:t>投标文件</w:t>
      </w:r>
      <w:r>
        <w:rPr>
          <w:rFonts w:hint="default" w:ascii="Times New Roman" w:hAnsi="Times New Roman" w:eastAsia="仿宋_GB2312" w:cs="Times New Roman"/>
          <w:bCs/>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交货期、质量保证期、投标有效期、付款方式等产生重大或不可接受的偏差，或限制了集中采购机构、采购人的权利和投标人的义务的规定，而纠正这些偏离将影响到其它提交实质性响应投标的投标人的公平竞争地位。</w:t>
      </w:r>
    </w:p>
    <w:p w14:paraId="0DDC2E4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.4评标委员会判断投标文件的响应性仅基于投标文件本身内容而不靠外部证据。</w:t>
      </w:r>
    </w:p>
    <w:p w14:paraId="2460516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.5实质上没有响应招标文件要求的投标文件无效，投标人不得通过修正或撤消不符之处而使其投标成为实质上响应投标。</w:t>
      </w:r>
    </w:p>
    <w:p w14:paraId="2B0093DF">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.6</w:t>
      </w:r>
      <w:r>
        <w:rPr>
          <w:rFonts w:hint="default" w:ascii="Times New Roman" w:hAnsi="Times New Roman" w:eastAsia="仿宋_GB2312" w:cs="Times New Roman"/>
          <w:bCs/>
          <w:color w:val="auto"/>
          <w:sz w:val="28"/>
          <w:szCs w:val="28"/>
          <w:lang w:val="en-US" w:eastAsia="zh-CN"/>
        </w:rPr>
        <w:t>参与同一个标段（包）的投标人存在下列情形之一的，其投标（响应）文件无效：</w:t>
      </w:r>
    </w:p>
    <w:p w14:paraId="6B48CC4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（1）不同投标人的电子投标（响应）文件上传计算机的网卡MAC地址、CPU序列号和硬盘序列号等硬件信息相同的；</w:t>
      </w:r>
    </w:p>
    <w:p w14:paraId="6E8F4A9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（2）不同投标人的投标（响应）文件由同一电子设备编制、加密或者上传；</w:t>
      </w:r>
    </w:p>
    <w:p w14:paraId="47E3BC8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（3）不同投标人的投标（响应）文件由同一人送达或者分发，或者不同投标人联系人为同一人或不同联系人的联系电话一致的；</w:t>
      </w:r>
    </w:p>
    <w:p w14:paraId="5DA1552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（4）不同投标人的投标（响应）文件的内容存在两处以上专有细节错误一致；</w:t>
      </w:r>
    </w:p>
    <w:p w14:paraId="70D9A415">
      <w:pPr>
        <w:spacing w:line="360" w:lineRule="auto"/>
        <w:rPr>
          <w:rFonts w:hint="default" w:ascii="Times New Roman" w:hAnsi="Times New Roman" w:eastAsia="仿宋_GB2312" w:cs="Times New Roman"/>
          <w:bCs/>
          <w:color w:val="auto"/>
          <w:sz w:val="28"/>
          <w:szCs w:val="28"/>
          <w:lang w:val="en-US"/>
        </w:rPr>
      </w:pPr>
      <w:r>
        <w:rPr>
          <w:rFonts w:hint="default" w:ascii="Times New Roman" w:hAnsi="Times New Roman" w:eastAsia="仿宋_GB2312" w:cs="Times New Roman"/>
          <w:bCs/>
          <w:color w:val="auto"/>
          <w:sz w:val="28"/>
          <w:szCs w:val="28"/>
          <w:lang w:val="en-US"/>
        </w:rPr>
        <w:t>（5）其它涉嫌串通的情形。</w:t>
      </w:r>
    </w:p>
    <w:p w14:paraId="6AB414E6">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34.7有下列情形之一的，视为投标人串通投标，其投标无效：</w:t>
      </w:r>
    </w:p>
    <w:p w14:paraId="44DA41D7">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（1）不同投标人的投标文件由同一单位或者个人编制；</w:t>
      </w:r>
    </w:p>
    <w:p w14:paraId="15FDF12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（2）不同投标人委托同一单位或者个人办理投标事宜；</w:t>
      </w:r>
    </w:p>
    <w:p w14:paraId="3400E87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（3）不同投标人的投标文件载明的项目管理成员或者联系人员为同一人；</w:t>
      </w:r>
    </w:p>
    <w:p w14:paraId="4F3B43D9">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（4）不同投标人的投标文件异常一致或者投标报价呈规律性差异；</w:t>
      </w:r>
    </w:p>
    <w:p w14:paraId="1044A997">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（5）不同投标人的投标文件相互混装；</w:t>
      </w:r>
    </w:p>
    <w:p w14:paraId="25C0249A">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（6）不同投标人的投标保证金从同一单位或者个人的账户转出。</w:t>
      </w:r>
    </w:p>
    <w:p w14:paraId="11BE226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.投标的评价</w:t>
      </w:r>
    </w:p>
    <w:p w14:paraId="62A29D3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.1投标文件报价出现前后不一致的，按照下列规定修正：</w:t>
      </w:r>
    </w:p>
    <w:p w14:paraId="7942FAA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（1）投标文件中开标一览表（报价表）内容与投标文件中相应内容不一致的，以开标一览表（报价表）为准；</w:t>
      </w:r>
    </w:p>
    <w:p w14:paraId="5BFC5B3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（2）大写金额和小写金额不一致的，以大写金额为准；</w:t>
      </w:r>
    </w:p>
    <w:p w14:paraId="56F8D62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（3）单价金额小数点或者百分比有明显错位的，以开标一览表的总价为准，并修改单价；</w:t>
      </w:r>
    </w:p>
    <w:p w14:paraId="0BA2B84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（4）总价金额与按单价汇总金额不一致的，以单价金额计算结果为准。</w:t>
      </w:r>
    </w:p>
    <w:p w14:paraId="2BECBDC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同时出现两种以上不一致的，按照前款规定的顺序修正。修正后的报价经投标人确认后产生约束力，投标人不确认的，其投标无效。</w:t>
      </w:r>
    </w:p>
    <w:p w14:paraId="740ACB91">
      <w:pPr>
        <w:spacing w:line="360" w:lineRule="auto"/>
        <w:ind w:firstLine="0" w:firstLineChars="0"/>
        <w:rPr>
          <w:rFonts w:hint="default" w:ascii="Times New Roman" w:hAnsi="Times New Roman" w:eastAsia="仿宋_GB2312" w:cs="Times New Roman"/>
          <w:strike w:val="0"/>
          <w:dstrike w:val="0"/>
          <w:color w:val="auto"/>
          <w:sz w:val="28"/>
          <w:szCs w:val="28"/>
          <w:highlight w:val="green"/>
          <w:lang w:val="en-US"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.2</w:t>
      </w:r>
      <w:r>
        <w:rPr>
          <w:rFonts w:hint="default" w:ascii="Times New Roman" w:hAnsi="Times New Roman" w:eastAsia="仿宋_GB2312" w:cs="Times New Roman"/>
          <w:strike w:val="0"/>
          <w:dstrike w:val="0"/>
          <w:color w:val="auto"/>
          <w:sz w:val="28"/>
          <w:szCs w:val="28"/>
          <w:highlight w:val="none"/>
          <w:lang w:val="en" w:eastAsia="zh-CN"/>
        </w:rPr>
        <w:t>根据</w:t>
      </w:r>
      <w:r>
        <w:rPr>
          <w:rFonts w:hint="default" w:ascii="Times New Roman" w:hAnsi="Times New Roman" w:eastAsia="仿宋_GB2312" w:cs="Times New Roman"/>
          <w:strike w:val="0"/>
          <w:dstrike w:val="0"/>
          <w:color w:val="auto"/>
          <w:sz w:val="28"/>
          <w:szCs w:val="28"/>
          <w:highlight w:val="none"/>
          <w:lang w:val="en-US" w:eastAsia="zh-CN"/>
        </w:rPr>
        <w:t>《关于推动解决政府采购异常低价问题的通知》（财库〔2026〕2号）要求，评标委员会应对政府采购异常低价进行审查：</w:t>
      </w:r>
    </w:p>
    <w:p w14:paraId="2B691C92">
      <w:pPr>
        <w:spacing w:line="360" w:lineRule="auto"/>
        <w:ind w:firstLine="0" w:firstLineChars="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（1）政府采购评审中出现下列情形之一的，评审委员会应当启动异常低价投标（响应）审查程序：</w:t>
      </w:r>
    </w:p>
    <w:p w14:paraId="3A5B43FD">
      <w:pPr>
        <w:spacing w:line="360" w:lineRule="auto"/>
        <w:ind w:firstLine="0" w:firstLineChars="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①投标（响应）报价低于全部通过符合性审查供应商投标（响应）报价平均值65%的，即投标（响应）报价&lt;全部通过符合性审查供应商投标（响应）报价平均值×65%；</w:t>
      </w:r>
    </w:p>
    <w:p w14:paraId="68ECD695">
      <w:pPr>
        <w:spacing w:line="360" w:lineRule="auto"/>
        <w:ind w:firstLine="0" w:firstLineChars="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②投标（响应）报价低于通过符合性审查的次低报价供应商投标（响应）报价65%的，即投标（响应）报价&lt;通过符合性审查的次低报价供应商投标（响应）报价×65%；</w:t>
      </w:r>
    </w:p>
    <w:p w14:paraId="3D1F380B">
      <w:pPr>
        <w:spacing w:line="360" w:lineRule="auto"/>
        <w:ind w:firstLine="0" w:firstLineChars="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③投标（响应）报价低于采购项目最高限价65%的，即投标（响应）报价&lt;采购项目最高限价×65%；</w:t>
      </w:r>
    </w:p>
    <w:p w14:paraId="0CD0D7E6">
      <w:pPr>
        <w:spacing w:line="360" w:lineRule="auto"/>
        <w:ind w:firstLine="0" w:firstLineChars="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④评审委员会基于专业判断，认为投标（响应）报价过低，有可能影响产品质量或者不能诚信履约的其他情形。</w:t>
      </w:r>
    </w:p>
    <w:p w14:paraId="7CB08C3A">
      <w:pPr>
        <w:spacing w:line="360" w:lineRule="auto"/>
        <w:ind w:firstLine="0" w:firstLineChars="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评审委员会启动异常低价投标（响应）审查后，属于前述①至④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③情形的，供应商已随投标（响应）文件一并提交相关书面说明及必要的证明材料的，在评审现场可不再重复提交。</w:t>
      </w:r>
    </w:p>
    <w:p w14:paraId="76C6EA4B">
      <w:pPr>
        <w:spacing w:line="360" w:lineRule="auto"/>
        <w:ind w:firstLine="0" w:firstLineChars="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color w:val="auto"/>
          <w:sz w:val="28"/>
          <w:szCs w:val="28"/>
          <w:lang w:val="en-US" w:eastAsia="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757C82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.3评标委员会只对已判定为实质性响应的投标文件进行评价和比较。</w:t>
      </w:r>
    </w:p>
    <w:p w14:paraId="4E244FC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.4节能环保政策</w:t>
      </w:r>
    </w:p>
    <w:p w14:paraId="09453687">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根据财政部 发展改革委 生态环境部 市场监管总局《关于调整优化节能产品、环境标志产品政府采购执行机制的通知》（财库〔2019〕9号）要求：</w:t>
      </w:r>
    </w:p>
    <w:p w14:paraId="59C5C21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（1）本项目若含有节能产品政府采购品目清单内政府强制采购产品，投标人须选用国家确定的认证机构认证的处于有效期之内的政府强制采购节能产品。</w:t>
      </w:r>
    </w:p>
    <w:p w14:paraId="58082CC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34966F5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（3）本项目若含有节能产品、环境标志产品政府采购品目清单内产品，投标人应提供国家确定的认证机构出具的处于有效期之内的节能产品、环境标志产品认证证书作为证明材料。</w:t>
      </w:r>
    </w:p>
    <w:p w14:paraId="42FD8E84">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4）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40450E3B">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）节能产品认证应依据相关国家标准的最新版本，依据国家标准中二级能效（水效）指标。环境标志产品认证应依据相关标准的最新版本。</w:t>
      </w:r>
    </w:p>
    <w:p w14:paraId="0E0DCE40">
      <w:pPr>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35.5 </w:t>
      </w:r>
      <w:r>
        <w:rPr>
          <w:rFonts w:hint="default" w:ascii="Times New Roman" w:hAnsi="Times New Roman" w:eastAsia="仿宋_GB2312" w:cs="Times New Roman"/>
          <w:bCs/>
          <w:color w:val="auto"/>
          <w:sz w:val="28"/>
          <w:szCs w:val="28"/>
          <w:lang w:eastAsia="zh-CN"/>
        </w:rPr>
        <w:t>正版软件的要求</w:t>
      </w:r>
    </w:p>
    <w:p w14:paraId="16F9149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投标人需承诺投报的计算机产品预装正版操作系统，投报的硬件产品内的预装软件为正版软件。本项目如需落实正版软件要求，将在“投标人须知前附表”中载明。</w:t>
      </w:r>
    </w:p>
    <w:p w14:paraId="1E8EF93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35.6</w:t>
      </w:r>
      <w:r>
        <w:rPr>
          <w:rFonts w:hint="default" w:ascii="Times New Roman" w:hAnsi="Times New Roman" w:eastAsia="仿宋_GB2312" w:cs="Times New Roman"/>
          <w:bCs/>
          <w:color w:val="auto"/>
          <w:sz w:val="28"/>
          <w:szCs w:val="28"/>
          <w:lang w:eastAsia="zh-CN"/>
        </w:rPr>
        <w:t>商品包装和快递包装要求</w:t>
      </w:r>
    </w:p>
    <w:p w14:paraId="6E65134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本文件列出商品包装和快递包装要求的，投标人可填写商品包装和快递包装承诺函，承诺商品包装符合《商品包装政府采购需求标准（试行）》，快递包装符合《快递包装政府采购需求标准（试行）》。本项目如需落实商品包装和快递包装要求，将在“投标人须知前附表”中载明。</w:t>
      </w:r>
    </w:p>
    <w:p w14:paraId="1B7159B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.评标价的确定</w:t>
      </w:r>
    </w:p>
    <w:p w14:paraId="460BD09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.1根据《政府采购促进中小企业发展管理办法》（财库〔2020〕46号）和《财政部关于进一步加大政府采购支持中小企业力度的通知》（财库〔2022〕19号）的规定，釆购人在政府釆购活动中支持中小企业发展：</w:t>
      </w:r>
    </w:p>
    <w:p w14:paraId="14EFAE7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（1）采购项目或采购包预留釆购份额专门面向中小企业采购；</w:t>
      </w:r>
    </w:p>
    <w:p w14:paraId="74436E2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（2）未预留份额专门面向中小企业釆购的釆购项目，以及预留份额项目中的非预留部分釆购包，对小微企业报价给予</w:t>
      </w:r>
      <w:r>
        <w:rPr>
          <w:rFonts w:hint="default" w:ascii="Times New Roman" w:hAnsi="Times New Roman" w:eastAsia="仿宋_GB2312" w:cs="Times New Roman"/>
          <w:bCs/>
          <w:color w:val="auto"/>
          <w:sz w:val="28"/>
          <w:szCs w:val="28"/>
          <w:lang w:val="en-US" w:eastAsia="zh-CN"/>
        </w:rPr>
        <w:t>10</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0%的扣除，用扣除后的价格参加评审。中小企业扶持政策：见“投标人须知前附表”。</w:t>
      </w:r>
    </w:p>
    <w:p w14:paraId="096EE4F9">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中小企业划分标准见《关于印发中小企业划型标准规定的通知》（工信部联企业〔2011〕300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3FA21BB8">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（4）监狱企业视同小型、微型企业，投标人应提供省级及以上监狱管理局、戒毒管理局（含新疆生产建设兵团）出具的属于监狱企业的证明文件。</w:t>
      </w:r>
    </w:p>
    <w:p w14:paraId="63A4A241">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44574846">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color w:val="auto"/>
          <w:sz w:val="28"/>
          <w:szCs w:val="28"/>
          <w:lang w:val="en-US" w:eastAsia="zh-CN"/>
        </w:rPr>
        <w:t>36.2</w:t>
      </w:r>
      <w:r>
        <w:rPr>
          <w:rFonts w:hint="default" w:ascii="Times New Roman" w:hAnsi="Times New Roman" w:eastAsia="仿宋_GB2312" w:cs="Times New Roman"/>
          <w:bCs/>
          <w:sz w:val="28"/>
          <w:szCs w:val="28"/>
          <w:lang w:val="en-US" w:eastAsia="zh-CN"/>
        </w:rPr>
        <w:t xml:space="preserve"> 根据《国务院办公厅关于在政府采购中实施本国产品标准及相关政策的通知》（国办发〔2025〕34号）和《关于贯彻落实&lt;国务院办公厅关于在政府采购中实施本国产品标准及相关政策的通知&gt;的意见》（财库〔2025〕30号）要求，</w:t>
      </w:r>
      <w:r>
        <w:rPr>
          <w:rFonts w:hint="default" w:ascii="Times New Roman" w:hAnsi="Times New Roman" w:eastAsia="仿宋_GB2312" w:cs="Times New Roman"/>
          <w:bCs/>
          <w:sz w:val="28"/>
          <w:szCs w:val="28"/>
          <w:lang w:eastAsia="zh-CN"/>
        </w:rPr>
        <w:t>采购人在政府采购活动中对本国产品予以支持：</w:t>
      </w:r>
    </w:p>
    <w:p w14:paraId="625902BB">
      <w:pPr>
        <w:spacing w:line="360" w:lineRule="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val="en-US" w:eastAsia="zh-CN"/>
        </w:rPr>
        <w:t>（1）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5C3EB47">
      <w:pPr>
        <w:spacing w:line="360" w:lineRule="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val="en-US" w:eastAsia="zh-CN"/>
        </w:rPr>
        <w:t>（2）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1B1FB479">
      <w:pPr>
        <w:spacing w:line="360" w:lineRule="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lang w:val="en-US" w:eastAsia="zh-CN"/>
        </w:rPr>
        <w:t>（3）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1C6F2B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36.3</w:t>
      </w:r>
      <w:r>
        <w:rPr>
          <w:rFonts w:hint="default" w:ascii="Times New Roman" w:hAnsi="Times New Roman" w:eastAsia="仿宋_GB2312" w:cs="Times New Roman"/>
          <w:bCs/>
          <w:color w:val="auto"/>
          <w:sz w:val="28"/>
          <w:szCs w:val="28"/>
          <w:lang w:eastAsia="zh-CN"/>
        </w:rPr>
        <w:t>评标价不作为中标价和合同签约价，中标价和合同签约价仍以其投标文件中的报价为准。</w:t>
      </w:r>
    </w:p>
    <w:p w14:paraId="6297EBB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.评标结果</w:t>
      </w:r>
    </w:p>
    <w:p w14:paraId="77E41B0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.1评标委员会按照招标文件中规定的评标方法和标准，对符合性审查合格的投标文件进行商务和技术评</w:t>
      </w:r>
      <w:r>
        <w:rPr>
          <w:rFonts w:hint="default" w:ascii="Times New Roman" w:hAnsi="Times New Roman" w:eastAsia="仿宋_GB2312" w:cs="Times New Roman"/>
          <w:bCs/>
          <w:color w:val="auto"/>
          <w:sz w:val="28"/>
          <w:szCs w:val="28"/>
          <w:lang w:val="en-US" w:eastAsia="zh-CN"/>
        </w:rPr>
        <w:t>审</w:t>
      </w:r>
      <w:r>
        <w:rPr>
          <w:rFonts w:hint="default" w:ascii="Times New Roman" w:hAnsi="Times New Roman" w:eastAsia="仿宋_GB2312" w:cs="Times New Roman"/>
          <w:bCs/>
          <w:color w:val="auto"/>
          <w:sz w:val="28"/>
          <w:szCs w:val="28"/>
          <w:lang w:eastAsia="zh-CN"/>
        </w:rPr>
        <w:t>，综合比较与评价。</w:t>
      </w:r>
    </w:p>
    <w:p w14:paraId="4BDD09C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7</w:t>
      </w:r>
      <w:r>
        <w:rPr>
          <w:rFonts w:hint="default" w:ascii="Times New Roman" w:hAnsi="Times New Roman" w:eastAsia="仿宋_GB2312" w:cs="Times New Roman"/>
          <w:bCs/>
          <w:color w:val="auto"/>
          <w:sz w:val="28"/>
          <w:szCs w:val="28"/>
          <w:lang w:eastAsia="zh-CN"/>
        </w:rPr>
        <w:t>.2投标人的评审得分为所有评委评审得分的算术平均值，评审得分取至小数点后两位（第三位四舍五入）。</w:t>
      </w:r>
    </w:p>
    <w:p w14:paraId="6BD9A627">
      <w:pPr>
        <w:pStyle w:val="77"/>
        <w:spacing w:line="360" w:lineRule="auto"/>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sz w:val="28"/>
          <w:szCs w:val="28"/>
        </w:rPr>
        <w:t>38.推荐中标候选人原则及标准</w:t>
      </w:r>
    </w:p>
    <w:p w14:paraId="31A84A3E">
      <w:pPr>
        <w:widowControl w:val="0"/>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除非“投标人须知前附表”有特殊约定，否则评标委员会按评审后得分由高到低顺序</w:t>
      </w:r>
      <w:r>
        <w:rPr>
          <w:rFonts w:hint="default" w:ascii="Times New Roman" w:hAnsi="Times New Roman" w:eastAsia="仿宋_GB2312" w:cs="Times New Roman"/>
          <w:bCs/>
          <w:color w:val="auto"/>
          <w:sz w:val="28"/>
          <w:szCs w:val="28"/>
          <w:lang w:val="en-US" w:eastAsia="zh-CN"/>
        </w:rPr>
        <w:t>排列。按投标人须知前附表中规定数量推荐中标候选人。</w:t>
      </w:r>
    </w:p>
    <w:p w14:paraId="2AE0E35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.保密及其它注意事项</w:t>
      </w:r>
    </w:p>
    <w:p w14:paraId="45BAE0E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.1评标是招标工作的重要环节，评标工作在评标委员会内独立进行。</w:t>
      </w:r>
    </w:p>
    <w:p w14:paraId="56612B9C">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.2评标委员会将遵照规定的评标方法，公正、平等地对待所有投标人。</w:t>
      </w:r>
    </w:p>
    <w:p w14:paraId="0DD99E01">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.3在评标期间，投标人不得向评委询问评标情况，不得进行旨在影响评标结果的活动。</w:t>
      </w:r>
    </w:p>
    <w:p w14:paraId="7A3BB70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.4为保证评标的公正性，开标后直至授予投标人合同，评委不得与投标人私下交换意见。</w:t>
      </w:r>
    </w:p>
    <w:p w14:paraId="0328D125">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.5在评标工作结束后，凡与评标情况有接触的任何人不得擅自将评标情况扩散出评标人员之外。</w:t>
      </w:r>
    </w:p>
    <w:p w14:paraId="568BFA8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w:t>
      </w:r>
      <w:r>
        <w:rPr>
          <w:rFonts w:hint="default" w:ascii="Times New Roman" w:hAnsi="Times New Roman" w:eastAsia="仿宋_GB2312" w:cs="Times New Roman"/>
          <w:bCs/>
          <w:color w:val="auto"/>
          <w:sz w:val="28"/>
          <w:szCs w:val="28"/>
          <w:lang w:val="en-US" w:eastAsia="zh-CN"/>
        </w:rPr>
        <w:t>9</w:t>
      </w:r>
      <w:r>
        <w:rPr>
          <w:rFonts w:hint="default" w:ascii="Times New Roman" w:hAnsi="Times New Roman" w:eastAsia="仿宋_GB2312" w:cs="Times New Roman"/>
          <w:bCs/>
          <w:color w:val="auto"/>
          <w:sz w:val="28"/>
          <w:szCs w:val="28"/>
          <w:lang w:eastAsia="zh-CN"/>
        </w:rPr>
        <w:t>.6评标结束后，概不退还投标文件。</w:t>
      </w:r>
    </w:p>
    <w:p w14:paraId="434496C9">
      <w:pPr>
        <w:pStyle w:val="113"/>
        <w:ind w:firstLine="240"/>
        <w:rPr>
          <w:rFonts w:hint="default" w:ascii="Times New Roman" w:hAnsi="Times New Roman" w:cs="Times New Roman"/>
          <w:bCs/>
          <w:color w:val="auto"/>
        </w:rPr>
      </w:pPr>
    </w:p>
    <w:p w14:paraId="781CD12D">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97" w:name="_Toc2899487"/>
      <w:bookmarkStart w:id="198" w:name="_Toc395900728"/>
      <w:bookmarkStart w:id="199" w:name="_Toc1542593003"/>
      <w:bookmarkStart w:id="200" w:name="_Toc1092967952_WPSOffice_Level2"/>
      <w:bookmarkStart w:id="201" w:name="_Toc69887890"/>
      <w:bookmarkStart w:id="202" w:name="_Toc1052785819"/>
      <w:bookmarkStart w:id="203" w:name="_Toc799007261"/>
      <w:bookmarkStart w:id="204" w:name="_Toc1781574470_WPSOffice_Level2"/>
      <w:bookmarkStart w:id="205" w:name="_Toc57506616"/>
      <w:bookmarkStart w:id="206" w:name="_Toc1199683400_WPSOffice_Level2"/>
      <w:bookmarkStart w:id="207" w:name="_Toc825115381"/>
      <w:bookmarkStart w:id="208" w:name="_Toc469259728"/>
      <w:r>
        <w:rPr>
          <w:rFonts w:hint="default" w:ascii="Times New Roman" w:hAnsi="Times New Roman" w:eastAsia="方正小标宋_GBK" w:cs="Times New Roman"/>
          <w:bCs/>
          <w:color w:val="auto"/>
          <w:kern w:val="0"/>
          <w:sz w:val="30"/>
          <w:szCs w:val="30"/>
          <w:lang w:val="en-US" w:eastAsia="zh-CN"/>
        </w:rPr>
        <w:t>六、确定中标</w:t>
      </w:r>
      <w:bookmarkEnd w:id="197"/>
      <w:bookmarkEnd w:id="198"/>
      <w:bookmarkEnd w:id="199"/>
      <w:bookmarkEnd w:id="200"/>
      <w:bookmarkEnd w:id="201"/>
      <w:bookmarkEnd w:id="202"/>
      <w:bookmarkEnd w:id="203"/>
      <w:bookmarkEnd w:id="204"/>
      <w:bookmarkEnd w:id="205"/>
      <w:bookmarkEnd w:id="206"/>
      <w:bookmarkEnd w:id="207"/>
      <w:bookmarkEnd w:id="208"/>
    </w:p>
    <w:p w14:paraId="537BA0E4">
      <w:pPr>
        <w:keepNext/>
        <w:keepLines/>
        <w:widowControl w:val="0"/>
        <w:autoSpaceDE w:val="0"/>
        <w:autoSpaceDN w:val="0"/>
        <w:adjustRightInd w:val="0"/>
        <w:spacing w:line="360" w:lineRule="auto"/>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sz w:val="28"/>
          <w:szCs w:val="28"/>
          <w:lang w:val="en-US" w:eastAsia="zh-CN"/>
        </w:rPr>
        <w:t>40</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kern w:val="0"/>
          <w:sz w:val="28"/>
          <w:szCs w:val="28"/>
          <w:lang w:val="en-US" w:eastAsia="zh-CN"/>
        </w:rPr>
        <w:t>确定中标人</w:t>
      </w:r>
    </w:p>
    <w:p w14:paraId="6A292B5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40</w:t>
      </w:r>
      <w:r>
        <w:rPr>
          <w:rFonts w:hint="default" w:ascii="Times New Roman" w:hAnsi="Times New Roman" w:eastAsia="仿宋_GB2312" w:cs="Times New Roman"/>
          <w:bCs/>
          <w:color w:val="auto"/>
          <w:sz w:val="28"/>
          <w:szCs w:val="28"/>
          <w:lang w:val="en" w:eastAsia="zh-CN"/>
        </w:rPr>
        <w:t>.</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1A15F7B8">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40.2</w:t>
      </w:r>
      <w:r>
        <w:rPr>
          <w:rFonts w:hint="default" w:ascii="Times New Roman" w:hAnsi="Times New Roman" w:eastAsia="仿宋_GB2312" w:cs="Times New Roman"/>
          <w:bCs/>
          <w:color w:val="auto"/>
          <w:sz w:val="28"/>
          <w:szCs w:val="28"/>
          <w:lang w:eastAsia="zh-CN"/>
        </w:rPr>
        <w:t>采购人在收到评标报告5个工作日内未按评标报告推荐的中标候选人顺序确定中标人，又不能说明合法理由的，视同按评标报告推荐的顺序确定排名第一的中标候选人为中标人。</w:t>
      </w:r>
    </w:p>
    <w:p w14:paraId="01759304">
      <w:pPr>
        <w:spacing w:line="360" w:lineRule="auto"/>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41.发布中标公告及发出中标通知书</w:t>
      </w:r>
    </w:p>
    <w:p w14:paraId="2199D0B9">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41</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采购人按规定确定中标人后，</w:t>
      </w:r>
      <w:r>
        <w:rPr>
          <w:rFonts w:hint="default" w:ascii="Times New Roman" w:hAnsi="Times New Roman" w:eastAsia="仿宋_GB2312" w:cs="Times New Roman"/>
          <w:bCs/>
          <w:color w:val="auto"/>
          <w:sz w:val="28"/>
          <w:szCs w:val="28"/>
          <w:lang w:val="en-US" w:eastAsia="zh-CN"/>
        </w:rPr>
        <w:t>采购人或</w:t>
      </w:r>
      <w:r>
        <w:rPr>
          <w:rFonts w:hint="default" w:ascii="Times New Roman" w:hAnsi="Times New Roman" w:eastAsia="仿宋_GB2312" w:cs="Times New Roman"/>
          <w:bCs/>
          <w:color w:val="auto"/>
          <w:sz w:val="28"/>
          <w:szCs w:val="28"/>
          <w:lang w:eastAsia="zh-CN"/>
        </w:rPr>
        <w:t>集中采购机构应将中标结果在“投标人须知前附表”规定的媒介上予以公告，中标结果公告期限为1个工作日。</w:t>
      </w:r>
    </w:p>
    <w:p w14:paraId="77C9EE50">
      <w:pPr>
        <w:widowControl w:val="0"/>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41.2发布中标公告同时向中标人发出中标通知书。</w:t>
      </w:r>
    </w:p>
    <w:p w14:paraId="5D155C83">
      <w:pPr>
        <w:pStyle w:val="21"/>
        <w:spacing w:before="0" w:line="360" w:lineRule="auto"/>
        <w:rPr>
          <w:rFonts w:hint="default" w:ascii="Times New Roman" w:hAnsi="Times New Roman" w:cs="Times New Roman"/>
          <w:bCs/>
          <w:lang w:val="en-US" w:eastAsia="zh-CN"/>
        </w:rPr>
      </w:pPr>
      <w:r>
        <w:rPr>
          <w:rFonts w:hint="default" w:ascii="Times New Roman" w:hAnsi="Times New Roman" w:eastAsia="仿宋_GB2312" w:cs="Times New Roman"/>
          <w:bCs/>
          <w:sz w:val="28"/>
          <w:szCs w:val="28"/>
          <w:lang w:val="en-US" w:eastAsia="zh-CN"/>
        </w:rPr>
        <w:t>41.3</w:t>
      </w:r>
      <w:r>
        <w:rPr>
          <w:rFonts w:hint="default" w:ascii="Times New Roman" w:hAnsi="Times New Roman" w:eastAsia="仿宋_GB2312" w:cs="Times New Roman"/>
          <w:bCs/>
          <w:kern w:val="1"/>
          <w:sz w:val="28"/>
          <w:szCs w:val="28"/>
          <w:lang w:eastAsia="zh-CN"/>
        </w:rPr>
        <w:t>中标通知书发出后，采购人不得违法改变</w:t>
      </w:r>
      <w:r>
        <w:rPr>
          <w:rFonts w:hint="default" w:ascii="Times New Roman" w:hAnsi="Times New Roman" w:eastAsia="仿宋_GB2312" w:cs="Times New Roman"/>
          <w:bCs/>
          <w:kern w:val="1"/>
          <w:sz w:val="28"/>
          <w:szCs w:val="28"/>
          <w:lang w:val="en-US" w:eastAsia="zh-CN"/>
        </w:rPr>
        <w:t>中标</w:t>
      </w:r>
      <w:r>
        <w:rPr>
          <w:rFonts w:hint="default" w:ascii="Times New Roman" w:hAnsi="Times New Roman" w:eastAsia="仿宋_GB2312" w:cs="Times New Roman"/>
          <w:bCs/>
          <w:kern w:val="1"/>
          <w:sz w:val="28"/>
          <w:szCs w:val="28"/>
          <w:lang w:eastAsia="zh-CN"/>
        </w:rPr>
        <w:t>结果，中标</w:t>
      </w:r>
      <w:r>
        <w:rPr>
          <w:rFonts w:hint="default" w:ascii="Times New Roman" w:hAnsi="Times New Roman" w:eastAsia="仿宋_GB2312" w:cs="Times New Roman"/>
          <w:bCs/>
          <w:kern w:val="1"/>
          <w:sz w:val="28"/>
          <w:szCs w:val="28"/>
          <w:lang w:val="en-US" w:eastAsia="zh-CN"/>
        </w:rPr>
        <w:t>人</w:t>
      </w:r>
      <w:r>
        <w:rPr>
          <w:rFonts w:hint="default" w:ascii="Times New Roman" w:hAnsi="Times New Roman" w:eastAsia="仿宋_GB2312" w:cs="Times New Roman"/>
          <w:bCs/>
          <w:kern w:val="1"/>
          <w:sz w:val="28"/>
          <w:szCs w:val="28"/>
          <w:lang w:eastAsia="zh-CN"/>
        </w:rPr>
        <w:t>无正当理由不得放弃</w:t>
      </w:r>
      <w:r>
        <w:rPr>
          <w:rFonts w:hint="default" w:ascii="Times New Roman" w:hAnsi="Times New Roman" w:eastAsia="仿宋_GB2312" w:cs="Times New Roman"/>
          <w:bCs/>
          <w:kern w:val="1"/>
          <w:sz w:val="28"/>
          <w:szCs w:val="28"/>
          <w:lang w:val="en-US" w:eastAsia="zh-CN"/>
        </w:rPr>
        <w:t>中标</w:t>
      </w:r>
      <w:r>
        <w:rPr>
          <w:rFonts w:hint="default" w:ascii="Times New Roman" w:hAnsi="Times New Roman" w:eastAsia="仿宋_GB2312" w:cs="Times New Roman"/>
          <w:bCs/>
          <w:kern w:val="1"/>
          <w:sz w:val="28"/>
          <w:szCs w:val="28"/>
          <w:lang w:eastAsia="zh-CN"/>
        </w:rPr>
        <w:t>。</w:t>
      </w:r>
    </w:p>
    <w:p w14:paraId="4287DB07">
      <w:pPr>
        <w:widowControl w:val="0"/>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.接受和拒绝任何或所有投标的权利</w:t>
      </w:r>
    </w:p>
    <w:p w14:paraId="5C389F2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5F23A243">
      <w:pPr>
        <w:rPr>
          <w:rFonts w:hint="default" w:ascii="Times New Roman" w:hAnsi="Times New Roman" w:cs="Times New Roman"/>
          <w:bCs/>
          <w:color w:val="auto"/>
          <w:lang w:eastAsia="zh-CN"/>
        </w:rPr>
      </w:pPr>
    </w:p>
    <w:p w14:paraId="62723811">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09" w:name="_Toc1194929028_WPSOffice_Level2"/>
      <w:bookmarkStart w:id="210" w:name="_Toc289293782"/>
      <w:bookmarkStart w:id="211" w:name="_Toc294849240"/>
      <w:bookmarkStart w:id="212" w:name="_Toc155496134_WPSOffice_Level2"/>
      <w:bookmarkStart w:id="213" w:name="_Toc285838294"/>
      <w:bookmarkStart w:id="214" w:name="_Toc1253526278"/>
      <w:bookmarkStart w:id="215" w:name="_Toc2132928082"/>
      <w:bookmarkStart w:id="216" w:name="_Toc1835231440"/>
      <w:bookmarkStart w:id="217" w:name="_Toc574236286"/>
      <w:bookmarkStart w:id="218" w:name="_Toc1674499174"/>
      <w:bookmarkStart w:id="219" w:name="_Toc212998948_WPSOffice_Level2"/>
      <w:bookmarkStart w:id="220" w:name="_Toc627288238"/>
      <w:r>
        <w:rPr>
          <w:rFonts w:hint="default" w:ascii="Times New Roman" w:hAnsi="Times New Roman" w:eastAsia="方正小标宋_GBK" w:cs="Times New Roman"/>
          <w:bCs/>
          <w:color w:val="auto"/>
          <w:kern w:val="0"/>
          <w:sz w:val="30"/>
          <w:szCs w:val="30"/>
          <w:lang w:val="en-US" w:eastAsia="zh-CN"/>
        </w:rPr>
        <w:t>七、授予合同</w:t>
      </w:r>
      <w:bookmarkEnd w:id="209"/>
      <w:bookmarkEnd w:id="210"/>
      <w:bookmarkEnd w:id="211"/>
      <w:bookmarkEnd w:id="212"/>
      <w:bookmarkEnd w:id="213"/>
      <w:bookmarkEnd w:id="214"/>
      <w:bookmarkEnd w:id="215"/>
      <w:bookmarkEnd w:id="216"/>
      <w:bookmarkEnd w:id="217"/>
      <w:bookmarkEnd w:id="218"/>
      <w:bookmarkEnd w:id="219"/>
      <w:bookmarkEnd w:id="220"/>
    </w:p>
    <w:p w14:paraId="452742C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.合同授予标准</w:t>
      </w:r>
    </w:p>
    <w:p w14:paraId="6C247E7F">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除本章第4</w:t>
      </w: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条、</w:t>
      </w:r>
      <w:r>
        <w:rPr>
          <w:rFonts w:hint="default" w:ascii="Times New Roman" w:hAnsi="Times New Roman" w:eastAsia="仿宋_GB2312" w:cs="Times New Roman"/>
          <w:bCs/>
          <w:color w:val="auto"/>
          <w:sz w:val="28"/>
          <w:szCs w:val="28"/>
          <w:lang w:val="en-US" w:eastAsia="zh-CN"/>
        </w:rPr>
        <w:t>47条</w:t>
      </w:r>
      <w:r>
        <w:rPr>
          <w:rFonts w:hint="default" w:ascii="Times New Roman" w:hAnsi="Times New Roman" w:eastAsia="仿宋_GB2312" w:cs="Times New Roman"/>
          <w:bCs/>
          <w:color w:val="auto"/>
          <w:sz w:val="28"/>
          <w:szCs w:val="28"/>
          <w:lang w:eastAsia="zh-CN"/>
        </w:rPr>
        <w:t>的规定之外，采购人将把合同授予被确定为实质上响应招标文件要求并有履行合同能力的评审后综合得分最高的投标人。</w:t>
      </w:r>
    </w:p>
    <w:p w14:paraId="4467BB2A">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.合同授予时</w:t>
      </w:r>
      <w:r>
        <w:rPr>
          <w:rFonts w:hint="default" w:ascii="Times New Roman" w:hAnsi="Times New Roman" w:eastAsia="仿宋_GB2312" w:cs="Times New Roman"/>
          <w:bCs/>
          <w:color w:val="auto"/>
          <w:sz w:val="28"/>
          <w:szCs w:val="28"/>
          <w:lang w:val="en-US" w:eastAsia="zh-CN"/>
        </w:rPr>
        <w:t>追加</w:t>
      </w:r>
      <w:r>
        <w:rPr>
          <w:rFonts w:hint="default" w:ascii="Times New Roman" w:hAnsi="Times New Roman" w:eastAsia="仿宋_GB2312" w:cs="Times New Roman"/>
          <w:bCs/>
          <w:color w:val="auto"/>
          <w:sz w:val="28"/>
          <w:szCs w:val="28"/>
          <w:lang w:eastAsia="zh-CN"/>
        </w:rPr>
        <w:t>采购</w:t>
      </w:r>
      <w:r>
        <w:rPr>
          <w:rFonts w:hint="default" w:ascii="Times New Roman" w:hAnsi="Times New Roman" w:eastAsia="仿宋_GB2312" w:cs="Times New Roman"/>
          <w:bCs/>
          <w:color w:val="auto"/>
          <w:sz w:val="28"/>
          <w:szCs w:val="28"/>
          <w:lang w:val="en-US" w:eastAsia="zh-CN"/>
        </w:rPr>
        <w:t>货物</w:t>
      </w:r>
      <w:r>
        <w:rPr>
          <w:rFonts w:hint="default" w:ascii="Times New Roman" w:hAnsi="Times New Roman" w:eastAsia="仿宋_GB2312" w:cs="Times New Roman"/>
          <w:bCs/>
          <w:color w:val="auto"/>
          <w:sz w:val="28"/>
          <w:szCs w:val="28"/>
          <w:lang w:eastAsia="zh-CN"/>
        </w:rPr>
        <w:t>数量的权利</w:t>
      </w:r>
    </w:p>
    <w:p w14:paraId="67C52C06">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采购人在授予合同时有权在“投标人须知前附表”规定的范围内，对项目需求中规定的货物的数量予以增加，但不得对货物单价及伴随服务内容或其它实质性的条款和条件做任何改变。</w:t>
      </w:r>
    </w:p>
    <w:p w14:paraId="6C49B943">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45.</w:t>
      </w:r>
      <w:r>
        <w:rPr>
          <w:rFonts w:hint="default" w:ascii="Times New Roman" w:hAnsi="Times New Roman" w:eastAsia="仿宋_GB2312" w:cs="Times New Roman"/>
          <w:bCs/>
          <w:color w:val="auto"/>
          <w:sz w:val="28"/>
          <w:szCs w:val="28"/>
          <w:lang w:eastAsia="zh-CN"/>
        </w:rPr>
        <w:t>签订合同</w:t>
      </w:r>
    </w:p>
    <w:p w14:paraId="7A7CAF2E">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.1采购人应当自中标通知书发出之日起15日内，按照招标文件和中标人投标文件的规定，与中标人签订书面合同。所签订的合同不得对招标文件确定的事项和中标人投标文件作实质性修改。</w:t>
      </w:r>
    </w:p>
    <w:p w14:paraId="7729480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.2招标文件、中标人的投标文件和澄清文件等，均应作为签约的合同文本的基础。</w:t>
      </w:r>
    </w:p>
    <w:p w14:paraId="49018E5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.3如采购人对中标人拒签合同，依照《中华人民共和国政府采购法》《中华人民共和国政府采购法实施条例》《政府采购货物和服务招标投标管理办法》（财政部令第87号）等规定承担相应的违约责任。</w:t>
      </w:r>
    </w:p>
    <w:p w14:paraId="764E113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46.</w:t>
      </w:r>
      <w:r>
        <w:rPr>
          <w:rFonts w:hint="default" w:ascii="Times New Roman" w:hAnsi="Times New Roman" w:eastAsia="仿宋_GB2312" w:cs="Times New Roman"/>
          <w:bCs/>
          <w:color w:val="auto"/>
          <w:sz w:val="28"/>
          <w:szCs w:val="28"/>
          <w:lang w:eastAsia="zh-CN"/>
        </w:rPr>
        <w:t>履约保证金</w:t>
      </w:r>
    </w:p>
    <w:p w14:paraId="7CCB0279">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中标人应按招标文件的规定向采购人提交履约保证金，中标人应当以</w:t>
      </w:r>
      <w:r>
        <w:rPr>
          <w:rFonts w:hint="default" w:ascii="Times New Roman" w:hAnsi="Times New Roman" w:eastAsia="仿宋_GB2312" w:cs="Times New Roman"/>
          <w:color w:val="auto"/>
          <w:sz w:val="28"/>
          <w:szCs w:val="28"/>
          <w:lang w:val="en-US" w:eastAsia="zh-CN"/>
        </w:rPr>
        <w:t>支票、汇票、本票或者金融机构、担保机构出具的保函等非现金</w:t>
      </w:r>
      <w:r>
        <w:rPr>
          <w:rFonts w:hint="default" w:ascii="Times New Roman" w:hAnsi="Times New Roman" w:eastAsia="仿宋_GB2312" w:cs="Times New Roman"/>
          <w:bCs/>
          <w:color w:val="auto"/>
          <w:sz w:val="28"/>
          <w:szCs w:val="28"/>
          <w:lang w:val="en-US" w:eastAsia="zh-CN"/>
        </w:rPr>
        <w:t>形式提交。采购人不得以中标人事先缴纳履约保证金作为签订合同的条件,并应在中标人履行完合同约定义务事项后及时退还。</w:t>
      </w:r>
    </w:p>
    <w:p w14:paraId="0300816B">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47.</w:t>
      </w:r>
      <w:r>
        <w:rPr>
          <w:rFonts w:hint="default" w:ascii="Times New Roman" w:hAnsi="Times New Roman" w:eastAsia="仿宋_GB2312" w:cs="Times New Roman"/>
          <w:bCs/>
          <w:color w:val="auto"/>
          <w:sz w:val="28"/>
          <w:szCs w:val="28"/>
          <w:lang w:eastAsia="zh-CN"/>
        </w:rPr>
        <w:t>如中标人不按本章第4</w:t>
      </w:r>
      <w:r>
        <w:rPr>
          <w:rFonts w:hint="default" w:ascii="Times New Roman" w:hAnsi="Times New Roman" w:eastAsia="仿宋_GB2312" w:cs="Times New Roman"/>
          <w:bCs/>
          <w:color w:val="auto"/>
          <w:sz w:val="28"/>
          <w:szCs w:val="28"/>
          <w:lang w:val="en-US" w:eastAsia="zh-CN"/>
        </w:rPr>
        <w:t>5</w:t>
      </w:r>
      <w:r>
        <w:rPr>
          <w:rFonts w:hint="default" w:ascii="Times New Roman" w:hAnsi="Times New Roman" w:eastAsia="仿宋_GB2312" w:cs="Times New Roman"/>
          <w:bCs/>
          <w:color w:val="auto"/>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_GB2312" w:cs="Times New Roman"/>
          <w:bCs/>
          <w:color w:val="auto"/>
          <w:sz w:val="28"/>
          <w:szCs w:val="28"/>
          <w:lang w:val="en-US" w:eastAsia="zh-CN"/>
        </w:rPr>
        <w:t>承</w:t>
      </w:r>
      <w:r>
        <w:rPr>
          <w:rFonts w:hint="default" w:ascii="Times New Roman" w:hAnsi="Times New Roman" w:eastAsia="仿宋_GB2312" w:cs="Times New Roman"/>
          <w:bCs/>
          <w:color w:val="auto"/>
          <w:sz w:val="28"/>
          <w:szCs w:val="28"/>
          <w:lang w:eastAsia="zh-CN"/>
        </w:rPr>
        <w:t>担相应的违约责任）。采购人可在按照评标报告推荐的中标候选人名单排序，确定下一中标候选人为中标人，也可以重新开展政府采购活动。</w:t>
      </w:r>
    </w:p>
    <w:p w14:paraId="441EF00E">
      <w:pPr>
        <w:keepNext/>
        <w:keepLines/>
        <w:spacing w:line="360" w:lineRule="auto"/>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48.招标代理费</w:t>
      </w:r>
    </w:p>
    <w:p w14:paraId="0E7C3CFE">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本项目是否由中标人向</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支付招标代理费，按照投标人须知前附表规定执行。</w:t>
      </w:r>
    </w:p>
    <w:p w14:paraId="4F413D40">
      <w:pPr>
        <w:keepNext/>
        <w:keepLines/>
        <w:spacing w:line="360" w:lineRule="auto"/>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49.质疑的提出与接收</w:t>
      </w:r>
    </w:p>
    <w:p w14:paraId="3C954181">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hint="default" w:ascii="Times New Roman" w:hAnsi="Times New Roman" w:eastAsia="仿宋_GB2312" w:cs="Times New Roman"/>
          <w:bCs/>
          <w:color w:val="auto"/>
          <w:sz w:val="28"/>
          <w:szCs w:val="28"/>
          <w:lang w:val="en" w:eastAsia="zh-CN"/>
        </w:rPr>
        <w:t>集中采购机构</w:t>
      </w:r>
      <w:r>
        <w:rPr>
          <w:rFonts w:hint="default" w:ascii="Times New Roman" w:hAnsi="Times New Roman" w:eastAsia="仿宋_GB2312" w:cs="Times New Roman"/>
          <w:bCs/>
          <w:color w:val="auto"/>
          <w:sz w:val="28"/>
          <w:szCs w:val="28"/>
          <w:lang w:val="en-US" w:eastAsia="zh-CN"/>
        </w:rPr>
        <w:t>提出书面质疑。</w:t>
      </w:r>
    </w:p>
    <w:p w14:paraId="13A147E3">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0B99CE97">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sz w:val="28"/>
          <w:szCs w:val="28"/>
          <w:lang w:val="en-US" w:eastAsia="zh-CN"/>
        </w:rPr>
        <w:t>49.3 质疑投标人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2C4D1A4F">
      <w:pPr>
        <w:spacing w:line="360" w:lineRule="auto"/>
        <w:rPr>
          <w:rFonts w:hint="default" w:ascii="Times New Roman" w:hAnsi="Times New Roman" w:eastAsia="仿宋_GB2312" w:cs="Times New Roman"/>
          <w:bCs/>
          <w:color w:val="auto"/>
          <w:sz w:val="28"/>
          <w:szCs w:val="28"/>
          <w:lang w:eastAsia="zh-CN"/>
        </w:rPr>
      </w:pPr>
    </w:p>
    <w:p w14:paraId="3D5FA0B4">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21" w:name="_Toc1766978063_WPSOffice_Level2"/>
      <w:bookmarkStart w:id="222" w:name="_Toc2042622906"/>
      <w:bookmarkStart w:id="223" w:name="_Toc1400468441"/>
      <w:bookmarkStart w:id="224" w:name="_Toc65811364"/>
      <w:bookmarkStart w:id="225" w:name="_Toc1108985532"/>
      <w:bookmarkStart w:id="226" w:name="_Toc2106161628_WPSOffice_Level2"/>
      <w:bookmarkStart w:id="227" w:name="_Toc1789726127"/>
      <w:bookmarkStart w:id="228" w:name="_Toc691566780"/>
      <w:bookmarkStart w:id="229" w:name="_Toc1226187921"/>
      <w:bookmarkStart w:id="230" w:name="_Toc1615377744"/>
      <w:bookmarkStart w:id="231" w:name="_Toc2050602757_WPSOffice_Level2"/>
      <w:bookmarkStart w:id="232" w:name="_Toc512476358"/>
      <w:r>
        <w:rPr>
          <w:rFonts w:hint="default" w:ascii="Times New Roman" w:hAnsi="Times New Roman" w:eastAsia="方正小标宋_GBK" w:cs="Times New Roman"/>
          <w:bCs/>
          <w:color w:val="auto"/>
          <w:kern w:val="0"/>
          <w:sz w:val="30"/>
          <w:szCs w:val="30"/>
          <w:lang w:val="en-US" w:eastAsia="zh-CN"/>
        </w:rPr>
        <w:t>八、需要补充的其他内容</w:t>
      </w:r>
      <w:bookmarkEnd w:id="221"/>
      <w:bookmarkEnd w:id="222"/>
      <w:bookmarkEnd w:id="223"/>
      <w:bookmarkEnd w:id="224"/>
      <w:bookmarkEnd w:id="225"/>
      <w:bookmarkEnd w:id="226"/>
      <w:bookmarkEnd w:id="227"/>
      <w:bookmarkEnd w:id="228"/>
      <w:bookmarkEnd w:id="229"/>
      <w:bookmarkEnd w:id="230"/>
      <w:bookmarkEnd w:id="231"/>
      <w:bookmarkEnd w:id="232"/>
    </w:p>
    <w:p w14:paraId="23ADA142">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50</w:t>
      </w:r>
      <w:r>
        <w:rPr>
          <w:rFonts w:hint="default" w:ascii="Times New Roman" w:hAnsi="Times New Roman" w:eastAsia="仿宋_GB2312" w:cs="Times New Roman"/>
          <w:bCs/>
          <w:color w:val="auto"/>
          <w:sz w:val="28"/>
          <w:szCs w:val="28"/>
          <w:lang w:eastAsia="zh-CN"/>
        </w:rPr>
        <w:t>.需要补充的其他内容：见“投标人须知前附表”。</w:t>
      </w:r>
    </w:p>
    <w:p w14:paraId="2392EEE8">
      <w:pPr>
        <w:spacing w:line="360" w:lineRule="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val="en-US" w:eastAsia="zh-CN"/>
        </w:rPr>
        <w:t>51.本文件中的“以上”、“以下”、“以内”、“届满”，包括本数；所称的“不满”“不足”、“超过”、“以外”，不包括本数。</w:t>
      </w:r>
    </w:p>
    <w:p w14:paraId="54034E8F">
      <w:pPr>
        <w:pStyle w:val="21"/>
        <w:rPr>
          <w:rFonts w:hint="default" w:ascii="Times New Roman" w:hAnsi="Times New Roman" w:cs="Times New Roman"/>
          <w:bCs/>
          <w:lang w:eastAsia="zh-CN"/>
        </w:rPr>
      </w:pPr>
    </w:p>
    <w:p w14:paraId="42059642">
      <w:pPr>
        <w:pStyle w:val="2"/>
        <w:spacing w:before="0" w:after="0" w:line="360" w:lineRule="auto"/>
        <w:jc w:val="center"/>
        <w:rPr>
          <w:rFonts w:hint="default" w:ascii="Times New Roman" w:hAnsi="Times New Roman" w:eastAsia="宋体" w:cs="Times New Roman"/>
          <w:bCs/>
          <w:color w:val="auto"/>
          <w:sz w:val="48"/>
          <w:szCs w:val="48"/>
          <w:lang w:eastAsia="zh-CN"/>
        </w:rPr>
      </w:pPr>
      <w:r>
        <w:rPr>
          <w:rFonts w:hint="default" w:ascii="Times New Roman" w:hAnsi="Times New Roman" w:cs="Times New Roman"/>
          <w:b w:val="0"/>
          <w:color w:val="auto"/>
          <w:lang w:eastAsia="zh-CN"/>
        </w:rPr>
        <w:br w:type="page"/>
      </w:r>
      <w:bookmarkEnd w:id="124"/>
      <w:bookmarkEnd w:id="125"/>
      <w:bookmarkEnd w:id="126"/>
      <w:bookmarkStart w:id="233" w:name="_Toc300363790"/>
      <w:bookmarkStart w:id="234" w:name="_Toc335147862_WPSOffice_Level1"/>
      <w:bookmarkStart w:id="235" w:name="_Toc308141697"/>
      <w:bookmarkStart w:id="236" w:name="_Toc1340807913"/>
      <w:bookmarkStart w:id="237" w:name="_Toc63558279_WPSOffice_Level1"/>
      <w:bookmarkStart w:id="238" w:name="_Toc1772010121"/>
      <w:bookmarkStart w:id="239" w:name="_Toc839610870"/>
      <w:bookmarkStart w:id="240" w:name="_Toc642928449_WPSOffice_Level1"/>
      <w:bookmarkStart w:id="241" w:name="_Toc1644299675"/>
      <w:bookmarkStart w:id="242" w:name="_Toc74311171"/>
      <w:bookmarkStart w:id="243" w:name="_Toc2100027940"/>
      <w:bookmarkStart w:id="244" w:name="_Toc764191523_WPSOffice_Level1"/>
      <w:bookmarkStart w:id="245" w:name="_Toc140667688"/>
      <w:bookmarkStart w:id="246" w:name="_Toc893337798"/>
      <w:bookmarkStart w:id="247" w:name="_Toc2024009066"/>
      <w:bookmarkStart w:id="248" w:name="_Toc310774132_WPSOffice_Level1"/>
      <w:bookmarkStart w:id="249" w:name="_Toc1839196008_WPSOffice_Level1"/>
      <w:bookmarkStart w:id="250" w:name="_Toc237350522_WPSOffice_Level1"/>
      <w:bookmarkStart w:id="251" w:name="_Toc1415346380_WPSOffice_Level1"/>
      <w:bookmarkStart w:id="252" w:name="_Toc1595406418"/>
      <w:bookmarkStart w:id="253" w:name="_Toc245603268"/>
      <w:bookmarkStart w:id="254" w:name="_Toc1681859708"/>
      <w:bookmarkStart w:id="255" w:name="_Toc208470034"/>
      <w:bookmarkStart w:id="256" w:name="_Toc1033050500"/>
      <w:bookmarkStart w:id="257" w:name="_Toc1375616047_WPSOffice_Level1"/>
      <w:bookmarkStart w:id="258" w:name="_Toc602951741"/>
      <w:r>
        <w:rPr>
          <w:rFonts w:hint="default" w:ascii="Times New Roman" w:hAnsi="Times New Roman" w:eastAsia="宋体" w:cs="Times New Roman"/>
          <w:b w:val="0"/>
          <w:color w:val="auto"/>
          <w:sz w:val="36"/>
          <w:szCs w:val="36"/>
          <w:lang w:val="en-US" w:eastAsia="zh-CN"/>
        </w:rPr>
        <w:t xml:space="preserve">第四章 </w:t>
      </w:r>
      <w:r>
        <w:rPr>
          <w:rFonts w:hint="default" w:ascii="Times New Roman" w:hAnsi="Times New Roman" w:eastAsia="宋体" w:cs="Times New Roman"/>
          <w:b w:val="0"/>
          <w:color w:val="auto"/>
          <w:sz w:val="36"/>
          <w:szCs w:val="36"/>
          <w:lang w:eastAsia="zh-CN"/>
        </w:rPr>
        <w:t>资格证明文件格式</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bookmarkEnd w:id="249"/>
    <w:bookmarkEnd w:id="250"/>
    <w:bookmarkEnd w:id="251"/>
    <w:p w14:paraId="4D8FBE4E">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4A63989B">
      <w:pPr>
        <w:tabs>
          <w:tab w:val="left" w:pos="1950"/>
        </w:tabs>
        <w:jc w:val="center"/>
        <w:rPr>
          <w:rFonts w:hint="default" w:ascii="Times New Roman" w:hAnsi="Times New Roman" w:eastAsia="宋体" w:cs="Times New Roman"/>
          <w:b/>
          <w:bCs/>
          <w:color w:val="auto"/>
          <w:sz w:val="56"/>
          <w:szCs w:val="56"/>
          <w:lang w:val="en-US" w:eastAsia="zh-CN"/>
        </w:rPr>
      </w:pPr>
      <w:r>
        <w:rPr>
          <w:rFonts w:hint="eastAsia" w:ascii="Times New Roman" w:hAnsi="Times New Roman" w:eastAsia="宋体" w:cs="Times New Roman"/>
          <w:b/>
          <w:bCs/>
          <w:color w:val="auto"/>
          <w:sz w:val="56"/>
          <w:szCs w:val="56"/>
          <w:lang w:val="en-US" w:eastAsia="zh-CN"/>
        </w:rPr>
        <w:t>河南省测绘地理信息技术中心实景三维河南建设省级项目2025年软硬件采购项目</w:t>
      </w:r>
    </w:p>
    <w:p w14:paraId="7B6D9F27">
      <w:pPr>
        <w:tabs>
          <w:tab w:val="left" w:pos="1950"/>
        </w:tabs>
        <w:jc w:val="left"/>
        <w:rPr>
          <w:rFonts w:hint="default" w:ascii="Times New Roman" w:hAnsi="Times New Roman" w:eastAsia="宋体" w:cs="Times New Roman"/>
          <w:bCs/>
          <w:color w:val="auto"/>
          <w:lang w:val="en-US" w:eastAsia="zh-CN"/>
        </w:rPr>
      </w:pPr>
    </w:p>
    <w:p w14:paraId="671E8A01">
      <w:pPr>
        <w:tabs>
          <w:tab w:val="left" w:pos="1950"/>
        </w:tabs>
        <w:jc w:val="left"/>
        <w:rPr>
          <w:rFonts w:hint="default" w:ascii="Times New Roman" w:hAnsi="Times New Roman" w:eastAsia="宋体" w:cs="Times New Roman"/>
          <w:bCs/>
          <w:color w:val="auto"/>
          <w:lang w:val="en-US" w:eastAsia="zh-CN"/>
        </w:rPr>
      </w:pPr>
    </w:p>
    <w:p w14:paraId="2142E916">
      <w:pPr>
        <w:tabs>
          <w:tab w:val="left" w:pos="1950"/>
        </w:tabs>
        <w:jc w:val="left"/>
        <w:rPr>
          <w:rFonts w:hint="default" w:ascii="Times New Roman" w:hAnsi="Times New Roman" w:eastAsia="宋体" w:cs="Times New Roman"/>
          <w:bCs/>
          <w:color w:val="auto"/>
          <w:lang w:val="en-US" w:eastAsia="zh-CN"/>
        </w:rPr>
      </w:pPr>
    </w:p>
    <w:p w14:paraId="43B371C0">
      <w:pPr>
        <w:tabs>
          <w:tab w:val="left" w:pos="1950"/>
        </w:tabs>
        <w:jc w:val="left"/>
        <w:rPr>
          <w:rFonts w:hint="default" w:ascii="Times New Roman" w:hAnsi="Times New Roman" w:eastAsia="宋体" w:cs="Times New Roman"/>
          <w:bCs/>
          <w:color w:val="auto"/>
          <w:lang w:val="en-US" w:eastAsia="zh-CN"/>
        </w:rPr>
      </w:pPr>
    </w:p>
    <w:p w14:paraId="05E9ACA2">
      <w:pPr>
        <w:jc w:val="center"/>
        <w:rPr>
          <w:rFonts w:hint="default" w:ascii="Times New Roman" w:hAnsi="Times New Roman" w:eastAsia="宋体" w:cs="Times New Roman"/>
          <w:bCs/>
          <w:color w:val="auto"/>
          <w:sz w:val="96"/>
          <w:szCs w:val="96"/>
          <w:lang w:eastAsia="zh-CN"/>
        </w:rPr>
      </w:pPr>
      <w:r>
        <w:rPr>
          <w:rFonts w:hint="default" w:ascii="Times New Roman" w:hAnsi="Times New Roman" w:eastAsia="宋体" w:cs="Times New Roman"/>
          <w:bCs/>
          <w:color w:val="auto"/>
          <w:sz w:val="96"/>
          <w:szCs w:val="96"/>
          <w:lang w:eastAsia="zh-CN"/>
        </w:rPr>
        <w:t>资格证明文件</w:t>
      </w:r>
    </w:p>
    <w:p w14:paraId="57FF6879">
      <w:pPr>
        <w:widowControl w:val="0"/>
        <w:tabs>
          <w:tab w:val="left" w:pos="1950"/>
        </w:tabs>
        <w:jc w:val="center"/>
        <w:rPr>
          <w:rFonts w:hint="default" w:ascii="Times New Roman" w:hAnsi="Times New Roman" w:eastAsia="宋体" w:cs="Times New Roman"/>
          <w:bCs/>
          <w:color w:val="auto"/>
          <w:sz w:val="36"/>
          <w:szCs w:val="36"/>
          <w:lang w:eastAsia="zh-CN"/>
        </w:rPr>
      </w:pPr>
    </w:p>
    <w:p w14:paraId="6BCAD903">
      <w:pPr>
        <w:widowControl w:val="0"/>
        <w:spacing w:line="360" w:lineRule="auto"/>
        <w:ind w:left="1080" w:leftChars="257" w:hanging="540"/>
        <w:jc w:val="center"/>
        <w:rPr>
          <w:rFonts w:hint="default" w:ascii="Times New Roman" w:hAnsi="Times New Roman" w:eastAsia="宋体" w:cs="Times New Roman"/>
          <w:bCs/>
          <w:color w:val="auto"/>
          <w:sz w:val="28"/>
          <w:szCs w:val="24"/>
          <w:lang w:val="en-US" w:eastAsia="zh-CN"/>
        </w:rPr>
      </w:pPr>
      <w:r>
        <w:rPr>
          <w:rFonts w:hint="default" w:ascii="Times New Roman" w:hAnsi="Times New Roman" w:eastAsia="宋体" w:cs="Times New Roman"/>
          <w:bCs/>
          <w:color w:val="auto"/>
          <w:sz w:val="36"/>
          <w:szCs w:val="36"/>
          <w:lang w:eastAsia="zh-CN"/>
        </w:rPr>
        <w:t>采购编号：豫财招标采购-2026-891</w:t>
      </w:r>
    </w:p>
    <w:p w14:paraId="1E521B84">
      <w:pPr>
        <w:widowControl w:val="0"/>
        <w:spacing w:line="360" w:lineRule="auto"/>
        <w:ind w:left="1080" w:leftChars="257" w:hanging="540"/>
        <w:rPr>
          <w:rFonts w:hint="default" w:ascii="Times New Roman" w:hAnsi="Times New Roman" w:eastAsia="宋体" w:cs="Times New Roman"/>
          <w:bCs/>
          <w:color w:val="auto"/>
          <w:sz w:val="28"/>
          <w:szCs w:val="24"/>
          <w:lang w:val="en-US" w:eastAsia="zh-CN"/>
        </w:rPr>
      </w:pPr>
    </w:p>
    <w:p w14:paraId="78532EA9">
      <w:pPr>
        <w:widowControl w:val="0"/>
        <w:spacing w:line="360" w:lineRule="auto"/>
        <w:ind w:left="1080" w:leftChars="257" w:hanging="540"/>
        <w:jc w:val="center"/>
        <w:rPr>
          <w:rFonts w:hint="default" w:ascii="Times New Roman" w:hAnsi="Times New Roman" w:eastAsia="宋体" w:cs="Times New Roman"/>
          <w:bCs/>
          <w:color w:val="auto"/>
          <w:sz w:val="52"/>
          <w:szCs w:val="24"/>
          <w:lang w:val="en-US" w:eastAsia="zh-CN"/>
        </w:rPr>
      </w:pPr>
    </w:p>
    <w:p w14:paraId="6CC95AE8">
      <w:pPr>
        <w:widowControl w:val="0"/>
        <w:autoSpaceDE w:val="0"/>
        <w:autoSpaceDN w:val="0"/>
        <w:adjustRightInd w:val="0"/>
        <w:ind w:firstLine="1080" w:firstLineChars="300"/>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t>投标人（企业电子签章）：</w:t>
      </w:r>
    </w:p>
    <w:p w14:paraId="36A160F9">
      <w:pPr>
        <w:pStyle w:val="199"/>
        <w:ind w:firstLine="0"/>
        <w:rPr>
          <w:rFonts w:hint="default" w:ascii="Times New Roman" w:hAnsi="Times New Roman" w:eastAsia="宋体" w:cs="Times New Roman"/>
          <w:bCs/>
          <w:color w:val="auto"/>
          <w:lang w:eastAsia="zh-CN"/>
        </w:rPr>
      </w:pPr>
    </w:p>
    <w:p w14:paraId="58BA777A">
      <w:pPr>
        <w:spacing w:line="360" w:lineRule="auto"/>
        <w:ind w:left="708"/>
        <w:jc w:val="center"/>
        <w:rPr>
          <w:rFonts w:hint="default" w:ascii="Times New Roman" w:hAnsi="Times New Roman" w:eastAsia="仿宋_GB2312" w:cs="Times New Roman"/>
          <w:bCs/>
          <w:color w:val="auto"/>
          <w:sz w:val="28"/>
          <w:szCs w:val="28"/>
          <w:lang w:val="en-US" w:eastAsia="zh-CN"/>
        </w:rPr>
      </w:pPr>
    </w:p>
    <w:p w14:paraId="644BBE83">
      <w:pPr>
        <w:rPr>
          <w:rFonts w:hint="default" w:ascii="Times New Roman" w:hAnsi="Times New Roman" w:eastAsia="仿宋_GB2312" w:cs="Times New Roman"/>
          <w:bCs/>
          <w:color w:val="auto"/>
          <w:sz w:val="36"/>
          <w:szCs w:val="36"/>
          <w:lang w:val="en-US" w:eastAsia="zh-CN"/>
        </w:rPr>
      </w:pPr>
      <w:bookmarkStart w:id="259" w:name="_Toc32436634_WPSOffice_Level3"/>
      <w:bookmarkStart w:id="260" w:name="_Toc1004915804_WPSOffice_Level3"/>
      <w:r>
        <w:rPr>
          <w:rFonts w:hint="default" w:ascii="Times New Roman" w:hAnsi="Times New Roman" w:eastAsia="仿宋_GB2312" w:cs="Times New Roman"/>
          <w:bCs/>
          <w:color w:val="auto"/>
          <w:sz w:val="36"/>
          <w:szCs w:val="36"/>
          <w:lang w:val="en-US" w:eastAsia="zh-CN"/>
        </w:rPr>
        <w:br w:type="page"/>
      </w:r>
    </w:p>
    <w:p w14:paraId="0A0E7B28">
      <w:pPr>
        <w:jc w:val="center"/>
        <w:rPr>
          <w:rFonts w:hint="default" w:ascii="Times New Roman" w:hAnsi="Times New Roman" w:eastAsia="仿宋_GB2312" w:cs="Times New Roman"/>
          <w:bCs/>
          <w:color w:val="auto"/>
          <w:sz w:val="36"/>
          <w:szCs w:val="36"/>
          <w:lang w:val="en-US" w:eastAsia="zh-CN"/>
        </w:rPr>
      </w:pPr>
      <w:r>
        <w:rPr>
          <w:rFonts w:hint="default" w:ascii="Times New Roman" w:hAnsi="Times New Roman" w:eastAsia="仿宋_GB2312" w:cs="Times New Roman"/>
          <w:bCs/>
          <w:color w:val="auto"/>
          <w:sz w:val="36"/>
          <w:szCs w:val="36"/>
          <w:lang w:val="en-US" w:eastAsia="zh-CN"/>
        </w:rPr>
        <w:t>目 录</w:t>
      </w:r>
    </w:p>
    <w:bookmarkEnd w:id="259"/>
    <w:bookmarkEnd w:id="260"/>
    <w:p w14:paraId="24350AD0">
      <w:pPr>
        <w:tabs>
          <w:tab w:val="left" w:pos="5580"/>
        </w:tabs>
        <w:spacing w:line="360" w:lineRule="auto"/>
        <w:rPr>
          <w:rFonts w:hint="default" w:ascii="Times New Roman" w:hAnsi="Times New Roman" w:eastAsia="仿宋" w:cs="Times New Roman"/>
          <w:bCs/>
          <w:color w:val="auto"/>
          <w:sz w:val="28"/>
          <w:szCs w:val="28"/>
          <w:lang w:val="en-US" w:eastAsia="zh-CN"/>
        </w:rPr>
      </w:pPr>
    </w:p>
    <w:p w14:paraId="109A7982">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1" w:name="_Toc561764264_WPSOffice_Level2"/>
      <w:r>
        <w:rPr>
          <w:rFonts w:hint="default" w:ascii="Times New Roman" w:hAnsi="Times New Roman" w:eastAsia="仿宋" w:cs="Times New Roman"/>
          <w:bCs/>
          <w:color w:val="auto"/>
          <w:kern w:val="0"/>
          <w:sz w:val="28"/>
          <w:szCs w:val="28"/>
          <w:lang w:val="en-US" w:eastAsia="zh-CN"/>
        </w:rPr>
        <w:t>一、</w:t>
      </w:r>
      <w:r>
        <w:rPr>
          <w:rFonts w:hint="default" w:ascii="Times New Roman" w:hAnsi="Times New Roman" w:eastAsia="仿宋" w:cs="Times New Roman"/>
          <w:bCs/>
          <w:color w:val="auto"/>
          <w:kern w:val="0"/>
          <w:sz w:val="28"/>
          <w:szCs w:val="28"/>
          <w:lang w:eastAsia="zh-CN"/>
        </w:rPr>
        <w:t>法人或者其他组织的营业执照等证明文件或自然人的身份证明</w:t>
      </w:r>
      <w:bookmarkEnd w:id="261"/>
    </w:p>
    <w:p w14:paraId="08A62329">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2" w:name="_Toc317745705_WPSOffice_Level2"/>
      <w:r>
        <w:rPr>
          <w:rFonts w:hint="default" w:ascii="Times New Roman" w:hAnsi="Times New Roman" w:eastAsia="仿宋" w:cs="Times New Roman"/>
          <w:bCs/>
          <w:color w:val="auto"/>
          <w:kern w:val="0"/>
          <w:sz w:val="28"/>
          <w:szCs w:val="28"/>
          <w:lang w:val="en-US" w:eastAsia="zh-CN"/>
        </w:rPr>
        <w:t>二、</w:t>
      </w:r>
      <w:r>
        <w:rPr>
          <w:rFonts w:hint="default" w:ascii="Times New Roman" w:hAnsi="Times New Roman" w:eastAsia="仿宋" w:cs="Times New Roman"/>
          <w:bCs/>
          <w:color w:val="auto"/>
          <w:kern w:val="0"/>
          <w:sz w:val="28"/>
          <w:szCs w:val="28"/>
          <w:lang w:eastAsia="zh-CN"/>
        </w:rPr>
        <w:t>具有良好的商业信誉和健全的财务会计制度</w:t>
      </w:r>
      <w:bookmarkEnd w:id="262"/>
    </w:p>
    <w:p w14:paraId="6ED0F7AF">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3" w:name="_Toc294801548_WPSOffice_Level2"/>
      <w:r>
        <w:rPr>
          <w:rFonts w:hint="default" w:ascii="Times New Roman" w:hAnsi="Times New Roman" w:eastAsia="仿宋" w:cs="Times New Roman"/>
          <w:bCs/>
          <w:color w:val="auto"/>
          <w:kern w:val="0"/>
          <w:sz w:val="28"/>
          <w:szCs w:val="28"/>
          <w:lang w:val="en-US" w:eastAsia="zh-CN"/>
        </w:rPr>
        <w:t>三、</w:t>
      </w:r>
      <w:r>
        <w:rPr>
          <w:rFonts w:hint="default" w:ascii="Times New Roman" w:hAnsi="Times New Roman" w:eastAsia="仿宋" w:cs="Times New Roman"/>
          <w:bCs/>
          <w:color w:val="auto"/>
          <w:kern w:val="0"/>
          <w:sz w:val="28"/>
          <w:szCs w:val="28"/>
          <w:lang w:eastAsia="zh-CN"/>
        </w:rPr>
        <w:t>依法缴纳税收和社会保障资金的良好记录</w:t>
      </w:r>
      <w:bookmarkEnd w:id="263"/>
    </w:p>
    <w:p w14:paraId="13B738EC">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4" w:name="_Toc749118665_WPSOffice_Level2"/>
      <w:r>
        <w:rPr>
          <w:rFonts w:hint="default" w:ascii="Times New Roman" w:hAnsi="Times New Roman" w:eastAsia="仿宋" w:cs="Times New Roman"/>
          <w:bCs/>
          <w:color w:val="auto"/>
          <w:kern w:val="0"/>
          <w:sz w:val="28"/>
          <w:szCs w:val="28"/>
          <w:lang w:val="en-US" w:eastAsia="zh-CN"/>
        </w:rPr>
        <w:t>四、</w:t>
      </w:r>
      <w:r>
        <w:rPr>
          <w:rFonts w:hint="default" w:ascii="Times New Roman" w:hAnsi="Times New Roman" w:eastAsia="仿宋" w:cs="Times New Roman"/>
          <w:bCs/>
          <w:color w:val="auto"/>
          <w:kern w:val="0"/>
          <w:sz w:val="28"/>
          <w:szCs w:val="28"/>
          <w:lang w:eastAsia="zh-CN"/>
        </w:rPr>
        <w:t>具有履行合同所必需的设备和专业技术能力</w:t>
      </w:r>
      <w:bookmarkEnd w:id="264"/>
    </w:p>
    <w:p w14:paraId="5848F2E9">
      <w:pPr>
        <w:tabs>
          <w:tab w:val="left" w:pos="5580"/>
        </w:tabs>
        <w:spacing w:line="360" w:lineRule="auto"/>
        <w:ind w:firstLine="480"/>
        <w:rPr>
          <w:rFonts w:hint="default" w:ascii="Times New Roman" w:hAnsi="Times New Roman" w:eastAsia="仿宋" w:cs="Times New Roman"/>
          <w:bCs/>
          <w:color w:val="auto"/>
          <w:kern w:val="0"/>
          <w:sz w:val="28"/>
          <w:szCs w:val="28"/>
          <w:lang w:eastAsia="zh-CN"/>
        </w:rPr>
      </w:pPr>
      <w:bookmarkStart w:id="265" w:name="_Toc865995009_WPSOffice_Level2"/>
      <w:r>
        <w:rPr>
          <w:rFonts w:hint="default" w:ascii="Times New Roman" w:hAnsi="Times New Roman" w:eastAsia="仿宋" w:cs="Times New Roman"/>
          <w:bCs/>
          <w:color w:val="auto"/>
          <w:kern w:val="0"/>
          <w:sz w:val="28"/>
          <w:szCs w:val="28"/>
          <w:lang w:val="en-US" w:eastAsia="zh-CN"/>
        </w:rPr>
        <w:t>五、</w:t>
      </w:r>
      <w:r>
        <w:rPr>
          <w:rFonts w:hint="default" w:ascii="Times New Roman" w:hAnsi="Times New Roman" w:eastAsia="仿宋" w:cs="Times New Roman"/>
          <w:bCs/>
          <w:color w:val="auto"/>
          <w:kern w:val="0"/>
          <w:sz w:val="28"/>
          <w:szCs w:val="28"/>
          <w:lang w:eastAsia="zh-CN"/>
        </w:rPr>
        <w:t>参加政府采购活动前</w:t>
      </w:r>
      <w:r>
        <w:rPr>
          <w:rFonts w:hint="default" w:ascii="Times New Roman" w:hAnsi="Times New Roman" w:eastAsia="仿宋" w:cs="Times New Roman"/>
          <w:bCs/>
          <w:color w:val="auto"/>
          <w:kern w:val="0"/>
          <w:sz w:val="28"/>
          <w:szCs w:val="28"/>
          <w:lang w:val="en-US" w:eastAsia="zh-CN"/>
        </w:rPr>
        <w:t>3</w:t>
      </w:r>
      <w:r>
        <w:rPr>
          <w:rFonts w:hint="default" w:ascii="Times New Roman" w:hAnsi="Times New Roman" w:eastAsia="仿宋" w:cs="Times New Roman"/>
          <w:bCs/>
          <w:color w:val="auto"/>
          <w:kern w:val="0"/>
          <w:sz w:val="28"/>
          <w:szCs w:val="28"/>
          <w:lang w:eastAsia="zh-CN"/>
        </w:rPr>
        <w:t>年内在经营活动中没有重大违法记录的声明</w:t>
      </w:r>
      <w:bookmarkEnd w:id="265"/>
    </w:p>
    <w:p w14:paraId="4E1A48D7">
      <w:pPr>
        <w:tabs>
          <w:tab w:val="left" w:pos="5580"/>
        </w:tabs>
        <w:spacing w:line="360" w:lineRule="auto"/>
        <w:ind w:firstLine="480"/>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六、关联关系名单</w:t>
      </w:r>
    </w:p>
    <w:p w14:paraId="19549067">
      <w:pPr>
        <w:tabs>
          <w:tab w:val="left" w:pos="5580"/>
        </w:tabs>
        <w:spacing w:line="360" w:lineRule="auto"/>
        <w:ind w:firstLine="480"/>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val="en-US" w:eastAsia="zh-CN"/>
        </w:rPr>
        <w:t>七、</w:t>
      </w:r>
      <w:r>
        <w:rPr>
          <w:rFonts w:hint="default" w:ascii="Times New Roman" w:hAnsi="Times New Roman" w:eastAsia="仿宋_GB2312" w:cs="Times New Roman"/>
          <w:bCs/>
          <w:color w:val="auto"/>
          <w:kern w:val="0"/>
          <w:sz w:val="28"/>
          <w:szCs w:val="28"/>
          <w:lang w:eastAsia="zh-CN"/>
        </w:rPr>
        <w:t>其他资格证明文件</w:t>
      </w:r>
    </w:p>
    <w:p w14:paraId="66DDEB63">
      <w:pPr>
        <w:tabs>
          <w:tab w:val="left" w:pos="5580"/>
        </w:tabs>
        <w:spacing w:line="360" w:lineRule="auto"/>
        <w:ind w:left="1" w:firstLine="564"/>
        <w:rPr>
          <w:rFonts w:hint="default" w:ascii="Times New Roman" w:hAnsi="Times New Roman" w:eastAsia="仿宋_GB2312" w:cs="Times New Roman"/>
          <w:bCs/>
          <w:color w:val="auto"/>
          <w:sz w:val="28"/>
          <w:szCs w:val="28"/>
          <w:lang w:val="en-US" w:eastAsia="zh-CN"/>
        </w:rPr>
      </w:pPr>
    </w:p>
    <w:p w14:paraId="66D4A5CF">
      <w:pPr>
        <w:tabs>
          <w:tab w:val="left" w:pos="5580"/>
        </w:tabs>
        <w:spacing w:line="360" w:lineRule="auto"/>
        <w:ind w:left="1" w:firstLine="564"/>
        <w:rPr>
          <w:rFonts w:hint="default" w:ascii="Times New Roman" w:hAnsi="Times New Roman" w:eastAsia="宋体" w:cs="Times New Roman"/>
          <w:bCs/>
          <w:color w:val="auto"/>
          <w:sz w:val="24"/>
          <w:szCs w:val="24"/>
          <w:lang w:val="en-US" w:eastAsia="zh-CN"/>
        </w:rPr>
      </w:pPr>
    </w:p>
    <w:p w14:paraId="07AD59D1">
      <w:pPr>
        <w:tabs>
          <w:tab w:val="left" w:pos="5580"/>
        </w:tabs>
        <w:spacing w:line="360" w:lineRule="auto"/>
        <w:ind w:left="1" w:firstLine="564"/>
        <w:rPr>
          <w:rFonts w:hint="default" w:ascii="Times New Roman" w:hAnsi="Times New Roman" w:eastAsia="宋体" w:cs="Times New Roman"/>
          <w:bCs/>
          <w:color w:val="auto"/>
          <w:sz w:val="24"/>
          <w:szCs w:val="24"/>
          <w:lang w:val="en-US" w:eastAsia="zh-CN"/>
        </w:rPr>
      </w:pPr>
    </w:p>
    <w:p w14:paraId="678DE605">
      <w:pPr>
        <w:tabs>
          <w:tab w:val="left" w:pos="5580"/>
        </w:tabs>
        <w:spacing w:line="360" w:lineRule="auto"/>
        <w:ind w:left="1" w:firstLine="658"/>
        <w:rPr>
          <w:rFonts w:hint="default" w:ascii="Times New Roman" w:hAnsi="Times New Roman" w:eastAsia="宋体" w:cs="Times New Roman"/>
          <w:bCs/>
          <w:color w:val="auto"/>
          <w:sz w:val="28"/>
          <w:szCs w:val="28"/>
          <w:lang w:val="en-US" w:eastAsia="zh-CN"/>
        </w:rPr>
      </w:pPr>
    </w:p>
    <w:p w14:paraId="297AE8AE">
      <w:pPr>
        <w:tabs>
          <w:tab w:val="left" w:pos="5580"/>
        </w:tabs>
        <w:spacing w:line="360" w:lineRule="auto"/>
        <w:ind w:left="1" w:firstLine="658"/>
        <w:rPr>
          <w:rFonts w:hint="default" w:ascii="Times New Roman" w:hAnsi="Times New Roman" w:eastAsia="宋体" w:cs="Times New Roman"/>
          <w:bCs/>
          <w:color w:val="auto"/>
          <w:sz w:val="28"/>
          <w:szCs w:val="28"/>
          <w:lang w:val="en-US" w:eastAsia="zh-CN"/>
        </w:rPr>
      </w:pPr>
    </w:p>
    <w:p w14:paraId="7E2E6EAF">
      <w:pPr>
        <w:tabs>
          <w:tab w:val="left" w:pos="5580"/>
        </w:tabs>
        <w:spacing w:line="360" w:lineRule="auto"/>
        <w:ind w:left="1" w:firstLine="658"/>
        <w:rPr>
          <w:rFonts w:hint="default" w:ascii="Times New Roman" w:hAnsi="Times New Roman" w:eastAsia="宋体" w:cs="Times New Roman"/>
          <w:bCs/>
          <w:color w:val="auto"/>
          <w:sz w:val="28"/>
          <w:szCs w:val="28"/>
          <w:lang w:val="en-US" w:eastAsia="zh-CN"/>
        </w:rPr>
      </w:pPr>
    </w:p>
    <w:p w14:paraId="6417C6F9">
      <w:pPr>
        <w:jc w:val="left"/>
        <w:rPr>
          <w:rFonts w:hint="default" w:ascii="Times New Roman" w:hAnsi="Times New Roman" w:eastAsia="宋体" w:cs="Times New Roman"/>
          <w:bCs/>
          <w:color w:val="auto"/>
          <w:sz w:val="28"/>
          <w:szCs w:val="28"/>
          <w:lang w:eastAsia="zh-CN"/>
        </w:rPr>
      </w:pPr>
      <w:bookmarkStart w:id="266" w:name="_Toc1892257381_WPSOffice_Level3"/>
      <w:bookmarkStart w:id="267" w:name="_Toc442868323"/>
      <w:bookmarkStart w:id="268" w:name="_Toc740001715"/>
      <w:bookmarkStart w:id="269" w:name="_Toc1666758381"/>
      <w:r>
        <w:rPr>
          <w:rFonts w:hint="default" w:ascii="Times New Roman" w:hAnsi="Times New Roman" w:eastAsia="黑体" w:cs="Times New Roman"/>
          <w:bCs/>
          <w:color w:val="auto"/>
          <w:sz w:val="28"/>
          <w:szCs w:val="28"/>
          <w:lang w:eastAsia="zh-CN"/>
        </w:rPr>
        <w:br w:type="page"/>
      </w:r>
      <w:bookmarkEnd w:id="266"/>
      <w:bookmarkEnd w:id="267"/>
      <w:bookmarkEnd w:id="268"/>
      <w:bookmarkEnd w:id="269"/>
    </w:p>
    <w:p w14:paraId="2DD7B339">
      <w:pPr>
        <w:pStyle w:val="3"/>
        <w:spacing w:before="0" w:after="0" w:line="360" w:lineRule="auto"/>
        <w:jc w:val="center"/>
        <w:rPr>
          <w:rFonts w:hint="default" w:ascii="Times New Roman" w:hAnsi="Times New Roman" w:eastAsia="黑体" w:cs="Times New Roman"/>
          <w:b w:val="0"/>
          <w:color w:val="auto"/>
          <w:sz w:val="28"/>
          <w:szCs w:val="28"/>
          <w:lang w:eastAsia="zh-CN"/>
        </w:rPr>
      </w:pPr>
      <w:bookmarkStart w:id="270" w:name="_Toc1541909372_WPSOffice_Level3"/>
      <w:bookmarkStart w:id="271" w:name="_Toc831756679"/>
      <w:bookmarkStart w:id="272" w:name="_Toc1950934252"/>
      <w:bookmarkStart w:id="273" w:name="_Toc1480748811"/>
      <w:bookmarkStart w:id="274" w:name="_Toc730361247"/>
      <w:bookmarkStart w:id="275" w:name="_Toc1876865389"/>
      <w:bookmarkStart w:id="276" w:name="_Toc503852734"/>
      <w:bookmarkStart w:id="277" w:name="_Toc262140077"/>
      <w:bookmarkStart w:id="278" w:name="_Toc1274130635"/>
      <w:bookmarkStart w:id="279" w:name="_Toc1793820901_WPSOffice_Level3"/>
      <w:bookmarkStart w:id="280" w:name="_Toc416910222"/>
      <w:r>
        <w:rPr>
          <w:rFonts w:hint="default" w:ascii="Times New Roman" w:hAnsi="Times New Roman" w:eastAsia="黑体" w:cs="Times New Roman"/>
          <w:b w:val="0"/>
          <w:color w:val="auto"/>
          <w:sz w:val="28"/>
          <w:szCs w:val="28"/>
          <w:lang w:val="en-US" w:eastAsia="zh-CN"/>
        </w:rPr>
        <w:t>一、</w:t>
      </w:r>
      <w:bookmarkEnd w:id="270"/>
      <w:bookmarkEnd w:id="271"/>
      <w:bookmarkEnd w:id="272"/>
      <w:bookmarkEnd w:id="273"/>
      <w:bookmarkEnd w:id="274"/>
      <w:bookmarkEnd w:id="275"/>
      <w:bookmarkEnd w:id="276"/>
      <w:bookmarkEnd w:id="277"/>
      <w:bookmarkEnd w:id="278"/>
      <w:bookmarkEnd w:id="279"/>
      <w:r>
        <w:rPr>
          <w:rFonts w:hint="default" w:ascii="Times New Roman" w:hAnsi="Times New Roman" w:eastAsia="方正小标宋_GBK" w:cs="Times New Roman"/>
          <w:b w:val="0"/>
          <w:color w:val="auto"/>
          <w:sz w:val="30"/>
          <w:szCs w:val="30"/>
          <w:lang w:val="en-US" w:eastAsia="zh-CN"/>
        </w:rPr>
        <w:t>法人或者其他组织的营业执照等证明文件或自然人的身份证明</w:t>
      </w:r>
      <w:bookmarkEnd w:id="280"/>
    </w:p>
    <w:p w14:paraId="21E6E913">
      <w:pPr>
        <w:rPr>
          <w:rFonts w:hint="default" w:ascii="Times New Roman" w:hAnsi="Times New Roman" w:cs="Times New Roman"/>
          <w:bCs/>
          <w:color w:val="auto"/>
          <w:lang w:eastAsia="zh-CN"/>
        </w:rPr>
      </w:pPr>
    </w:p>
    <w:p w14:paraId="7F382EB9">
      <w:pPr>
        <w:pStyle w:val="191"/>
        <w:tabs>
          <w:tab w:val="left" w:pos="5580"/>
        </w:tabs>
        <w:spacing w:line="360" w:lineRule="auto"/>
        <w:ind w:left="540" w:firstLine="480"/>
        <w:jc w:val="center"/>
        <w:rPr>
          <w:rFonts w:hint="default" w:ascii="Times New Roman" w:hAnsi="Times New Roman" w:cs="Times New Roman"/>
          <w:bCs/>
          <w:color w:val="auto"/>
          <w:sz w:val="24"/>
          <w:szCs w:val="24"/>
        </w:rPr>
      </w:pPr>
    </w:p>
    <w:p w14:paraId="26114206">
      <w:pPr>
        <w:pStyle w:val="191"/>
        <w:tabs>
          <w:tab w:val="left" w:pos="5580"/>
        </w:tabs>
        <w:spacing w:line="360" w:lineRule="auto"/>
        <w:ind w:left="540" w:firstLine="480"/>
        <w:rPr>
          <w:rFonts w:hint="default" w:ascii="Times New Roman" w:hAnsi="Times New Roman" w:cs="Times New Roman"/>
          <w:bCs/>
          <w:color w:val="auto"/>
          <w:sz w:val="24"/>
          <w:szCs w:val="24"/>
        </w:rPr>
      </w:pPr>
    </w:p>
    <w:p w14:paraId="646BF202">
      <w:pPr>
        <w:pStyle w:val="191"/>
        <w:tabs>
          <w:tab w:val="left" w:pos="5580"/>
        </w:tabs>
        <w:spacing w:line="360" w:lineRule="auto"/>
        <w:ind w:left="540" w:firstLine="480"/>
        <w:rPr>
          <w:rFonts w:hint="default" w:ascii="Times New Roman" w:hAnsi="Times New Roman" w:cs="Times New Roman"/>
          <w:bCs/>
          <w:color w:val="auto"/>
          <w:sz w:val="24"/>
          <w:szCs w:val="24"/>
        </w:rPr>
      </w:pPr>
    </w:p>
    <w:p w14:paraId="68C39161">
      <w:pPr>
        <w:pStyle w:val="191"/>
        <w:tabs>
          <w:tab w:val="left" w:pos="5580"/>
        </w:tabs>
        <w:spacing w:line="360" w:lineRule="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说明：</w:t>
      </w:r>
      <w:r>
        <w:rPr>
          <w:rFonts w:hint="default" w:ascii="Times New Roman" w:hAnsi="Times New Roman" w:eastAsia="仿宋_GB2312" w:cs="Times New Roman"/>
          <w:bCs/>
          <w:color w:val="auto"/>
          <w:sz w:val="28"/>
          <w:szCs w:val="28"/>
        </w:rPr>
        <w:t>1.</w:t>
      </w:r>
      <w:r>
        <w:rPr>
          <w:rFonts w:hint="default" w:ascii="Times New Roman" w:hAnsi="Times New Roman" w:eastAsia="仿宋_GB2312" w:cs="Times New Roman"/>
          <w:bCs/>
          <w:color w:val="auto"/>
          <w:sz w:val="28"/>
          <w:szCs w:val="28"/>
          <w:lang w:val="zh-TW"/>
        </w:rPr>
        <w:t>提供有效的营业执照等证明文件原件或复印件扫描件。</w:t>
      </w:r>
    </w:p>
    <w:p w14:paraId="4B5D3B7A">
      <w:pPr>
        <w:pStyle w:val="191"/>
        <w:tabs>
          <w:tab w:val="left" w:pos="5580"/>
        </w:tabs>
        <w:spacing w:line="360" w:lineRule="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 xml:space="preserve">      </w:t>
      </w:r>
      <w:bookmarkStart w:id="281" w:name="_Toc2081420463_WPSOffice_Level3"/>
      <w:bookmarkStart w:id="282" w:name="_Toc67715126_WPSOffice_Level3"/>
      <w:r>
        <w:rPr>
          <w:rFonts w:hint="default" w:ascii="Times New Roman" w:hAnsi="Times New Roman" w:eastAsia="仿宋_GB2312" w:cs="Times New Roman"/>
          <w:bCs/>
          <w:color w:val="auto"/>
          <w:sz w:val="28"/>
          <w:szCs w:val="28"/>
        </w:rPr>
        <w:t>2.</w:t>
      </w:r>
      <w:r>
        <w:rPr>
          <w:rFonts w:hint="default" w:ascii="Times New Roman" w:hAnsi="Times New Roman" w:eastAsia="仿宋_GB2312" w:cs="Times New Roman"/>
          <w:bCs/>
          <w:color w:val="auto"/>
          <w:sz w:val="28"/>
          <w:szCs w:val="28"/>
          <w:lang w:val="zh-TW"/>
        </w:rPr>
        <w:t>投标人为自然人的，应提供身份证明的原件或复印件扫描件。</w:t>
      </w:r>
      <w:bookmarkEnd w:id="281"/>
      <w:bookmarkEnd w:id="282"/>
    </w:p>
    <w:p w14:paraId="366D0A73">
      <w:pPr>
        <w:pStyle w:val="191"/>
        <w:tabs>
          <w:tab w:val="left" w:pos="5580"/>
        </w:tabs>
        <w:spacing w:line="360" w:lineRule="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 xml:space="preserve">      </w:t>
      </w:r>
      <w:bookmarkStart w:id="283" w:name="_Toc1215272460_WPSOffice_Level3"/>
      <w:bookmarkStart w:id="284" w:name="_Toc781251951_WPSOffice_Level3"/>
      <w:r>
        <w:rPr>
          <w:rFonts w:hint="default" w:ascii="Times New Roman" w:hAnsi="Times New Roman" w:eastAsia="仿宋_GB2312" w:cs="Times New Roman"/>
          <w:bCs/>
          <w:color w:val="auto"/>
          <w:sz w:val="28"/>
          <w:szCs w:val="28"/>
        </w:rPr>
        <w:t>3.</w:t>
      </w:r>
      <w:r>
        <w:rPr>
          <w:rFonts w:hint="default" w:ascii="Times New Roman" w:hAnsi="Times New Roman" w:eastAsia="仿宋_GB2312" w:cs="Times New Roman"/>
          <w:bCs/>
          <w:color w:val="auto"/>
          <w:sz w:val="28"/>
          <w:szCs w:val="28"/>
          <w:lang w:val="zh-TW"/>
        </w:rPr>
        <w:t>联合体投标应提供联合体各方满足以上要求的证明文件。</w:t>
      </w:r>
      <w:bookmarkEnd w:id="283"/>
      <w:bookmarkEnd w:id="284"/>
    </w:p>
    <w:p w14:paraId="7D3430B9">
      <w:pPr>
        <w:jc w:val="left"/>
        <w:rPr>
          <w:rFonts w:hint="default" w:ascii="Times New Roman" w:hAnsi="Times New Roman" w:eastAsia="宋体" w:cs="Times New Roman"/>
          <w:bCs/>
          <w:color w:val="auto"/>
          <w:sz w:val="28"/>
          <w:szCs w:val="28"/>
          <w:lang w:eastAsia="zh-CN"/>
        </w:rPr>
      </w:pPr>
      <w:r>
        <w:rPr>
          <w:rFonts w:hint="default" w:ascii="Times New Roman" w:hAnsi="Times New Roman" w:eastAsia="宋体" w:cs="Times New Roman"/>
          <w:bCs/>
          <w:color w:val="auto"/>
          <w:sz w:val="28"/>
          <w:szCs w:val="28"/>
          <w:lang w:eastAsia="zh-CN"/>
        </w:rPr>
        <w:br w:type="page"/>
      </w:r>
      <w:bookmarkStart w:id="285" w:name="_Toc456633459_WPSOffice_Level3"/>
      <w:bookmarkStart w:id="286" w:name="_Toc1215314597"/>
      <w:bookmarkStart w:id="287" w:name="_Toc868984799"/>
      <w:bookmarkStart w:id="288" w:name="_Toc1557063548"/>
      <w:bookmarkStart w:id="289" w:name="_Toc1319467764"/>
    </w:p>
    <w:p w14:paraId="05817998">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90" w:name="_Toc1494493586"/>
      <w:bookmarkStart w:id="291" w:name="_Toc1587241248"/>
      <w:bookmarkStart w:id="292" w:name="_Toc574791252"/>
      <w:bookmarkStart w:id="293" w:name="_Toc1518204884"/>
      <w:bookmarkStart w:id="294" w:name="_Toc937091873"/>
      <w:r>
        <w:rPr>
          <w:rFonts w:hint="default" w:ascii="Times New Roman" w:hAnsi="Times New Roman" w:eastAsia="方正小标宋_GBK" w:cs="Times New Roman"/>
          <w:bCs/>
          <w:color w:val="auto"/>
          <w:kern w:val="0"/>
          <w:sz w:val="30"/>
          <w:szCs w:val="30"/>
          <w:lang w:val="en-US" w:eastAsia="zh-CN"/>
        </w:rPr>
        <w:t>二、具有良好的商业信誉和健全的财务会计制度</w:t>
      </w:r>
      <w:bookmarkEnd w:id="285"/>
      <w:bookmarkEnd w:id="286"/>
      <w:bookmarkEnd w:id="287"/>
      <w:bookmarkEnd w:id="288"/>
      <w:bookmarkEnd w:id="289"/>
      <w:bookmarkEnd w:id="290"/>
      <w:bookmarkEnd w:id="291"/>
      <w:bookmarkEnd w:id="292"/>
      <w:bookmarkEnd w:id="293"/>
      <w:bookmarkEnd w:id="294"/>
    </w:p>
    <w:p w14:paraId="3F4AD391">
      <w:pPr>
        <w:spacing w:line="360" w:lineRule="auto"/>
        <w:jc w:val="center"/>
        <w:rPr>
          <w:rFonts w:hint="default" w:ascii="Times New Roman" w:hAnsi="Times New Roman" w:eastAsia="宋体" w:cs="Times New Roman"/>
          <w:bCs/>
          <w:color w:val="auto"/>
          <w:sz w:val="28"/>
          <w:szCs w:val="28"/>
          <w:lang w:eastAsia="zh-CN"/>
        </w:rPr>
      </w:pPr>
    </w:p>
    <w:p w14:paraId="4640AD77">
      <w:pPr>
        <w:rPr>
          <w:rFonts w:hint="default" w:ascii="Times New Roman" w:hAnsi="Times New Roman" w:cs="Times New Roman"/>
          <w:bCs/>
          <w:color w:val="auto"/>
          <w:lang w:eastAsia="zh-CN"/>
        </w:rPr>
      </w:pPr>
    </w:p>
    <w:p w14:paraId="43630F82">
      <w:pPr>
        <w:tabs>
          <w:tab w:val="left" w:pos="5580"/>
        </w:tabs>
        <w:spacing w:line="360" w:lineRule="auto"/>
        <w:ind w:left="1080" w:hanging="540"/>
        <w:jc w:val="center"/>
        <w:rPr>
          <w:rFonts w:hint="default" w:ascii="Times New Roman" w:hAnsi="Times New Roman" w:eastAsia="宋体" w:cs="Times New Roman"/>
          <w:bCs/>
          <w:color w:val="auto"/>
          <w:sz w:val="24"/>
          <w:szCs w:val="24"/>
          <w:lang w:val="en-US" w:eastAsia="zh-CN"/>
        </w:rPr>
      </w:pPr>
    </w:p>
    <w:p w14:paraId="3C2EE008">
      <w:pPr>
        <w:tabs>
          <w:tab w:val="left" w:pos="3060"/>
          <w:tab w:val="left" w:pos="5580"/>
        </w:tabs>
        <w:spacing w:line="360" w:lineRule="auto"/>
        <w:ind w:left="1080" w:hanging="540"/>
        <w:rPr>
          <w:rFonts w:hint="default" w:ascii="Times New Roman" w:hAnsi="Times New Roman" w:eastAsia="宋体" w:cs="Times New Roman"/>
          <w:bCs/>
          <w:color w:val="auto"/>
          <w:sz w:val="24"/>
          <w:szCs w:val="24"/>
          <w:lang w:val="en-US" w:eastAsia="zh-CN"/>
        </w:rPr>
      </w:pPr>
    </w:p>
    <w:p w14:paraId="0A91D3B9">
      <w:pPr>
        <w:tabs>
          <w:tab w:val="left" w:pos="5580"/>
        </w:tabs>
        <w:spacing w:line="360" w:lineRule="auto"/>
        <w:ind w:left="1080" w:hanging="540"/>
        <w:jc w:val="center"/>
        <w:rPr>
          <w:rFonts w:hint="default" w:ascii="Times New Roman" w:hAnsi="Times New Roman" w:eastAsia="宋体" w:cs="Times New Roman"/>
          <w:bCs/>
          <w:color w:val="auto"/>
          <w:sz w:val="24"/>
          <w:szCs w:val="24"/>
          <w:lang w:val="en-US" w:eastAsia="zh-CN"/>
        </w:rPr>
      </w:pPr>
    </w:p>
    <w:p w14:paraId="6982F460">
      <w:pPr>
        <w:tabs>
          <w:tab w:val="left" w:pos="5580"/>
        </w:tabs>
        <w:spacing w:line="360" w:lineRule="auto"/>
        <w:ind w:left="1080" w:hanging="54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说明：</w:t>
      </w:r>
    </w:p>
    <w:p w14:paraId="5D5BDB15">
      <w:pPr>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提供投标人</w:t>
      </w:r>
      <w:r>
        <w:rPr>
          <w:rFonts w:hint="default" w:ascii="Times New Roman" w:hAnsi="Times New Roman" w:eastAsia="仿宋_GB2312" w:cs="Times New Roman"/>
          <w:bCs/>
          <w:color w:val="auto"/>
          <w:sz w:val="28"/>
          <w:szCs w:val="28"/>
          <w:lang w:val="en" w:eastAsia="zh-CN"/>
        </w:rPr>
        <w:t>2025年度</w:t>
      </w:r>
      <w:r>
        <w:rPr>
          <w:rFonts w:hint="default" w:ascii="Times New Roman" w:hAnsi="Times New Roman" w:eastAsia="仿宋_GB2312" w:cs="Times New Roman"/>
          <w:bCs/>
          <w:color w:val="auto"/>
          <w:sz w:val="28"/>
          <w:szCs w:val="28"/>
          <w:lang w:val="en-US" w:eastAsia="zh-CN"/>
        </w:rPr>
        <w:t>经审计的财务报告，要求注册会计师签字并加盖会计师印章；如截止到开标时间投标人成立时间不足1年的，须提供其开户银行出具的资信证明。</w:t>
      </w:r>
    </w:p>
    <w:p w14:paraId="2C8E0F8F">
      <w:pPr>
        <w:pStyle w:val="3"/>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cs="Times New Roman"/>
          <w:b w:val="0"/>
          <w:color w:val="auto"/>
          <w:sz w:val="24"/>
          <w:szCs w:val="24"/>
          <w:lang w:eastAsia="zh-CN"/>
        </w:rPr>
        <w:br w:type="page"/>
      </w:r>
      <w:bookmarkStart w:id="295" w:name="_Toc1968479748"/>
      <w:bookmarkStart w:id="296" w:name="_Toc942688044_WPSOffice_Level3"/>
      <w:bookmarkStart w:id="297" w:name="_Toc1998858666"/>
      <w:bookmarkStart w:id="298" w:name="_Toc1125237527"/>
      <w:bookmarkStart w:id="299" w:name="_Toc436443482"/>
      <w:bookmarkStart w:id="300" w:name="_Toc108935773"/>
      <w:bookmarkStart w:id="301" w:name="_Toc1735681444"/>
      <w:bookmarkStart w:id="302" w:name="_Toc1079740645"/>
      <w:bookmarkStart w:id="303" w:name="_Toc2082821673"/>
      <w:bookmarkStart w:id="304" w:name="_Toc1656782056"/>
      <w:bookmarkStart w:id="305" w:name="_Toc1030212309"/>
      <w:r>
        <w:rPr>
          <w:rFonts w:hint="default" w:ascii="Times New Roman" w:hAnsi="Times New Roman" w:eastAsia="方正小标宋_GBK" w:cs="Times New Roman"/>
          <w:b w:val="0"/>
          <w:color w:val="auto"/>
          <w:sz w:val="30"/>
          <w:szCs w:val="30"/>
          <w:lang w:val="en-US" w:eastAsia="zh-CN"/>
        </w:rPr>
        <w:t>三、依法</w:t>
      </w:r>
      <w:bookmarkEnd w:id="295"/>
      <w:r>
        <w:rPr>
          <w:rFonts w:hint="default" w:ascii="Times New Roman" w:hAnsi="Times New Roman" w:eastAsia="方正小标宋_GBK" w:cs="Times New Roman"/>
          <w:b w:val="0"/>
          <w:color w:val="auto"/>
          <w:sz w:val="30"/>
          <w:szCs w:val="30"/>
          <w:lang w:val="en-US" w:eastAsia="zh-CN"/>
        </w:rPr>
        <w:t>缴纳税收和社会保障资金的良好记录</w:t>
      </w:r>
      <w:bookmarkEnd w:id="296"/>
      <w:bookmarkEnd w:id="297"/>
      <w:bookmarkEnd w:id="298"/>
      <w:bookmarkEnd w:id="299"/>
      <w:bookmarkEnd w:id="300"/>
      <w:bookmarkEnd w:id="301"/>
      <w:bookmarkEnd w:id="302"/>
      <w:bookmarkEnd w:id="303"/>
      <w:bookmarkEnd w:id="304"/>
      <w:bookmarkEnd w:id="305"/>
    </w:p>
    <w:p w14:paraId="1E623D95">
      <w:pPr>
        <w:pStyle w:val="191"/>
        <w:tabs>
          <w:tab w:val="left" w:pos="5580"/>
        </w:tabs>
        <w:spacing w:line="360" w:lineRule="auto"/>
        <w:ind w:left="1080" w:hanging="540"/>
        <w:jc w:val="center"/>
        <w:rPr>
          <w:rFonts w:hint="default" w:ascii="Times New Roman" w:hAnsi="Times New Roman" w:cs="Times New Roman"/>
          <w:bCs/>
          <w:color w:val="auto"/>
          <w:sz w:val="24"/>
          <w:szCs w:val="24"/>
        </w:rPr>
      </w:pPr>
    </w:p>
    <w:p w14:paraId="14F0565B">
      <w:pPr>
        <w:pStyle w:val="191"/>
        <w:tabs>
          <w:tab w:val="left" w:pos="5580"/>
        </w:tabs>
        <w:spacing w:line="360" w:lineRule="auto"/>
        <w:ind w:left="840"/>
        <w:rPr>
          <w:rFonts w:hint="default" w:ascii="Times New Roman" w:hAnsi="Times New Roman" w:cs="Times New Roman"/>
          <w:bCs/>
          <w:color w:val="auto"/>
          <w:sz w:val="24"/>
          <w:szCs w:val="24"/>
        </w:rPr>
      </w:pPr>
    </w:p>
    <w:p w14:paraId="5AAF0C69">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说明：</w:t>
      </w:r>
    </w:p>
    <w:p w14:paraId="347694D4">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1.具有依法缴纳税收和社会保障资金的相关材料（提供自202</w:t>
      </w: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rPr>
        <w:t>年</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rPr>
        <w:t>月1日以来至少一个月的纳税证明和社保缴纳证明，依法免税或不需要缴纳社会保障资金的，应提供相应文件证明其依法免税或不需要缴纳）。</w:t>
      </w:r>
    </w:p>
    <w:p w14:paraId="5164CAB5">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2.如果是联合体投标，联合体各方均需提供相关材料。</w:t>
      </w:r>
    </w:p>
    <w:p w14:paraId="4392B9CA">
      <w:pPr>
        <w:tabs>
          <w:tab w:val="left" w:pos="5580"/>
        </w:tabs>
        <w:spacing w:line="360" w:lineRule="auto"/>
        <w:rPr>
          <w:rFonts w:hint="default" w:ascii="Times New Roman" w:hAnsi="Times New Roman" w:eastAsia="仿宋_GB2312" w:cs="Times New Roman"/>
          <w:bCs/>
          <w:color w:val="auto"/>
          <w:sz w:val="28"/>
          <w:szCs w:val="28"/>
          <w:lang w:val="en-US" w:eastAsia="zh-CN"/>
        </w:rPr>
      </w:pPr>
    </w:p>
    <w:p w14:paraId="536828CA">
      <w:pPr>
        <w:tabs>
          <w:tab w:val="left" w:pos="5580"/>
        </w:tabs>
        <w:spacing w:line="360" w:lineRule="auto"/>
        <w:rPr>
          <w:rFonts w:hint="default" w:ascii="Times New Roman" w:hAnsi="Times New Roman" w:eastAsia="仿宋_GB2312" w:cs="Times New Roman"/>
          <w:bCs/>
          <w:color w:val="auto"/>
          <w:sz w:val="28"/>
          <w:szCs w:val="28"/>
          <w:lang w:val="en-US" w:eastAsia="zh-CN"/>
        </w:rPr>
      </w:pPr>
    </w:p>
    <w:p w14:paraId="0DBD61FE">
      <w:pPr>
        <w:pStyle w:val="191"/>
        <w:tabs>
          <w:tab w:val="left" w:pos="5580"/>
        </w:tabs>
        <w:spacing w:line="360" w:lineRule="auto"/>
        <w:ind w:left="840"/>
        <w:rPr>
          <w:rFonts w:hint="default" w:ascii="Times New Roman" w:hAnsi="Times New Roman" w:cs="Times New Roman"/>
          <w:bCs/>
          <w:color w:val="auto"/>
          <w:sz w:val="24"/>
          <w:szCs w:val="24"/>
        </w:rPr>
      </w:pPr>
    </w:p>
    <w:p w14:paraId="095DEB58">
      <w:pPr>
        <w:pStyle w:val="3"/>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cs="Times New Roman"/>
          <w:b w:val="0"/>
          <w:color w:val="auto"/>
          <w:sz w:val="24"/>
          <w:szCs w:val="24"/>
          <w:lang w:eastAsia="zh-CN"/>
        </w:rPr>
        <w:br w:type="page"/>
      </w:r>
      <w:bookmarkStart w:id="306" w:name="_Toc883013156"/>
      <w:bookmarkStart w:id="307" w:name="_Toc148345819_WPSOffice_Level3"/>
      <w:bookmarkStart w:id="308" w:name="_Toc1044148797"/>
      <w:bookmarkStart w:id="309" w:name="_Toc173874035"/>
      <w:bookmarkStart w:id="310" w:name="_Toc634123008"/>
      <w:bookmarkStart w:id="311" w:name="_Toc29306536"/>
      <w:bookmarkStart w:id="312" w:name="_Toc642483276"/>
      <w:bookmarkStart w:id="313" w:name="_Toc937672964"/>
      <w:bookmarkStart w:id="314" w:name="_Toc1695519598"/>
      <w:bookmarkStart w:id="315" w:name="_Toc1152943509"/>
      <w:bookmarkStart w:id="316" w:name="_Toc231434114"/>
      <w:r>
        <w:rPr>
          <w:rFonts w:hint="default" w:ascii="Times New Roman" w:hAnsi="Times New Roman" w:eastAsia="方正小标宋_GBK" w:cs="Times New Roman"/>
          <w:b w:val="0"/>
          <w:color w:val="auto"/>
          <w:sz w:val="30"/>
          <w:szCs w:val="30"/>
          <w:lang w:val="en-US" w:eastAsia="zh-CN"/>
        </w:rPr>
        <w:t>四、具有履行合同所必需的设备和专业技术能力</w:t>
      </w:r>
      <w:bookmarkEnd w:id="306"/>
      <w:bookmarkEnd w:id="307"/>
      <w:bookmarkEnd w:id="308"/>
      <w:bookmarkEnd w:id="309"/>
      <w:bookmarkEnd w:id="310"/>
      <w:bookmarkEnd w:id="311"/>
      <w:bookmarkEnd w:id="312"/>
      <w:bookmarkEnd w:id="313"/>
      <w:bookmarkEnd w:id="314"/>
      <w:bookmarkEnd w:id="315"/>
      <w:bookmarkEnd w:id="316"/>
    </w:p>
    <w:p w14:paraId="2EF845B0">
      <w:pPr>
        <w:spacing w:line="360" w:lineRule="auto"/>
        <w:rPr>
          <w:rFonts w:hint="default" w:ascii="Times New Roman" w:hAnsi="Times New Roman" w:eastAsia="仿宋_GB2312" w:cs="Times New Roman"/>
          <w:bCs/>
          <w:color w:val="auto"/>
          <w:sz w:val="28"/>
          <w:szCs w:val="28"/>
          <w:highlight w:val="yellow"/>
          <w:lang w:val="en" w:eastAsia="zh-CN"/>
        </w:rPr>
      </w:pPr>
      <w:r>
        <w:rPr>
          <w:rFonts w:hint="default" w:ascii="Times New Roman" w:hAnsi="Times New Roman" w:eastAsia="仿宋_GB2312" w:cs="Times New Roman"/>
          <w:bCs/>
          <w:color w:val="auto"/>
          <w:sz w:val="28"/>
          <w:szCs w:val="28"/>
          <w:lang w:eastAsia="zh-CN"/>
        </w:rPr>
        <w:t>致：</w:t>
      </w:r>
      <w:r>
        <w:rPr>
          <w:rFonts w:hint="default" w:ascii="Times New Roman" w:hAnsi="Times New Roman" w:eastAsia="仿宋_GB2312" w:cs="Times New Roman"/>
          <w:bCs/>
          <w:color w:val="auto"/>
          <w:sz w:val="28"/>
          <w:szCs w:val="28"/>
          <w:u w:val="single"/>
          <w:lang w:val="en" w:eastAsia="zh-CN"/>
        </w:rPr>
        <w:t>河南省测绘地理信息技术中心</w:t>
      </w:r>
    </w:p>
    <w:p w14:paraId="1116EDA9">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我（单位/本人，以下统称我单位）自愿参加采购项目编号为</w:t>
      </w:r>
      <w:r>
        <w:rPr>
          <w:rFonts w:hint="default" w:ascii="Times New Roman" w:hAnsi="Times New Roman" w:eastAsia="仿宋_GB2312" w:cs="Times New Roman"/>
          <w:bCs/>
          <w:color w:val="auto"/>
          <w:sz w:val="28"/>
          <w:szCs w:val="28"/>
          <w:u w:val="single"/>
          <w:lang w:val="en" w:eastAsia="zh-CN"/>
        </w:rPr>
        <w:t>豫财招标采购-2026-891</w:t>
      </w:r>
      <w:r>
        <w:rPr>
          <w:rFonts w:hint="default" w:ascii="Times New Roman" w:hAnsi="Times New Roman" w:eastAsia="仿宋_GB2312" w:cs="Times New Roman"/>
          <w:bCs/>
          <w:color w:val="auto"/>
          <w:sz w:val="28"/>
          <w:szCs w:val="28"/>
          <w:lang w:val="en-US" w:eastAsia="zh-CN"/>
        </w:rPr>
        <w:t>的</w:t>
      </w:r>
      <w:r>
        <w:rPr>
          <w:rFonts w:hint="eastAsia" w:ascii="Times New Roman" w:hAnsi="Times New Roman" w:eastAsia="仿宋_GB2312" w:cs="Times New Roman"/>
          <w:bCs/>
          <w:color w:val="auto"/>
          <w:sz w:val="28"/>
          <w:szCs w:val="28"/>
          <w:u w:val="single"/>
          <w:lang w:val="en-US" w:eastAsia="zh-CN"/>
        </w:rPr>
        <w:t>河南省测绘地理信息技术中心实景三维河南建设省级项目2025年软硬件采购项目</w:t>
      </w:r>
      <w:r>
        <w:rPr>
          <w:rFonts w:hint="default" w:ascii="Times New Roman" w:hAnsi="Times New Roman" w:eastAsia="仿宋_GB2312" w:cs="Times New Roman"/>
          <w:bCs/>
          <w:color w:val="auto"/>
          <w:sz w:val="28"/>
          <w:szCs w:val="28"/>
          <w:lang w:eastAsia="zh-CN"/>
        </w:rPr>
        <w:t>的投标，并做出如下承诺：</w:t>
      </w:r>
    </w:p>
    <w:p w14:paraId="01BB6180">
      <w:pPr>
        <w:spacing w:line="360" w:lineRule="auto"/>
        <w:ind w:firstLine="6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我方具有履行合同所必需的设备和专业技术能力。</w:t>
      </w:r>
    </w:p>
    <w:p w14:paraId="0FBD5DA4">
      <w:pPr>
        <w:spacing w:line="360" w:lineRule="auto"/>
        <w:ind w:firstLine="6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我方保证上述信息的真实和准确，并愿意承担因我方就此弄虚作假所引起的一切法律后果。</w:t>
      </w:r>
    </w:p>
    <w:p w14:paraId="302897F0">
      <w:pPr>
        <w:spacing w:line="360" w:lineRule="auto"/>
        <w:ind w:firstLine="6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特此声明！</w:t>
      </w:r>
    </w:p>
    <w:p w14:paraId="4CFFCC0A">
      <w:pPr>
        <w:tabs>
          <w:tab w:val="left" w:pos="6300"/>
        </w:tabs>
        <w:snapToGrid w:val="0"/>
        <w:spacing w:line="360" w:lineRule="auto"/>
        <w:ind w:firstLine="277" w:firstLineChars="99"/>
        <w:rPr>
          <w:rFonts w:hint="default" w:ascii="Times New Roman" w:hAnsi="Times New Roman" w:eastAsia="宋体" w:cs="Times New Roman"/>
          <w:bCs/>
          <w:color w:val="auto"/>
          <w:sz w:val="28"/>
          <w:szCs w:val="28"/>
          <w:lang w:eastAsia="zh-CN"/>
        </w:rPr>
      </w:pPr>
    </w:p>
    <w:p w14:paraId="2FDBDCDB">
      <w:pPr>
        <w:spacing w:line="360" w:lineRule="exact"/>
        <w:ind w:firstLine="3640" w:firstLineChars="1300"/>
        <w:rPr>
          <w:rFonts w:hint="default" w:ascii="Times New Roman" w:hAnsi="Times New Roman" w:eastAsia="仿宋_GB2312" w:cs="Times New Roman"/>
          <w:bCs/>
          <w:sz w:val="28"/>
          <w:szCs w:val="28"/>
          <w:u w:val="single"/>
          <w:lang w:eastAsia="zh-CN"/>
        </w:rPr>
      </w:pPr>
      <w:r>
        <w:rPr>
          <w:rFonts w:hint="default" w:ascii="Times New Roman" w:hAnsi="Times New Roman" w:eastAsia="仿宋_GB2312" w:cs="Times New Roman"/>
          <w:bCs/>
          <w:sz w:val="28"/>
          <w:szCs w:val="28"/>
          <w:lang w:eastAsia="zh-CN"/>
        </w:rPr>
        <w:t>投标人（企业电子签章）：</w:t>
      </w:r>
    </w:p>
    <w:p w14:paraId="3B480811">
      <w:pPr>
        <w:spacing w:line="360" w:lineRule="exact"/>
        <w:ind w:firstLine="420"/>
        <w:jc w:val="right"/>
        <w:rPr>
          <w:rFonts w:hint="default" w:ascii="Times New Roman" w:hAnsi="Times New Roman" w:eastAsia="仿宋_GB2312" w:cs="Times New Roman"/>
          <w:bCs/>
          <w:sz w:val="28"/>
          <w:szCs w:val="28"/>
          <w:lang w:eastAsia="zh-CN"/>
        </w:rPr>
      </w:pPr>
    </w:p>
    <w:p w14:paraId="7236C9EC">
      <w:pPr>
        <w:spacing w:line="360" w:lineRule="auto"/>
        <w:ind w:firstLine="556"/>
        <w:jc w:val="right"/>
        <w:rPr>
          <w:rFonts w:hint="default" w:ascii="Times New Roman" w:hAnsi="Times New Roman" w:eastAsia="仿宋_GB2312" w:cs="Times New Roman"/>
          <w:bCs/>
          <w:sz w:val="28"/>
          <w:szCs w:val="28"/>
          <w:lang w:eastAsia="zh-CN"/>
        </w:rPr>
      </w:pPr>
    </w:p>
    <w:p w14:paraId="07B48925">
      <w:pPr>
        <w:pStyle w:val="191"/>
        <w:tabs>
          <w:tab w:val="left" w:pos="5580"/>
        </w:tabs>
        <w:spacing w:line="360" w:lineRule="auto"/>
        <w:ind w:left="1080" w:hanging="540"/>
        <w:jc w:val="center"/>
        <w:rPr>
          <w:rFonts w:hint="default" w:ascii="Times New Roman" w:hAnsi="Times New Roman" w:cs="Times New Roman"/>
          <w:bCs/>
          <w:sz w:val="24"/>
          <w:szCs w:val="24"/>
        </w:rPr>
      </w:pPr>
      <w:r>
        <w:rPr>
          <w:rFonts w:hint="default" w:ascii="Times New Roman" w:hAnsi="Times New Roman" w:eastAsia="仿宋_GB2312" w:cs="Times New Roman"/>
          <w:bCs/>
          <w:sz w:val="28"/>
          <w:szCs w:val="28"/>
        </w:rPr>
        <w:t>日期：</w:t>
      </w:r>
      <w:r>
        <w:rPr>
          <w:rFonts w:hint="default" w:ascii="Times New Roman" w:hAnsi="Times New Roman" w:eastAsia="仿宋_GB2312" w:cs="Times New Roman"/>
          <w:bCs/>
          <w:sz w:val="28"/>
          <w:szCs w:val="28"/>
          <w:u w:val="single"/>
        </w:rPr>
        <w:t xml:space="preserve">      </w:t>
      </w:r>
      <w:r>
        <w:rPr>
          <w:rFonts w:hint="default" w:ascii="Times New Roman" w:hAnsi="Times New Roman" w:eastAsia="仿宋_GB2312" w:cs="Times New Roman"/>
          <w:bCs/>
          <w:sz w:val="28"/>
          <w:szCs w:val="28"/>
        </w:rPr>
        <w:t>年</w:t>
      </w:r>
      <w:r>
        <w:rPr>
          <w:rFonts w:hint="default" w:ascii="Times New Roman" w:hAnsi="Times New Roman" w:eastAsia="仿宋_GB2312" w:cs="Times New Roman"/>
          <w:bCs/>
          <w:sz w:val="28"/>
          <w:szCs w:val="28"/>
          <w:u w:val="single"/>
        </w:rPr>
        <w:t xml:space="preserve">   </w:t>
      </w:r>
      <w:r>
        <w:rPr>
          <w:rFonts w:hint="default" w:ascii="Times New Roman" w:hAnsi="Times New Roman" w:eastAsia="仿宋_GB2312" w:cs="Times New Roman"/>
          <w:bCs/>
          <w:sz w:val="28"/>
          <w:szCs w:val="28"/>
        </w:rPr>
        <w:t>月</w:t>
      </w:r>
      <w:r>
        <w:rPr>
          <w:rFonts w:hint="default" w:ascii="Times New Roman" w:hAnsi="Times New Roman" w:eastAsia="仿宋_GB2312" w:cs="Times New Roman"/>
          <w:bCs/>
          <w:sz w:val="28"/>
          <w:szCs w:val="28"/>
          <w:u w:val="single"/>
        </w:rPr>
        <w:t xml:space="preserve">   </w:t>
      </w:r>
      <w:r>
        <w:rPr>
          <w:rFonts w:hint="default" w:ascii="Times New Roman" w:hAnsi="Times New Roman" w:eastAsia="仿宋_GB2312" w:cs="Times New Roman"/>
          <w:bCs/>
          <w:sz w:val="28"/>
          <w:szCs w:val="28"/>
        </w:rPr>
        <w:t>日</w:t>
      </w:r>
    </w:p>
    <w:p w14:paraId="6BCCD08B">
      <w:pPr>
        <w:pStyle w:val="191"/>
        <w:tabs>
          <w:tab w:val="left" w:pos="5580"/>
        </w:tabs>
        <w:spacing w:line="360" w:lineRule="auto"/>
        <w:ind w:left="1080" w:hanging="540"/>
        <w:jc w:val="center"/>
        <w:rPr>
          <w:rFonts w:hint="default" w:ascii="Times New Roman" w:hAnsi="Times New Roman" w:cs="Times New Roman"/>
          <w:bCs/>
          <w:color w:val="auto"/>
          <w:sz w:val="24"/>
          <w:szCs w:val="24"/>
        </w:rPr>
      </w:pPr>
    </w:p>
    <w:p w14:paraId="550EAB4F">
      <w:pPr>
        <w:pStyle w:val="3"/>
        <w:spacing w:before="140" w:after="140" w:line="240" w:lineRule="auto"/>
        <w:jc w:val="center"/>
        <w:rPr>
          <w:rFonts w:hint="default" w:ascii="Times New Roman" w:hAnsi="Times New Roman" w:eastAsia="方正小标宋_GBK" w:cs="Times New Roman"/>
          <w:b w:val="0"/>
          <w:color w:val="auto"/>
          <w:sz w:val="30"/>
          <w:szCs w:val="30"/>
          <w:lang w:val="en-US" w:eastAsia="zh-CN"/>
        </w:rPr>
      </w:pPr>
      <w:bookmarkStart w:id="317" w:name="_Toc1835514155"/>
      <w:bookmarkStart w:id="318" w:name="_Toc2139213640"/>
      <w:bookmarkStart w:id="319" w:name="_Toc1989881438"/>
      <w:bookmarkStart w:id="320" w:name="_Toc1625950936"/>
      <w:bookmarkStart w:id="321" w:name="_Toc2058865505"/>
      <w:bookmarkStart w:id="322" w:name="_Toc897167010_WPSOffice_Level3"/>
      <w:bookmarkStart w:id="323" w:name="_Toc1554412966"/>
      <w:bookmarkStart w:id="324" w:name="_Toc1206650936"/>
      <w:bookmarkStart w:id="325" w:name="_Toc242026376"/>
      <w:bookmarkStart w:id="326" w:name="_Toc288533216"/>
      <w:bookmarkStart w:id="327" w:name="_Toc568241575"/>
      <w:r>
        <w:rPr>
          <w:rFonts w:hint="default" w:ascii="Times New Roman" w:hAnsi="Times New Roman" w:eastAsia="方正小标宋_GBK" w:cs="Times New Roman"/>
          <w:b w:val="0"/>
          <w:color w:val="auto"/>
          <w:sz w:val="30"/>
          <w:szCs w:val="30"/>
          <w:lang w:val="en-US" w:eastAsia="zh-CN"/>
        </w:rPr>
        <w:br w:type="page"/>
      </w:r>
      <w:r>
        <w:rPr>
          <w:rFonts w:hint="default" w:ascii="Times New Roman" w:hAnsi="Times New Roman" w:eastAsia="方正小标宋_GBK" w:cs="Times New Roman"/>
          <w:b w:val="0"/>
          <w:color w:val="auto"/>
          <w:sz w:val="30"/>
          <w:szCs w:val="30"/>
          <w:lang w:val="en-US" w:eastAsia="zh-CN"/>
        </w:rPr>
        <w:t>五、参加政府采购活动前3年内在经营活动中没有重大违法记录的</w:t>
      </w:r>
      <w:bookmarkEnd w:id="317"/>
      <w:bookmarkEnd w:id="318"/>
      <w:bookmarkEnd w:id="319"/>
      <w:bookmarkEnd w:id="320"/>
      <w:bookmarkEnd w:id="321"/>
      <w:bookmarkEnd w:id="322"/>
      <w:r>
        <w:rPr>
          <w:rFonts w:hint="default" w:ascii="Times New Roman" w:hAnsi="Times New Roman" w:eastAsia="方正小标宋_GBK" w:cs="Times New Roman"/>
          <w:b w:val="0"/>
          <w:color w:val="auto"/>
          <w:sz w:val="30"/>
          <w:szCs w:val="30"/>
          <w:lang w:val="en-US" w:eastAsia="zh-CN"/>
        </w:rPr>
        <w:t>声明</w:t>
      </w:r>
      <w:bookmarkEnd w:id="323"/>
      <w:bookmarkEnd w:id="324"/>
      <w:bookmarkEnd w:id="325"/>
      <w:bookmarkEnd w:id="326"/>
      <w:bookmarkEnd w:id="327"/>
    </w:p>
    <w:p w14:paraId="4229AA76">
      <w:pPr>
        <w:spacing w:line="360" w:lineRule="auto"/>
        <w:rPr>
          <w:rFonts w:hint="default" w:ascii="Times New Roman" w:hAnsi="Times New Roman" w:eastAsia="仿宋_GB2312" w:cs="Times New Roman"/>
          <w:bCs/>
          <w:color w:val="auto"/>
          <w:sz w:val="28"/>
          <w:szCs w:val="28"/>
          <w:highlight w:val="yellow"/>
          <w:lang w:val="en" w:eastAsia="zh-CN"/>
        </w:rPr>
      </w:pPr>
      <w:bookmarkStart w:id="328" w:name="_Hlk103703179"/>
      <w:r>
        <w:rPr>
          <w:rFonts w:hint="default" w:ascii="Times New Roman" w:hAnsi="Times New Roman" w:eastAsia="仿宋_GB2312" w:cs="Times New Roman"/>
          <w:bCs/>
          <w:color w:val="auto"/>
          <w:sz w:val="28"/>
          <w:szCs w:val="28"/>
          <w:lang w:eastAsia="zh-CN"/>
        </w:rPr>
        <w:t>致：</w:t>
      </w:r>
      <w:r>
        <w:rPr>
          <w:rFonts w:hint="default" w:ascii="Times New Roman" w:hAnsi="Times New Roman" w:eastAsia="仿宋_GB2312" w:cs="Times New Roman"/>
          <w:bCs/>
          <w:color w:val="auto"/>
          <w:sz w:val="28"/>
          <w:szCs w:val="28"/>
          <w:u w:val="single"/>
          <w:lang w:val="en" w:eastAsia="zh-CN"/>
        </w:rPr>
        <w:t>河南省测绘地理信息技术中心</w:t>
      </w:r>
    </w:p>
    <w:p w14:paraId="5A1BBCB2">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我（单位/本人，以下统称我单位）自愿参加采购项目编号为</w:t>
      </w:r>
      <w:r>
        <w:rPr>
          <w:rFonts w:hint="default" w:ascii="Times New Roman" w:hAnsi="Times New Roman" w:eastAsia="仿宋_GB2312" w:cs="Times New Roman"/>
          <w:bCs/>
          <w:color w:val="auto"/>
          <w:sz w:val="28"/>
          <w:szCs w:val="28"/>
          <w:u w:val="single"/>
          <w:lang w:val="en" w:eastAsia="zh-CN"/>
        </w:rPr>
        <w:t>豫财招标采购-2026-891</w:t>
      </w:r>
      <w:r>
        <w:rPr>
          <w:rFonts w:hint="default" w:ascii="Times New Roman" w:hAnsi="Times New Roman" w:eastAsia="仿宋_GB2312" w:cs="Times New Roman"/>
          <w:bCs/>
          <w:color w:val="auto"/>
          <w:sz w:val="28"/>
          <w:szCs w:val="28"/>
          <w:lang w:val="en-US" w:eastAsia="zh-CN"/>
        </w:rPr>
        <w:t>的</w:t>
      </w:r>
      <w:r>
        <w:rPr>
          <w:rFonts w:hint="eastAsia" w:ascii="Times New Roman" w:hAnsi="Times New Roman" w:eastAsia="仿宋_GB2312" w:cs="Times New Roman"/>
          <w:bCs/>
          <w:color w:val="auto"/>
          <w:sz w:val="28"/>
          <w:szCs w:val="28"/>
          <w:u w:val="single"/>
          <w:lang w:val="en-US" w:eastAsia="zh-CN"/>
        </w:rPr>
        <w:t>河南省测绘地理信息技术中心实景三维河南建设省级项目2025年软硬件采购项目</w:t>
      </w:r>
      <w:r>
        <w:rPr>
          <w:rFonts w:hint="default" w:ascii="Times New Roman" w:hAnsi="Times New Roman" w:eastAsia="仿宋_GB2312" w:cs="Times New Roman"/>
          <w:bCs/>
          <w:color w:val="auto"/>
          <w:sz w:val="28"/>
          <w:szCs w:val="28"/>
          <w:lang w:eastAsia="zh-CN"/>
        </w:rPr>
        <w:t>的投标，并做出如下承诺：</w:t>
      </w:r>
    </w:p>
    <w:bookmarkEnd w:id="328"/>
    <w:p w14:paraId="00788CB9">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我公司信誉良好，参加政府采购活动前</w:t>
      </w: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年内，在经营活动中没有重大违法记录。在“信用</w:t>
      </w:r>
      <w:r>
        <w:rPr>
          <w:rFonts w:hint="default" w:ascii="Times New Roman" w:hAnsi="Times New Roman" w:eastAsia="仿宋_GB2312" w:cs="Times New Roman"/>
          <w:bCs/>
          <w:color w:val="auto"/>
          <w:sz w:val="28"/>
          <w:szCs w:val="28"/>
          <w:lang w:val="en-US" w:eastAsia="zh-CN"/>
        </w:rPr>
        <w:t>中国</w:t>
      </w:r>
      <w:r>
        <w:rPr>
          <w:rFonts w:hint="default" w:ascii="Times New Roman" w:hAnsi="Times New Roman" w:eastAsia="仿宋_GB2312" w:cs="Times New Roman"/>
          <w:bCs/>
          <w:color w:val="auto"/>
          <w:sz w:val="28"/>
          <w:szCs w:val="28"/>
          <w:lang w:eastAsia="zh-CN"/>
        </w:rPr>
        <w:t>”网站（www.creditchina.gov.cn）未被列入失信被执行人、重大税收违法案件当事人名单；在 “中国政府采购网” （www.ccgp.gov.cn）未被列入政府采购严重违法失信行为记录名单。</w:t>
      </w:r>
    </w:p>
    <w:p w14:paraId="54D04ABE">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我方保证上述信息的真实和准确，并愿意承担因我方就此弄虚作假所引起的一切法律后果。</w:t>
      </w:r>
    </w:p>
    <w:p w14:paraId="57A960AB">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特此声明！</w:t>
      </w:r>
    </w:p>
    <w:p w14:paraId="5911F5F9">
      <w:pPr>
        <w:tabs>
          <w:tab w:val="left" w:pos="6300"/>
        </w:tabs>
        <w:snapToGrid w:val="0"/>
        <w:spacing w:line="360" w:lineRule="auto"/>
        <w:ind w:firstLine="277" w:firstLineChars="99"/>
        <w:rPr>
          <w:rFonts w:hint="default" w:ascii="Times New Roman" w:hAnsi="Times New Roman" w:eastAsia="仿宋_GB2312" w:cs="Times New Roman"/>
          <w:bCs/>
          <w:color w:val="auto"/>
          <w:sz w:val="28"/>
          <w:szCs w:val="28"/>
          <w:lang w:eastAsia="zh-CN"/>
        </w:rPr>
      </w:pPr>
    </w:p>
    <w:p w14:paraId="4CB5C5F4">
      <w:pPr>
        <w:spacing w:line="360" w:lineRule="exact"/>
        <w:ind w:firstLine="3640" w:firstLineChars="1300"/>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eastAsia="zh-CN"/>
        </w:rPr>
        <w:t>投标人（企业电子签章）：</w:t>
      </w:r>
    </w:p>
    <w:p w14:paraId="02EA8789">
      <w:pPr>
        <w:spacing w:line="360" w:lineRule="auto"/>
        <w:rPr>
          <w:rFonts w:hint="default" w:ascii="Times New Roman" w:hAnsi="Times New Roman" w:eastAsia="仿宋_GB2312" w:cs="Times New Roman"/>
          <w:bCs/>
          <w:color w:val="auto"/>
          <w:sz w:val="28"/>
          <w:szCs w:val="28"/>
          <w:lang w:eastAsia="zh-CN"/>
        </w:rPr>
      </w:pPr>
    </w:p>
    <w:p w14:paraId="0D83AB80">
      <w:pPr>
        <w:tabs>
          <w:tab w:val="left" w:pos="6300"/>
        </w:tabs>
        <w:snapToGrid w:val="0"/>
        <w:spacing w:line="360" w:lineRule="auto"/>
        <w:ind w:firstLine="277" w:firstLineChars="99"/>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日期：</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年</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月</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日</w:t>
      </w:r>
    </w:p>
    <w:p w14:paraId="581474F2">
      <w:pPr>
        <w:pStyle w:val="191"/>
        <w:tabs>
          <w:tab w:val="left" w:pos="5580"/>
        </w:tabs>
        <w:spacing w:line="360" w:lineRule="auto"/>
        <w:rPr>
          <w:rFonts w:hint="default" w:ascii="Times New Roman" w:hAnsi="Times New Roman" w:cs="Times New Roman"/>
          <w:bCs/>
          <w:color w:val="auto"/>
          <w:sz w:val="24"/>
          <w:szCs w:val="24"/>
        </w:rPr>
      </w:pPr>
    </w:p>
    <w:p w14:paraId="48D43EE1">
      <w:pPr>
        <w:pStyle w:val="191"/>
        <w:tabs>
          <w:tab w:val="left" w:pos="5580"/>
        </w:tabs>
        <w:spacing w:line="360" w:lineRule="auto"/>
        <w:rPr>
          <w:rFonts w:hint="default" w:ascii="Times New Roman" w:hAnsi="Times New Roman" w:eastAsia="仿宋_GB2312" w:cs="Times New Roman"/>
          <w:bCs/>
          <w:color w:val="auto"/>
          <w:lang w:val="zh-TW"/>
        </w:rPr>
      </w:pPr>
      <w:bookmarkStart w:id="329" w:name="_Toc996756161"/>
      <w:bookmarkStart w:id="330" w:name="_Toc1237822054"/>
      <w:bookmarkStart w:id="331" w:name="_Toc1462517689"/>
      <w:bookmarkStart w:id="332" w:name="_Toc1614236527"/>
      <w:bookmarkStart w:id="333" w:name="_Toc474620139"/>
      <w:bookmarkStart w:id="334" w:name="_Toc2073666225_WPSOffice_Level3"/>
      <w:bookmarkStart w:id="335" w:name="_Toc1267967234"/>
      <w:bookmarkStart w:id="336" w:name="_Toc250382630"/>
      <w:bookmarkStart w:id="337" w:name="_Toc1412570441"/>
      <w:bookmarkStart w:id="338" w:name="_Toc1938095027"/>
      <w:r>
        <w:rPr>
          <w:rFonts w:hint="default" w:ascii="Times New Roman" w:hAnsi="Times New Roman" w:eastAsia="仿宋_GB2312" w:cs="Times New Roman"/>
          <w:bCs/>
          <w:color w:val="auto"/>
          <w:lang w:val="zh-TW"/>
        </w:rPr>
        <w:t>说明：</w:t>
      </w:r>
    </w:p>
    <w:p w14:paraId="600D57FD">
      <w:pPr>
        <w:pStyle w:val="191"/>
        <w:tabs>
          <w:tab w:val="left" w:pos="5580"/>
        </w:tabs>
        <w:spacing w:line="360" w:lineRule="auto"/>
        <w:ind w:firstLine="420" w:firstLineChars="200"/>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1.</w:t>
      </w:r>
      <w:r>
        <w:rPr>
          <w:rFonts w:hint="default" w:ascii="Times New Roman" w:hAnsi="Times New Roman" w:eastAsia="仿宋_GB2312" w:cs="Times New Roman"/>
          <w:bCs/>
          <w:color w:val="auto"/>
          <w:lang w:val="zh-TW"/>
        </w:rPr>
        <w:t>投标人应按照相关法规规定如实作出说明。</w:t>
      </w:r>
    </w:p>
    <w:p w14:paraId="53BBA13A">
      <w:pPr>
        <w:pStyle w:val="191"/>
        <w:tabs>
          <w:tab w:val="left" w:pos="5580"/>
        </w:tabs>
        <w:spacing w:line="360" w:lineRule="auto"/>
        <w:ind w:firstLine="420" w:firstLineChars="200"/>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2</w:t>
      </w:r>
      <w:r>
        <w:rPr>
          <w:rFonts w:hint="default" w:ascii="Times New Roman" w:hAnsi="Times New Roman" w:eastAsia="仿宋_GB2312" w:cs="Times New Roman"/>
          <w:bCs/>
          <w:color w:val="auto"/>
          <w:lang w:val="zh-TW"/>
        </w:rPr>
        <w:t>．按照招标文件的规定加盖企业电子签章（自然人投标的无需盖章，需要签字）。</w:t>
      </w:r>
    </w:p>
    <w:p w14:paraId="34AF9EF6">
      <w:pPr>
        <w:pStyle w:val="191"/>
        <w:tabs>
          <w:tab w:val="left" w:pos="5580"/>
        </w:tabs>
        <w:spacing w:line="360" w:lineRule="auto"/>
        <w:ind w:firstLine="420" w:firstLineChars="200"/>
        <w:rPr>
          <w:rFonts w:hint="default" w:ascii="Times New Roman" w:hAnsi="Times New Roman" w:eastAsia="仿宋_GB2312" w:cs="Times New Roman"/>
          <w:bCs/>
          <w:color w:val="auto"/>
          <w:lang w:val="zh-TW"/>
        </w:rPr>
      </w:pPr>
      <w:r>
        <w:rPr>
          <w:rFonts w:hint="default" w:ascii="Times New Roman" w:hAnsi="Times New Roman" w:eastAsia="仿宋_GB2312" w:cs="Times New Roman"/>
          <w:bCs/>
          <w:color w:val="auto"/>
        </w:rPr>
        <w:t>3.</w:t>
      </w:r>
      <w:r>
        <w:rPr>
          <w:rFonts w:hint="default" w:ascii="Times New Roman" w:hAnsi="Times New Roman" w:eastAsia="仿宋_GB2312" w:cs="Times New Roman"/>
          <w:bCs/>
          <w:color w:val="auto"/>
          <w:lang w:val="zh-TW"/>
        </w:rPr>
        <w:t>如果是联合体投标，联合体各方均需提供上述证明。</w:t>
      </w:r>
      <w:bookmarkStart w:id="339" w:name="_Toc1929226479"/>
      <w:bookmarkStart w:id="340" w:name="_Toc1888555944"/>
      <w:bookmarkStart w:id="341" w:name="_Toc1445600282"/>
      <w:bookmarkStart w:id="342" w:name="_Toc1562600580"/>
      <w:bookmarkStart w:id="343" w:name="_Toc1889987960"/>
      <w:bookmarkStart w:id="344" w:name="_Toc1306770718"/>
      <w:bookmarkStart w:id="345" w:name="_Toc1179847034"/>
      <w:bookmarkStart w:id="346" w:name="_Toc807820015"/>
      <w:bookmarkStart w:id="347" w:name="_Toc237482121"/>
      <w:bookmarkStart w:id="348" w:name="_Toc12832414"/>
    </w:p>
    <w:p w14:paraId="49B122DC">
      <w:pPr>
        <w:pStyle w:val="172"/>
        <w:spacing w:line="360" w:lineRule="auto"/>
        <w:jc w:val="center"/>
        <w:outlineLvl w:val="1"/>
        <w:rPr>
          <w:rFonts w:hint="default" w:ascii="Times New Roman" w:hAnsi="Times New Roman" w:eastAsia="方正小标宋_GBK" w:cs="Times New Roman"/>
          <w:bCs/>
          <w:color w:val="auto"/>
          <w:sz w:val="30"/>
          <w:szCs w:val="30"/>
          <w:lang w:val="en-US" w:eastAsia="zh-CN"/>
        </w:rPr>
      </w:pPr>
      <w:r>
        <w:rPr>
          <w:rFonts w:hint="default" w:ascii="Times New Roman" w:hAnsi="Times New Roman" w:eastAsia="方正小标宋_GBK" w:cs="Times New Roman"/>
          <w:bCs/>
          <w:color w:val="auto"/>
          <w:sz w:val="30"/>
          <w:szCs w:val="30"/>
          <w:lang w:val="en-US" w:eastAsia="zh-CN"/>
        </w:rPr>
        <w:t>六、</w:t>
      </w:r>
      <w:bookmarkEnd w:id="339"/>
      <w:bookmarkEnd w:id="340"/>
      <w:bookmarkEnd w:id="341"/>
      <w:bookmarkEnd w:id="342"/>
      <w:bookmarkEnd w:id="343"/>
      <w:bookmarkEnd w:id="344"/>
      <w:bookmarkEnd w:id="345"/>
      <w:bookmarkEnd w:id="346"/>
      <w:bookmarkEnd w:id="347"/>
      <w:r>
        <w:rPr>
          <w:rFonts w:hint="default" w:ascii="Times New Roman" w:hAnsi="Times New Roman" w:eastAsia="方正小标宋_GBK" w:cs="Times New Roman"/>
          <w:bCs/>
          <w:color w:val="auto"/>
          <w:sz w:val="30"/>
          <w:szCs w:val="30"/>
          <w:lang w:val="en-US" w:eastAsia="zh-CN"/>
        </w:rPr>
        <w:t>关联关系名单</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3114"/>
        <w:gridCol w:w="2076"/>
        <w:gridCol w:w="2076"/>
      </w:tblGrid>
      <w:tr w14:paraId="6BE3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2B5A457E">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序号</w:t>
            </w:r>
          </w:p>
        </w:tc>
        <w:tc>
          <w:tcPr>
            <w:tcW w:w="3207" w:type="dxa"/>
          </w:tcPr>
          <w:p w14:paraId="20FA1E36">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单位名称</w:t>
            </w:r>
          </w:p>
        </w:tc>
        <w:tc>
          <w:tcPr>
            <w:tcW w:w="2132" w:type="dxa"/>
          </w:tcPr>
          <w:p w14:paraId="0D6E47AE">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关系类型</w:t>
            </w:r>
          </w:p>
        </w:tc>
        <w:tc>
          <w:tcPr>
            <w:tcW w:w="2132" w:type="dxa"/>
          </w:tcPr>
          <w:p w14:paraId="6AE03EF2">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备注</w:t>
            </w:r>
          </w:p>
        </w:tc>
      </w:tr>
      <w:tr w14:paraId="6432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1FD667C7">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2FD79230">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6BEF5528">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665032F1">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r>
      <w:tr w14:paraId="7F49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0B70AD60">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331512DF">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7D25DA2C">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11335AEC">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r>
      <w:tr w14:paraId="53F4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79C8FE97">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3207" w:type="dxa"/>
          </w:tcPr>
          <w:p w14:paraId="7A6F924D">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734E8D64">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c>
          <w:tcPr>
            <w:tcW w:w="2132" w:type="dxa"/>
          </w:tcPr>
          <w:p w14:paraId="5D49D620">
            <w:pPr>
              <w:pStyle w:val="172"/>
              <w:spacing w:line="360" w:lineRule="auto"/>
              <w:jc w:val="center"/>
              <w:outlineLvl w:val="1"/>
              <w:rPr>
                <w:rFonts w:hint="default" w:ascii="Times New Roman" w:hAnsi="Times New Roman" w:eastAsia="仿宋_GB2312" w:cs="Times New Roman"/>
                <w:bCs/>
                <w:color w:val="auto"/>
                <w:sz w:val="28"/>
                <w:szCs w:val="28"/>
                <w:lang w:val="en-US" w:eastAsia="zh-CN"/>
              </w:rPr>
            </w:pPr>
          </w:p>
        </w:tc>
      </w:tr>
    </w:tbl>
    <w:p w14:paraId="23E83759">
      <w:pPr>
        <w:pStyle w:val="172"/>
        <w:spacing w:line="360" w:lineRule="auto"/>
        <w:jc w:val="center"/>
        <w:rPr>
          <w:rFonts w:hint="default" w:ascii="Times New Roman" w:hAnsi="Times New Roman" w:eastAsia="方正小标宋_GBK" w:cs="Times New Roman"/>
          <w:bCs/>
          <w:color w:val="auto"/>
          <w:sz w:val="30"/>
          <w:szCs w:val="30"/>
          <w:lang w:val="en-US" w:eastAsia="zh-CN"/>
        </w:rPr>
      </w:pPr>
    </w:p>
    <w:p w14:paraId="1AB09466">
      <w:pPr>
        <w:pStyle w:val="172"/>
        <w:rPr>
          <w:rFonts w:hint="default" w:ascii="Times New Roman" w:hAnsi="Times New Roman" w:eastAsia="仿宋_GB2312" w:cs="Times New Roman"/>
          <w:bCs/>
          <w:color w:val="auto"/>
          <w:kern w:val="2"/>
          <w:sz w:val="28"/>
          <w:szCs w:val="28"/>
          <w:lang w:val="en-US" w:eastAsia="zh-CN"/>
        </w:rPr>
      </w:pPr>
    </w:p>
    <w:p w14:paraId="45986B9F">
      <w:pPr>
        <w:spacing w:line="360" w:lineRule="exact"/>
        <w:ind w:firstLine="3640" w:firstLineChars="13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投标人（企业电子签章）：</w:t>
      </w:r>
    </w:p>
    <w:p w14:paraId="42B8826E">
      <w:pPr>
        <w:tabs>
          <w:tab w:val="left" w:pos="6300"/>
        </w:tabs>
        <w:snapToGrid w:val="0"/>
        <w:spacing w:line="360" w:lineRule="auto"/>
        <w:ind w:firstLine="277" w:firstLineChars="99"/>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日期：</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年</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月</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z w:val="28"/>
          <w:szCs w:val="28"/>
          <w:lang w:eastAsia="zh-CN"/>
        </w:rPr>
        <w:t>日</w:t>
      </w:r>
    </w:p>
    <w:p w14:paraId="776749FB">
      <w:pPr>
        <w:pStyle w:val="172"/>
        <w:rPr>
          <w:rFonts w:hint="default" w:ascii="Times New Roman" w:hAnsi="Times New Roman" w:cs="Times New Roman"/>
          <w:bCs/>
          <w:color w:val="auto"/>
          <w:sz w:val="28"/>
          <w:szCs w:val="28"/>
          <w:lang w:eastAsia="zh-CN"/>
        </w:rPr>
      </w:pPr>
    </w:p>
    <w:p w14:paraId="4A64D376">
      <w:pPr>
        <w:pStyle w:val="172"/>
        <w:rPr>
          <w:rFonts w:hint="default" w:ascii="Times New Roman" w:hAnsi="Times New Roman" w:cs="Times New Roman"/>
          <w:bCs/>
          <w:color w:val="auto"/>
          <w:sz w:val="28"/>
          <w:szCs w:val="28"/>
          <w:lang w:eastAsia="zh-CN"/>
        </w:rPr>
      </w:pPr>
    </w:p>
    <w:p w14:paraId="0ED62CDA">
      <w:pPr>
        <w:spacing w:before="100" w:after="100" w:line="360" w:lineRule="auto"/>
        <w:jc w:val="left"/>
        <w:rPr>
          <w:rFonts w:hint="default" w:ascii="Times New Roman" w:hAnsi="Times New Roman" w:eastAsia="仿宋_GB2312" w:cs="Times New Roman"/>
          <w:bCs/>
          <w:color w:val="auto"/>
          <w:kern w:val="0"/>
          <w:sz w:val="28"/>
          <w:szCs w:val="28"/>
          <w:lang w:eastAsia="zh-CN"/>
        </w:rPr>
      </w:pPr>
    </w:p>
    <w:p w14:paraId="2F428CE3">
      <w:pPr>
        <w:spacing w:before="100" w:after="100" w:line="360" w:lineRule="auto"/>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说明：</w:t>
      </w:r>
    </w:p>
    <w:p w14:paraId="063C5EAE">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1.根据《中华人民共和国政府采购法实施条例》：单位负责人为同一人或者存在直接控股、管理关系的不同供应商，不得参加同一合同项下的政府采购活动。</w:t>
      </w:r>
    </w:p>
    <w:p w14:paraId="689A97D2">
      <w:pPr>
        <w:pStyle w:val="191"/>
        <w:tabs>
          <w:tab w:val="left" w:pos="5580"/>
        </w:tabs>
        <w:spacing w:line="360" w:lineRule="auto"/>
        <w:ind w:firstLine="560" w:firstLineChars="20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2.投标人须如实说明与本单位存在如下关系的单位名单并写明关系类型：单位负责人为同一人或者存在直接控股、管理关系。</w:t>
      </w:r>
    </w:p>
    <w:p w14:paraId="4A615DDC">
      <w:pPr>
        <w:pStyle w:val="191"/>
        <w:tabs>
          <w:tab w:val="left" w:pos="5580"/>
        </w:tabs>
        <w:spacing w:before="100" w:after="100" w:line="360" w:lineRule="auto"/>
        <w:ind w:firstLine="560" w:firstLineChars="20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sz w:val="28"/>
          <w:szCs w:val="28"/>
        </w:rPr>
        <w:t>3.投标人虚假说明的，后果自负。</w:t>
      </w:r>
    </w:p>
    <w:p w14:paraId="4BA85508">
      <w:pPr>
        <w:spacing w:before="100" w:after="100" w:line="360" w:lineRule="auto"/>
        <w:ind w:firstLine="420"/>
        <w:jc w:val="left"/>
        <w:rPr>
          <w:rFonts w:hint="default" w:ascii="Times New Roman" w:hAnsi="Times New Roman" w:eastAsia="宋体" w:cs="Times New Roman"/>
          <w:bCs/>
          <w:color w:val="auto"/>
          <w:kern w:val="0"/>
          <w:sz w:val="24"/>
          <w:szCs w:val="24"/>
          <w:lang w:eastAsia="zh-CN"/>
        </w:rPr>
      </w:pPr>
    </w:p>
    <w:p w14:paraId="350BDFBE">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hint="default" w:ascii="Times New Roman" w:hAnsi="Times New Roman" w:cs="Times New Roman"/>
          <w:bCs/>
          <w:color w:val="auto"/>
          <w:lang w:eastAsia="zh-CN"/>
        </w:rPr>
        <w:br w:type="page"/>
      </w:r>
      <w:r>
        <w:rPr>
          <w:rFonts w:hint="default" w:ascii="Times New Roman" w:hAnsi="Times New Roman" w:eastAsia="方正小标宋_GBK" w:cs="Times New Roman"/>
          <w:bCs/>
          <w:color w:val="auto"/>
          <w:kern w:val="0"/>
          <w:sz w:val="30"/>
          <w:szCs w:val="30"/>
          <w:lang w:val="en-US" w:eastAsia="zh-CN"/>
        </w:rPr>
        <w:t>七、其他资格证明文件</w:t>
      </w:r>
      <w:bookmarkEnd w:id="329"/>
      <w:bookmarkEnd w:id="330"/>
      <w:bookmarkEnd w:id="331"/>
      <w:bookmarkEnd w:id="332"/>
      <w:bookmarkEnd w:id="333"/>
      <w:bookmarkEnd w:id="334"/>
      <w:bookmarkEnd w:id="335"/>
      <w:bookmarkEnd w:id="336"/>
      <w:bookmarkEnd w:id="337"/>
      <w:bookmarkEnd w:id="338"/>
      <w:bookmarkEnd w:id="348"/>
    </w:p>
    <w:p w14:paraId="633FC91E">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4659D562">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33EED8F4">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11C4C53A">
      <w:pPr>
        <w:pStyle w:val="191"/>
        <w:tabs>
          <w:tab w:val="left" w:pos="5580"/>
        </w:tabs>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说明：1.应提供要求的其他资格证明文件。</w:t>
      </w:r>
    </w:p>
    <w:p w14:paraId="1F10828B">
      <w:pPr>
        <w:pStyle w:val="191"/>
        <w:tabs>
          <w:tab w:val="left" w:pos="5580"/>
        </w:tabs>
        <w:spacing w:line="360" w:lineRule="auto"/>
        <w:ind w:firstLine="840" w:firstLineChars="300"/>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2.原件或复印件扫描件上应加盖企业电子签章（自然人投标的无需盖章，需要签字）。</w:t>
      </w:r>
    </w:p>
    <w:p w14:paraId="6B65EC62">
      <w:pPr>
        <w:pStyle w:val="191"/>
        <w:tabs>
          <w:tab w:val="left" w:pos="5580"/>
        </w:tabs>
        <w:spacing w:line="360" w:lineRule="auto"/>
        <w:ind w:firstLine="840" w:firstLineChars="300"/>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3.如果是联合体投标，联合体各方需提供的满足招标文件要求的其他资格证明文件。</w:t>
      </w:r>
    </w:p>
    <w:p w14:paraId="5BD66C72">
      <w:pPr>
        <w:pStyle w:val="2"/>
        <w:jc w:val="center"/>
        <w:rPr>
          <w:rFonts w:hint="default" w:ascii="Times New Roman" w:hAnsi="Times New Roman" w:eastAsia="宋体" w:cs="Times New Roman"/>
          <w:b w:val="0"/>
          <w:color w:val="auto"/>
          <w:sz w:val="36"/>
          <w:szCs w:val="36"/>
          <w:lang w:eastAsia="zh-CN"/>
        </w:rPr>
      </w:pPr>
      <w:r>
        <w:rPr>
          <w:rFonts w:hint="default" w:ascii="Times New Roman" w:hAnsi="Times New Roman" w:cs="Times New Roman"/>
          <w:b w:val="0"/>
          <w:color w:val="auto"/>
          <w:sz w:val="24"/>
          <w:szCs w:val="24"/>
          <w:lang w:val="en-US" w:eastAsia="zh-CN"/>
        </w:rPr>
        <w:br w:type="page"/>
      </w:r>
      <w:bookmarkStart w:id="349" w:name="_Toc6422905"/>
      <w:bookmarkStart w:id="350" w:name="_Toc1368632420_WPSOffice_Level2"/>
      <w:bookmarkStart w:id="351" w:name="_Toc1580344845_WPSOffice_Level2"/>
      <w:bookmarkStart w:id="352" w:name="_Toc1093923690_WPSOffice_Level2"/>
      <w:bookmarkStart w:id="353" w:name="_Toc136706314"/>
      <w:bookmarkStart w:id="354" w:name="_Toc744081619"/>
      <w:bookmarkStart w:id="355" w:name="_Toc897589225"/>
      <w:bookmarkStart w:id="356" w:name="_Toc973283021"/>
      <w:bookmarkStart w:id="357" w:name="_Toc1264393349_WPSOffice_Level2"/>
      <w:bookmarkStart w:id="358" w:name="_Toc37981781"/>
      <w:bookmarkStart w:id="359" w:name="_Toc1378165390"/>
      <w:bookmarkStart w:id="360" w:name="_Toc1311641928"/>
      <w:bookmarkStart w:id="361" w:name="_Toc1154266934_WPSOffice_Level1"/>
      <w:bookmarkStart w:id="362" w:name="_Toc1017563642"/>
      <w:bookmarkStart w:id="363" w:name="_Toc1731438942"/>
      <w:bookmarkStart w:id="364" w:name="_Toc1398644272"/>
      <w:r>
        <w:rPr>
          <w:rFonts w:hint="default" w:ascii="Times New Roman" w:hAnsi="Times New Roman" w:eastAsia="宋体" w:cs="Times New Roman"/>
          <w:b w:val="0"/>
          <w:color w:val="auto"/>
          <w:sz w:val="36"/>
          <w:szCs w:val="36"/>
          <w:lang w:eastAsia="zh-CN"/>
        </w:rPr>
        <w:t>第五章 投标文件</w:t>
      </w:r>
      <w:bookmarkEnd w:id="349"/>
      <w:bookmarkEnd w:id="350"/>
      <w:bookmarkEnd w:id="351"/>
      <w:bookmarkEnd w:id="352"/>
      <w:bookmarkEnd w:id="353"/>
      <w:bookmarkEnd w:id="354"/>
      <w:bookmarkEnd w:id="355"/>
      <w:bookmarkEnd w:id="356"/>
      <w:bookmarkEnd w:id="357"/>
      <w:r>
        <w:rPr>
          <w:rFonts w:hint="default" w:ascii="Times New Roman" w:hAnsi="Times New Roman" w:eastAsia="宋体" w:cs="Times New Roman"/>
          <w:b w:val="0"/>
          <w:color w:val="auto"/>
          <w:sz w:val="36"/>
          <w:szCs w:val="36"/>
          <w:lang w:eastAsia="zh-CN"/>
        </w:rPr>
        <w:t>格式</w:t>
      </w:r>
      <w:bookmarkEnd w:id="358"/>
      <w:bookmarkEnd w:id="359"/>
      <w:bookmarkEnd w:id="360"/>
      <w:bookmarkEnd w:id="361"/>
      <w:bookmarkEnd w:id="362"/>
      <w:bookmarkEnd w:id="363"/>
      <w:bookmarkEnd w:id="364"/>
    </w:p>
    <w:p w14:paraId="7A2D13A8">
      <w:pPr>
        <w:spacing w:line="360" w:lineRule="auto"/>
        <w:ind w:left="1080" w:hanging="540"/>
        <w:jc w:val="center"/>
        <w:rPr>
          <w:rFonts w:hint="default" w:ascii="Times New Roman" w:hAnsi="Times New Roman" w:eastAsia="宋体" w:cs="Times New Roman"/>
          <w:bCs/>
          <w:color w:val="auto"/>
          <w:sz w:val="24"/>
          <w:szCs w:val="24"/>
          <w:lang w:val="en-US" w:eastAsia="zh-CN"/>
        </w:rPr>
      </w:pPr>
    </w:p>
    <w:p w14:paraId="0F48F77B">
      <w:pPr>
        <w:tabs>
          <w:tab w:val="left" w:pos="1950"/>
        </w:tabs>
        <w:jc w:val="center"/>
        <w:rPr>
          <w:rFonts w:hint="default" w:ascii="Times New Roman" w:hAnsi="Times New Roman" w:eastAsia="宋体" w:cs="Times New Roman"/>
          <w:b/>
          <w:bCs/>
          <w:color w:val="auto"/>
          <w:spacing w:val="20"/>
          <w:sz w:val="56"/>
          <w:szCs w:val="56"/>
          <w:lang w:val="en-US" w:eastAsia="zh-CN"/>
        </w:rPr>
      </w:pPr>
      <w:r>
        <w:rPr>
          <w:rFonts w:hint="default" w:ascii="Times New Roman" w:hAnsi="Times New Roman" w:eastAsia="宋体" w:cs="Times New Roman"/>
          <w:b/>
          <w:bCs/>
          <w:color w:val="auto"/>
          <w:spacing w:val="20"/>
          <w:sz w:val="56"/>
          <w:szCs w:val="56"/>
          <w:lang w:val="en-US" w:eastAsia="zh-CN"/>
        </w:rPr>
        <w:t xml:space="preserve"> </w:t>
      </w:r>
      <w:r>
        <w:rPr>
          <w:rFonts w:hint="eastAsia" w:ascii="Times New Roman" w:hAnsi="Times New Roman" w:eastAsia="宋体" w:cs="Times New Roman"/>
          <w:b/>
          <w:bCs/>
          <w:color w:val="auto"/>
          <w:spacing w:val="20"/>
          <w:sz w:val="56"/>
          <w:szCs w:val="56"/>
          <w:lang w:val="en-US" w:eastAsia="zh-CN"/>
        </w:rPr>
        <w:t>河南省测绘地理信息技术中心实景三维河南建设省级项目2025年软硬件采购项目</w:t>
      </w:r>
      <w:r>
        <w:rPr>
          <w:rFonts w:hint="default" w:ascii="Times New Roman" w:hAnsi="Times New Roman" w:eastAsia="宋体" w:cs="Times New Roman"/>
          <w:b/>
          <w:bCs/>
          <w:color w:val="auto"/>
          <w:spacing w:val="20"/>
          <w:sz w:val="56"/>
          <w:szCs w:val="56"/>
          <w:lang w:val="en-US" w:eastAsia="zh-CN"/>
        </w:rPr>
        <w:t xml:space="preserve"> </w:t>
      </w:r>
    </w:p>
    <w:p w14:paraId="7F41BE85">
      <w:pPr>
        <w:tabs>
          <w:tab w:val="left" w:pos="1950"/>
        </w:tabs>
        <w:jc w:val="left"/>
        <w:rPr>
          <w:rFonts w:hint="default" w:ascii="Times New Roman" w:hAnsi="Times New Roman" w:eastAsia="宋体" w:cs="Times New Roman"/>
          <w:bCs/>
          <w:color w:val="auto"/>
          <w:lang w:val="en-US" w:eastAsia="zh-CN"/>
        </w:rPr>
      </w:pPr>
    </w:p>
    <w:p w14:paraId="117492C8">
      <w:pPr>
        <w:tabs>
          <w:tab w:val="left" w:pos="1950"/>
        </w:tabs>
        <w:jc w:val="left"/>
        <w:rPr>
          <w:rFonts w:hint="default" w:ascii="Times New Roman" w:hAnsi="Times New Roman" w:eastAsia="宋体" w:cs="Times New Roman"/>
          <w:bCs/>
          <w:color w:val="auto"/>
          <w:lang w:val="en-US" w:eastAsia="zh-CN"/>
        </w:rPr>
      </w:pPr>
    </w:p>
    <w:p w14:paraId="254B1569">
      <w:pPr>
        <w:tabs>
          <w:tab w:val="left" w:pos="1950"/>
        </w:tabs>
        <w:jc w:val="left"/>
        <w:rPr>
          <w:rFonts w:hint="default" w:ascii="Times New Roman" w:hAnsi="Times New Roman" w:eastAsia="宋体" w:cs="Times New Roman"/>
          <w:bCs/>
          <w:color w:val="auto"/>
          <w:lang w:val="en-US" w:eastAsia="zh-CN"/>
        </w:rPr>
      </w:pPr>
    </w:p>
    <w:p w14:paraId="687E94A4">
      <w:pPr>
        <w:tabs>
          <w:tab w:val="left" w:pos="1950"/>
        </w:tabs>
        <w:jc w:val="left"/>
        <w:rPr>
          <w:rFonts w:hint="default" w:ascii="Times New Roman" w:hAnsi="Times New Roman" w:eastAsia="宋体" w:cs="Times New Roman"/>
          <w:bCs/>
          <w:color w:val="auto"/>
          <w:lang w:val="en-US" w:eastAsia="zh-CN"/>
        </w:rPr>
      </w:pPr>
    </w:p>
    <w:p w14:paraId="1888659B">
      <w:pPr>
        <w:jc w:val="center"/>
        <w:rPr>
          <w:rFonts w:hint="default" w:ascii="Times New Roman" w:hAnsi="Times New Roman" w:eastAsia="宋体" w:cs="Times New Roman"/>
          <w:bCs/>
          <w:color w:val="auto"/>
          <w:sz w:val="160"/>
          <w:szCs w:val="160"/>
          <w:lang w:eastAsia="zh-CN"/>
        </w:rPr>
      </w:pPr>
      <w:r>
        <w:rPr>
          <w:rFonts w:hint="default" w:ascii="Times New Roman" w:hAnsi="Times New Roman" w:eastAsia="宋体" w:cs="Times New Roman"/>
          <w:bCs/>
          <w:color w:val="auto"/>
          <w:sz w:val="160"/>
          <w:szCs w:val="160"/>
          <w:lang w:eastAsia="zh-CN"/>
        </w:rPr>
        <w:t>投标文件</w:t>
      </w:r>
    </w:p>
    <w:p w14:paraId="2FEF04C4">
      <w:pPr>
        <w:widowControl w:val="0"/>
        <w:tabs>
          <w:tab w:val="left" w:pos="1950"/>
        </w:tabs>
        <w:jc w:val="center"/>
        <w:rPr>
          <w:rFonts w:hint="default" w:ascii="Times New Roman" w:hAnsi="Times New Roman" w:eastAsia="宋体" w:cs="Times New Roman"/>
          <w:bCs/>
          <w:color w:val="auto"/>
          <w:sz w:val="36"/>
          <w:szCs w:val="36"/>
          <w:lang w:eastAsia="zh-CN"/>
        </w:rPr>
      </w:pPr>
    </w:p>
    <w:p w14:paraId="0949254E">
      <w:pPr>
        <w:widowControl w:val="0"/>
        <w:spacing w:line="360" w:lineRule="auto"/>
        <w:ind w:left="1080" w:leftChars="257" w:hanging="540"/>
        <w:rPr>
          <w:rFonts w:hint="default" w:ascii="Times New Roman" w:hAnsi="Times New Roman" w:eastAsia="宋体" w:cs="Times New Roman"/>
          <w:bCs/>
          <w:color w:val="auto"/>
          <w:sz w:val="28"/>
          <w:szCs w:val="24"/>
          <w:lang w:val="en-US" w:eastAsia="zh-CN"/>
        </w:rPr>
      </w:pPr>
      <w:r>
        <w:rPr>
          <w:rFonts w:hint="default" w:ascii="Times New Roman" w:hAnsi="Times New Roman" w:eastAsia="宋体" w:cs="Times New Roman"/>
          <w:bCs/>
          <w:color w:val="auto"/>
          <w:sz w:val="36"/>
          <w:szCs w:val="36"/>
          <w:lang w:eastAsia="zh-CN"/>
        </w:rPr>
        <w:t>采购编号：豫财招标采购-2026-891</w:t>
      </w:r>
    </w:p>
    <w:p w14:paraId="24019EEF">
      <w:pPr>
        <w:widowControl w:val="0"/>
        <w:spacing w:line="360" w:lineRule="auto"/>
        <w:ind w:left="1463" w:leftChars="599" w:hanging="205" w:hangingChars="57"/>
        <w:rPr>
          <w:rFonts w:hint="default" w:ascii="Times New Roman" w:hAnsi="Times New Roman" w:eastAsia="宋体" w:cs="Times New Roman"/>
          <w:bCs/>
          <w:color w:val="auto"/>
          <w:sz w:val="52"/>
          <w:szCs w:val="24"/>
          <w:lang w:val="en-US" w:eastAsia="zh-CN"/>
        </w:rPr>
      </w:pPr>
      <w:r>
        <w:rPr>
          <w:rFonts w:hint="default" w:ascii="Times New Roman" w:hAnsi="Times New Roman" w:eastAsia="宋体" w:cs="Times New Roman"/>
          <w:bCs/>
          <w:color w:val="auto"/>
          <w:sz w:val="36"/>
          <w:szCs w:val="36"/>
          <w:lang w:val="en-US" w:eastAsia="zh-CN"/>
        </w:rPr>
        <w:t xml:space="preserve"> </w:t>
      </w:r>
    </w:p>
    <w:p w14:paraId="31F2117C">
      <w:pPr>
        <w:widowControl w:val="0"/>
        <w:autoSpaceDE w:val="0"/>
        <w:autoSpaceDN w:val="0"/>
        <w:adjustRightInd w:val="0"/>
        <w:ind w:firstLine="1080" w:firstLineChars="300"/>
        <w:rPr>
          <w:rFonts w:hint="default" w:ascii="Times New Roman" w:hAnsi="Times New Roman" w:eastAsia="宋体" w:cs="Times New Roman"/>
          <w:bCs/>
          <w:color w:val="auto"/>
          <w:sz w:val="36"/>
          <w:szCs w:val="36"/>
          <w:lang w:val="en-US" w:eastAsia="zh-CN"/>
        </w:rPr>
      </w:pPr>
      <w:r>
        <w:rPr>
          <w:rFonts w:hint="default" w:ascii="Times New Roman" w:hAnsi="Times New Roman" w:eastAsia="宋体" w:cs="Times New Roman"/>
          <w:bCs/>
          <w:color w:val="auto"/>
          <w:sz w:val="36"/>
          <w:szCs w:val="36"/>
          <w:lang w:val="en-US" w:eastAsia="zh-CN"/>
        </w:rPr>
        <w:t>投标人（企业电子签章）：</w:t>
      </w:r>
    </w:p>
    <w:p w14:paraId="3F5C2459">
      <w:pPr>
        <w:pStyle w:val="199"/>
        <w:ind w:firstLine="0"/>
        <w:rPr>
          <w:rFonts w:hint="default" w:ascii="Times New Roman" w:hAnsi="Times New Roman" w:eastAsia="宋体" w:cs="Times New Roman"/>
          <w:bCs/>
          <w:color w:val="auto"/>
          <w:lang w:eastAsia="zh-CN"/>
        </w:rPr>
      </w:pPr>
    </w:p>
    <w:p w14:paraId="416C1B8F">
      <w:pPr>
        <w:pStyle w:val="191"/>
        <w:spacing w:line="360" w:lineRule="auto"/>
        <w:rPr>
          <w:rFonts w:hint="default" w:ascii="Times New Roman" w:hAnsi="Times New Roman" w:cs="Times New Roman"/>
          <w:bCs/>
          <w:color w:val="auto"/>
          <w:sz w:val="28"/>
          <w:szCs w:val="28"/>
        </w:rPr>
      </w:pPr>
    </w:p>
    <w:p w14:paraId="3F7CA4D4">
      <w:pPr>
        <w:pStyle w:val="191"/>
        <w:spacing w:line="360" w:lineRule="auto"/>
        <w:jc w:val="center"/>
        <w:rPr>
          <w:rFonts w:hint="default" w:ascii="Times New Roman" w:hAnsi="Times New Roman" w:eastAsia="仿宋_GB2312" w:cs="Times New Roman"/>
          <w:bCs/>
          <w:color w:val="auto"/>
          <w:sz w:val="32"/>
          <w:szCs w:val="32"/>
          <w:lang w:val="en"/>
        </w:rPr>
      </w:pPr>
      <w:r>
        <w:rPr>
          <w:rFonts w:hint="default" w:ascii="Times New Roman" w:hAnsi="Times New Roman" w:eastAsia="仿宋_GB2312" w:cs="Times New Roman"/>
          <w:bCs/>
          <w:color w:val="auto"/>
          <w:sz w:val="32"/>
          <w:szCs w:val="32"/>
          <w:lang w:val="en"/>
        </w:rPr>
        <w:t>目  录</w:t>
      </w:r>
    </w:p>
    <w:p w14:paraId="59B4BDFC">
      <w:pPr>
        <w:pStyle w:val="191"/>
        <w:spacing w:line="360" w:lineRule="auto"/>
        <w:rPr>
          <w:rFonts w:hint="default" w:ascii="Times New Roman" w:hAnsi="Times New Roman" w:eastAsia="仿宋_GB2312" w:cs="Times New Roman"/>
          <w:bCs/>
          <w:color w:val="auto"/>
          <w:sz w:val="28"/>
          <w:szCs w:val="28"/>
          <w:lang w:val="zh-TW"/>
        </w:rPr>
      </w:pPr>
    </w:p>
    <w:p w14:paraId="389A0AA1">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一、投标函</w:t>
      </w:r>
    </w:p>
    <w:p w14:paraId="5B38B882">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二、法定代表人身份证明书</w:t>
      </w:r>
    </w:p>
    <w:p w14:paraId="070165F3">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三、投标报价表格</w:t>
      </w:r>
    </w:p>
    <w:p w14:paraId="75A84418">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四、</w:t>
      </w:r>
      <w:r>
        <w:rPr>
          <w:rFonts w:hint="default" w:ascii="Times New Roman" w:hAnsi="Times New Roman" w:eastAsia="仿宋_GB2312" w:cs="Times New Roman"/>
          <w:bCs/>
          <w:color w:val="auto"/>
          <w:sz w:val="28"/>
          <w:szCs w:val="28"/>
        </w:rPr>
        <w:t>企业声明函</w:t>
      </w:r>
    </w:p>
    <w:p w14:paraId="6EE17A7B">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zh-TW"/>
        </w:rPr>
        <w:t>五、商务条款偏离表</w:t>
      </w:r>
    </w:p>
    <w:p w14:paraId="3E2E1E2C">
      <w:pPr>
        <w:pStyle w:val="191"/>
        <w:spacing w:line="360" w:lineRule="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六、技术规格偏离表</w:t>
      </w:r>
    </w:p>
    <w:p w14:paraId="14310FDB">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en"/>
        </w:rPr>
        <w:t>七</w:t>
      </w:r>
      <w:r>
        <w:rPr>
          <w:rFonts w:hint="default" w:ascii="Times New Roman" w:hAnsi="Times New Roman" w:eastAsia="仿宋_GB2312" w:cs="Times New Roman"/>
          <w:bCs/>
          <w:color w:val="auto"/>
          <w:sz w:val="28"/>
          <w:szCs w:val="28"/>
          <w:lang w:val="zh-TW"/>
        </w:rPr>
        <w:t>、综合证明文件</w:t>
      </w:r>
    </w:p>
    <w:p w14:paraId="6C9F136E">
      <w:pPr>
        <w:pStyle w:val="191"/>
        <w:spacing w:line="360" w:lineRule="auto"/>
        <w:rPr>
          <w:rFonts w:hint="default" w:ascii="Times New Roman" w:hAnsi="Times New Roman" w:eastAsia="仿宋_GB2312" w:cs="Times New Roman"/>
          <w:bCs/>
          <w:color w:val="auto"/>
          <w:sz w:val="28"/>
          <w:szCs w:val="28"/>
          <w:lang w:val="zh-TW"/>
        </w:rPr>
      </w:pPr>
      <w:r>
        <w:rPr>
          <w:rFonts w:hint="default" w:ascii="Times New Roman" w:hAnsi="Times New Roman" w:eastAsia="仿宋_GB2312" w:cs="Times New Roman"/>
          <w:bCs/>
          <w:color w:val="auto"/>
          <w:sz w:val="28"/>
          <w:szCs w:val="28"/>
          <w:lang w:val="en"/>
        </w:rPr>
        <w:t>八</w:t>
      </w:r>
      <w:r>
        <w:rPr>
          <w:rFonts w:hint="default" w:ascii="Times New Roman" w:hAnsi="Times New Roman" w:eastAsia="仿宋_GB2312" w:cs="Times New Roman"/>
          <w:bCs/>
          <w:color w:val="auto"/>
          <w:sz w:val="28"/>
          <w:szCs w:val="28"/>
        </w:rPr>
        <w:t>、</w:t>
      </w:r>
      <w:r>
        <w:rPr>
          <w:rFonts w:hint="default" w:ascii="Times New Roman" w:hAnsi="Times New Roman" w:eastAsia="仿宋_GB2312" w:cs="Times New Roman"/>
          <w:bCs/>
          <w:color w:val="auto"/>
          <w:sz w:val="28"/>
          <w:szCs w:val="28"/>
          <w:lang w:val="zh-TW"/>
        </w:rPr>
        <w:t>其他文件</w:t>
      </w:r>
    </w:p>
    <w:p w14:paraId="2B16AC1C">
      <w:pPr>
        <w:pStyle w:val="191"/>
        <w:spacing w:line="360" w:lineRule="auto"/>
        <w:rPr>
          <w:rFonts w:hint="default" w:ascii="Times New Roman" w:hAnsi="Times New Roman" w:eastAsia="仿宋_GB2312" w:cs="Times New Roman"/>
          <w:bCs/>
          <w:color w:val="auto"/>
          <w:sz w:val="28"/>
          <w:szCs w:val="28"/>
          <w:lang w:val="zh-TW" w:eastAsia="zh-CN"/>
        </w:rPr>
      </w:pPr>
      <w:r>
        <w:rPr>
          <w:rFonts w:hint="default" w:ascii="Times New Roman" w:hAnsi="Times New Roman" w:eastAsia="仿宋_GB2312" w:cs="Times New Roman"/>
          <w:bCs/>
          <w:color w:val="auto"/>
          <w:sz w:val="28"/>
          <w:szCs w:val="28"/>
          <w:lang w:val="zh-TW" w:eastAsia="zh-CN"/>
        </w:rPr>
        <w:t>九、产品适用政府采购政策情况表（节能、环保）</w:t>
      </w:r>
    </w:p>
    <w:p w14:paraId="1FBA8175">
      <w:pPr>
        <w:pStyle w:val="191"/>
        <w:spacing w:line="360" w:lineRule="auto"/>
        <w:rPr>
          <w:rFonts w:hint="default" w:ascii="Times New Roman" w:hAnsi="Times New Roman" w:eastAsia="仿宋_GB2312" w:cs="Times New Roman"/>
          <w:bCs/>
          <w:color w:val="auto"/>
          <w:sz w:val="28"/>
          <w:szCs w:val="28"/>
          <w:lang w:val="zh-TW"/>
        </w:rPr>
      </w:pPr>
    </w:p>
    <w:p w14:paraId="66FA84FA">
      <w:pPr>
        <w:pStyle w:val="191"/>
        <w:spacing w:line="360" w:lineRule="auto"/>
        <w:rPr>
          <w:rFonts w:hint="default" w:ascii="Times New Roman" w:hAnsi="Times New Roman" w:eastAsia="仿宋_GB2312" w:cs="Times New Roman"/>
          <w:bCs/>
          <w:color w:val="auto"/>
          <w:sz w:val="28"/>
          <w:szCs w:val="28"/>
          <w:lang w:val="zh-TW"/>
        </w:rPr>
      </w:pPr>
    </w:p>
    <w:p w14:paraId="1A062323">
      <w:pPr>
        <w:pStyle w:val="191"/>
        <w:spacing w:line="360" w:lineRule="auto"/>
        <w:rPr>
          <w:rFonts w:hint="default" w:ascii="Times New Roman" w:hAnsi="Times New Roman" w:eastAsia="仿宋_GB2312" w:cs="Times New Roman"/>
          <w:bCs/>
          <w:color w:val="auto"/>
          <w:sz w:val="28"/>
          <w:szCs w:val="28"/>
          <w:lang w:val="zh-TW"/>
        </w:rPr>
      </w:pPr>
    </w:p>
    <w:p w14:paraId="3FDD6305">
      <w:pPr>
        <w:pStyle w:val="3"/>
        <w:spacing w:before="0" w:after="0" w:line="360" w:lineRule="auto"/>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cs="Times New Roman"/>
          <w:b w:val="0"/>
          <w:color w:val="auto"/>
          <w:lang w:eastAsia="zh-CN"/>
        </w:rPr>
        <w:br w:type="page"/>
      </w:r>
      <w:bookmarkStart w:id="365" w:name="_Toc296336852"/>
      <w:bookmarkStart w:id="366" w:name="_Toc1032668283"/>
      <w:bookmarkStart w:id="367" w:name="_Toc520566279"/>
      <w:bookmarkStart w:id="368" w:name="_Toc796765497"/>
      <w:bookmarkStart w:id="369" w:name="_Toc1383476989"/>
      <w:bookmarkStart w:id="370" w:name="_Toc653176911"/>
      <w:bookmarkStart w:id="371" w:name="_Toc1166680205"/>
      <w:bookmarkStart w:id="372" w:name="_Toc1004533822"/>
      <w:bookmarkStart w:id="373" w:name="_Toc343930138"/>
      <w:r>
        <w:rPr>
          <w:rFonts w:hint="default" w:ascii="Times New Roman" w:hAnsi="Times New Roman" w:eastAsia="方正小标宋_GBK" w:cs="Times New Roman"/>
          <w:b w:val="0"/>
          <w:color w:val="auto"/>
          <w:sz w:val="30"/>
          <w:szCs w:val="30"/>
          <w:lang w:val="en-US" w:eastAsia="zh-CN"/>
        </w:rPr>
        <w:t>一、</w:t>
      </w:r>
      <w:r>
        <w:rPr>
          <w:rFonts w:hint="default" w:ascii="Times New Roman" w:hAnsi="Times New Roman" w:eastAsia="方正小标宋_GBK" w:cs="Times New Roman"/>
          <w:b w:val="0"/>
          <w:color w:val="auto"/>
          <w:sz w:val="30"/>
          <w:szCs w:val="30"/>
          <w:lang w:eastAsia="zh-CN"/>
        </w:rPr>
        <w:t>投标函</w:t>
      </w:r>
      <w:bookmarkEnd w:id="365"/>
      <w:bookmarkEnd w:id="366"/>
      <w:bookmarkEnd w:id="367"/>
      <w:bookmarkEnd w:id="368"/>
      <w:bookmarkEnd w:id="369"/>
      <w:bookmarkEnd w:id="370"/>
      <w:bookmarkEnd w:id="371"/>
      <w:bookmarkEnd w:id="372"/>
      <w:bookmarkEnd w:id="373"/>
    </w:p>
    <w:p w14:paraId="3588C63C">
      <w:pPr>
        <w:spacing w:line="360" w:lineRule="auto"/>
        <w:ind w:firstLine="480"/>
        <w:rPr>
          <w:rFonts w:hint="default" w:ascii="Times New Roman" w:hAnsi="Times New Roman" w:eastAsia="仿宋_GB2312" w:cs="Times New Roman"/>
          <w:bCs/>
          <w:color w:val="auto"/>
          <w:sz w:val="28"/>
          <w:szCs w:val="28"/>
          <w:lang w:eastAsia="zh-CN"/>
        </w:rPr>
      </w:pPr>
    </w:p>
    <w:p w14:paraId="58CD374C">
      <w:pPr>
        <w:spacing w:line="360" w:lineRule="auto"/>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eastAsia="zh-CN"/>
        </w:rPr>
        <w:t>致：</w:t>
      </w:r>
      <w:r>
        <w:rPr>
          <w:rFonts w:hint="default" w:ascii="Times New Roman" w:hAnsi="Times New Roman" w:eastAsia="仿宋_GB2312" w:cs="Times New Roman"/>
          <w:bCs/>
          <w:color w:val="auto"/>
          <w:sz w:val="28"/>
          <w:szCs w:val="28"/>
          <w:u w:val="single"/>
          <w:lang w:val="en" w:eastAsia="zh-CN"/>
        </w:rPr>
        <w:t>河南省测绘地理信息技术中心</w:t>
      </w:r>
      <w:r>
        <w:rPr>
          <w:rFonts w:hint="default" w:ascii="Times New Roman" w:hAnsi="Times New Roman" w:eastAsia="仿宋_GB2312" w:cs="Times New Roman"/>
          <w:bCs/>
          <w:color w:val="auto"/>
          <w:sz w:val="28"/>
          <w:szCs w:val="28"/>
          <w:u w:val="single"/>
          <w:lang w:eastAsia="zh-CN"/>
        </w:rPr>
        <w:t xml:space="preserve"> </w:t>
      </w:r>
    </w:p>
    <w:p w14:paraId="55873D04">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我们收到了采购编号为</w:t>
      </w:r>
      <w:r>
        <w:rPr>
          <w:rFonts w:hint="default" w:ascii="Times New Roman" w:hAnsi="Times New Roman" w:eastAsia="仿宋_GB2312" w:cs="Times New Roman"/>
          <w:bCs/>
          <w:color w:val="auto"/>
          <w:sz w:val="28"/>
          <w:szCs w:val="28"/>
          <w:u w:val="single"/>
          <w:lang w:eastAsia="zh-CN"/>
        </w:rPr>
        <w:t xml:space="preserve"> 豫财招标采购-2026-891</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的</w:t>
      </w:r>
      <w:r>
        <w:rPr>
          <w:rFonts w:hint="default" w:ascii="Times New Roman" w:hAnsi="Times New Roman" w:eastAsia="仿宋_GB2312" w:cs="Times New Roman"/>
          <w:bCs/>
          <w:color w:val="auto"/>
          <w:sz w:val="28"/>
          <w:szCs w:val="28"/>
          <w:u w:val="single"/>
          <w:lang w:val="en-US" w:eastAsia="zh-CN"/>
        </w:rPr>
        <w:t xml:space="preserve"> </w:t>
      </w:r>
      <w:r>
        <w:rPr>
          <w:rFonts w:hint="eastAsia" w:ascii="Times New Roman" w:hAnsi="Times New Roman" w:eastAsia="仿宋_GB2312" w:cs="Times New Roman"/>
          <w:bCs/>
          <w:color w:val="auto"/>
          <w:sz w:val="28"/>
          <w:szCs w:val="28"/>
          <w:u w:val="single"/>
          <w:lang w:val="en-US" w:eastAsia="zh-CN"/>
        </w:rPr>
        <w:t>河南省测绘地理信息技术中心实景三维河南建设省级项目2025年软硬件采购项目</w:t>
      </w:r>
      <w:r>
        <w:rPr>
          <w:rFonts w:hint="default" w:ascii="Times New Roman" w:hAnsi="Times New Roman" w:eastAsia="仿宋_GB2312" w:cs="Times New Roman"/>
          <w:bCs/>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_GB2312" w:cs="Times New Roman"/>
          <w:bCs/>
          <w:color w:val="auto"/>
          <w:sz w:val="28"/>
          <w:szCs w:val="28"/>
          <w:lang w:val="en-US" w:eastAsia="zh-CN"/>
        </w:rPr>
        <w:t>:</w:t>
      </w:r>
    </w:p>
    <w:p w14:paraId="59DD2F1E">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(1) </w:t>
      </w:r>
      <w:r>
        <w:rPr>
          <w:rFonts w:hint="default" w:ascii="Times New Roman" w:hAnsi="Times New Roman" w:eastAsia="仿宋_GB2312" w:cs="Times New Roman"/>
          <w:bCs/>
          <w:color w:val="auto"/>
          <w:sz w:val="28"/>
          <w:szCs w:val="28"/>
          <w:lang w:eastAsia="zh-CN"/>
        </w:rPr>
        <w:t>愿按照采购文件中规定的条款和要求，提供完成采购文件规定的全部工作，投标总报价为（大写）</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元人民币，（小写）￥：</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元），投标有效期</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天。</w:t>
      </w:r>
    </w:p>
    <w:p w14:paraId="2A56502E">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(2) </w:t>
      </w:r>
      <w:r>
        <w:rPr>
          <w:rFonts w:hint="default" w:ascii="Times New Roman" w:hAnsi="Times New Roman" w:eastAsia="仿宋_GB2312" w:cs="Times New Roman"/>
          <w:bCs/>
          <w:color w:val="auto"/>
          <w:sz w:val="28"/>
          <w:szCs w:val="28"/>
          <w:lang w:eastAsia="zh-CN"/>
        </w:rPr>
        <w:t>如果我们的投标文件被接受，我们将履行招标文件中规定的各项要求。</w:t>
      </w:r>
    </w:p>
    <w:p w14:paraId="27730B2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(3) </w:t>
      </w:r>
      <w:r>
        <w:rPr>
          <w:rFonts w:hint="default" w:ascii="Times New Roman" w:hAnsi="Times New Roman" w:eastAsia="仿宋_GB2312" w:cs="Times New Roman"/>
          <w:bCs/>
          <w:color w:val="auto"/>
          <w:sz w:val="28"/>
          <w:szCs w:val="28"/>
          <w:lang w:eastAsia="zh-CN"/>
        </w:rPr>
        <w:t>我们同意本招标文件中有关投标有效期的规定。如果中标，有效期延长至合同终止日止。</w:t>
      </w:r>
    </w:p>
    <w:p w14:paraId="4FE3E65C">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(4) </w:t>
      </w:r>
      <w:r>
        <w:rPr>
          <w:rFonts w:hint="default" w:ascii="Times New Roman" w:hAnsi="Times New Roman" w:eastAsia="仿宋_GB2312" w:cs="Times New Roman"/>
          <w:bCs/>
          <w:color w:val="auto"/>
          <w:sz w:val="28"/>
          <w:szCs w:val="28"/>
          <w:lang w:eastAsia="zh-CN"/>
        </w:rPr>
        <w:t>我们愿提供招标文件中要求的所有文件资料。</w:t>
      </w:r>
    </w:p>
    <w:p w14:paraId="435B7E29">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(5) </w:t>
      </w:r>
      <w:r>
        <w:rPr>
          <w:rFonts w:hint="default" w:ascii="Times New Roman" w:hAnsi="Times New Roman" w:eastAsia="仿宋_GB2312" w:cs="Times New Roman"/>
          <w:bCs/>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7904621B">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(6) </w:t>
      </w:r>
      <w:r>
        <w:rPr>
          <w:rFonts w:hint="default" w:ascii="Times New Roman" w:hAnsi="Times New Roman" w:eastAsia="仿宋_GB2312" w:cs="Times New Roman"/>
          <w:bCs/>
          <w:color w:val="auto"/>
          <w:sz w:val="28"/>
          <w:szCs w:val="28"/>
          <w:lang w:eastAsia="zh-CN"/>
        </w:rPr>
        <w:t>我们承诺，与采购人聘请的为此项目提供咨询服务及任何附属机构均无关联，非采购人的附属机构。</w:t>
      </w:r>
    </w:p>
    <w:p w14:paraId="52D91A91">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(7) </w:t>
      </w:r>
      <w:r>
        <w:rPr>
          <w:rFonts w:hint="default" w:ascii="Times New Roman" w:hAnsi="Times New Roman" w:eastAsia="仿宋_GB2312" w:cs="Times New Roman"/>
          <w:bCs/>
          <w:color w:val="auto"/>
          <w:sz w:val="28"/>
          <w:szCs w:val="28"/>
          <w:lang w:eastAsia="zh-CN"/>
        </w:rPr>
        <w:t>我公司同意提供按照采购人可能要求的与其投标有关的一切数据或资料，完全理解采购人不一定接受最低价的投标或收到的任何投标。</w:t>
      </w:r>
    </w:p>
    <w:p w14:paraId="0B6D3122">
      <w:pPr>
        <w:spacing w:line="360" w:lineRule="auto"/>
        <w:ind w:firstLine="48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(8) </w:t>
      </w:r>
      <w:r>
        <w:rPr>
          <w:rFonts w:hint="default" w:ascii="Times New Roman" w:hAnsi="Times New Roman" w:eastAsia="仿宋_GB2312" w:cs="Times New Roman"/>
          <w:bCs/>
          <w:color w:val="auto"/>
          <w:sz w:val="28"/>
          <w:szCs w:val="28"/>
          <w:lang w:eastAsia="zh-CN"/>
        </w:rPr>
        <w:t>如果我们的投标文件被接受，我们将按招标文件的规定签订并严格履行合同中的责任和义务。</w:t>
      </w:r>
    </w:p>
    <w:p w14:paraId="4DA244B6">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9</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337D16A4">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(10)</w:t>
      </w:r>
      <w:r>
        <w:rPr>
          <w:rFonts w:hint="default" w:ascii="Times New Roman" w:hAnsi="Times New Roman" w:eastAsia="仿宋_GB2312" w:cs="Times New Roman"/>
          <w:bCs/>
          <w:color w:val="auto"/>
          <w:sz w:val="28"/>
          <w:szCs w:val="28"/>
          <w:lang w:eastAsia="zh-CN"/>
        </w:rPr>
        <w:t>我公司独立参加投标，未组成联合体参加投标。</w:t>
      </w:r>
    </w:p>
    <w:p w14:paraId="5D734303">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1</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除不可抗力外，我公司如果发生以下行为，将在行为发生的10个工作日内，向贵方支付本招标文件公布的最高限价的2%作为违约赔偿金。</w:t>
      </w:r>
    </w:p>
    <w:p w14:paraId="6310EB8F">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 1 \* GB3 \* MERGEFORMAT </w:instrText>
      </w:r>
      <w:r>
        <w:rPr>
          <w:rFonts w:hint="default" w:ascii="Times New Roman" w:hAnsi="Times New Roman" w:eastAsia="仿宋_GB2312" w:cs="Times New Roman"/>
          <w:bCs/>
          <w:color w:val="auto"/>
          <w:sz w:val="28"/>
          <w:szCs w:val="28"/>
        </w:rPr>
        <w:fldChar w:fldCharType="separate"/>
      </w:r>
      <w:r>
        <w:rPr>
          <w:rFonts w:hint="default" w:ascii="Times New Roman" w:hAnsi="Times New Roman" w:eastAsia="仿宋_GB2312" w:cs="Times New Roman"/>
          <w:bCs/>
          <w:color w:val="auto"/>
          <w:sz w:val="28"/>
          <w:szCs w:val="28"/>
          <w:lang w:eastAsia="zh-CN"/>
        </w:rPr>
        <w:t>①</w: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在招标文件规定的投标有效期内实质上修改或撤回投标；</w:t>
      </w:r>
    </w:p>
    <w:p w14:paraId="230585A2">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 2 \* GB3 \* MERGEFORMAT </w:instrText>
      </w:r>
      <w:r>
        <w:rPr>
          <w:rFonts w:hint="default" w:ascii="Times New Roman" w:hAnsi="Times New Roman" w:eastAsia="仿宋_GB2312" w:cs="Times New Roman"/>
          <w:bCs/>
          <w:color w:val="auto"/>
          <w:sz w:val="28"/>
          <w:szCs w:val="28"/>
        </w:rPr>
        <w:fldChar w:fldCharType="separate"/>
      </w:r>
      <w:r>
        <w:rPr>
          <w:rFonts w:hint="default" w:ascii="Times New Roman" w:hAnsi="Times New Roman" w:eastAsia="仿宋_GB2312" w:cs="Times New Roman"/>
          <w:bCs/>
          <w:color w:val="auto"/>
          <w:sz w:val="28"/>
          <w:szCs w:val="28"/>
          <w:lang w:eastAsia="zh-CN"/>
        </w:rPr>
        <w:t>②</w: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中标后不依法与采购人签订合同；</w:t>
      </w:r>
    </w:p>
    <w:p w14:paraId="61CB50F9">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rPr>
        <w:fldChar w:fldCharType="begin"/>
      </w:r>
      <w:r>
        <w:rPr>
          <w:rFonts w:hint="default" w:ascii="Times New Roman" w:hAnsi="Times New Roman" w:eastAsia="仿宋_GB2312" w:cs="Times New Roman"/>
          <w:bCs/>
          <w:color w:val="auto"/>
          <w:sz w:val="28"/>
          <w:szCs w:val="28"/>
          <w:lang w:eastAsia="zh-CN"/>
        </w:rPr>
        <w:instrText xml:space="preserve"> = 3 \* GB3 \* MERGEFORMAT </w:instrText>
      </w:r>
      <w:r>
        <w:rPr>
          <w:rFonts w:hint="default" w:ascii="Times New Roman" w:hAnsi="Times New Roman" w:eastAsia="仿宋_GB2312" w:cs="Times New Roman"/>
          <w:bCs/>
          <w:color w:val="auto"/>
          <w:sz w:val="28"/>
          <w:szCs w:val="28"/>
        </w:rPr>
        <w:fldChar w:fldCharType="separate"/>
      </w:r>
      <w:r>
        <w:rPr>
          <w:rFonts w:hint="default" w:ascii="Times New Roman" w:hAnsi="Times New Roman" w:eastAsia="仿宋_GB2312" w:cs="Times New Roman"/>
          <w:bCs/>
          <w:color w:val="auto"/>
          <w:sz w:val="28"/>
          <w:szCs w:val="28"/>
          <w:lang w:eastAsia="zh-CN"/>
        </w:rPr>
        <w:t>③</w:t>
      </w:r>
      <w:r>
        <w:rPr>
          <w:rFonts w:hint="default" w:ascii="Times New Roman" w:hAnsi="Times New Roman" w:eastAsia="仿宋_GB2312" w:cs="Times New Roman"/>
          <w:bCs/>
          <w:color w:val="auto"/>
          <w:sz w:val="28"/>
          <w:szCs w:val="28"/>
        </w:rPr>
        <w:fldChar w:fldCharType="end"/>
      </w:r>
      <w:r>
        <w:rPr>
          <w:rFonts w:hint="default" w:ascii="Times New Roman" w:hAnsi="Times New Roman" w:eastAsia="仿宋_GB2312" w:cs="Times New Roman"/>
          <w:bCs/>
          <w:color w:val="auto"/>
          <w:sz w:val="28"/>
          <w:szCs w:val="28"/>
          <w:lang w:eastAsia="zh-CN"/>
        </w:rPr>
        <w:t>在投标文件中提供虚假材料。</w:t>
      </w:r>
    </w:p>
    <w:p w14:paraId="3A4FDBFF">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 w:eastAsia="zh-CN"/>
        </w:rPr>
        <w:t>1</w:t>
      </w:r>
      <w:r>
        <w:rPr>
          <w:rFonts w:hint="default" w:ascii="Times New Roman" w:hAnsi="Times New Roman" w:eastAsia="仿宋_GB2312" w:cs="Times New Roman"/>
          <w:bCs/>
          <w:color w:val="auto"/>
          <w:sz w:val="28"/>
          <w:szCs w:val="28"/>
          <w:lang w:val="en-US" w:eastAsia="zh-CN"/>
        </w:rPr>
        <w:t xml:space="preserve">2) </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（其他补充说明）。</w:t>
      </w:r>
    </w:p>
    <w:p w14:paraId="0C473B43">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与本投标有关的正式通讯地址：</w:t>
      </w:r>
    </w:p>
    <w:p w14:paraId="563E6412">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地  址：                             邮  编：</w:t>
      </w:r>
    </w:p>
    <w:p w14:paraId="32707CA2">
      <w:pPr>
        <w:spacing w:line="360" w:lineRule="auto"/>
        <w:ind w:firstLine="465"/>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电  话：                             传  真：</w:t>
      </w:r>
    </w:p>
    <w:p w14:paraId="5648074B">
      <w:pPr>
        <w:spacing w:line="48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投标人（企业电子签章）：</w:t>
      </w:r>
    </w:p>
    <w:p w14:paraId="20BF45DB">
      <w:pPr>
        <w:spacing w:line="400" w:lineRule="exact"/>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 xml:space="preserve">法定代表人（个人电子签章）：       </w:t>
      </w:r>
    </w:p>
    <w:p w14:paraId="4AF266FF">
      <w:pPr>
        <w:pStyle w:val="21"/>
        <w:rPr>
          <w:rFonts w:hint="default" w:ascii="Times New Roman" w:hAnsi="Times New Roman" w:eastAsia="仿宋_GB2312" w:cs="Times New Roman"/>
          <w:bCs/>
          <w:sz w:val="28"/>
          <w:szCs w:val="28"/>
          <w:lang w:eastAsia="zh-CN"/>
        </w:rPr>
      </w:pPr>
    </w:p>
    <w:p w14:paraId="3D564DBF">
      <w:pPr>
        <w:spacing w:line="400" w:lineRule="exact"/>
        <w:ind w:firstLine="5040" w:firstLineChars="18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日期：    年  月  日</w:t>
      </w:r>
    </w:p>
    <w:p w14:paraId="202ACD18">
      <w:pPr>
        <w:pStyle w:val="3"/>
        <w:spacing w:before="0" w:after="0" w:line="360" w:lineRule="auto"/>
        <w:jc w:val="center"/>
        <w:rPr>
          <w:rFonts w:hint="default" w:ascii="Times New Roman" w:hAnsi="Times New Roman" w:eastAsia="方正小标宋_GBK" w:cs="Times New Roman"/>
          <w:b w:val="0"/>
          <w:color w:val="auto"/>
          <w:sz w:val="30"/>
          <w:szCs w:val="30"/>
          <w:lang w:val="en-US" w:eastAsia="zh-CN"/>
        </w:rPr>
      </w:pPr>
      <w:bookmarkStart w:id="374" w:name="_Toc1881"/>
      <w:bookmarkStart w:id="375" w:name="_Toc74240237"/>
      <w:bookmarkStart w:id="376" w:name="_Toc20897"/>
      <w:bookmarkStart w:id="377" w:name="_Toc515647818"/>
      <w:bookmarkStart w:id="378" w:name="_Toc532473507"/>
      <w:bookmarkStart w:id="379" w:name="_Toc2582321"/>
      <w:r>
        <w:rPr>
          <w:rFonts w:hint="default" w:ascii="Times New Roman" w:hAnsi="Times New Roman" w:eastAsia="黑体" w:cs="Times New Roman"/>
          <w:b w:val="0"/>
          <w:color w:val="auto"/>
          <w:sz w:val="28"/>
          <w:szCs w:val="28"/>
          <w:highlight w:val="green"/>
          <w:lang w:val="en-US" w:eastAsia="zh-CN"/>
        </w:rPr>
        <w:br w:type="page"/>
      </w:r>
      <w:bookmarkStart w:id="380" w:name="_Toc228367634"/>
      <w:bookmarkStart w:id="381" w:name="_Toc1552610899"/>
      <w:bookmarkStart w:id="382" w:name="_Toc942115178"/>
      <w:bookmarkStart w:id="383" w:name="_Toc1472753336"/>
      <w:bookmarkStart w:id="384" w:name="_Toc2113425695"/>
      <w:r>
        <w:rPr>
          <w:rFonts w:hint="default" w:ascii="Times New Roman" w:hAnsi="Times New Roman" w:eastAsia="方正小标宋_GBK" w:cs="Times New Roman"/>
          <w:b w:val="0"/>
          <w:color w:val="auto"/>
          <w:sz w:val="30"/>
          <w:szCs w:val="30"/>
          <w:lang w:val="en-US" w:eastAsia="zh-CN"/>
        </w:rPr>
        <w:t>二、</w:t>
      </w:r>
      <w:r>
        <w:rPr>
          <w:rFonts w:hint="default" w:ascii="Times New Roman" w:hAnsi="Times New Roman" w:eastAsia="方正小标宋_GBK" w:cs="Times New Roman"/>
          <w:b w:val="0"/>
          <w:color w:val="auto"/>
          <w:sz w:val="30"/>
          <w:szCs w:val="30"/>
          <w:lang w:eastAsia="zh-CN"/>
        </w:rPr>
        <w:t>法定代表人身份证明书</w:t>
      </w:r>
      <w:bookmarkEnd w:id="380"/>
      <w:bookmarkEnd w:id="381"/>
      <w:bookmarkEnd w:id="382"/>
      <w:bookmarkEnd w:id="383"/>
      <w:bookmarkEnd w:id="384"/>
    </w:p>
    <w:p w14:paraId="45BE4D13">
      <w:pPr>
        <w:spacing w:line="360" w:lineRule="auto"/>
        <w:rPr>
          <w:rFonts w:hint="default" w:ascii="Times New Roman" w:hAnsi="Times New Roman" w:eastAsia="宋体" w:cs="Times New Roman"/>
          <w:bCs/>
          <w:color w:val="auto"/>
          <w:sz w:val="28"/>
          <w:szCs w:val="28"/>
          <w:lang w:val="en-US" w:eastAsia="zh-CN"/>
        </w:rPr>
      </w:pPr>
    </w:p>
    <w:p w14:paraId="2E96CCCD">
      <w:pPr>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致</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u w:val="single"/>
          <w:lang w:val="en" w:eastAsia="zh-CN"/>
        </w:rPr>
        <w:t xml:space="preserve"> 河南省测绘地理信息技术中心</w:t>
      </w:r>
    </w:p>
    <w:p w14:paraId="6EE8F90E">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（姓名、性别、年龄、身份证号码）在我单位任</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eastAsia="zh-CN"/>
        </w:rPr>
        <w:t>（董事长、总经理等）职务，是我单位的法定代表人。</w:t>
      </w:r>
    </w:p>
    <w:p w14:paraId="27B493C5">
      <w:pPr>
        <w:spacing w:line="360" w:lineRule="auto"/>
        <w:ind w:firstLine="480"/>
        <w:rPr>
          <w:rFonts w:hint="default" w:ascii="Times New Roman" w:hAnsi="Times New Roman" w:eastAsia="仿宋_GB2312" w:cs="Times New Roman"/>
          <w:bCs/>
          <w:color w:val="auto"/>
          <w:sz w:val="28"/>
          <w:szCs w:val="28"/>
          <w:lang w:val="en-US" w:eastAsia="zh-CN"/>
        </w:rPr>
      </w:pPr>
    </w:p>
    <w:p w14:paraId="3E92A5C3">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特此证明。</w:t>
      </w:r>
    </w:p>
    <w:p w14:paraId="3E629DBA">
      <w:pPr>
        <w:spacing w:line="360" w:lineRule="auto"/>
        <w:rPr>
          <w:rFonts w:hint="default" w:ascii="Times New Roman" w:hAnsi="Times New Roman" w:eastAsia="仿宋_GB2312" w:cs="Times New Roman"/>
          <w:bCs/>
          <w:color w:val="auto"/>
          <w:sz w:val="28"/>
          <w:szCs w:val="28"/>
          <w:lang w:val="en-US" w:eastAsia="zh-CN"/>
        </w:rPr>
      </w:pPr>
    </w:p>
    <w:p w14:paraId="75117AAF">
      <w:pPr>
        <w:spacing w:line="360" w:lineRule="auto"/>
        <w:ind w:firstLine="480"/>
        <w:rPr>
          <w:rFonts w:hint="default" w:ascii="Times New Roman" w:hAnsi="Times New Roman" w:eastAsia="仿宋_GB2312" w:cs="Times New Roman"/>
          <w:bCs/>
          <w:color w:val="auto"/>
          <w:sz w:val="28"/>
          <w:szCs w:val="28"/>
          <w:lang w:val="en-US" w:eastAsia="zh-CN"/>
        </w:rPr>
      </w:pPr>
    </w:p>
    <w:p w14:paraId="3270F443">
      <w:pPr>
        <w:pStyle w:val="191"/>
        <w:tabs>
          <w:tab w:val="left" w:pos="5580"/>
        </w:tabs>
        <w:spacing w:line="360" w:lineRule="auto"/>
        <w:ind w:firstLine="36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投标人（企业电子签章）：</w:t>
      </w:r>
      <w:r>
        <w:rPr>
          <w:rFonts w:hint="default" w:ascii="Times New Roman" w:hAnsi="Times New Roman" w:eastAsia="仿宋_GB2312" w:cs="Times New Roman"/>
          <w:bCs/>
          <w:color w:val="auto"/>
          <w:sz w:val="28"/>
          <w:szCs w:val="28"/>
          <w:u w:val="single"/>
        </w:rPr>
        <w:t xml:space="preserve">                             </w:t>
      </w:r>
    </w:p>
    <w:p w14:paraId="5DBE5CBA">
      <w:pPr>
        <w:pStyle w:val="191"/>
        <w:tabs>
          <w:tab w:val="left" w:pos="5580"/>
        </w:tabs>
        <w:spacing w:line="360" w:lineRule="auto"/>
        <w:ind w:left="269" w:firstLine="12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详细通讯地址：</w:t>
      </w:r>
      <w:r>
        <w:rPr>
          <w:rFonts w:hint="default" w:ascii="Times New Roman" w:hAnsi="Times New Roman" w:eastAsia="仿宋_GB2312" w:cs="Times New Roman"/>
          <w:bCs/>
          <w:color w:val="auto"/>
          <w:sz w:val="28"/>
          <w:szCs w:val="28"/>
          <w:u w:val="single"/>
        </w:rPr>
        <w:t xml:space="preserve">                                </w:t>
      </w:r>
    </w:p>
    <w:p w14:paraId="6CD025CA">
      <w:pPr>
        <w:pStyle w:val="191"/>
        <w:tabs>
          <w:tab w:val="left" w:pos="5580"/>
        </w:tabs>
        <w:spacing w:line="360" w:lineRule="auto"/>
        <w:ind w:firstLine="36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邮 政 编 码 ：</w:t>
      </w:r>
      <w:r>
        <w:rPr>
          <w:rFonts w:hint="default" w:ascii="Times New Roman" w:hAnsi="Times New Roman" w:eastAsia="仿宋_GB2312" w:cs="Times New Roman"/>
          <w:bCs/>
          <w:color w:val="auto"/>
          <w:sz w:val="28"/>
          <w:szCs w:val="28"/>
          <w:u w:val="single"/>
        </w:rPr>
        <w:t xml:space="preserve">                                </w:t>
      </w:r>
    </w:p>
    <w:p w14:paraId="1DD895B0">
      <w:pPr>
        <w:pStyle w:val="191"/>
        <w:tabs>
          <w:tab w:val="left" w:pos="5580"/>
        </w:tabs>
        <w:spacing w:line="360" w:lineRule="auto"/>
        <w:ind w:firstLine="36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传　　　　真：</w:t>
      </w:r>
      <w:r>
        <w:rPr>
          <w:rFonts w:hint="default" w:ascii="Times New Roman" w:hAnsi="Times New Roman" w:eastAsia="仿宋_GB2312" w:cs="Times New Roman"/>
          <w:bCs/>
          <w:color w:val="auto"/>
          <w:sz w:val="28"/>
          <w:szCs w:val="28"/>
          <w:u w:val="single"/>
        </w:rPr>
        <w:t xml:space="preserve">                                </w:t>
      </w:r>
    </w:p>
    <w:p w14:paraId="362E45F7">
      <w:pPr>
        <w:pStyle w:val="191"/>
        <w:tabs>
          <w:tab w:val="left" w:pos="5580"/>
        </w:tabs>
        <w:spacing w:line="360" w:lineRule="auto"/>
        <w:ind w:firstLine="360"/>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zh-TW"/>
        </w:rPr>
        <w:t>电　　　　话：</w:t>
      </w:r>
      <w:r>
        <w:rPr>
          <w:rFonts w:hint="default" w:ascii="Times New Roman" w:hAnsi="Times New Roman" w:eastAsia="仿宋_GB2312" w:cs="Times New Roman"/>
          <w:bCs/>
          <w:color w:val="auto"/>
          <w:sz w:val="28"/>
          <w:szCs w:val="28"/>
          <w:u w:val="single"/>
        </w:rPr>
        <w:t xml:space="preserve">                                </w:t>
      </w:r>
    </w:p>
    <w:tbl>
      <w:tblPr>
        <w:tblStyle w:val="59"/>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484"/>
        <w:gridCol w:w="4485"/>
      </w:tblGrid>
      <w:tr w14:paraId="6D83A13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35D36EB6">
            <w:pPr>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510F2A24">
            <w:pPr>
              <w:jc w:val="center"/>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法定代表人身份证（国徽面）</w:t>
            </w:r>
          </w:p>
        </w:tc>
      </w:tr>
    </w:tbl>
    <w:p w14:paraId="32938CD7">
      <w:pPr>
        <w:spacing w:line="360" w:lineRule="auto"/>
        <w:ind w:firstLine="480"/>
        <w:rPr>
          <w:rFonts w:hint="default" w:ascii="Times New Roman" w:hAnsi="Times New Roman" w:eastAsia="仿宋_GB2312" w:cs="Times New Roman"/>
          <w:bCs/>
          <w:color w:val="auto"/>
          <w:sz w:val="28"/>
          <w:szCs w:val="28"/>
          <w:lang w:val="en-US" w:eastAsia="zh-CN"/>
        </w:rPr>
      </w:pPr>
    </w:p>
    <w:p w14:paraId="341634A5">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注：自然人投标的无需提供。</w:t>
      </w:r>
    </w:p>
    <w:p w14:paraId="270A2DD2">
      <w:pPr>
        <w:pStyle w:val="44"/>
        <w:ind w:left="0" w:leftChars="0" w:firstLine="0" w:firstLineChars="0"/>
        <w:rPr>
          <w:rFonts w:hint="default" w:ascii="Times New Roman" w:hAnsi="Times New Roman" w:cs="Times New Roman"/>
          <w:bCs/>
          <w:color w:val="auto"/>
          <w:lang w:eastAsia="zh-CN"/>
        </w:rPr>
        <w:sectPr>
          <w:headerReference r:id="rId7" w:type="default"/>
          <w:footerReference r:id="rId8" w:type="default"/>
          <w:pgSz w:w="11906" w:h="16838"/>
          <w:pgMar w:top="1440" w:right="1797" w:bottom="1440" w:left="1797" w:header="851" w:footer="992" w:gutter="0"/>
          <w:cols w:space="720" w:num="1"/>
          <w:docGrid w:linePitch="312" w:charSpace="0"/>
        </w:sectPr>
      </w:pPr>
    </w:p>
    <w:p w14:paraId="0791D626">
      <w:pPr>
        <w:pStyle w:val="3"/>
        <w:jc w:val="center"/>
        <w:rPr>
          <w:rFonts w:hint="default" w:ascii="Times New Roman" w:hAnsi="Times New Roman" w:eastAsia="方正小标宋_GBK" w:cs="Times New Roman"/>
          <w:b w:val="0"/>
          <w:color w:val="auto"/>
          <w:sz w:val="30"/>
          <w:szCs w:val="30"/>
          <w:lang w:eastAsia="zh-CN"/>
        </w:rPr>
      </w:pPr>
      <w:bookmarkStart w:id="385" w:name="_Toc1046173163"/>
      <w:bookmarkStart w:id="386" w:name="_Toc284882205"/>
      <w:bookmarkStart w:id="387" w:name="_Toc1255393211"/>
      <w:bookmarkStart w:id="388" w:name="_Toc374312795"/>
      <w:bookmarkStart w:id="389" w:name="_Toc320103337"/>
      <w:r>
        <w:rPr>
          <w:rFonts w:hint="default" w:ascii="Times New Roman" w:hAnsi="Times New Roman" w:eastAsia="方正小标宋_GBK" w:cs="Times New Roman"/>
          <w:b w:val="0"/>
          <w:color w:val="auto"/>
          <w:sz w:val="30"/>
          <w:szCs w:val="30"/>
          <w:lang w:eastAsia="zh-CN"/>
        </w:rPr>
        <w:t>三、投标报价表格</w:t>
      </w:r>
      <w:bookmarkEnd w:id="385"/>
      <w:bookmarkEnd w:id="386"/>
      <w:bookmarkEnd w:id="387"/>
      <w:bookmarkEnd w:id="388"/>
      <w:bookmarkEnd w:id="389"/>
    </w:p>
    <w:p w14:paraId="7E8B3C9B">
      <w:pPr>
        <w:spacing w:line="480" w:lineRule="auto"/>
        <w:jc w:val="center"/>
        <w:outlineLvl w:val="2"/>
        <w:rPr>
          <w:rFonts w:hint="default" w:ascii="Times New Roman" w:hAnsi="Times New Roman" w:eastAsia="黑体" w:cs="Times New Roman"/>
          <w:bCs/>
          <w:color w:val="auto"/>
          <w:sz w:val="28"/>
          <w:szCs w:val="28"/>
          <w:lang w:eastAsia="zh-CN"/>
        </w:rPr>
      </w:pPr>
      <w:bookmarkStart w:id="390" w:name="_Toc1289935819"/>
      <w:bookmarkStart w:id="391" w:name="_Toc562840553"/>
      <w:bookmarkStart w:id="392" w:name="_Toc55824951"/>
      <w:r>
        <w:rPr>
          <w:rFonts w:hint="default" w:ascii="Times New Roman" w:hAnsi="Times New Roman" w:eastAsia="黑体" w:cs="Times New Roman"/>
          <w:bCs/>
          <w:color w:val="auto"/>
          <w:sz w:val="28"/>
          <w:szCs w:val="28"/>
          <w:lang w:eastAsia="zh-CN"/>
        </w:rPr>
        <w:t>1</w:t>
      </w:r>
      <w:r>
        <w:rPr>
          <w:rFonts w:hint="default" w:ascii="Times New Roman" w:hAnsi="Times New Roman" w:eastAsia="黑体" w:cs="Times New Roman"/>
          <w:bCs/>
          <w:color w:val="auto"/>
          <w:sz w:val="28"/>
          <w:szCs w:val="28"/>
          <w:lang w:val="en-US" w:eastAsia="zh-CN"/>
        </w:rPr>
        <w:t xml:space="preserve">. </w:t>
      </w:r>
      <w:r>
        <w:rPr>
          <w:rFonts w:hint="default" w:ascii="Times New Roman" w:hAnsi="Times New Roman" w:eastAsia="黑体" w:cs="Times New Roman"/>
          <w:bCs/>
          <w:color w:val="auto"/>
          <w:sz w:val="28"/>
          <w:szCs w:val="28"/>
          <w:lang w:eastAsia="zh-CN"/>
        </w:rPr>
        <w:t>投标主要内容汇总表</w:t>
      </w:r>
      <w:bookmarkEnd w:id="390"/>
      <w:bookmarkEnd w:id="391"/>
      <w:bookmarkEnd w:id="392"/>
    </w:p>
    <w:tbl>
      <w:tblPr>
        <w:tblStyle w:val="59"/>
        <w:tblW w:w="8775" w:type="dxa"/>
        <w:tblInd w:w="-122" w:type="dxa"/>
        <w:tblLayout w:type="fixed"/>
        <w:tblCellMar>
          <w:top w:w="0" w:type="dxa"/>
          <w:left w:w="108" w:type="dxa"/>
          <w:bottom w:w="0" w:type="dxa"/>
          <w:right w:w="108" w:type="dxa"/>
        </w:tblCellMar>
      </w:tblPr>
      <w:tblGrid>
        <w:gridCol w:w="5887"/>
        <w:gridCol w:w="2888"/>
      </w:tblGrid>
      <w:tr w14:paraId="0A80A018">
        <w:tblPrEx>
          <w:tblCellMar>
            <w:top w:w="0" w:type="dxa"/>
            <w:left w:w="108" w:type="dxa"/>
            <w:bottom w:w="0" w:type="dxa"/>
            <w:right w:w="108" w:type="dxa"/>
          </w:tblCellMar>
        </w:tblPrEx>
        <w:tc>
          <w:tcPr>
            <w:tcW w:w="5887" w:type="dxa"/>
          </w:tcPr>
          <w:p w14:paraId="530F7716">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采购编号：豫财招标采购-2026-891</w:t>
            </w:r>
          </w:p>
        </w:tc>
        <w:tc>
          <w:tcPr>
            <w:tcW w:w="2888" w:type="dxa"/>
          </w:tcPr>
          <w:p w14:paraId="40D96051">
            <w:pPr>
              <w:spacing w:line="440" w:lineRule="exact"/>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金额单位：元人民币</w:t>
            </w:r>
          </w:p>
        </w:tc>
      </w:tr>
    </w:tbl>
    <w:p w14:paraId="679440C7">
      <w:pPr>
        <w:pStyle w:val="21"/>
        <w:spacing w:before="0"/>
        <w:rPr>
          <w:rFonts w:hint="default" w:ascii="Times New Roman" w:hAnsi="Times New Roman" w:cs="Times New Roman"/>
          <w:bCs/>
          <w:sz w:val="2"/>
          <w:szCs w:val="2"/>
        </w:rPr>
      </w:pPr>
    </w:p>
    <w:tbl>
      <w:tblPr>
        <w:tblStyle w:val="59"/>
        <w:tblW w:w="879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2841"/>
        <w:gridCol w:w="5949"/>
      </w:tblGrid>
      <w:tr w14:paraId="1BE916C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PrEx>
        <w:trPr>
          <w:trHeight w:val="887"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85CCDF1">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采购项目</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8A21BAA">
            <w:pPr>
              <w:spacing w:after="0"/>
              <w:jc w:val="left"/>
              <w:rPr>
                <w:rFonts w:hint="default" w:ascii="Times New Roman" w:hAnsi="Times New Roman" w:eastAsia="仿宋_GB2312" w:cs="Times New Roman"/>
                <w:bCs/>
                <w:color w:val="auto"/>
                <w:kern w:val="0"/>
                <w:sz w:val="28"/>
                <w:szCs w:val="28"/>
                <w:lang w:val="en-US" w:eastAsia="zh-CN"/>
              </w:rPr>
            </w:pPr>
            <w:r>
              <w:rPr>
                <w:rFonts w:hint="eastAsia" w:ascii="Times New Roman" w:hAnsi="Times New Roman" w:eastAsia="仿宋_GB2312" w:cs="Times New Roman"/>
                <w:bCs/>
                <w:color w:val="auto"/>
                <w:kern w:val="0"/>
                <w:sz w:val="28"/>
                <w:szCs w:val="28"/>
                <w:lang w:val="en-US" w:eastAsia="zh-CN"/>
              </w:rPr>
              <w:t>河南省测绘地理信息技术中心实景三维河南建设省级项目2025年软硬件采购项目</w:t>
            </w:r>
          </w:p>
        </w:tc>
      </w:tr>
      <w:tr w14:paraId="3B43F99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212B52F">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投标人名称</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759E27B">
            <w:pPr>
              <w:spacing w:after="0"/>
              <w:jc w:val="center"/>
              <w:rPr>
                <w:rFonts w:hint="default" w:ascii="Times New Roman" w:hAnsi="Times New Roman" w:eastAsia="仿宋_GB2312" w:cs="Times New Roman"/>
                <w:bCs/>
                <w:color w:val="auto"/>
                <w:kern w:val="0"/>
                <w:sz w:val="28"/>
                <w:szCs w:val="28"/>
              </w:rPr>
            </w:pPr>
          </w:p>
        </w:tc>
      </w:tr>
      <w:tr w14:paraId="7664B69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35312EC">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投标总报价（大写）</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6384A39">
            <w:pPr>
              <w:spacing w:after="0"/>
              <w:jc w:val="center"/>
              <w:rPr>
                <w:rFonts w:hint="default" w:ascii="Times New Roman" w:hAnsi="Times New Roman" w:eastAsia="仿宋_GB2312" w:cs="Times New Roman"/>
                <w:bCs/>
                <w:color w:val="auto"/>
                <w:kern w:val="0"/>
                <w:sz w:val="28"/>
                <w:szCs w:val="28"/>
              </w:rPr>
            </w:pPr>
          </w:p>
        </w:tc>
      </w:tr>
      <w:tr w14:paraId="356245B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45B8BE9">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投标总报价（小写）</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B29A44F">
            <w:pPr>
              <w:spacing w:after="0"/>
              <w:jc w:val="center"/>
              <w:rPr>
                <w:rFonts w:hint="default" w:ascii="Times New Roman" w:hAnsi="Times New Roman" w:eastAsia="仿宋_GB2312" w:cs="Times New Roman"/>
                <w:bCs/>
                <w:color w:val="auto"/>
                <w:kern w:val="0"/>
                <w:sz w:val="28"/>
                <w:szCs w:val="28"/>
              </w:rPr>
            </w:pPr>
          </w:p>
        </w:tc>
      </w:tr>
      <w:tr w14:paraId="15B9392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7335277">
            <w:pPr>
              <w:spacing w:after="0"/>
              <w:jc w:val="center"/>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rPr>
              <w:t>交货期</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2F56ECF">
            <w:pPr>
              <w:spacing w:after="0"/>
              <w:jc w:val="center"/>
              <w:rPr>
                <w:rFonts w:hint="default" w:ascii="Times New Roman" w:hAnsi="Times New Roman" w:eastAsia="仿宋_GB2312" w:cs="Times New Roman"/>
                <w:bCs/>
                <w:color w:val="auto"/>
                <w:kern w:val="0"/>
                <w:sz w:val="28"/>
                <w:szCs w:val="28"/>
                <w:lang w:val="en" w:eastAsia="zh-CN"/>
              </w:rPr>
            </w:pPr>
          </w:p>
        </w:tc>
      </w:tr>
      <w:tr w14:paraId="0CC2555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AA0E0B4">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交货地点</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BCCDF8F">
            <w:pPr>
              <w:spacing w:after="0"/>
              <w:jc w:val="center"/>
              <w:rPr>
                <w:rFonts w:hint="default" w:ascii="Times New Roman" w:hAnsi="Times New Roman" w:eastAsia="仿宋_GB2312" w:cs="Times New Roman"/>
                <w:bCs/>
                <w:color w:val="auto"/>
                <w:kern w:val="0"/>
                <w:sz w:val="28"/>
                <w:szCs w:val="28"/>
                <w:lang w:val="en-US" w:eastAsia="zh-CN"/>
              </w:rPr>
            </w:pPr>
          </w:p>
        </w:tc>
      </w:tr>
      <w:tr w14:paraId="43B9199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262137C">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质量标准</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30C9EB9">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合格</w:t>
            </w:r>
          </w:p>
        </w:tc>
      </w:tr>
      <w:tr w14:paraId="0027A94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52EE743">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质量保证期</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F572130">
            <w:pPr>
              <w:spacing w:after="0"/>
              <w:jc w:val="center"/>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u w:val="single"/>
                <w:lang w:val="en" w:eastAsia="zh-CN"/>
              </w:rPr>
              <w:t xml:space="preserve">   </w:t>
            </w:r>
            <w:r>
              <w:rPr>
                <w:rFonts w:hint="default" w:ascii="Times New Roman" w:hAnsi="Times New Roman" w:eastAsia="仿宋_GB2312" w:cs="Times New Roman"/>
                <w:bCs/>
                <w:color w:val="auto"/>
                <w:kern w:val="0"/>
                <w:sz w:val="28"/>
                <w:szCs w:val="28"/>
                <w:lang w:eastAsia="zh-CN"/>
              </w:rPr>
              <w:t>年，从验收合格之日起开始计算</w:t>
            </w:r>
          </w:p>
        </w:tc>
      </w:tr>
      <w:tr w14:paraId="1C84C73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B64A3FB">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投标保证金</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EC2EED7">
            <w:pPr>
              <w:spacing w:after="0"/>
              <w:jc w:val="center"/>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rPr>
              <w:t>0元</w:t>
            </w:r>
          </w:p>
        </w:tc>
      </w:tr>
      <w:tr w14:paraId="5F4C259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761F565">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投标有效期</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B310F7A">
            <w:pPr>
              <w:spacing w:after="0"/>
              <w:jc w:val="center"/>
              <w:rPr>
                <w:rFonts w:hint="default" w:ascii="Times New Roman" w:hAnsi="Times New Roman" w:eastAsia="仿宋_GB2312" w:cs="Times New Roman"/>
                <w:bCs/>
                <w:color w:val="auto"/>
                <w:kern w:val="0"/>
                <w:sz w:val="28"/>
                <w:szCs w:val="28"/>
                <w:lang w:eastAsia="zh-CN"/>
              </w:rPr>
            </w:pPr>
          </w:p>
        </w:tc>
      </w:tr>
      <w:tr w14:paraId="2728D74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4"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21F5FF4">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付款方式</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1C47761">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满足招标文件要求</w:t>
            </w:r>
          </w:p>
        </w:tc>
      </w:tr>
      <w:tr w14:paraId="39B7A4F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4"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9D4CDC3">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合同条款</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CEBC51F">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满足招标文件要求</w:t>
            </w:r>
          </w:p>
        </w:tc>
      </w:tr>
      <w:tr w14:paraId="33908A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10" w:hRule="atLeast"/>
          <w:jc w:val="center"/>
        </w:trPr>
        <w:tc>
          <w:tcPr>
            <w:tcW w:w="284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C1D78BF">
            <w:pPr>
              <w:spacing w:after="0"/>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其他声明</w:t>
            </w:r>
          </w:p>
        </w:tc>
        <w:tc>
          <w:tcPr>
            <w:tcW w:w="594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ADD0E8A">
            <w:pPr>
              <w:spacing w:after="0"/>
              <w:jc w:val="center"/>
              <w:rPr>
                <w:rFonts w:hint="default" w:ascii="Times New Roman" w:hAnsi="Times New Roman" w:eastAsia="仿宋_GB2312" w:cs="Times New Roman"/>
                <w:bCs/>
                <w:color w:val="auto"/>
                <w:kern w:val="0"/>
                <w:sz w:val="28"/>
                <w:szCs w:val="28"/>
              </w:rPr>
            </w:pPr>
          </w:p>
        </w:tc>
      </w:tr>
    </w:tbl>
    <w:p w14:paraId="52863236">
      <w:pPr>
        <w:widowControl w:val="0"/>
        <w:jc w:val="center"/>
        <w:rPr>
          <w:rFonts w:hint="default" w:ascii="Times New Roman" w:hAnsi="Times New Roman" w:eastAsia="仿宋_GB2312" w:cs="Times New Roman"/>
          <w:bCs/>
          <w:color w:val="auto"/>
          <w:sz w:val="28"/>
          <w:szCs w:val="28"/>
        </w:rPr>
      </w:pPr>
    </w:p>
    <w:p w14:paraId="0D069697">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投标人（企业电子签章）：</w:t>
      </w:r>
    </w:p>
    <w:p w14:paraId="0E5A76CB">
      <w:pPr>
        <w:spacing w:line="44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法定代表人（个人电子签章）：</w:t>
      </w:r>
    </w:p>
    <w:p w14:paraId="04B14363">
      <w:pPr>
        <w:pStyle w:val="4"/>
        <w:spacing w:before="0" w:after="0" w:line="360" w:lineRule="auto"/>
        <w:jc w:val="center"/>
        <w:rPr>
          <w:rFonts w:hint="default" w:ascii="Times New Roman" w:hAnsi="Times New Roman" w:eastAsia="黑体" w:cs="Times New Roman"/>
          <w:b w:val="0"/>
          <w:color w:val="auto"/>
          <w:kern w:val="2"/>
          <w:sz w:val="28"/>
          <w:szCs w:val="28"/>
          <w:lang w:val="en-US" w:eastAsia="zh-CN"/>
        </w:rPr>
        <w:sectPr>
          <w:headerReference r:id="rId9" w:type="default"/>
          <w:footerReference r:id="rId10" w:type="default"/>
          <w:pgSz w:w="11900" w:h="16840"/>
          <w:pgMar w:top="1440" w:right="1800" w:bottom="1440" w:left="1800" w:header="851" w:footer="992" w:gutter="0"/>
          <w:cols w:space="720" w:num="1"/>
        </w:sectPr>
      </w:pPr>
      <w:bookmarkStart w:id="393" w:name="_Toc1901647701"/>
      <w:bookmarkStart w:id="394" w:name="_Toc145274497"/>
      <w:bookmarkStart w:id="395" w:name="_Toc1593252031"/>
      <w:bookmarkStart w:id="396" w:name="_Toc1752312956"/>
    </w:p>
    <w:p w14:paraId="04F4DF70">
      <w:pPr>
        <w:pStyle w:val="4"/>
        <w:spacing w:before="0" w:after="0" w:line="360" w:lineRule="auto"/>
        <w:jc w:val="center"/>
        <w:rPr>
          <w:rFonts w:hint="default" w:ascii="Times New Roman" w:hAnsi="Times New Roman" w:cs="Times New Roman"/>
          <w:b w:val="0"/>
          <w:sz w:val="24"/>
          <w:szCs w:val="24"/>
        </w:rPr>
      </w:pPr>
      <w:bookmarkStart w:id="397" w:name="_Toc517460750"/>
      <w:bookmarkStart w:id="398" w:name="_Toc842364303"/>
      <w:bookmarkStart w:id="399" w:name="_Toc2036135302"/>
      <w:r>
        <w:rPr>
          <w:rFonts w:hint="default" w:ascii="Times New Roman" w:hAnsi="Times New Roman" w:eastAsia="黑体" w:cs="Times New Roman"/>
          <w:b w:val="0"/>
          <w:color w:val="auto"/>
          <w:kern w:val="2"/>
          <w:sz w:val="28"/>
          <w:szCs w:val="28"/>
          <w:lang w:val="en-US" w:eastAsia="zh-CN"/>
        </w:rPr>
        <w:t>2.</w:t>
      </w:r>
      <w:r>
        <w:rPr>
          <w:rFonts w:hint="default" w:ascii="Times New Roman" w:hAnsi="Times New Roman" w:eastAsia="黑体" w:cs="Times New Roman"/>
          <w:b w:val="0"/>
          <w:color w:val="auto"/>
          <w:kern w:val="2"/>
          <w:sz w:val="28"/>
          <w:szCs w:val="28"/>
          <w:lang w:val="en"/>
        </w:rPr>
        <w:t xml:space="preserve"> </w:t>
      </w:r>
      <w:r>
        <w:rPr>
          <w:rFonts w:hint="default" w:ascii="Times New Roman" w:hAnsi="Times New Roman" w:eastAsia="黑体" w:cs="Times New Roman"/>
          <w:b w:val="0"/>
          <w:color w:val="auto"/>
          <w:kern w:val="2"/>
          <w:sz w:val="28"/>
          <w:szCs w:val="28"/>
        </w:rPr>
        <w:t>投标分项报价表</w:t>
      </w:r>
      <w:bookmarkEnd w:id="374"/>
      <w:bookmarkEnd w:id="375"/>
      <w:bookmarkEnd w:id="376"/>
      <w:bookmarkEnd w:id="377"/>
      <w:bookmarkEnd w:id="378"/>
      <w:bookmarkEnd w:id="379"/>
      <w:bookmarkEnd w:id="393"/>
      <w:bookmarkEnd w:id="394"/>
      <w:bookmarkEnd w:id="395"/>
      <w:bookmarkEnd w:id="396"/>
      <w:bookmarkEnd w:id="397"/>
      <w:bookmarkEnd w:id="398"/>
      <w:bookmarkEnd w:id="399"/>
    </w:p>
    <w:tbl>
      <w:tblPr>
        <w:tblStyle w:val="59"/>
        <w:tblW w:w="0" w:type="auto"/>
        <w:tblInd w:w="221" w:type="dxa"/>
        <w:tblLayout w:type="fixed"/>
        <w:tblCellMar>
          <w:top w:w="0" w:type="dxa"/>
          <w:left w:w="108" w:type="dxa"/>
          <w:bottom w:w="0" w:type="dxa"/>
          <w:right w:w="108" w:type="dxa"/>
        </w:tblCellMar>
      </w:tblPr>
      <w:tblGrid>
        <w:gridCol w:w="10680"/>
        <w:gridCol w:w="2939"/>
      </w:tblGrid>
      <w:tr w14:paraId="4D186908">
        <w:tblPrEx>
          <w:tblCellMar>
            <w:top w:w="0" w:type="dxa"/>
            <w:left w:w="108" w:type="dxa"/>
            <w:bottom w:w="0" w:type="dxa"/>
            <w:right w:w="108" w:type="dxa"/>
          </w:tblCellMar>
        </w:tblPrEx>
        <w:trPr>
          <w:trHeight w:val="382" w:hRule="atLeast"/>
        </w:trPr>
        <w:tc>
          <w:tcPr>
            <w:tcW w:w="10680" w:type="dxa"/>
          </w:tcPr>
          <w:p w14:paraId="2AA6EC61">
            <w:pPr>
              <w:spacing w:line="440" w:lineRule="exact"/>
              <w:rPr>
                <w:rFonts w:hint="default" w:ascii="Times New Roman" w:hAnsi="Times New Roman" w:cs="Times New Roman"/>
                <w:bCs/>
                <w:u w:val="single"/>
                <w:lang w:val="en-US" w:eastAsia="zh-CN"/>
              </w:rPr>
            </w:pPr>
            <w:r>
              <w:rPr>
                <w:rFonts w:hint="default" w:ascii="Times New Roman" w:hAnsi="Times New Roman" w:eastAsia="仿宋_GB2312" w:cs="Times New Roman"/>
                <w:bCs/>
                <w:color w:val="auto"/>
                <w:sz w:val="28"/>
                <w:szCs w:val="28"/>
                <w:lang w:eastAsia="zh-CN"/>
              </w:rPr>
              <w:t>采购编号：豫财招标采购-2026-891</w:t>
            </w:r>
          </w:p>
        </w:tc>
        <w:tc>
          <w:tcPr>
            <w:tcW w:w="2939" w:type="dxa"/>
          </w:tcPr>
          <w:p w14:paraId="3A855E9F">
            <w:pPr>
              <w:spacing w:line="440" w:lineRule="exact"/>
              <w:rPr>
                <w:rFonts w:hint="default" w:ascii="Times New Roman" w:hAnsi="Times New Roman" w:cs="Times New Roman"/>
                <w:bCs/>
              </w:rPr>
            </w:pPr>
            <w:r>
              <w:rPr>
                <w:rFonts w:hint="default" w:ascii="Times New Roman" w:hAnsi="Times New Roman" w:eastAsia="仿宋_GB2312" w:cs="Times New Roman"/>
                <w:bCs/>
                <w:color w:val="auto"/>
                <w:sz w:val="28"/>
                <w:szCs w:val="28"/>
              </w:rPr>
              <w:t>金额单位：元人民币</w:t>
            </w:r>
          </w:p>
        </w:tc>
      </w:tr>
    </w:tbl>
    <w:p w14:paraId="7F689FA4">
      <w:pPr>
        <w:pStyle w:val="29"/>
        <w:spacing w:line="360" w:lineRule="auto"/>
        <w:ind w:left="269" w:leftChars="128"/>
        <w:rPr>
          <w:rFonts w:hint="default" w:ascii="Times New Roman" w:hAnsi="Times New Roman" w:cs="Times New Roman"/>
          <w:bCs/>
          <w:sz w:val="6"/>
          <w:szCs w:val="6"/>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812"/>
        <w:gridCol w:w="1087"/>
        <w:gridCol w:w="1641"/>
        <w:gridCol w:w="997"/>
        <w:gridCol w:w="1136"/>
        <w:gridCol w:w="2263"/>
        <w:gridCol w:w="937"/>
        <w:gridCol w:w="1094"/>
        <w:gridCol w:w="1100"/>
      </w:tblGrid>
      <w:tr w14:paraId="1746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88" w:type="dxa"/>
            <w:vAlign w:val="center"/>
          </w:tcPr>
          <w:p w14:paraId="22B242BF">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序号</w:t>
            </w:r>
          </w:p>
        </w:tc>
        <w:tc>
          <w:tcPr>
            <w:tcW w:w="2812" w:type="dxa"/>
            <w:vAlign w:val="center"/>
          </w:tcPr>
          <w:p w14:paraId="36F3450C">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名称</w:t>
            </w:r>
          </w:p>
        </w:tc>
        <w:tc>
          <w:tcPr>
            <w:tcW w:w="1087" w:type="dxa"/>
            <w:vAlign w:val="center"/>
          </w:tcPr>
          <w:p w14:paraId="66EE25CC">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品牌</w:t>
            </w:r>
          </w:p>
        </w:tc>
        <w:tc>
          <w:tcPr>
            <w:tcW w:w="1641" w:type="dxa"/>
            <w:vAlign w:val="center"/>
          </w:tcPr>
          <w:p w14:paraId="400470D2">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型号和规格</w:t>
            </w:r>
          </w:p>
        </w:tc>
        <w:tc>
          <w:tcPr>
            <w:tcW w:w="997" w:type="dxa"/>
            <w:vAlign w:val="center"/>
          </w:tcPr>
          <w:p w14:paraId="3211ED20">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数量</w:t>
            </w:r>
          </w:p>
        </w:tc>
        <w:tc>
          <w:tcPr>
            <w:tcW w:w="1136" w:type="dxa"/>
            <w:vAlign w:val="center"/>
          </w:tcPr>
          <w:p w14:paraId="51503831">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原产地</w:t>
            </w:r>
          </w:p>
        </w:tc>
        <w:tc>
          <w:tcPr>
            <w:tcW w:w="2263" w:type="dxa"/>
            <w:vAlign w:val="center"/>
          </w:tcPr>
          <w:p w14:paraId="3D82C20D">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制造商</w:t>
            </w:r>
          </w:p>
          <w:p w14:paraId="685A7755">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（服务商）名称</w:t>
            </w:r>
          </w:p>
        </w:tc>
        <w:tc>
          <w:tcPr>
            <w:tcW w:w="937" w:type="dxa"/>
            <w:vAlign w:val="center"/>
          </w:tcPr>
          <w:p w14:paraId="2575D8EB">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单价</w:t>
            </w:r>
          </w:p>
        </w:tc>
        <w:tc>
          <w:tcPr>
            <w:tcW w:w="1094" w:type="dxa"/>
            <w:vAlign w:val="center"/>
          </w:tcPr>
          <w:p w14:paraId="619B1656">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总价</w:t>
            </w:r>
          </w:p>
        </w:tc>
        <w:tc>
          <w:tcPr>
            <w:tcW w:w="1100" w:type="dxa"/>
            <w:vAlign w:val="center"/>
          </w:tcPr>
          <w:p w14:paraId="33FD0D8B">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备注</w:t>
            </w:r>
          </w:p>
        </w:tc>
      </w:tr>
      <w:tr w14:paraId="6A94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88" w:type="dxa"/>
            <w:vAlign w:val="center"/>
          </w:tcPr>
          <w:p w14:paraId="64CFED41">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1</w:t>
            </w:r>
          </w:p>
        </w:tc>
        <w:tc>
          <w:tcPr>
            <w:tcW w:w="2812" w:type="dxa"/>
            <w:vAlign w:val="center"/>
          </w:tcPr>
          <w:p w14:paraId="73764AD3">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货物名称</w:t>
            </w:r>
          </w:p>
        </w:tc>
        <w:tc>
          <w:tcPr>
            <w:tcW w:w="1087" w:type="dxa"/>
          </w:tcPr>
          <w:p w14:paraId="1082015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6833524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126E8AE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4676599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4C25600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630E842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31C31903">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64CD2867">
            <w:pPr>
              <w:pStyle w:val="29"/>
              <w:ind w:left="540" w:leftChars="257" w:firstLine="480"/>
              <w:jc w:val="center"/>
              <w:rPr>
                <w:rFonts w:hint="default" w:ascii="Times New Roman" w:hAnsi="Times New Roman" w:cs="Times New Roman"/>
                <w:bCs/>
                <w:kern w:val="2"/>
                <w:sz w:val="24"/>
                <w:szCs w:val="24"/>
                <w:lang w:val="en-US" w:eastAsia="zh-CN"/>
              </w:rPr>
            </w:pPr>
          </w:p>
        </w:tc>
      </w:tr>
      <w:tr w14:paraId="5F21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10DB39E8">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2</w:t>
            </w:r>
          </w:p>
        </w:tc>
        <w:tc>
          <w:tcPr>
            <w:tcW w:w="2812" w:type="dxa"/>
            <w:vAlign w:val="center"/>
          </w:tcPr>
          <w:p w14:paraId="3C9E20B1">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备品备件</w:t>
            </w:r>
          </w:p>
        </w:tc>
        <w:tc>
          <w:tcPr>
            <w:tcW w:w="1087" w:type="dxa"/>
          </w:tcPr>
          <w:p w14:paraId="069D032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02C3ACD7">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2070558A">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2416AB4D">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2853CF2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176FE8E7">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3BBBE326">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4D10B47C">
            <w:pPr>
              <w:pStyle w:val="29"/>
              <w:ind w:left="540" w:leftChars="257" w:firstLine="480"/>
              <w:jc w:val="center"/>
              <w:rPr>
                <w:rFonts w:hint="default" w:ascii="Times New Roman" w:hAnsi="Times New Roman" w:cs="Times New Roman"/>
                <w:bCs/>
                <w:kern w:val="2"/>
                <w:sz w:val="24"/>
                <w:szCs w:val="24"/>
                <w:lang w:val="en-US" w:eastAsia="zh-CN"/>
              </w:rPr>
            </w:pPr>
          </w:p>
        </w:tc>
      </w:tr>
      <w:tr w14:paraId="0C25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vAlign w:val="center"/>
          </w:tcPr>
          <w:p w14:paraId="43387481">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3</w:t>
            </w:r>
          </w:p>
        </w:tc>
        <w:tc>
          <w:tcPr>
            <w:tcW w:w="2812" w:type="dxa"/>
            <w:vAlign w:val="center"/>
          </w:tcPr>
          <w:p w14:paraId="6F07E9D7">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专用工具</w:t>
            </w:r>
          </w:p>
        </w:tc>
        <w:tc>
          <w:tcPr>
            <w:tcW w:w="1087" w:type="dxa"/>
          </w:tcPr>
          <w:p w14:paraId="5CEE8CC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2C5FFB4C">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0CB67A36">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0EC98D76">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5A1397C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3D3F110C">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7923C818">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714DAA05">
            <w:pPr>
              <w:pStyle w:val="29"/>
              <w:ind w:left="540" w:leftChars="257" w:firstLine="480"/>
              <w:jc w:val="center"/>
              <w:rPr>
                <w:rFonts w:hint="default" w:ascii="Times New Roman" w:hAnsi="Times New Roman" w:cs="Times New Roman"/>
                <w:bCs/>
                <w:kern w:val="2"/>
                <w:sz w:val="24"/>
                <w:szCs w:val="24"/>
                <w:lang w:val="en-US" w:eastAsia="zh-CN"/>
              </w:rPr>
            </w:pPr>
          </w:p>
        </w:tc>
      </w:tr>
      <w:tr w14:paraId="54F7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06AF45D5">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4</w:t>
            </w:r>
          </w:p>
        </w:tc>
        <w:tc>
          <w:tcPr>
            <w:tcW w:w="2812" w:type="dxa"/>
            <w:vAlign w:val="center"/>
          </w:tcPr>
          <w:p w14:paraId="216E602F">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运输（含保险）</w:t>
            </w:r>
          </w:p>
        </w:tc>
        <w:tc>
          <w:tcPr>
            <w:tcW w:w="1087" w:type="dxa"/>
          </w:tcPr>
          <w:p w14:paraId="30FBF028">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505D023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7B3C8878">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25959DE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7855475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460CAEC0">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1F98537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21BF8738">
            <w:pPr>
              <w:pStyle w:val="29"/>
              <w:ind w:left="540" w:leftChars="257" w:firstLine="480"/>
              <w:jc w:val="center"/>
              <w:rPr>
                <w:rFonts w:hint="default" w:ascii="Times New Roman" w:hAnsi="Times New Roman" w:cs="Times New Roman"/>
                <w:bCs/>
                <w:kern w:val="2"/>
                <w:sz w:val="24"/>
                <w:szCs w:val="24"/>
                <w:lang w:val="en-US" w:eastAsia="zh-CN"/>
              </w:rPr>
            </w:pPr>
          </w:p>
        </w:tc>
      </w:tr>
      <w:tr w14:paraId="46F9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618C5E21">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5</w:t>
            </w:r>
          </w:p>
        </w:tc>
        <w:tc>
          <w:tcPr>
            <w:tcW w:w="2812" w:type="dxa"/>
            <w:vAlign w:val="center"/>
          </w:tcPr>
          <w:p w14:paraId="62ABDFA5">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安装、调试、检验</w:t>
            </w:r>
          </w:p>
        </w:tc>
        <w:tc>
          <w:tcPr>
            <w:tcW w:w="1087" w:type="dxa"/>
          </w:tcPr>
          <w:p w14:paraId="7E29E10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06543449">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0638641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309A18B7">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7013FAE6">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3983A4F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315F928C">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76B79D63">
            <w:pPr>
              <w:pStyle w:val="29"/>
              <w:ind w:left="540" w:leftChars="257" w:firstLine="480"/>
              <w:jc w:val="center"/>
              <w:rPr>
                <w:rFonts w:hint="default" w:ascii="Times New Roman" w:hAnsi="Times New Roman" w:cs="Times New Roman"/>
                <w:bCs/>
                <w:kern w:val="2"/>
                <w:sz w:val="24"/>
                <w:szCs w:val="24"/>
                <w:lang w:val="en-US" w:eastAsia="zh-CN"/>
              </w:rPr>
            </w:pPr>
          </w:p>
        </w:tc>
      </w:tr>
      <w:tr w14:paraId="6C85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88" w:type="dxa"/>
            <w:vAlign w:val="center"/>
          </w:tcPr>
          <w:p w14:paraId="0F94F40D">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6</w:t>
            </w:r>
          </w:p>
        </w:tc>
        <w:tc>
          <w:tcPr>
            <w:tcW w:w="2812" w:type="dxa"/>
            <w:vAlign w:val="center"/>
          </w:tcPr>
          <w:p w14:paraId="155C798C">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培训</w:t>
            </w:r>
          </w:p>
        </w:tc>
        <w:tc>
          <w:tcPr>
            <w:tcW w:w="1087" w:type="dxa"/>
          </w:tcPr>
          <w:p w14:paraId="25431912">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52E2BEC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7B431DE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440A49E7">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0A56E6C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752AB38A">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0B234A4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0FF4FA75">
            <w:pPr>
              <w:pStyle w:val="29"/>
              <w:ind w:left="540" w:leftChars="257" w:firstLine="480"/>
              <w:jc w:val="center"/>
              <w:rPr>
                <w:rFonts w:hint="default" w:ascii="Times New Roman" w:hAnsi="Times New Roman" w:cs="Times New Roman"/>
                <w:bCs/>
                <w:kern w:val="2"/>
                <w:sz w:val="24"/>
                <w:szCs w:val="24"/>
                <w:lang w:val="en-US" w:eastAsia="zh-CN"/>
              </w:rPr>
            </w:pPr>
          </w:p>
        </w:tc>
      </w:tr>
      <w:tr w14:paraId="6475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2329B50B">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7</w:t>
            </w:r>
          </w:p>
        </w:tc>
        <w:tc>
          <w:tcPr>
            <w:tcW w:w="2812" w:type="dxa"/>
            <w:vAlign w:val="center"/>
          </w:tcPr>
          <w:p w14:paraId="5315FD5B">
            <w:pPr>
              <w:pStyle w:val="29"/>
              <w:spacing w:after="0" w:line="240" w:lineRule="auto"/>
              <w:jc w:val="center"/>
              <w:rPr>
                <w:rFonts w:hint="default" w:ascii="Times New Roman" w:hAnsi="Times New Roman" w:eastAsia="仿宋_GB2312" w:cs="Times New Roman"/>
                <w:bCs/>
                <w:kern w:val="2"/>
                <w:sz w:val="28"/>
                <w:szCs w:val="28"/>
                <w:highlight w:val="none"/>
                <w:lang w:val="en-US" w:eastAsia="zh-CN"/>
              </w:rPr>
            </w:pPr>
            <w:r>
              <w:rPr>
                <w:rFonts w:hint="default" w:ascii="Times New Roman" w:hAnsi="Times New Roman" w:eastAsia="仿宋_GB2312" w:cs="Times New Roman"/>
                <w:bCs/>
                <w:kern w:val="2"/>
                <w:sz w:val="28"/>
                <w:szCs w:val="28"/>
                <w:highlight w:val="none"/>
                <w:lang w:val="en-US" w:eastAsia="zh-CN"/>
              </w:rPr>
              <w:t>技术服务</w:t>
            </w:r>
          </w:p>
        </w:tc>
        <w:tc>
          <w:tcPr>
            <w:tcW w:w="1087" w:type="dxa"/>
          </w:tcPr>
          <w:p w14:paraId="771E1DA5">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1D97229B">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78810420">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602AB05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1702783D">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01A50024">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7A186BF9">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68B203D3">
            <w:pPr>
              <w:pStyle w:val="29"/>
              <w:ind w:left="540" w:leftChars="257" w:firstLine="480"/>
              <w:jc w:val="center"/>
              <w:rPr>
                <w:rFonts w:hint="default" w:ascii="Times New Roman" w:hAnsi="Times New Roman" w:cs="Times New Roman"/>
                <w:bCs/>
                <w:kern w:val="2"/>
                <w:sz w:val="24"/>
                <w:szCs w:val="24"/>
                <w:lang w:val="en-US" w:eastAsia="zh-CN"/>
              </w:rPr>
            </w:pPr>
          </w:p>
        </w:tc>
      </w:tr>
      <w:tr w14:paraId="7513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88" w:type="dxa"/>
            <w:vAlign w:val="center"/>
          </w:tcPr>
          <w:p w14:paraId="6F4BB777">
            <w:pPr>
              <w:pStyle w:val="2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8</w:t>
            </w:r>
          </w:p>
        </w:tc>
        <w:tc>
          <w:tcPr>
            <w:tcW w:w="2812" w:type="dxa"/>
            <w:vAlign w:val="center"/>
          </w:tcPr>
          <w:p w14:paraId="1FA48209">
            <w:pPr>
              <w:pStyle w:val="29"/>
              <w:spacing w:after="0" w:line="240" w:lineRule="auto"/>
              <w:jc w:val="center"/>
              <w:rPr>
                <w:rFonts w:hint="default" w:ascii="Times New Roman" w:hAnsi="Times New Roman" w:eastAsia="仿宋_GB2312" w:cs="Times New Roman"/>
                <w:bCs/>
                <w:kern w:val="2"/>
                <w:sz w:val="28"/>
                <w:szCs w:val="28"/>
                <w:lang w:val="en-US" w:eastAsia="zh-CN"/>
              </w:rPr>
            </w:pPr>
            <w:r>
              <w:rPr>
                <w:rFonts w:hint="default" w:ascii="Times New Roman" w:hAnsi="Times New Roman" w:eastAsia="仿宋_GB2312" w:cs="Times New Roman"/>
                <w:bCs/>
                <w:kern w:val="2"/>
                <w:sz w:val="28"/>
                <w:szCs w:val="28"/>
                <w:lang w:val="en-US" w:eastAsia="zh-CN"/>
              </w:rPr>
              <w:t>……</w:t>
            </w:r>
          </w:p>
        </w:tc>
        <w:tc>
          <w:tcPr>
            <w:tcW w:w="1087" w:type="dxa"/>
          </w:tcPr>
          <w:p w14:paraId="191F90FE">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641" w:type="dxa"/>
            <w:vAlign w:val="center"/>
          </w:tcPr>
          <w:p w14:paraId="10B507C9">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97" w:type="dxa"/>
            <w:vAlign w:val="center"/>
          </w:tcPr>
          <w:p w14:paraId="3E59577F">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36" w:type="dxa"/>
            <w:vAlign w:val="center"/>
          </w:tcPr>
          <w:p w14:paraId="6117138A">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2263" w:type="dxa"/>
            <w:vAlign w:val="center"/>
          </w:tcPr>
          <w:p w14:paraId="1C780B4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937" w:type="dxa"/>
            <w:vAlign w:val="center"/>
          </w:tcPr>
          <w:p w14:paraId="533BF42D">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094" w:type="dxa"/>
            <w:vAlign w:val="center"/>
          </w:tcPr>
          <w:p w14:paraId="22B4C9B1">
            <w:pPr>
              <w:pStyle w:val="29"/>
              <w:spacing w:after="0" w:line="240" w:lineRule="auto"/>
              <w:jc w:val="center"/>
              <w:rPr>
                <w:rFonts w:hint="default" w:ascii="Times New Roman" w:hAnsi="Times New Roman" w:eastAsia="仿宋_GB2312" w:cs="Times New Roman"/>
                <w:bCs/>
                <w:kern w:val="2"/>
                <w:sz w:val="28"/>
                <w:szCs w:val="28"/>
                <w:lang w:val="en-US" w:eastAsia="zh-CN"/>
              </w:rPr>
            </w:pPr>
          </w:p>
        </w:tc>
        <w:tc>
          <w:tcPr>
            <w:tcW w:w="1100" w:type="dxa"/>
            <w:vAlign w:val="center"/>
          </w:tcPr>
          <w:p w14:paraId="59725EAA">
            <w:pPr>
              <w:pStyle w:val="29"/>
              <w:ind w:left="540" w:leftChars="257" w:firstLine="480"/>
              <w:jc w:val="center"/>
              <w:rPr>
                <w:rFonts w:hint="default" w:ascii="Times New Roman" w:hAnsi="Times New Roman" w:cs="Times New Roman"/>
                <w:bCs/>
                <w:kern w:val="2"/>
                <w:sz w:val="24"/>
                <w:szCs w:val="24"/>
                <w:lang w:val="en-US" w:eastAsia="zh-CN"/>
              </w:rPr>
            </w:pPr>
          </w:p>
        </w:tc>
      </w:tr>
      <w:tr w14:paraId="1F6C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3755" w:type="dxa"/>
            <w:gridSpan w:val="10"/>
            <w:vAlign w:val="center"/>
          </w:tcPr>
          <w:p w14:paraId="3D195AC6">
            <w:pPr>
              <w:pStyle w:val="29"/>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总价：</w:t>
            </w:r>
          </w:p>
        </w:tc>
      </w:tr>
    </w:tbl>
    <w:p w14:paraId="548C0396">
      <w:pPr>
        <w:pStyle w:val="29"/>
        <w:tabs>
          <w:tab w:val="left" w:pos="5580"/>
        </w:tabs>
        <w:spacing w:after="40" w:line="240" w:lineRule="auto"/>
        <w:rPr>
          <w:rFonts w:hint="default" w:ascii="Times New Roman" w:hAnsi="Times New Roman" w:eastAsia="仿宋_GB2312" w:cs="Times New Roman"/>
          <w:bCs/>
          <w:sz w:val="28"/>
          <w:szCs w:val="28"/>
          <w:lang w:eastAsia="zh-CN"/>
        </w:rPr>
      </w:pPr>
      <w:r>
        <w:rPr>
          <w:rFonts w:hint="default" w:ascii="Times New Roman" w:hAnsi="Times New Roman" w:cs="Times New Roman"/>
          <w:bCs/>
          <w:sz w:val="24"/>
          <w:szCs w:val="24"/>
          <w:lang w:eastAsia="zh-CN"/>
        </w:rPr>
        <w:t xml:space="preserve">        </w:t>
      </w:r>
      <w:bookmarkStart w:id="400" w:name="_Toc893708091"/>
      <w:bookmarkStart w:id="401" w:name="_Toc585133884"/>
      <w:bookmarkStart w:id="402" w:name="_Toc74240239"/>
      <w:bookmarkStart w:id="403" w:name="_Toc2582323"/>
      <w:bookmarkStart w:id="404" w:name="_Toc643738620"/>
      <w:bookmarkStart w:id="405" w:name="_Toc1973880807"/>
      <w:bookmarkStart w:id="406" w:name="_Toc299604904"/>
      <w:r>
        <w:rPr>
          <w:rFonts w:hint="default" w:ascii="Times New Roman" w:hAnsi="Times New Roman" w:eastAsia="仿宋_GB2312" w:cs="Times New Roman"/>
          <w:bCs/>
          <w:sz w:val="28"/>
          <w:szCs w:val="28"/>
          <w:lang w:eastAsia="zh-CN"/>
        </w:rPr>
        <w:t xml:space="preserve"> 法定代表人（个人电子签章）：                  </w:t>
      </w:r>
    </w:p>
    <w:p w14:paraId="1C6D66C1">
      <w:pPr>
        <w:pStyle w:val="29"/>
        <w:tabs>
          <w:tab w:val="left" w:pos="5580"/>
        </w:tabs>
        <w:spacing w:after="40" w:line="240" w:lineRule="auto"/>
        <w:ind w:firstLine="1120" w:firstLineChars="400"/>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 xml:space="preserve">投标人（企业电子签章）：                 </w:t>
      </w:r>
    </w:p>
    <w:p w14:paraId="7568B24F">
      <w:pPr>
        <w:pStyle w:val="29"/>
        <w:tabs>
          <w:tab w:val="left" w:pos="5580"/>
        </w:tabs>
        <w:spacing w:line="240" w:lineRule="auto"/>
        <w:ind w:firstLine="1120" w:firstLineChars="400"/>
        <w:rPr>
          <w:rFonts w:hint="default" w:ascii="Times New Roman" w:hAnsi="Times New Roman" w:cs="Times New Roman"/>
          <w:bCs/>
          <w:szCs w:val="21"/>
          <w:lang w:eastAsia="zh-CN"/>
        </w:rPr>
      </w:pPr>
      <w:r>
        <w:rPr>
          <w:rFonts w:hint="default" w:ascii="Times New Roman" w:hAnsi="Times New Roman" w:eastAsia="仿宋_GB2312" w:cs="Times New Roman"/>
          <w:bCs/>
          <w:sz w:val="28"/>
          <w:szCs w:val="28"/>
          <w:lang w:eastAsia="zh-CN"/>
        </w:rPr>
        <w:t>注</w:t>
      </w:r>
      <w:r>
        <w:rPr>
          <w:rFonts w:hint="default" w:ascii="Times New Roman" w:hAnsi="Times New Roman" w:eastAsia="仿宋_GB2312" w:cs="Times New Roman"/>
          <w:bCs/>
          <w:sz w:val="28"/>
          <w:szCs w:val="28"/>
          <w:lang w:val="en-US" w:eastAsia="zh-CN"/>
        </w:rPr>
        <w:t>：</w:t>
      </w:r>
      <w:r>
        <w:rPr>
          <w:rFonts w:hint="default" w:ascii="Times New Roman" w:hAnsi="Times New Roman" w:eastAsia="仿宋_GB2312" w:cs="Times New Roman"/>
          <w:bCs/>
          <w:sz w:val="28"/>
          <w:szCs w:val="28"/>
          <w:lang w:eastAsia="zh-CN"/>
        </w:rPr>
        <w:t>格式可自拟。</w:t>
      </w:r>
    </w:p>
    <w:p w14:paraId="4588146C">
      <w:pPr>
        <w:pStyle w:val="29"/>
        <w:rPr>
          <w:rFonts w:hint="default" w:ascii="Times New Roman" w:hAnsi="Times New Roman" w:cs="Times New Roman"/>
          <w:bCs/>
          <w:szCs w:val="21"/>
          <w:lang w:val="en-US" w:eastAsia="zh-CN"/>
        </w:rPr>
        <w:sectPr>
          <w:pgSz w:w="16840" w:h="11900" w:orient="landscape"/>
          <w:pgMar w:top="1800" w:right="1440" w:bottom="1800" w:left="1440" w:header="851" w:footer="992" w:gutter="0"/>
          <w:cols w:space="720" w:num="1"/>
        </w:sectPr>
      </w:pPr>
    </w:p>
    <w:p w14:paraId="78762D5E">
      <w:pPr>
        <w:pStyle w:val="3"/>
        <w:jc w:val="center"/>
        <w:rPr>
          <w:rFonts w:hint="default" w:ascii="Times New Roman" w:hAnsi="Times New Roman" w:eastAsia="方正小标宋_GBK" w:cs="Times New Roman"/>
          <w:b w:val="0"/>
          <w:color w:val="auto"/>
          <w:sz w:val="30"/>
          <w:szCs w:val="30"/>
          <w:lang w:val="en-US" w:eastAsia="zh-CN"/>
        </w:rPr>
      </w:pPr>
      <w:bookmarkStart w:id="407" w:name="_Toc1221324939"/>
      <w:bookmarkStart w:id="408" w:name="_Toc1251267079"/>
      <w:bookmarkStart w:id="409" w:name="_Toc821511257"/>
      <w:bookmarkStart w:id="410" w:name="_Toc131578556"/>
      <w:bookmarkStart w:id="411" w:name="_Toc1360147113"/>
      <w:r>
        <w:rPr>
          <w:rFonts w:hint="default" w:ascii="Times New Roman" w:hAnsi="Times New Roman" w:eastAsia="方正小标宋_GBK" w:cs="Times New Roman"/>
          <w:b w:val="0"/>
          <w:color w:val="auto"/>
          <w:sz w:val="30"/>
          <w:szCs w:val="30"/>
          <w:lang w:val="en-US" w:eastAsia="zh-CN"/>
        </w:rPr>
        <w:t>四、企业声明函</w:t>
      </w:r>
    </w:p>
    <w:p w14:paraId="1D0ACD61">
      <w:pPr>
        <w:pStyle w:val="3"/>
        <w:spacing w:before="0" w:after="0" w:line="440" w:lineRule="exact"/>
        <w:jc w:val="center"/>
        <w:rPr>
          <w:rFonts w:hint="default" w:ascii="Times New Roman" w:hAnsi="Times New Roman" w:eastAsia="方正小标宋_GBK" w:cs="Times New Roman"/>
          <w:b w:val="0"/>
          <w:color w:val="auto"/>
          <w:sz w:val="30"/>
          <w:szCs w:val="30"/>
          <w:lang w:val="en-US" w:eastAsia="zh-CN"/>
        </w:rPr>
      </w:pPr>
      <w:r>
        <w:rPr>
          <w:rFonts w:hint="default" w:ascii="Times New Roman" w:hAnsi="Times New Roman" w:eastAsia="方正小标宋_GBK" w:cs="Times New Roman"/>
          <w:b w:val="0"/>
          <w:color w:val="auto"/>
          <w:sz w:val="30"/>
          <w:szCs w:val="30"/>
          <w:lang w:val="en-US" w:eastAsia="zh-CN"/>
        </w:rPr>
        <w:t>中小企业声明函（货物）</w:t>
      </w:r>
    </w:p>
    <w:p w14:paraId="30B98396">
      <w:pPr>
        <w:spacing w:after="0" w:line="440" w:lineRule="exact"/>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（投标人提供</w:t>
      </w:r>
      <w:r>
        <w:rPr>
          <w:rFonts w:hint="default" w:ascii="Times New Roman" w:hAnsi="Times New Roman" w:eastAsia="仿宋_GB2312" w:cs="Times New Roman"/>
          <w:bCs/>
          <w:color w:val="auto"/>
          <w:kern w:val="0"/>
          <w:sz w:val="24"/>
          <w:szCs w:val="24"/>
          <w:lang w:val="en-US" w:eastAsia="zh-CN" w:bidi="zh-TW"/>
        </w:rPr>
        <w:t>小型、微型</w:t>
      </w:r>
      <w:r>
        <w:rPr>
          <w:rFonts w:hint="default" w:ascii="Times New Roman" w:hAnsi="Times New Roman" w:eastAsia="仿宋_GB2312" w:cs="Times New Roman"/>
          <w:bCs/>
          <w:color w:val="auto"/>
          <w:kern w:val="0"/>
          <w:sz w:val="24"/>
          <w:szCs w:val="24"/>
          <w:lang w:eastAsia="zh-CN" w:bidi="zh-TW"/>
        </w:rPr>
        <w:t>企业制造货物的填写，</w:t>
      </w:r>
      <w:r>
        <w:rPr>
          <w:rFonts w:hint="default" w:ascii="Times New Roman" w:hAnsi="Times New Roman" w:eastAsia="仿宋_GB2312" w:cs="Times New Roman"/>
          <w:bCs/>
          <w:color w:val="auto"/>
          <w:kern w:val="0"/>
          <w:sz w:val="24"/>
          <w:szCs w:val="24"/>
          <w:lang w:val="en-US" w:eastAsia="zh-CN"/>
        </w:rPr>
        <w:t>不属于的无需填写或不提供此项内容）</w:t>
      </w:r>
    </w:p>
    <w:p w14:paraId="05216B78">
      <w:pPr>
        <w:spacing w:after="0" w:line="440" w:lineRule="exact"/>
        <w:ind w:firstLine="560" w:firstLineChars="20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本公司（联合体）郑重声明，根据《政府采购促进中小企业发展管理办法》（财库（2020〕46 号）的规定，本公司（联合体）参加</w:t>
      </w:r>
      <w:r>
        <w:rPr>
          <w:rFonts w:hint="default" w:ascii="Times New Roman" w:hAnsi="Times New Roman" w:eastAsia="仿宋_GB2312" w:cs="Times New Roman"/>
          <w:bCs/>
          <w:color w:val="auto"/>
          <w:kern w:val="0"/>
          <w:sz w:val="28"/>
          <w:szCs w:val="28"/>
          <w:u w:val="single"/>
          <w:lang w:val="en-US" w:eastAsia="zh-CN"/>
        </w:rPr>
        <w:t xml:space="preserve"> 河南省测绘地理信息技术中心</w:t>
      </w:r>
      <w:r>
        <w:rPr>
          <w:rFonts w:hint="default" w:ascii="Times New Roman" w:hAnsi="Times New Roman" w:eastAsia="仿宋_GB2312" w:cs="Times New Roman"/>
          <w:bCs/>
          <w:color w:val="auto"/>
          <w:kern w:val="0"/>
          <w:sz w:val="28"/>
          <w:szCs w:val="28"/>
          <w:lang w:val="en-US" w:eastAsia="zh-CN"/>
        </w:rPr>
        <w:t>的</w:t>
      </w:r>
      <w:r>
        <w:rPr>
          <w:rFonts w:hint="default" w:ascii="Times New Roman" w:hAnsi="Times New Roman" w:eastAsia="仿宋_GB2312" w:cs="Times New Roman"/>
          <w:bCs/>
          <w:color w:val="auto"/>
          <w:kern w:val="0"/>
          <w:sz w:val="28"/>
          <w:szCs w:val="28"/>
          <w:u w:val="single"/>
          <w:lang w:val="en-US" w:eastAsia="zh-CN"/>
        </w:rPr>
        <w:t xml:space="preserve">  </w:t>
      </w:r>
      <w:r>
        <w:rPr>
          <w:rFonts w:hint="eastAsia" w:ascii="Times New Roman" w:hAnsi="Times New Roman" w:eastAsia="仿宋_GB2312" w:cs="Times New Roman"/>
          <w:bCs/>
          <w:color w:val="auto"/>
          <w:sz w:val="28"/>
          <w:szCs w:val="28"/>
          <w:u w:val="single"/>
          <w:lang w:val="en-US" w:eastAsia="zh-CN"/>
        </w:rPr>
        <w:t>河南省测绘地理信息技术中心实景三维河南建设省级项目2025年软硬件采购项目</w:t>
      </w:r>
      <w:r>
        <w:rPr>
          <w:rFonts w:hint="default" w:ascii="Times New Roman" w:hAnsi="Times New Roman" w:eastAsia="仿宋_GB2312" w:cs="Times New Roman"/>
          <w:bCs/>
          <w:color w:val="auto"/>
          <w:kern w:val="0"/>
          <w:sz w:val="28"/>
          <w:szCs w:val="28"/>
          <w:lang w:val="en-US" w:eastAsia="zh-CN"/>
        </w:rPr>
        <w:t>采购活动，提供的货物全部由符合政策要求的中小企业制造。相关企业（含联合体中的中小企业、签订分包意向协议的中小企业）的具体情况如下∶</w:t>
      </w:r>
    </w:p>
    <w:p w14:paraId="795C0206">
      <w:pPr>
        <w:spacing w:after="0" w:line="440" w:lineRule="exact"/>
        <w:ind w:firstLine="560" w:firstLineChars="20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1.</w:t>
      </w:r>
      <w:r>
        <w:rPr>
          <w:rFonts w:hint="default" w:ascii="Times New Roman" w:hAnsi="Times New Roman" w:eastAsia="仿宋_GB2312" w:cs="Times New Roman"/>
          <w:bCs/>
          <w:i/>
          <w:iCs/>
          <w:color w:val="auto"/>
          <w:kern w:val="0"/>
          <w:sz w:val="28"/>
          <w:szCs w:val="28"/>
          <w:u w:val="single"/>
          <w:lang w:val="en-US" w:eastAsia="zh-CN"/>
        </w:rPr>
        <w:t>（标的名称）</w:t>
      </w:r>
      <w:r>
        <w:rPr>
          <w:rFonts w:hint="default" w:ascii="Times New Roman" w:hAnsi="Times New Roman" w:eastAsia="仿宋_GB2312" w:cs="Times New Roman"/>
          <w:bCs/>
          <w:color w:val="auto"/>
          <w:kern w:val="0"/>
          <w:sz w:val="28"/>
          <w:szCs w:val="28"/>
          <w:lang w:val="en-US" w:eastAsia="zh-CN"/>
        </w:rPr>
        <w:t>，属于</w:t>
      </w:r>
      <w:r>
        <w:rPr>
          <w:rFonts w:hint="default" w:ascii="Times New Roman" w:hAnsi="Times New Roman" w:eastAsia="仿宋_GB2312" w:cs="Times New Roman"/>
          <w:bCs/>
          <w:color w:val="auto"/>
          <w:kern w:val="0"/>
          <w:sz w:val="28"/>
          <w:szCs w:val="28"/>
          <w:u w:val="single"/>
          <w:lang w:val="en-US" w:eastAsia="zh-CN"/>
        </w:rPr>
        <w:t>（采购文件中明确的所属行业）</w:t>
      </w:r>
      <w:r>
        <w:rPr>
          <w:rFonts w:hint="default" w:ascii="Times New Roman" w:hAnsi="Times New Roman" w:eastAsia="仿宋_GB2312" w:cs="Times New Roman"/>
          <w:bCs/>
          <w:color w:val="auto"/>
          <w:kern w:val="0"/>
          <w:sz w:val="28"/>
          <w:szCs w:val="28"/>
          <w:lang w:val="en-US" w:eastAsia="zh-CN"/>
        </w:rPr>
        <w:t>行业;制造商为</w:t>
      </w:r>
      <w:r>
        <w:rPr>
          <w:rFonts w:hint="default" w:ascii="Times New Roman" w:hAnsi="Times New Roman" w:eastAsia="仿宋_GB2312" w:cs="Times New Roman"/>
          <w:bCs/>
          <w:i/>
          <w:iCs/>
          <w:color w:val="auto"/>
          <w:kern w:val="0"/>
          <w:sz w:val="28"/>
          <w:szCs w:val="28"/>
          <w:u w:val="single"/>
          <w:lang w:val="en-US" w:eastAsia="zh-CN"/>
        </w:rPr>
        <w:t>（企业名称）</w:t>
      </w:r>
      <w:r>
        <w:rPr>
          <w:rFonts w:hint="default" w:ascii="Times New Roman" w:hAnsi="Times New Roman" w:eastAsia="仿宋_GB2312" w:cs="Times New Roman"/>
          <w:bCs/>
          <w:color w:val="auto"/>
          <w:kern w:val="0"/>
          <w:sz w:val="28"/>
          <w:szCs w:val="28"/>
          <w:lang w:val="en-US" w:eastAsia="zh-CN"/>
        </w:rPr>
        <w:t>，从业人员</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人，营业入为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万元，资产总额为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万元，属于</w:t>
      </w:r>
      <w:r>
        <w:rPr>
          <w:rFonts w:hint="default" w:ascii="Times New Roman" w:hAnsi="Times New Roman" w:eastAsia="仿宋_GB2312" w:cs="Times New Roman"/>
          <w:bCs/>
          <w:i/>
          <w:iCs/>
          <w:color w:val="auto"/>
          <w:kern w:val="0"/>
          <w:sz w:val="28"/>
          <w:szCs w:val="28"/>
          <w:u w:val="single"/>
          <w:lang w:val="en-US" w:eastAsia="zh-CN"/>
        </w:rPr>
        <w:t>（中型企业、小型企业、微型企业）</w:t>
      </w:r>
      <w:r>
        <w:rPr>
          <w:rFonts w:hint="default" w:ascii="Times New Roman" w:hAnsi="Times New Roman" w:eastAsia="仿宋_GB2312" w:cs="Times New Roman"/>
          <w:bCs/>
          <w:color w:val="auto"/>
          <w:kern w:val="0"/>
          <w:sz w:val="28"/>
          <w:szCs w:val="28"/>
          <w:lang w:val="en-US" w:eastAsia="zh-CN"/>
        </w:rPr>
        <w:t>;</w:t>
      </w:r>
    </w:p>
    <w:p w14:paraId="2A6ABF77">
      <w:pPr>
        <w:spacing w:after="0" w:line="440" w:lineRule="exact"/>
        <w:ind w:firstLine="48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2.</w:t>
      </w:r>
      <w:r>
        <w:rPr>
          <w:rFonts w:hint="default" w:ascii="Times New Roman" w:hAnsi="Times New Roman" w:eastAsia="仿宋_GB2312" w:cs="Times New Roman"/>
          <w:bCs/>
          <w:i/>
          <w:iCs/>
          <w:color w:val="auto"/>
          <w:kern w:val="0"/>
          <w:sz w:val="28"/>
          <w:szCs w:val="28"/>
          <w:u w:val="single"/>
          <w:lang w:val="en-US" w:eastAsia="zh-CN"/>
        </w:rPr>
        <w:t>（标的名称）</w:t>
      </w:r>
      <w:r>
        <w:rPr>
          <w:rFonts w:hint="default" w:ascii="Times New Roman" w:hAnsi="Times New Roman" w:eastAsia="仿宋_GB2312" w:cs="Times New Roman"/>
          <w:bCs/>
          <w:color w:val="auto"/>
          <w:kern w:val="0"/>
          <w:sz w:val="28"/>
          <w:szCs w:val="28"/>
          <w:lang w:val="en-US" w:eastAsia="zh-CN"/>
        </w:rPr>
        <w:t>，属于</w:t>
      </w:r>
      <w:r>
        <w:rPr>
          <w:rFonts w:hint="default" w:ascii="Times New Roman" w:hAnsi="Times New Roman" w:eastAsia="仿宋_GB2312" w:cs="Times New Roman"/>
          <w:bCs/>
          <w:i/>
          <w:iCs/>
          <w:color w:val="auto"/>
          <w:kern w:val="0"/>
          <w:sz w:val="28"/>
          <w:szCs w:val="28"/>
          <w:u w:val="single"/>
          <w:lang w:val="en-US" w:eastAsia="zh-CN"/>
        </w:rPr>
        <w:t>（采购文件中明确的所属行业）</w:t>
      </w:r>
      <w:r>
        <w:rPr>
          <w:rFonts w:hint="default" w:ascii="Times New Roman" w:hAnsi="Times New Roman" w:eastAsia="仿宋_GB2312" w:cs="Times New Roman"/>
          <w:bCs/>
          <w:color w:val="auto"/>
          <w:kern w:val="0"/>
          <w:sz w:val="28"/>
          <w:szCs w:val="28"/>
          <w:lang w:val="en-US" w:eastAsia="zh-CN"/>
        </w:rPr>
        <w:t>行业;制造商为</w:t>
      </w:r>
      <w:r>
        <w:rPr>
          <w:rFonts w:hint="default" w:ascii="Times New Roman" w:hAnsi="Times New Roman" w:eastAsia="仿宋_GB2312" w:cs="Times New Roman"/>
          <w:bCs/>
          <w:i/>
          <w:iCs/>
          <w:color w:val="auto"/>
          <w:kern w:val="0"/>
          <w:sz w:val="28"/>
          <w:szCs w:val="28"/>
          <w:u w:val="single"/>
          <w:lang w:val="en-US" w:eastAsia="zh-CN"/>
        </w:rPr>
        <w:t>（企业名称）</w:t>
      </w:r>
      <w:r>
        <w:rPr>
          <w:rFonts w:hint="default" w:ascii="Times New Roman" w:hAnsi="Times New Roman" w:eastAsia="仿宋_GB2312" w:cs="Times New Roman"/>
          <w:bCs/>
          <w:color w:val="auto"/>
          <w:kern w:val="0"/>
          <w:sz w:val="28"/>
          <w:szCs w:val="28"/>
          <w:lang w:val="en-US" w:eastAsia="zh-CN"/>
        </w:rPr>
        <w:t>，从业人员</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人，营业收入为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万元，资产总额为</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val="en-US" w:eastAsia="zh-CN"/>
        </w:rPr>
        <w:t>万元，属于</w:t>
      </w:r>
      <w:r>
        <w:rPr>
          <w:rFonts w:hint="default" w:ascii="Times New Roman" w:hAnsi="Times New Roman" w:eastAsia="仿宋_GB2312" w:cs="Times New Roman"/>
          <w:bCs/>
          <w:i/>
          <w:iCs/>
          <w:color w:val="auto"/>
          <w:kern w:val="0"/>
          <w:sz w:val="28"/>
          <w:szCs w:val="28"/>
          <w:u w:val="single"/>
          <w:lang w:val="en-US" w:eastAsia="zh-CN"/>
        </w:rPr>
        <w:t>（中型企业、小型企业、微型企业）</w:t>
      </w:r>
      <w:r>
        <w:rPr>
          <w:rFonts w:hint="default" w:ascii="Times New Roman" w:hAnsi="Times New Roman" w:eastAsia="仿宋_GB2312" w:cs="Times New Roman"/>
          <w:bCs/>
          <w:color w:val="auto"/>
          <w:kern w:val="0"/>
          <w:sz w:val="28"/>
          <w:szCs w:val="28"/>
          <w:lang w:val="en-US" w:eastAsia="zh-CN"/>
        </w:rPr>
        <w:t>。</w:t>
      </w:r>
    </w:p>
    <w:p w14:paraId="50FDAF62">
      <w:pPr>
        <w:spacing w:after="0" w:line="440" w:lineRule="exact"/>
        <w:ind w:firstLine="48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w:t>
      </w:r>
    </w:p>
    <w:p w14:paraId="7830F6C3">
      <w:pPr>
        <w:spacing w:after="0" w:line="440" w:lineRule="exact"/>
        <w:ind w:firstLine="480"/>
        <w:jc w:val="left"/>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以上企业，不属于大企业的分支机构，不存在控股股东为大企业的情形，也不存在与大企业的负责人为同一人的情形。</w:t>
      </w:r>
    </w:p>
    <w:p w14:paraId="3F7DAB12">
      <w:pPr>
        <w:spacing w:after="0" w:line="440" w:lineRule="exact"/>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val="en-US" w:eastAsia="zh-CN"/>
        </w:rPr>
        <w:t>本企业对上述声明内容的真实性负责。如有虚假，将依法承担相应责任。</w:t>
      </w:r>
    </w:p>
    <w:p w14:paraId="101ECF3F">
      <w:pPr>
        <w:spacing w:after="0" w:line="440" w:lineRule="exact"/>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7DBBB3EE">
      <w:pPr>
        <w:spacing w:after="0" w:line="440" w:lineRule="exact"/>
        <w:ind w:firstLine="3720"/>
        <w:jc w:val="left"/>
        <w:rPr>
          <w:rFonts w:hint="default" w:ascii="Times New Roman" w:hAnsi="Times New Roman" w:eastAsia="仿宋_GB2312" w:cs="Times New Roman"/>
          <w:bCs/>
          <w:color w:val="auto"/>
          <w:kern w:val="0"/>
          <w:sz w:val="28"/>
          <w:szCs w:val="28"/>
          <w:u w:val="single"/>
          <w:lang w:val="en-US" w:eastAsia="zh-CN"/>
        </w:rPr>
      </w:pPr>
      <w:r>
        <w:rPr>
          <w:rFonts w:hint="default" w:ascii="Times New Roman" w:hAnsi="Times New Roman" w:eastAsia="仿宋_GB2312" w:cs="Times New Roman"/>
          <w:bCs/>
          <w:color w:val="auto"/>
          <w:kern w:val="0"/>
          <w:sz w:val="28"/>
          <w:szCs w:val="28"/>
          <w:lang w:eastAsia="zh-CN"/>
        </w:rPr>
        <w:t>　日　期：</w:t>
      </w:r>
      <w:r>
        <w:rPr>
          <w:rFonts w:hint="default" w:ascii="Times New Roman" w:hAnsi="Times New Roman" w:eastAsia="仿宋_GB2312" w:cs="Times New Roman"/>
          <w:bCs/>
          <w:color w:val="auto"/>
          <w:kern w:val="0"/>
          <w:sz w:val="28"/>
          <w:szCs w:val="28"/>
          <w:u w:val="single"/>
          <w:lang w:val="en-US" w:eastAsia="zh-CN"/>
        </w:rPr>
        <w:t xml:space="preserve">             </w:t>
      </w:r>
    </w:p>
    <w:p w14:paraId="117F0F08">
      <w:pPr>
        <w:pStyle w:val="77"/>
        <w:adjustRightInd/>
        <w:spacing w:after="0" w:line="440" w:lineRule="exact"/>
        <w:rPr>
          <w:rFonts w:hint="default" w:ascii="Times New Roman" w:hAnsi="Times New Roman" w:eastAsia="仿宋_GB2312" w:cs="Times New Roman"/>
          <w:bCs/>
          <w:color w:val="auto"/>
          <w:sz w:val="28"/>
          <w:szCs w:val="28"/>
          <w:u w:val="single"/>
        </w:rPr>
      </w:pPr>
    </w:p>
    <w:p w14:paraId="7F657332">
      <w:pPr>
        <w:pStyle w:val="236"/>
        <w:pBdr>
          <w:bottom w:val="double" w:color="auto" w:sz="4" w:space="0"/>
        </w:pBdr>
        <w:spacing w:after="0" w:line="440" w:lineRule="exact"/>
        <w:rPr>
          <w:rFonts w:hint="default" w:ascii="Times New Roman" w:hAnsi="Times New Roman" w:eastAsia="仿宋_GB2312" w:cs="Times New Roman"/>
          <w:bCs/>
          <w:kern w:val="0"/>
          <w:sz w:val="28"/>
          <w:szCs w:val="28"/>
          <w:u w:val="single"/>
        </w:rPr>
      </w:pPr>
    </w:p>
    <w:p w14:paraId="19236A58">
      <w:pPr>
        <w:widowControl w:val="0"/>
        <w:spacing w:after="0" w:line="440" w:lineRule="exact"/>
        <w:rPr>
          <w:rFonts w:hint="default" w:ascii="Times New Roman" w:hAnsi="Times New Roman" w:eastAsia="宋体" w:cs="Times New Roman"/>
          <w:bCs/>
          <w:color w:val="auto"/>
          <w:sz w:val="24"/>
          <w:szCs w:val="22"/>
          <w:lang w:val="en-US" w:eastAsia="zh-CN"/>
        </w:rPr>
      </w:pPr>
      <w:r>
        <w:rPr>
          <w:rFonts w:hint="default" w:ascii="Times New Roman" w:hAnsi="Times New Roman" w:eastAsia="宋体" w:cs="Times New Roman"/>
          <w:bCs/>
          <w:color w:val="auto"/>
          <w:sz w:val="24"/>
          <w:szCs w:val="22"/>
          <w:lang w:val="en-US" w:eastAsia="zh-CN"/>
        </w:rPr>
        <w:t>说明：</w:t>
      </w:r>
    </w:p>
    <w:p w14:paraId="5205AA17">
      <w:pPr>
        <w:spacing w:after="0" w:line="440" w:lineRule="exact"/>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（1）从业人员、营业收入、资产总额填报上一年度数据，无上一年度数据的新成立企业可不填报。</w:t>
      </w:r>
    </w:p>
    <w:p w14:paraId="53CDC260">
      <w:pPr>
        <w:widowControl w:val="0"/>
        <w:spacing w:after="0" w:line="440" w:lineRule="exact"/>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 w:eastAsia="zh-CN"/>
        </w:rPr>
        <w:t>（</w:t>
      </w:r>
      <w:r>
        <w:rPr>
          <w:rFonts w:hint="default" w:ascii="Times New Roman" w:hAnsi="Times New Roman" w:eastAsia="宋体" w:cs="Times New Roman"/>
          <w:bCs/>
          <w:color w:val="auto"/>
          <w:lang w:val="en-US" w:eastAsia="zh-CN"/>
        </w:rPr>
        <w:t>2</w:t>
      </w:r>
      <w:r>
        <w:rPr>
          <w:rFonts w:hint="default" w:ascii="Times New Roman" w:hAnsi="Times New Roman" w:eastAsia="宋体" w:cs="Times New Roman"/>
          <w:bCs/>
          <w:color w:val="auto"/>
          <w:lang w:val="en" w:eastAsia="zh-CN"/>
        </w:rPr>
        <w:t>）</w:t>
      </w:r>
      <w:r>
        <w:rPr>
          <w:rFonts w:hint="default" w:ascii="Times New Roman" w:hAnsi="Times New Roman" w:eastAsia="宋体" w:cs="Times New Roman"/>
          <w:bCs/>
          <w:color w:val="auto"/>
          <w:lang w:val="en-US" w:eastAsia="zh-CN"/>
        </w:rPr>
        <w:t>中小企业划型标准见文件末附件。</w:t>
      </w:r>
    </w:p>
    <w:p w14:paraId="102650D8">
      <w:pPr>
        <w:jc w:val="center"/>
        <w:rPr>
          <w:rFonts w:hint="default" w:ascii="Times New Roman" w:hAnsi="Times New Roman" w:cs="Times New Roman"/>
          <w:bCs/>
          <w:color w:val="auto"/>
          <w:lang w:eastAsia="zh-CN"/>
        </w:rPr>
      </w:pPr>
      <w:r>
        <w:rPr>
          <w:rFonts w:hint="default" w:ascii="Times New Roman" w:hAnsi="Times New Roman" w:cs="Times New Roman"/>
          <w:bCs/>
          <w:color w:val="auto"/>
          <w:lang w:eastAsia="zh-CN"/>
        </w:rPr>
        <w:br w:type="page"/>
      </w:r>
      <w:r>
        <w:rPr>
          <w:rFonts w:hint="default" w:ascii="Times New Roman" w:hAnsi="Times New Roman" w:eastAsia="宋体" w:cs="Times New Roman"/>
          <w:bCs/>
          <w:color w:val="auto"/>
          <w:sz w:val="28"/>
          <w:szCs w:val="28"/>
          <w:lang w:eastAsia="zh-CN"/>
        </w:rPr>
        <w:t>投标人监狱企业声明函</w:t>
      </w:r>
    </w:p>
    <w:p w14:paraId="28C57578">
      <w:pPr>
        <w:spacing w:line="360" w:lineRule="auto"/>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4"/>
          <w:szCs w:val="24"/>
          <w:lang w:val="en-US" w:eastAsia="zh-CN"/>
        </w:rPr>
        <w:t>（投标人属于监狱企业的填写，不属于的无需填写或不提供此项内容）</w:t>
      </w:r>
    </w:p>
    <w:p w14:paraId="344AA758">
      <w:pPr>
        <w:pStyle w:val="77"/>
        <w:rPr>
          <w:rFonts w:hint="default" w:ascii="Times New Roman" w:hAnsi="Times New Roman" w:cs="Times New Roman"/>
          <w:bCs/>
          <w:color w:val="auto"/>
        </w:rPr>
      </w:pPr>
    </w:p>
    <w:p w14:paraId="7CD480F7">
      <w:pPr>
        <w:spacing w:before="100" w:after="100" w:line="360" w:lineRule="auto"/>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本企业（单位）郑重声明下列事项（按照实际情况勾选或填空）：</w:t>
      </w:r>
    </w:p>
    <w:p w14:paraId="4103E4B7">
      <w:pPr>
        <w:spacing w:before="100" w:after="100" w:line="360" w:lineRule="auto"/>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本企业（单位）为直接投标人，提供本企业（单位）服务。本企业（单位）</w:t>
      </w:r>
      <w:r>
        <w:rPr>
          <w:rFonts w:hint="default" w:ascii="Times New Roman" w:hAnsi="Times New Roman" w:eastAsia="仿宋_GB2312" w:cs="Times New Roman"/>
          <w:bCs/>
          <w:color w:val="auto"/>
          <w:kern w:val="0"/>
          <w:sz w:val="28"/>
          <w:szCs w:val="28"/>
          <w:u w:val="single"/>
          <w:lang w:val="en-US" w:eastAsia="zh-CN"/>
        </w:rPr>
        <w:t xml:space="preserve">        </w:t>
      </w:r>
      <w:r>
        <w:rPr>
          <w:rFonts w:hint="default" w:ascii="Times New Roman" w:hAnsi="Times New Roman" w:eastAsia="仿宋_GB2312" w:cs="Times New Roman"/>
          <w:bCs/>
          <w:color w:val="auto"/>
          <w:kern w:val="0"/>
          <w:sz w:val="28"/>
          <w:szCs w:val="28"/>
          <w:lang w:eastAsia="zh-CN"/>
        </w:rPr>
        <w:t>（请填写：是、不是）监狱企业。后附省级以上监狱管理局、戒毒管理局（含新疆生产建设兵团）出具的属于监狱企业的证明文件。</w:t>
      </w:r>
    </w:p>
    <w:p w14:paraId="11847A7E">
      <w:pPr>
        <w:spacing w:before="100" w:after="100" w:line="360" w:lineRule="auto"/>
        <w:ind w:firstLine="48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本企业（单位）对上述声明的真实性负责。如有虚假，将依法承担相应责任。</w:t>
      </w:r>
    </w:p>
    <w:p w14:paraId="51BA661D">
      <w:pPr>
        <w:spacing w:before="100" w:after="100" w:line="360" w:lineRule="auto"/>
        <w:jc w:val="left"/>
        <w:rPr>
          <w:rFonts w:hint="default" w:ascii="Times New Roman" w:hAnsi="Times New Roman" w:eastAsia="仿宋_GB2312" w:cs="Times New Roman"/>
          <w:bCs/>
          <w:color w:val="auto"/>
          <w:kern w:val="0"/>
          <w:sz w:val="28"/>
          <w:szCs w:val="28"/>
          <w:lang w:val="en-US" w:eastAsia="zh-CN"/>
        </w:rPr>
      </w:pPr>
    </w:p>
    <w:p w14:paraId="44E3D148">
      <w:pPr>
        <w:spacing w:before="100" w:after="100" w:line="360" w:lineRule="auto"/>
        <w:jc w:val="left"/>
        <w:rPr>
          <w:rFonts w:hint="default" w:ascii="Times New Roman" w:hAnsi="Times New Roman" w:eastAsia="仿宋_GB2312" w:cs="Times New Roman"/>
          <w:bCs/>
          <w:color w:val="auto"/>
          <w:kern w:val="0"/>
          <w:sz w:val="28"/>
          <w:szCs w:val="28"/>
          <w:lang w:val="en-US" w:eastAsia="zh-CN"/>
        </w:rPr>
      </w:pPr>
    </w:p>
    <w:p w14:paraId="5F8A98B2">
      <w:pPr>
        <w:spacing w:line="360" w:lineRule="auto"/>
        <w:rPr>
          <w:rFonts w:hint="default" w:ascii="Times New Roman" w:hAnsi="Times New Roman" w:eastAsia="仿宋_GB2312" w:cs="Times New Roman"/>
          <w:bCs/>
          <w:color w:val="auto"/>
          <w:sz w:val="28"/>
          <w:szCs w:val="28"/>
          <w:lang w:val="en-US" w:eastAsia="zh-CN"/>
        </w:rPr>
      </w:pPr>
    </w:p>
    <w:p w14:paraId="46EFC34F">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70F859BF">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1A946DFE">
      <w:pPr>
        <w:spacing w:line="360" w:lineRule="auto"/>
        <w:jc w:val="center"/>
        <w:rPr>
          <w:rFonts w:hint="default" w:ascii="Times New Roman" w:hAnsi="Times New Roman" w:eastAsia="宋体" w:cs="Times New Roman"/>
          <w:bCs/>
          <w:color w:val="auto"/>
          <w:sz w:val="28"/>
          <w:szCs w:val="28"/>
          <w:lang w:eastAsia="zh-CN"/>
        </w:rPr>
      </w:pPr>
      <w:r>
        <w:rPr>
          <w:rFonts w:hint="default" w:ascii="Times New Roman" w:hAnsi="Times New Roman" w:cs="Times New Roman"/>
          <w:bCs/>
          <w:color w:val="auto"/>
          <w:highlight w:val="green"/>
          <w:lang w:eastAsia="zh-CN"/>
        </w:rPr>
        <w:br w:type="page"/>
      </w:r>
      <w:r>
        <w:rPr>
          <w:rFonts w:hint="default" w:ascii="Times New Roman" w:hAnsi="Times New Roman" w:eastAsia="宋体" w:cs="Times New Roman"/>
          <w:bCs/>
          <w:color w:val="auto"/>
          <w:sz w:val="28"/>
          <w:szCs w:val="28"/>
          <w:lang w:eastAsia="zh-CN"/>
        </w:rPr>
        <w:t>残疾人福利性单位声明函（投标人）</w:t>
      </w:r>
    </w:p>
    <w:p w14:paraId="4B97F713">
      <w:pPr>
        <w:spacing w:line="360" w:lineRule="auto"/>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（投标人属于残疾人福利性单位的填写，不属于的无需填写或不提供此项内容）</w:t>
      </w:r>
    </w:p>
    <w:p w14:paraId="0304AED9">
      <w:pPr>
        <w:spacing w:line="360" w:lineRule="auto"/>
        <w:rPr>
          <w:rFonts w:hint="default" w:ascii="Times New Roman" w:hAnsi="Times New Roman" w:eastAsia="仿宋_GB2312" w:cs="Times New Roman"/>
          <w:bCs/>
          <w:color w:val="auto"/>
          <w:spacing w:val="6"/>
          <w:lang w:eastAsia="zh-CN"/>
        </w:rPr>
      </w:pPr>
    </w:p>
    <w:p w14:paraId="3D865DD4">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bCs/>
          <w:color w:val="auto"/>
          <w:sz w:val="28"/>
          <w:szCs w:val="28"/>
          <w:lang w:eastAsia="zh-CN"/>
        </w:rPr>
        <w:t>〔2017〕 141</w:t>
      </w:r>
      <w:r>
        <w:rPr>
          <w:rFonts w:hint="default" w:ascii="Times New Roman" w:hAnsi="Times New Roman" w:eastAsia="仿宋_GB2312" w:cs="Times New Roman"/>
          <w:bCs/>
          <w:color w:val="auto"/>
          <w:spacing w:val="6"/>
          <w:sz w:val="28"/>
          <w:szCs w:val="28"/>
          <w:lang w:eastAsia="zh-CN"/>
        </w:rPr>
        <w:t>号）的规定，本单位为符合条件的残疾人福利性单位，本单位为</w:t>
      </w:r>
      <w:r>
        <w:rPr>
          <w:rFonts w:hint="default" w:ascii="Times New Roman" w:hAnsi="Times New Roman" w:eastAsia="仿宋_GB2312" w:cs="Times New Roman"/>
          <w:bCs/>
          <w:color w:val="auto"/>
          <w:sz w:val="28"/>
          <w:szCs w:val="28"/>
          <w:u w:val="single"/>
          <w:lang w:val="en" w:eastAsia="zh-CN"/>
        </w:rPr>
        <w:t xml:space="preserve">               </w:t>
      </w:r>
      <w:r>
        <w:rPr>
          <w:rFonts w:hint="default" w:ascii="Times New Roman" w:hAnsi="Times New Roman" w:eastAsia="仿宋_GB2312" w:cs="Times New Roman"/>
          <w:bCs/>
          <w:color w:val="auto"/>
          <w:spacing w:val="6"/>
          <w:sz w:val="28"/>
          <w:szCs w:val="28"/>
          <w:lang w:eastAsia="zh-CN"/>
        </w:rPr>
        <w:t>项目采购活动提供本单位制造的货物（不包括使用非残疾人福利性单位注册商标的货物）。</w:t>
      </w:r>
    </w:p>
    <w:p w14:paraId="679356F1">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本单位对上述声明的真实性负责。如有虚假，将依法承担相应责任。</w:t>
      </w:r>
    </w:p>
    <w:p w14:paraId="27B33909">
      <w:pPr>
        <w:spacing w:line="360" w:lineRule="auto"/>
        <w:ind w:firstLine="444" w:firstLineChars="200"/>
        <w:rPr>
          <w:rFonts w:hint="default" w:ascii="Times New Roman" w:hAnsi="Times New Roman" w:cs="Times New Roman"/>
          <w:bCs/>
          <w:color w:val="auto"/>
          <w:spacing w:val="6"/>
          <w:lang w:eastAsia="zh-CN"/>
        </w:rPr>
      </w:pPr>
    </w:p>
    <w:p w14:paraId="0E49CC09">
      <w:pPr>
        <w:spacing w:line="360" w:lineRule="auto"/>
        <w:ind w:firstLine="444" w:firstLineChars="200"/>
        <w:rPr>
          <w:rFonts w:hint="default" w:ascii="Times New Roman" w:hAnsi="Times New Roman" w:cs="Times New Roman"/>
          <w:bCs/>
          <w:color w:val="auto"/>
          <w:spacing w:val="6"/>
          <w:lang w:eastAsia="zh-CN"/>
        </w:rPr>
      </w:pPr>
    </w:p>
    <w:p w14:paraId="32430BD9">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250EA169">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337D3659">
      <w:pPr>
        <w:tabs>
          <w:tab w:val="left" w:pos="4860"/>
        </w:tabs>
        <w:spacing w:line="360" w:lineRule="auto"/>
        <w:ind w:right="1560" w:firstLine="444" w:firstLineChars="200"/>
        <w:jc w:val="center"/>
        <w:rPr>
          <w:rFonts w:hint="default" w:ascii="Times New Roman" w:hAnsi="Times New Roman" w:cs="Times New Roman"/>
          <w:bCs/>
          <w:color w:val="auto"/>
          <w:spacing w:val="6"/>
          <w:lang w:eastAsia="zh-CN"/>
        </w:rPr>
      </w:pPr>
    </w:p>
    <w:p w14:paraId="71DA3565">
      <w:pPr>
        <w:pStyle w:val="236"/>
        <w:pBdr>
          <w:bottom w:val="double" w:color="auto" w:sz="4" w:space="0"/>
        </w:pBdr>
        <w:rPr>
          <w:rFonts w:hint="default" w:ascii="Times New Roman" w:hAnsi="Times New Roman" w:eastAsia="仿宋_GB2312" w:cs="Times New Roman"/>
          <w:bCs/>
          <w:kern w:val="0"/>
          <w:sz w:val="28"/>
          <w:szCs w:val="28"/>
          <w:u w:val="single"/>
        </w:rPr>
      </w:pPr>
    </w:p>
    <w:p w14:paraId="1BE9C73B">
      <w:pPr>
        <w:pStyle w:val="236"/>
        <w:pBdr>
          <w:bottom w:val="double" w:color="auto" w:sz="4" w:space="0"/>
        </w:pBdr>
        <w:rPr>
          <w:rFonts w:hint="default" w:ascii="Times New Roman" w:hAnsi="Times New Roman" w:eastAsia="仿宋_GB2312" w:cs="Times New Roman"/>
          <w:bCs/>
          <w:kern w:val="0"/>
          <w:sz w:val="28"/>
          <w:szCs w:val="28"/>
          <w:u w:val="single"/>
        </w:rPr>
      </w:pPr>
    </w:p>
    <w:p w14:paraId="517C5E0D">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备注：</w:t>
      </w:r>
    </w:p>
    <w:p w14:paraId="54A993E8">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1、中标人为代理商且为残疾人福利性单位的，随中标、成交结果同时公告制造商的《残疾人福利性单位声明函》，接受社会监督。</w:t>
      </w:r>
    </w:p>
    <w:p w14:paraId="198F1829">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2、中标人提供的《残疾人福利性单位声明函》与事实不符的，依照《政府采购法》第七十七条第一款的规定追究法律责任。</w:t>
      </w:r>
    </w:p>
    <w:p w14:paraId="1787E387">
      <w:pPr>
        <w:jc w:val="left"/>
        <w:rPr>
          <w:rFonts w:hint="default" w:ascii="Times New Roman" w:hAnsi="Times New Roman" w:cs="Times New Roman"/>
          <w:bCs/>
          <w:color w:val="auto"/>
          <w:sz w:val="28"/>
          <w:szCs w:val="28"/>
          <w:lang w:eastAsia="zh-CN"/>
        </w:rPr>
      </w:pPr>
      <w:r>
        <w:rPr>
          <w:rFonts w:hint="default" w:ascii="Times New Roman" w:hAnsi="Times New Roman" w:cs="Times New Roman"/>
          <w:bCs/>
          <w:color w:val="auto"/>
          <w:sz w:val="28"/>
          <w:szCs w:val="28"/>
          <w:lang w:eastAsia="zh-CN"/>
        </w:rPr>
        <w:br w:type="page"/>
      </w:r>
    </w:p>
    <w:p w14:paraId="096E5F83">
      <w:pPr>
        <w:spacing w:line="360" w:lineRule="auto"/>
        <w:jc w:val="center"/>
        <w:rPr>
          <w:rFonts w:hint="default" w:ascii="Times New Roman" w:hAnsi="Times New Roman" w:eastAsia="宋体" w:cs="Times New Roman"/>
          <w:bCs/>
          <w:color w:val="auto"/>
          <w:sz w:val="28"/>
          <w:szCs w:val="28"/>
          <w:lang w:eastAsia="zh-CN"/>
        </w:rPr>
      </w:pPr>
      <w:r>
        <w:rPr>
          <w:rFonts w:hint="default" w:ascii="Times New Roman" w:hAnsi="Times New Roman" w:eastAsia="宋体" w:cs="Times New Roman"/>
          <w:bCs/>
          <w:color w:val="auto"/>
          <w:sz w:val="28"/>
          <w:szCs w:val="28"/>
          <w:lang w:eastAsia="zh-CN"/>
        </w:rPr>
        <w:t>残疾人福利性单位声明函（制造商）</w:t>
      </w:r>
    </w:p>
    <w:p w14:paraId="250BA98D">
      <w:pPr>
        <w:spacing w:line="360" w:lineRule="auto"/>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（制造商属于残疾人福利性单位的填写，不属于的无需填写或不提供此项内容）</w:t>
      </w:r>
    </w:p>
    <w:p w14:paraId="067DB5C5">
      <w:pPr>
        <w:spacing w:line="360" w:lineRule="auto"/>
        <w:rPr>
          <w:rFonts w:hint="default" w:ascii="Times New Roman" w:hAnsi="Times New Roman" w:eastAsia="仿宋_GB2312" w:cs="Times New Roman"/>
          <w:bCs/>
          <w:color w:val="auto"/>
          <w:spacing w:val="6"/>
          <w:lang w:eastAsia="zh-CN"/>
        </w:rPr>
      </w:pPr>
    </w:p>
    <w:p w14:paraId="524162E6">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bCs/>
          <w:color w:val="auto"/>
          <w:sz w:val="28"/>
          <w:szCs w:val="28"/>
          <w:lang w:eastAsia="zh-CN"/>
        </w:rPr>
        <w:t>〔2017〕 141</w:t>
      </w:r>
      <w:r>
        <w:rPr>
          <w:rFonts w:hint="default" w:ascii="Times New Roman" w:hAnsi="Times New Roman" w:eastAsia="仿宋_GB2312" w:cs="Times New Roman"/>
          <w:bCs/>
          <w:color w:val="auto"/>
          <w:spacing w:val="6"/>
          <w:sz w:val="28"/>
          <w:szCs w:val="28"/>
          <w:lang w:eastAsia="zh-CN"/>
        </w:rPr>
        <w:t>号）的规定，本单位为符合条件的残疾人福利性单位，本单位为______项目采购活动提供本单位制造的货物（不包括使用非残疾人福利性单位注册商标的货物）。</w:t>
      </w:r>
    </w:p>
    <w:p w14:paraId="1E2E151B">
      <w:pPr>
        <w:spacing w:line="360" w:lineRule="auto"/>
        <w:ind w:firstLine="584" w:firstLineChars="200"/>
        <w:rPr>
          <w:rFonts w:hint="default" w:ascii="Times New Roman" w:hAnsi="Times New Roman" w:eastAsia="仿宋_GB2312" w:cs="Times New Roman"/>
          <w:bCs/>
          <w:color w:val="auto"/>
          <w:spacing w:val="6"/>
          <w:sz w:val="28"/>
          <w:szCs w:val="28"/>
          <w:lang w:eastAsia="zh-CN"/>
        </w:rPr>
      </w:pPr>
      <w:r>
        <w:rPr>
          <w:rFonts w:hint="default" w:ascii="Times New Roman" w:hAnsi="Times New Roman" w:eastAsia="仿宋_GB2312" w:cs="Times New Roman"/>
          <w:bCs/>
          <w:color w:val="auto"/>
          <w:spacing w:val="6"/>
          <w:sz w:val="28"/>
          <w:szCs w:val="28"/>
          <w:lang w:eastAsia="zh-CN"/>
        </w:rPr>
        <w:t>本单位对上述声明的真实性负责。如有虚假，将依法承担相应责任。</w:t>
      </w:r>
    </w:p>
    <w:p w14:paraId="094B8EE5">
      <w:pPr>
        <w:spacing w:line="360" w:lineRule="auto"/>
        <w:ind w:firstLine="444" w:firstLineChars="200"/>
        <w:rPr>
          <w:rFonts w:hint="default" w:ascii="Times New Roman" w:hAnsi="Times New Roman" w:cs="Times New Roman"/>
          <w:bCs/>
          <w:color w:val="auto"/>
          <w:spacing w:val="6"/>
          <w:lang w:eastAsia="zh-CN"/>
        </w:rPr>
      </w:pPr>
    </w:p>
    <w:p w14:paraId="7DFCFA2A">
      <w:pPr>
        <w:spacing w:line="360" w:lineRule="auto"/>
        <w:ind w:firstLine="444" w:firstLineChars="200"/>
        <w:rPr>
          <w:rFonts w:hint="default" w:ascii="Times New Roman" w:hAnsi="Times New Roman" w:cs="Times New Roman"/>
          <w:bCs/>
          <w:color w:val="auto"/>
          <w:spacing w:val="6"/>
          <w:lang w:eastAsia="zh-CN"/>
        </w:rPr>
      </w:pPr>
    </w:p>
    <w:p w14:paraId="1F12A915">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制造商（企业电子签章）：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73BDDDCF">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3B16E18D">
      <w:pPr>
        <w:pStyle w:val="236"/>
        <w:pBdr>
          <w:bottom w:val="double" w:color="auto" w:sz="4" w:space="0"/>
        </w:pBdr>
        <w:rPr>
          <w:rFonts w:hint="default" w:ascii="Times New Roman" w:hAnsi="Times New Roman" w:eastAsia="仿宋_GB2312" w:cs="Times New Roman"/>
          <w:bCs/>
          <w:kern w:val="0"/>
          <w:sz w:val="28"/>
          <w:szCs w:val="28"/>
          <w:u w:val="single"/>
        </w:rPr>
      </w:pPr>
    </w:p>
    <w:p w14:paraId="4D34CC49">
      <w:pPr>
        <w:pStyle w:val="236"/>
        <w:pBdr>
          <w:bottom w:val="double" w:color="auto" w:sz="4" w:space="0"/>
        </w:pBdr>
        <w:rPr>
          <w:rFonts w:hint="default" w:ascii="Times New Roman" w:hAnsi="Times New Roman" w:eastAsia="仿宋_GB2312" w:cs="Times New Roman"/>
          <w:bCs/>
          <w:kern w:val="0"/>
          <w:sz w:val="28"/>
          <w:szCs w:val="28"/>
          <w:u w:val="single"/>
        </w:rPr>
      </w:pPr>
    </w:p>
    <w:p w14:paraId="52BDFA44">
      <w:pPr>
        <w:pStyle w:val="236"/>
        <w:pBdr>
          <w:bottom w:val="double" w:color="auto" w:sz="4" w:space="0"/>
        </w:pBdr>
        <w:rPr>
          <w:rFonts w:hint="default" w:ascii="Times New Roman" w:hAnsi="Times New Roman" w:eastAsia="仿宋_GB2312" w:cs="Times New Roman"/>
          <w:bCs/>
          <w:kern w:val="0"/>
          <w:sz w:val="28"/>
          <w:szCs w:val="28"/>
          <w:u w:val="single"/>
        </w:rPr>
      </w:pPr>
    </w:p>
    <w:p w14:paraId="2AD9B394">
      <w:pPr>
        <w:pStyle w:val="236"/>
        <w:pBdr>
          <w:bottom w:val="double" w:color="auto" w:sz="4" w:space="0"/>
        </w:pBdr>
        <w:rPr>
          <w:rFonts w:hint="default" w:ascii="Times New Roman" w:hAnsi="Times New Roman" w:eastAsia="仿宋_GB2312" w:cs="Times New Roman"/>
          <w:bCs/>
          <w:kern w:val="0"/>
          <w:sz w:val="28"/>
          <w:szCs w:val="28"/>
          <w:u w:val="single"/>
        </w:rPr>
      </w:pPr>
    </w:p>
    <w:p w14:paraId="7CE80FFD">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备注：</w:t>
      </w:r>
    </w:p>
    <w:p w14:paraId="3D39922B">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1、中标人为代理商且为残疾人福利性单位的，随中标、成交结果同时公告制造商的《残疾人福利性单位声明函》，接受社会监督。</w:t>
      </w:r>
    </w:p>
    <w:p w14:paraId="0E8E7958">
      <w:pPr>
        <w:ind w:firstLine="420" w:firstLineChars="200"/>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2、供应商提供的《残疾人福利性单位声明函》与事实不符的，依照《政府采购法》第七十七条第一款的规定追究法律责任。</w:t>
      </w:r>
    </w:p>
    <w:p w14:paraId="38D90DA3">
      <w:pPr>
        <w:rPr>
          <w:rFonts w:hint="default" w:ascii="Times New Roman" w:hAnsi="Times New Roman" w:eastAsia="方正小标宋_GBK" w:cs="Times New Roman"/>
          <w:bCs/>
          <w:color w:val="auto"/>
          <w:sz w:val="30"/>
          <w:szCs w:val="30"/>
          <w:lang w:val="en-US" w:eastAsia="zh-CN"/>
        </w:rPr>
      </w:pPr>
      <w:r>
        <w:rPr>
          <w:rFonts w:hint="default" w:ascii="Times New Roman" w:hAnsi="Times New Roman" w:eastAsia="方正小标宋_GBK" w:cs="Times New Roman"/>
          <w:bCs/>
          <w:color w:val="auto"/>
          <w:sz w:val="30"/>
          <w:szCs w:val="30"/>
          <w:lang w:val="en-US" w:eastAsia="zh-CN"/>
        </w:rPr>
        <w:br w:type="page"/>
      </w:r>
    </w:p>
    <w:p w14:paraId="43F25105">
      <w:pPr>
        <w:spacing w:line="360" w:lineRule="auto"/>
        <w:jc w:val="center"/>
        <w:outlineLvl w:val="1"/>
        <w:rPr>
          <w:rFonts w:hint="default" w:ascii="Times New Roman" w:hAnsi="Times New Roman" w:eastAsia="微软雅黑" w:cs="Times New Roman"/>
          <w:bCs/>
          <w:color w:val="333333"/>
          <w:sz w:val="24"/>
          <w:szCs w:val="24"/>
          <w:lang w:eastAsia="zh-CN"/>
        </w:rPr>
      </w:pPr>
      <w:r>
        <w:rPr>
          <w:rFonts w:hint="default" w:ascii="Times New Roman" w:hAnsi="Times New Roman" w:eastAsia="微软雅黑" w:cs="Times New Roman"/>
          <w:bCs/>
          <w:color w:val="auto"/>
          <w:sz w:val="32"/>
          <w:szCs w:val="32"/>
          <w:lang w:eastAsia="zh-CN"/>
        </w:rPr>
        <w:t>关于符合本国产品标准的声明函</w:t>
      </w:r>
    </w:p>
    <w:p w14:paraId="1210BD1B">
      <w:pPr>
        <w:spacing w:after="0" w:line="360" w:lineRule="auto"/>
        <w:jc w:val="center"/>
        <w:rPr>
          <w:rFonts w:hint="default" w:ascii="Times New Roman" w:hAnsi="Times New Roman" w:eastAsia="仿宋_GB2312" w:cs="Times New Roman"/>
          <w:bCs/>
          <w:kern w:val="0"/>
          <w:sz w:val="24"/>
          <w:szCs w:val="24"/>
          <w:lang w:eastAsia="zh-CN" w:bidi="zh-TW"/>
        </w:rPr>
      </w:pPr>
      <w:r>
        <w:rPr>
          <w:rFonts w:hint="default" w:ascii="Times New Roman" w:hAnsi="Times New Roman" w:eastAsia="仿宋_GB2312" w:cs="Times New Roman"/>
          <w:bCs/>
          <w:sz w:val="28"/>
          <w:szCs w:val="28"/>
          <w:lang w:val="en-US" w:eastAsia="zh-CN"/>
        </w:rPr>
        <w:t xml:space="preserve"> </w:t>
      </w:r>
      <w:r>
        <w:rPr>
          <w:rFonts w:hint="default" w:ascii="Times New Roman" w:hAnsi="Times New Roman" w:eastAsia="仿宋_GB2312" w:cs="Times New Roman"/>
          <w:bCs/>
          <w:kern w:val="0"/>
          <w:sz w:val="24"/>
          <w:szCs w:val="24"/>
          <w:lang w:eastAsia="zh-CN" w:bidi="zh-TW"/>
        </w:rPr>
        <w:t>（投标人提供本国产品的填写，未提供本国产品的无需填写或不提供此项内容）</w:t>
      </w:r>
    </w:p>
    <w:p w14:paraId="5D02C395">
      <w:pPr>
        <w:pStyle w:val="52"/>
        <w:shd w:val="clear" w:color="auto" w:fill="FFFFFF"/>
        <w:spacing w:before="30" w:beforeAutospacing="0" w:after="30" w:afterAutospacing="0" w:line="460" w:lineRule="exact"/>
        <w:ind w:firstLine="420"/>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288A45A3">
      <w:pPr>
        <w:pStyle w:val="52"/>
        <w:shd w:val="clear" w:color="auto" w:fill="FFFFFF"/>
        <w:spacing w:before="30" w:beforeAutospacing="0" w:after="30" w:afterAutospacing="0" w:line="460" w:lineRule="exact"/>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rPr>
        <w:t xml:space="preserve">    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，生产厂为</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（厂名）</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，厂址为</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（生产厂址）</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的中国境内生产的组件成本占比≥</w:t>
      </w:r>
      <w:r>
        <w:rPr>
          <w:rFonts w:hint="default" w:ascii="Times New Roman" w:hAnsi="Times New Roman" w:eastAsia="仿宋_GB2312" w:cs="Times New Roman"/>
          <w:bCs/>
          <w:kern w:val="2"/>
          <w:sz w:val="28"/>
          <w:szCs w:val="28"/>
          <w:u w:val="single"/>
          <w:lang w:val="zh-TW"/>
        </w:rPr>
        <w:t>（规定比例）</w:t>
      </w:r>
      <w:r>
        <w:rPr>
          <w:rFonts w:hint="default" w:ascii="Times New Roman" w:hAnsi="Times New Roman" w:eastAsia="仿宋_GB2312" w:cs="Times New Roman"/>
          <w:bCs/>
          <w:kern w:val="2"/>
          <w:sz w:val="28"/>
          <w:szCs w:val="28"/>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w:t>
      </w:r>
      <w:r>
        <w:rPr>
          <w:rFonts w:hint="default" w:ascii="Times New Roman" w:hAnsi="Times New Roman" w:eastAsia="仿宋_GB2312" w:cs="Times New Roman"/>
          <w:bCs/>
          <w:kern w:val="2"/>
          <w:sz w:val="28"/>
          <w:szCs w:val="28"/>
        </w:rPr>
        <w:t xml:space="preserve">  </w:t>
      </w:r>
      <w:r>
        <w:rPr>
          <w:rFonts w:hint="default" w:ascii="Times New Roman" w:hAnsi="Times New Roman" w:eastAsia="仿宋_GB2312" w:cs="Times New Roman"/>
          <w:bCs/>
          <w:kern w:val="2"/>
          <w:sz w:val="28"/>
          <w:szCs w:val="28"/>
          <w:u w:val="single"/>
          <w:lang w:val="zh-TW"/>
        </w:rPr>
        <w:t>（关键组件）</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在中国境内生产。</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（产品名称1）</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（关键工序）</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在中国境内完成。</w:t>
      </w:r>
    </w:p>
    <w:p w14:paraId="07F1A480">
      <w:pPr>
        <w:pStyle w:val="52"/>
        <w:shd w:val="clear" w:color="auto" w:fill="FFFFFF"/>
        <w:spacing w:before="30" w:beforeAutospacing="0" w:after="30" w:afterAutospacing="0" w:line="460" w:lineRule="exact"/>
        <w:ind w:firstLine="420"/>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rPr>
        <w:t xml:space="preserve"> 2.</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w:t>
      </w:r>
      <w:r>
        <w:rPr>
          <w:rFonts w:hint="default" w:ascii="Times New Roman" w:hAnsi="Times New Roman" w:eastAsia="仿宋_GB2312" w:cs="Times New Roman"/>
          <w:bCs/>
          <w:kern w:val="2"/>
          <w:sz w:val="28"/>
          <w:szCs w:val="28"/>
          <w:u w:val="single"/>
        </w:rPr>
        <w:t>2</w:t>
      </w:r>
      <w:r>
        <w:rPr>
          <w:rFonts w:hint="default" w:ascii="Times New Roman" w:hAnsi="Times New Roman" w:eastAsia="仿宋_GB2312" w:cs="Times New Roman"/>
          <w:bCs/>
          <w:kern w:val="2"/>
          <w:sz w:val="28"/>
          <w:szCs w:val="28"/>
          <w:u w:val="single"/>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，生产厂为</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（厂名）</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，厂址为</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（生产厂址）</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w:t>
      </w:r>
      <w:r>
        <w:rPr>
          <w:rFonts w:hint="default" w:ascii="Times New Roman" w:hAnsi="Times New Roman" w:eastAsia="仿宋_GB2312" w:cs="Times New Roman"/>
          <w:bCs/>
          <w:kern w:val="2"/>
          <w:sz w:val="28"/>
          <w:szCs w:val="28"/>
          <w:u w:val="single"/>
        </w:rPr>
        <w:t>2</w:t>
      </w:r>
      <w:r>
        <w:rPr>
          <w:rFonts w:hint="default" w:ascii="Times New Roman" w:hAnsi="Times New Roman" w:eastAsia="仿宋_GB2312" w:cs="Times New Roman"/>
          <w:bCs/>
          <w:kern w:val="2"/>
          <w:sz w:val="28"/>
          <w:szCs w:val="28"/>
          <w:u w:val="single"/>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的中国境内生产的组件成本占比≥</w:t>
      </w:r>
      <w:r>
        <w:rPr>
          <w:rFonts w:hint="default" w:ascii="Times New Roman" w:hAnsi="Times New Roman" w:eastAsia="仿宋_GB2312" w:cs="Times New Roman"/>
          <w:bCs/>
          <w:kern w:val="2"/>
          <w:sz w:val="28"/>
          <w:szCs w:val="28"/>
          <w:u w:val="single"/>
          <w:lang w:val="zh-TW"/>
        </w:rPr>
        <w:t>（规定比例）</w:t>
      </w:r>
      <w:r>
        <w:rPr>
          <w:rFonts w:hint="default" w:ascii="Times New Roman" w:hAnsi="Times New Roman" w:eastAsia="仿宋_GB2312" w:cs="Times New Roman"/>
          <w:bCs/>
          <w:kern w:val="2"/>
          <w:sz w:val="28"/>
          <w:szCs w:val="28"/>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w:t>
      </w:r>
      <w:r>
        <w:rPr>
          <w:rFonts w:hint="default" w:ascii="Times New Roman" w:hAnsi="Times New Roman" w:eastAsia="仿宋_GB2312" w:cs="Times New Roman"/>
          <w:bCs/>
          <w:kern w:val="2"/>
          <w:sz w:val="28"/>
          <w:szCs w:val="28"/>
          <w:u w:val="single"/>
        </w:rPr>
        <w:t>2</w:t>
      </w:r>
      <w:r>
        <w:rPr>
          <w:rFonts w:hint="default" w:ascii="Times New Roman" w:hAnsi="Times New Roman" w:eastAsia="仿宋_GB2312" w:cs="Times New Roman"/>
          <w:bCs/>
          <w:kern w:val="2"/>
          <w:sz w:val="28"/>
          <w:szCs w:val="28"/>
          <w:u w:val="single"/>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w:t>
      </w:r>
      <w:r>
        <w:rPr>
          <w:rFonts w:hint="default" w:ascii="Times New Roman" w:hAnsi="Times New Roman" w:eastAsia="仿宋_GB2312" w:cs="Times New Roman"/>
          <w:bCs/>
          <w:kern w:val="2"/>
          <w:sz w:val="28"/>
          <w:szCs w:val="28"/>
        </w:rPr>
        <w:t xml:space="preserve">  </w:t>
      </w:r>
      <w:r>
        <w:rPr>
          <w:rFonts w:hint="default" w:ascii="Times New Roman" w:hAnsi="Times New Roman" w:eastAsia="仿宋_GB2312" w:cs="Times New Roman"/>
          <w:bCs/>
          <w:kern w:val="2"/>
          <w:sz w:val="28"/>
          <w:szCs w:val="28"/>
          <w:u w:val="single"/>
          <w:lang w:val="zh-TW"/>
        </w:rPr>
        <w:t>（关键组件）</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在中国境内生产。</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（产品名称</w:t>
      </w:r>
      <w:r>
        <w:rPr>
          <w:rFonts w:hint="default" w:ascii="Times New Roman" w:hAnsi="Times New Roman" w:eastAsia="仿宋_GB2312" w:cs="Times New Roman"/>
          <w:bCs/>
          <w:kern w:val="2"/>
          <w:sz w:val="28"/>
          <w:szCs w:val="28"/>
          <w:u w:val="single"/>
        </w:rPr>
        <w:t>2</w:t>
      </w:r>
      <w:r>
        <w:rPr>
          <w:rFonts w:hint="default" w:ascii="Times New Roman" w:hAnsi="Times New Roman" w:eastAsia="仿宋_GB2312" w:cs="Times New Roman"/>
          <w:bCs/>
          <w:kern w:val="2"/>
          <w:sz w:val="28"/>
          <w:szCs w:val="28"/>
          <w:u w:val="single"/>
          <w:lang w:val="zh-TW"/>
        </w:rPr>
        <w:t>）</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的</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u w:val="single"/>
          <w:lang w:val="zh-TW"/>
        </w:rPr>
        <w:t>（关键工序）</w:t>
      </w:r>
      <w:r>
        <w:rPr>
          <w:rFonts w:hint="default" w:ascii="Times New Roman" w:hAnsi="Times New Roman" w:eastAsia="仿宋_GB2312" w:cs="Times New Roman"/>
          <w:bCs/>
          <w:kern w:val="2"/>
          <w:sz w:val="28"/>
          <w:szCs w:val="28"/>
          <w:u w:val="single"/>
        </w:rPr>
        <w:t xml:space="preserve"> </w:t>
      </w:r>
      <w:r>
        <w:rPr>
          <w:rFonts w:hint="default" w:ascii="Times New Roman" w:hAnsi="Times New Roman" w:eastAsia="仿宋_GB2312" w:cs="Times New Roman"/>
          <w:bCs/>
          <w:kern w:val="2"/>
          <w:sz w:val="28"/>
          <w:szCs w:val="28"/>
          <w:lang w:val="zh-TW"/>
        </w:rPr>
        <w:t>在中国境内完成。</w:t>
      </w:r>
    </w:p>
    <w:p w14:paraId="0CC3CC0D">
      <w:pPr>
        <w:pStyle w:val="52"/>
        <w:shd w:val="clear" w:color="auto" w:fill="FFFFFF"/>
        <w:spacing w:before="30" w:beforeAutospacing="0" w:after="30" w:afterAutospacing="0" w:line="460" w:lineRule="exact"/>
        <w:ind w:firstLine="420"/>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lang w:val="zh-TW"/>
        </w:rPr>
        <w:t>……</w:t>
      </w:r>
    </w:p>
    <w:p w14:paraId="6DA190E8">
      <w:pPr>
        <w:pStyle w:val="52"/>
        <w:shd w:val="clear" w:color="auto" w:fill="FFFFFF"/>
        <w:spacing w:before="30" w:beforeAutospacing="0" w:after="30" w:afterAutospacing="0" w:line="460" w:lineRule="exact"/>
        <w:ind w:firstLine="420"/>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lang w:val="zh-TW"/>
        </w:rPr>
        <w:t>本公司（单位）对上述声明内容的真实性负责。如有虚假，愿承担相应法律责任。</w:t>
      </w:r>
    </w:p>
    <w:p w14:paraId="0A4C424A">
      <w:pPr>
        <w:pStyle w:val="52"/>
        <w:shd w:val="clear" w:color="auto" w:fill="FFFFFF"/>
        <w:spacing w:before="30" w:beforeAutospacing="0" w:after="30" w:afterAutospacing="0" w:line="460" w:lineRule="exact"/>
        <w:ind w:firstLine="420"/>
        <w:jc w:val="right"/>
        <w:rPr>
          <w:rFonts w:hint="default" w:ascii="Times New Roman" w:hAnsi="Times New Roman" w:eastAsia="仿宋_GB2312" w:cs="Times New Roman"/>
          <w:bCs/>
          <w:kern w:val="2"/>
          <w:sz w:val="28"/>
          <w:szCs w:val="28"/>
          <w:lang w:val="zh-TW"/>
        </w:rPr>
      </w:pPr>
      <w:r>
        <w:rPr>
          <w:rFonts w:hint="default" w:ascii="Times New Roman" w:hAnsi="Times New Roman" w:eastAsia="仿宋_GB2312" w:cs="Times New Roman"/>
          <w:bCs/>
          <w:kern w:val="2"/>
          <w:sz w:val="28"/>
          <w:szCs w:val="28"/>
          <w:lang w:val="zh-TW"/>
        </w:rPr>
        <w:t>公司（单位）名称（盖章）：      </w:t>
      </w:r>
    </w:p>
    <w:p w14:paraId="55656452">
      <w:pPr>
        <w:pStyle w:val="52"/>
        <w:shd w:val="clear" w:color="auto" w:fill="FFFFFF"/>
        <w:spacing w:before="30" w:beforeAutospacing="0" w:after="30" w:afterAutospacing="0" w:line="460" w:lineRule="exact"/>
        <w:ind w:firstLine="420"/>
        <w:jc w:val="right"/>
        <w:rPr>
          <w:rFonts w:hint="default" w:ascii="Times New Roman" w:hAnsi="Times New Roman" w:cs="Times New Roman"/>
          <w:bCs/>
          <w:lang w:eastAsia="zh-TW"/>
        </w:rPr>
      </w:pPr>
      <w:r>
        <w:rPr>
          <w:rFonts w:hint="default" w:ascii="Times New Roman" w:hAnsi="Times New Roman" w:eastAsia="仿宋_GB2312" w:cs="Times New Roman"/>
          <w:bCs/>
          <w:kern w:val="2"/>
          <w:sz w:val="28"/>
          <w:szCs w:val="28"/>
          <w:lang w:val="zh-TW" w:eastAsia="zh-TW"/>
        </w:rPr>
        <w:t>日期：　　　　　年　　月　日 </w:t>
      </w:r>
      <w:r>
        <w:rPr>
          <w:rFonts w:hint="default" w:ascii="Times New Roman" w:hAnsi="Times New Roman" w:eastAsia="仿宋_GB2312" w:cs="Times New Roman"/>
          <w:bCs/>
          <w:sz w:val="28"/>
          <w:szCs w:val="28"/>
          <w:shd w:val="clear" w:color="auto" w:fill="FFFFFF"/>
        </w:rPr>
        <w:t> </w:t>
      </w:r>
      <w:r>
        <w:rPr>
          <w:rFonts w:hint="default" w:ascii="Times New Roman" w:hAnsi="Times New Roman" w:cs="Times New Roman"/>
          <w:bCs/>
          <w:shd w:val="clear" w:color="auto" w:fill="FFFFFF"/>
          <w:lang w:eastAsia="zh-TW"/>
        </w:rPr>
        <w:t>  </w:t>
      </w:r>
    </w:p>
    <w:p w14:paraId="15B2C09C">
      <w:pPr>
        <w:pStyle w:val="52"/>
        <w:shd w:val="clear" w:color="auto" w:fill="FFFFFF"/>
        <w:spacing w:before="30" w:beforeAutospacing="0" w:after="30" w:afterAutospacing="0" w:line="280" w:lineRule="exact"/>
        <w:rPr>
          <w:rFonts w:hint="default" w:ascii="Times New Roman" w:hAnsi="Times New Roman" w:cs="Times New Roman"/>
          <w:bCs/>
          <w:shd w:val="clear" w:color="auto" w:fill="FFFFFF"/>
        </w:rPr>
      </w:pPr>
      <w:r>
        <w:rPr>
          <w:rFonts w:hint="default" w:ascii="Times New Roman" w:hAnsi="Times New Roman" w:cs="Times New Roman"/>
          <w:bCs/>
          <w:shd w:val="clear" w:color="auto" w:fill="FFFFFF"/>
        </w:rPr>
        <w:t xml:space="preserve">____________________________________________________________________    </w:t>
      </w:r>
    </w:p>
    <w:p w14:paraId="6DC25E9B">
      <w:pPr>
        <w:pStyle w:val="52"/>
        <w:shd w:val="clear" w:color="auto" w:fill="FFFFFF"/>
        <w:spacing w:before="30" w:beforeAutospacing="0" w:after="30" w:afterAutospacing="0" w:line="280" w:lineRule="exact"/>
        <w:rPr>
          <w:rFonts w:hint="default" w:ascii="Times New Roman" w:hAnsi="Times New Roman" w:eastAsia="楷体" w:cs="Times New Roman"/>
          <w:bCs/>
          <w:shd w:val="clear" w:color="auto" w:fill="FFFFFF"/>
        </w:rPr>
      </w:pPr>
      <w:r>
        <w:rPr>
          <w:rFonts w:hint="default" w:ascii="Times New Roman" w:hAnsi="Times New Roman" w:cs="Times New Roman"/>
          <w:bCs/>
          <w:shd w:val="clear" w:color="auto" w:fill="FFFFFF"/>
        </w:rPr>
        <w:t xml:space="preserve">   </w:t>
      </w:r>
      <w:r>
        <w:rPr>
          <w:rFonts w:hint="default" w:ascii="Times New Roman" w:hAnsi="Times New Roman" w:eastAsia="楷体" w:cs="Times New Roman"/>
          <w:bCs/>
          <w:shd w:val="clear" w:color="auto" w:fill="FFFFFF"/>
        </w:rPr>
        <w:t>1.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890E2CB">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2.中国境内生产的组件成本核算基本规则见《国务院办公厅关于在政府采购中实施本国产品标准及相关政策的通知》（国办发〔2025〕34号）。</w:t>
      </w:r>
    </w:p>
    <w:p w14:paraId="40928D15">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3.产品如有型号，请在“产品名称”栏一并填写。</w:t>
      </w:r>
    </w:p>
    <w:p w14:paraId="4236106A">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4.生产厂名与厂址应与生产厂营业执照载明的相关信息保持一致。</w:t>
      </w:r>
    </w:p>
    <w:p w14:paraId="1CDA6135">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5.该产品的中国境内生产的组件成本占比相关要求实施前，“规定比例”栏可不填。</w:t>
      </w:r>
    </w:p>
    <w:p w14:paraId="3F178B1E">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6.该产品的关键组件要求实施前，“关键组件”栏可不填。</w:t>
      </w:r>
    </w:p>
    <w:p w14:paraId="791BAA4E">
      <w:pPr>
        <w:pStyle w:val="52"/>
        <w:shd w:val="clear" w:color="auto" w:fill="FFFFFF"/>
        <w:spacing w:before="30" w:beforeAutospacing="0" w:after="30" w:afterAutospacing="0" w:line="280" w:lineRule="exact"/>
        <w:ind w:firstLine="420"/>
        <w:rPr>
          <w:rFonts w:hint="default" w:ascii="Times New Roman" w:hAnsi="Times New Roman" w:eastAsia="楷体" w:cs="Times New Roman"/>
          <w:bCs/>
          <w:shd w:val="clear" w:color="auto" w:fill="FFFFFF"/>
        </w:rPr>
      </w:pPr>
      <w:r>
        <w:rPr>
          <w:rFonts w:hint="default" w:ascii="Times New Roman" w:hAnsi="Times New Roman" w:eastAsia="楷体" w:cs="Times New Roman"/>
          <w:bCs/>
          <w:shd w:val="clear" w:color="auto" w:fill="FFFFFF"/>
        </w:rPr>
        <w:t>7.该产品的关键工序要求实施前，“关键工序”栏可不填。</w:t>
      </w:r>
    </w:p>
    <w:p w14:paraId="1E01030C">
      <w:pPr>
        <w:rPr>
          <w:rFonts w:hint="default" w:ascii="Times New Roman" w:hAnsi="Times New Roman" w:eastAsia="方正小标宋_GBK" w:cs="Times New Roman"/>
          <w:bCs/>
          <w:color w:val="auto"/>
          <w:kern w:val="0"/>
          <w:sz w:val="30"/>
          <w:szCs w:val="30"/>
          <w:lang w:eastAsia="zh-CN"/>
        </w:rPr>
      </w:pPr>
      <w:r>
        <w:rPr>
          <w:rFonts w:hint="default" w:ascii="Times New Roman" w:hAnsi="Times New Roman" w:eastAsia="方正小标宋_GBK" w:cs="Times New Roman"/>
          <w:bCs/>
          <w:color w:val="auto"/>
          <w:kern w:val="0"/>
          <w:sz w:val="30"/>
          <w:szCs w:val="30"/>
          <w:lang w:eastAsia="zh-CN"/>
        </w:rPr>
        <w:br w:type="page"/>
      </w:r>
    </w:p>
    <w:p w14:paraId="63726A9B">
      <w:pPr>
        <w:spacing w:line="360" w:lineRule="auto"/>
        <w:jc w:val="center"/>
        <w:outlineLvl w:val="1"/>
        <w:rPr>
          <w:rFonts w:hint="default" w:ascii="Times New Roman" w:hAnsi="Times New Roman" w:eastAsia="CESI楷体-GB2312" w:cs="Times New Roman"/>
          <w:bCs/>
          <w:color w:val="auto"/>
          <w:sz w:val="32"/>
          <w:szCs w:val="32"/>
          <w:lang w:val="en-US" w:eastAsia="zh-CN"/>
        </w:rPr>
      </w:pPr>
      <w:r>
        <w:rPr>
          <w:rFonts w:hint="default" w:ascii="Times New Roman" w:hAnsi="Times New Roman" w:eastAsia="CESI楷体-GB2312" w:cs="Times New Roman"/>
          <w:bCs/>
          <w:color w:val="auto"/>
          <w:sz w:val="32"/>
          <w:szCs w:val="32"/>
          <w:lang w:val="en-US" w:eastAsia="zh-CN"/>
        </w:rPr>
        <w:t>商品包装和快递包装承诺书</w:t>
      </w:r>
    </w:p>
    <w:p w14:paraId="1253CA31">
      <w:pPr>
        <w:spacing w:line="360" w:lineRule="auto"/>
        <w:rPr>
          <w:rFonts w:hint="default" w:ascii="Times New Roman" w:hAnsi="Times New Roman" w:eastAsia="仿宋_GB2312" w:cs="Times New Roman"/>
          <w:bCs/>
          <w:color w:val="auto"/>
          <w:sz w:val="28"/>
          <w:szCs w:val="28"/>
          <w:lang w:eastAsia="zh-CN"/>
        </w:rPr>
      </w:pPr>
    </w:p>
    <w:p w14:paraId="292BD193">
      <w:pPr>
        <w:spacing w:line="360" w:lineRule="auto"/>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致：</w:t>
      </w:r>
      <w:r>
        <w:rPr>
          <w:rFonts w:hint="default" w:ascii="Times New Roman" w:hAnsi="Times New Roman" w:eastAsia="仿宋_GB2312" w:cs="Times New Roman"/>
          <w:bCs/>
          <w:color w:val="auto"/>
          <w:sz w:val="28"/>
          <w:szCs w:val="28"/>
          <w:u w:val="single"/>
          <w:lang w:val="en" w:eastAsia="zh-CN"/>
        </w:rPr>
        <w:t>河南省测绘地理信息技术中心</w:t>
      </w:r>
    </w:p>
    <w:p w14:paraId="5991C5D2">
      <w:pPr>
        <w:spacing w:line="360" w:lineRule="auto"/>
        <w:ind w:firstLine="6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我（单位/本人，以下统称我单位）自愿参加采购项目编号为</w:t>
      </w:r>
      <w:r>
        <w:rPr>
          <w:rFonts w:hint="default" w:ascii="Times New Roman" w:hAnsi="Times New Roman" w:eastAsia="仿宋_GB2312" w:cs="Times New Roman"/>
          <w:bCs/>
          <w:color w:val="auto"/>
          <w:sz w:val="28"/>
          <w:szCs w:val="28"/>
          <w:u w:val="single"/>
          <w:lang w:val="en" w:eastAsia="zh-CN"/>
        </w:rPr>
        <w:t>豫财招标采购-2026-891</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val="en-US" w:eastAsia="zh-CN"/>
        </w:rPr>
        <w:t>的</w:t>
      </w:r>
      <w:r>
        <w:rPr>
          <w:rFonts w:hint="eastAsia" w:ascii="Times New Roman" w:hAnsi="Times New Roman" w:eastAsia="仿宋_GB2312" w:cs="Times New Roman"/>
          <w:bCs/>
          <w:color w:val="auto"/>
          <w:sz w:val="28"/>
          <w:szCs w:val="28"/>
          <w:u w:val="single"/>
          <w:lang w:val="en-US" w:eastAsia="zh-CN"/>
        </w:rPr>
        <w:t>河南省测绘地理信息技术中心实景三维河南建设省级项目2025年软硬件采购项目</w:t>
      </w:r>
      <w:r>
        <w:rPr>
          <w:rFonts w:hint="default" w:ascii="Times New Roman" w:hAnsi="Times New Roman" w:eastAsia="仿宋_GB2312" w:cs="Times New Roman"/>
          <w:bCs/>
          <w:color w:val="auto"/>
          <w:sz w:val="28"/>
          <w:szCs w:val="28"/>
          <w:lang w:eastAsia="zh-CN"/>
        </w:rPr>
        <w:t>的投标，并做出如下承诺：</w:t>
      </w:r>
    </w:p>
    <w:p w14:paraId="3FD74F6E">
      <w:pPr>
        <w:spacing w:line="520" w:lineRule="exact"/>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为助力打好污染防治攻坚战，推广使用绿色包装，我公司响应《财政部等三部门联合印发商品包装和快递包装政府采购需求标准》（试行）(财办库〔2020〕123号)的有关规定。承诺严格按照《商品包装政府采购需求标准（试行）》、《快递包装政府采购需求标准（试行）》的条款执行。</w:t>
      </w:r>
    </w:p>
    <w:p w14:paraId="7B012B13">
      <w:pPr>
        <w:spacing w:line="520" w:lineRule="exact"/>
        <w:ind w:firstLine="560" w:firstLineChars="200"/>
        <w:rPr>
          <w:rFonts w:hint="default" w:ascii="Times New Roman" w:hAnsi="Times New Roman" w:eastAsia="仿宋_GB2312" w:cs="Times New Roman"/>
          <w:bCs/>
          <w:color w:val="auto"/>
          <w:sz w:val="28"/>
          <w:szCs w:val="28"/>
          <w:lang w:val="en" w:eastAsia="zh-CN"/>
        </w:rPr>
      </w:pPr>
      <w:r>
        <w:rPr>
          <w:rFonts w:hint="default" w:ascii="Times New Roman" w:hAnsi="Times New Roman" w:eastAsia="仿宋_GB2312" w:cs="Times New Roman"/>
          <w:bCs/>
          <w:color w:val="auto"/>
          <w:sz w:val="28"/>
          <w:szCs w:val="28"/>
          <w:lang w:eastAsia="zh-CN"/>
        </w:rPr>
        <w:t>我公司对以上承诺书内容的真实性负责，并承担相应的法律责任。</w:t>
      </w:r>
      <w:r>
        <w:rPr>
          <w:rFonts w:hint="default" w:ascii="Times New Roman" w:hAnsi="Times New Roman" w:eastAsia="仿宋_GB2312" w:cs="Times New Roman"/>
          <w:bCs/>
          <w:color w:val="auto"/>
          <w:sz w:val="28"/>
          <w:szCs w:val="28"/>
          <w:lang w:val="en" w:eastAsia="zh-CN"/>
        </w:rPr>
        <w:t xml:space="preserve">                    </w:t>
      </w:r>
    </w:p>
    <w:p w14:paraId="5FD0C137">
      <w:pPr>
        <w:pStyle w:val="77"/>
        <w:rPr>
          <w:rFonts w:hint="default" w:ascii="Times New Roman" w:hAnsi="Times New Roman" w:eastAsia="仿宋_GB2312" w:cs="Times New Roman"/>
          <w:bCs/>
          <w:color w:val="auto"/>
          <w:sz w:val="28"/>
          <w:szCs w:val="28"/>
          <w:lang w:val="en"/>
        </w:rPr>
      </w:pPr>
    </w:p>
    <w:p w14:paraId="12DB4DBE">
      <w:pPr>
        <w:pStyle w:val="44"/>
        <w:ind w:left="980" w:hanging="560"/>
        <w:rPr>
          <w:rFonts w:hint="default" w:ascii="Times New Roman" w:hAnsi="Times New Roman" w:eastAsia="仿宋_GB2312" w:cs="Times New Roman"/>
          <w:bCs/>
          <w:color w:val="auto"/>
          <w:sz w:val="28"/>
          <w:szCs w:val="28"/>
          <w:lang w:val="en" w:eastAsia="zh-CN"/>
        </w:rPr>
      </w:pPr>
    </w:p>
    <w:p w14:paraId="654196F6">
      <w:pPr>
        <w:rPr>
          <w:rFonts w:hint="default" w:ascii="Times New Roman" w:hAnsi="Times New Roman" w:cs="Times New Roman"/>
          <w:bCs/>
          <w:color w:val="auto"/>
          <w:lang w:val="en" w:eastAsia="zh-CN"/>
        </w:rPr>
      </w:pPr>
    </w:p>
    <w:p w14:paraId="75906650">
      <w:pPr>
        <w:spacing w:before="100" w:after="100" w:line="360" w:lineRule="auto"/>
        <w:ind w:firstLine="3960"/>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投标人（企业电子签章）：</w:t>
      </w:r>
      <w:r>
        <w:rPr>
          <w:rFonts w:hint="default" w:ascii="Times New Roman" w:hAnsi="Times New Roman" w:eastAsia="仿宋_GB2312" w:cs="Times New Roman"/>
          <w:bCs/>
          <w:color w:val="auto"/>
          <w:kern w:val="0"/>
          <w:sz w:val="28"/>
          <w:szCs w:val="28"/>
          <w:u w:val="single"/>
          <w:lang w:val="en-US" w:eastAsia="zh-CN"/>
        </w:rPr>
        <w:t xml:space="preserve">             </w:t>
      </w:r>
    </w:p>
    <w:p w14:paraId="607B8B51">
      <w:pPr>
        <w:spacing w:before="100" w:after="100" w:line="360" w:lineRule="auto"/>
        <w:ind w:firstLine="3960"/>
        <w:jc w:val="left"/>
        <w:rPr>
          <w:rFonts w:hint="default" w:ascii="Times New Roman" w:hAnsi="Times New Roman" w:eastAsia="仿宋_GB2312" w:cs="Times New Roman"/>
          <w:bCs/>
          <w:color w:val="auto"/>
          <w:kern w:val="0"/>
          <w:sz w:val="28"/>
          <w:szCs w:val="28"/>
          <w:u w:val="single"/>
          <w:lang w:eastAsia="zh-CN"/>
        </w:rPr>
      </w:pPr>
      <w:r>
        <w:rPr>
          <w:rFonts w:hint="default" w:ascii="Times New Roman" w:hAnsi="Times New Roman" w:eastAsia="仿宋_GB2312" w:cs="Times New Roman"/>
          <w:bCs/>
          <w:color w:val="auto"/>
          <w:kern w:val="0"/>
          <w:sz w:val="28"/>
          <w:szCs w:val="28"/>
          <w:lang w:eastAsia="zh-CN"/>
        </w:rPr>
        <w:t>日　期：</w:t>
      </w:r>
      <w:r>
        <w:rPr>
          <w:rFonts w:hint="default" w:ascii="Times New Roman" w:hAnsi="Times New Roman" w:eastAsia="仿宋_GB2312" w:cs="Times New Roman"/>
          <w:bCs/>
          <w:color w:val="auto"/>
          <w:kern w:val="0"/>
          <w:sz w:val="28"/>
          <w:szCs w:val="28"/>
          <w:u w:val="single"/>
          <w:lang w:val="en-US" w:eastAsia="zh-CN"/>
        </w:rPr>
        <w:t xml:space="preserve">             </w:t>
      </w:r>
    </w:p>
    <w:p w14:paraId="16F79CF7">
      <w:pPr>
        <w:tabs>
          <w:tab w:val="left" w:pos="4860"/>
        </w:tabs>
        <w:spacing w:line="360" w:lineRule="auto"/>
        <w:ind w:right="1560" w:firstLine="444" w:firstLineChars="200"/>
        <w:jc w:val="center"/>
        <w:rPr>
          <w:rFonts w:hint="default" w:ascii="Times New Roman" w:hAnsi="Times New Roman" w:cs="Times New Roman"/>
          <w:bCs/>
          <w:color w:val="auto"/>
          <w:spacing w:val="6"/>
          <w:lang w:eastAsia="zh-CN"/>
        </w:rPr>
      </w:pPr>
    </w:p>
    <w:p w14:paraId="460CFA34">
      <w:pPr>
        <w:pStyle w:val="52"/>
        <w:spacing w:line="520" w:lineRule="exact"/>
        <w:ind w:firstLine="4771" w:firstLineChars="1704"/>
        <w:rPr>
          <w:rFonts w:hint="default" w:ascii="Times New Roman" w:hAnsi="Times New Roman" w:eastAsia="仿宋_GB2312" w:cs="Times New Roman"/>
          <w:bCs/>
          <w:kern w:val="2"/>
          <w:sz w:val="28"/>
          <w:szCs w:val="28"/>
          <w:lang w:val="zh-TW"/>
        </w:rPr>
      </w:pPr>
    </w:p>
    <w:p w14:paraId="16F9425F">
      <w:pPr>
        <w:ind w:firstLine="420" w:firstLineChars="200"/>
        <w:rPr>
          <w:rFonts w:hint="default" w:ascii="Times New Roman" w:hAnsi="Times New Roman" w:eastAsia="宋体" w:cs="Times New Roman"/>
          <w:bCs/>
          <w:color w:val="auto"/>
          <w:lang w:val="en-US" w:eastAsia="zh-CN"/>
        </w:rPr>
      </w:pPr>
    </w:p>
    <w:p w14:paraId="3401A2BE">
      <w:pPr>
        <w:ind w:firstLine="420" w:firstLineChars="200"/>
        <w:rPr>
          <w:rFonts w:hint="default" w:ascii="Times New Roman" w:hAnsi="Times New Roman" w:eastAsia="宋体" w:cs="Times New Roman"/>
          <w:bCs/>
          <w:color w:val="auto"/>
          <w:lang w:val="en-US" w:eastAsia="zh-CN"/>
        </w:rPr>
      </w:pPr>
    </w:p>
    <w:p w14:paraId="3C3232BB">
      <w:pPr>
        <w:pStyle w:val="3"/>
        <w:jc w:val="center"/>
        <w:rPr>
          <w:rFonts w:hint="default" w:ascii="Times New Roman" w:hAnsi="Times New Roman" w:eastAsia="方正小标宋_GBK" w:cs="Times New Roman"/>
          <w:b w:val="0"/>
          <w:color w:val="auto"/>
          <w:sz w:val="30"/>
          <w:szCs w:val="30"/>
          <w:lang w:eastAsia="zh-CN"/>
        </w:rPr>
      </w:pPr>
      <w:r>
        <w:rPr>
          <w:rFonts w:hint="default" w:ascii="Times New Roman" w:hAnsi="Times New Roman" w:cs="Times New Roman"/>
          <w:b w:val="0"/>
          <w:color w:val="auto"/>
          <w:szCs w:val="20"/>
          <w:lang w:eastAsia="zh-CN"/>
        </w:rPr>
        <w:br w:type="page"/>
      </w:r>
      <w:r>
        <w:rPr>
          <w:rFonts w:hint="default" w:ascii="Times New Roman" w:hAnsi="Times New Roman" w:eastAsia="方正小标宋_GBK" w:cs="Times New Roman"/>
          <w:b w:val="0"/>
          <w:color w:val="auto"/>
          <w:sz w:val="30"/>
          <w:szCs w:val="30"/>
          <w:lang w:val="en-US" w:eastAsia="zh-CN"/>
        </w:rPr>
        <w:t>五、</w:t>
      </w:r>
      <w:r>
        <w:rPr>
          <w:rFonts w:hint="default" w:ascii="Times New Roman" w:hAnsi="Times New Roman" w:eastAsia="方正小标宋_GBK" w:cs="Times New Roman"/>
          <w:b w:val="0"/>
          <w:color w:val="auto"/>
          <w:sz w:val="30"/>
          <w:szCs w:val="30"/>
          <w:lang w:eastAsia="zh-CN"/>
        </w:rPr>
        <w:t>商务条款偏离表</w:t>
      </w:r>
      <w:bookmarkEnd w:id="400"/>
      <w:bookmarkEnd w:id="401"/>
      <w:bookmarkEnd w:id="407"/>
      <w:bookmarkEnd w:id="408"/>
      <w:bookmarkEnd w:id="409"/>
      <w:bookmarkEnd w:id="410"/>
      <w:bookmarkEnd w:id="411"/>
    </w:p>
    <w:p w14:paraId="7D13455F">
      <w:pPr>
        <w:pStyle w:val="29"/>
        <w:spacing w:line="360" w:lineRule="auto"/>
        <w:ind w:left="269" w:leftChars="128"/>
        <w:rPr>
          <w:rFonts w:hint="default" w:ascii="Times New Roman" w:hAnsi="Times New Roman" w:cs="Times New Roman"/>
          <w:bCs/>
          <w:sz w:val="24"/>
          <w:szCs w:val="24"/>
          <w:lang w:eastAsia="zh-CN"/>
        </w:rPr>
      </w:pPr>
      <w:r>
        <w:rPr>
          <w:rFonts w:hint="default" w:ascii="Times New Roman" w:hAnsi="Times New Roman" w:cs="Times New Roman"/>
          <w:bCs/>
          <w:sz w:val="24"/>
          <w:szCs w:val="24"/>
          <w:lang w:eastAsia="zh-CN"/>
        </w:rPr>
        <w:t xml:space="preserve">  </w:t>
      </w:r>
    </w:p>
    <w:tbl>
      <w:tblPr>
        <w:tblStyle w:val="59"/>
        <w:tblW w:w="0" w:type="auto"/>
        <w:tblInd w:w="-10" w:type="dxa"/>
        <w:tblLayout w:type="fixed"/>
        <w:tblCellMar>
          <w:top w:w="0" w:type="dxa"/>
          <w:left w:w="108" w:type="dxa"/>
          <w:bottom w:w="0" w:type="dxa"/>
          <w:right w:w="108" w:type="dxa"/>
        </w:tblCellMar>
      </w:tblPr>
      <w:tblGrid>
        <w:gridCol w:w="5775"/>
        <w:gridCol w:w="2738"/>
      </w:tblGrid>
      <w:tr w14:paraId="251DB6D3">
        <w:tblPrEx>
          <w:tblCellMar>
            <w:top w:w="0" w:type="dxa"/>
            <w:left w:w="108" w:type="dxa"/>
            <w:bottom w:w="0" w:type="dxa"/>
            <w:right w:w="108" w:type="dxa"/>
          </w:tblCellMar>
        </w:tblPrEx>
        <w:tc>
          <w:tcPr>
            <w:tcW w:w="5775" w:type="dxa"/>
          </w:tcPr>
          <w:p w14:paraId="38DF0819">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采购编号：</w:t>
            </w:r>
            <w:r>
              <w:rPr>
                <w:rFonts w:hint="default" w:ascii="Times New Roman" w:hAnsi="Times New Roman" w:eastAsia="仿宋_GB2312" w:cs="Times New Roman"/>
                <w:bCs/>
                <w:color w:val="auto"/>
                <w:sz w:val="28"/>
                <w:szCs w:val="28"/>
                <w:u w:val="single"/>
                <w:lang w:val="en" w:eastAsia="zh-CN"/>
              </w:rPr>
              <w:t>豫财招标采购-2026-891</w:t>
            </w:r>
            <w:r>
              <w:rPr>
                <w:rFonts w:hint="default" w:ascii="Times New Roman" w:hAnsi="Times New Roman" w:eastAsia="仿宋_GB2312" w:cs="Times New Roman"/>
                <w:bCs/>
                <w:color w:val="auto"/>
                <w:sz w:val="28"/>
                <w:szCs w:val="28"/>
                <w:u w:val="single"/>
                <w:lang w:val="en-US" w:eastAsia="zh-CN"/>
              </w:rPr>
              <w:t xml:space="preserve"> </w:t>
            </w:r>
          </w:p>
        </w:tc>
        <w:tc>
          <w:tcPr>
            <w:tcW w:w="2738" w:type="dxa"/>
          </w:tcPr>
          <w:p w14:paraId="523856F1">
            <w:pPr>
              <w:spacing w:line="440" w:lineRule="exact"/>
              <w:rPr>
                <w:rFonts w:hint="default" w:ascii="Times New Roman" w:hAnsi="Times New Roman" w:eastAsia="仿宋_GB2312" w:cs="Times New Roman"/>
                <w:bCs/>
                <w:color w:val="auto"/>
                <w:sz w:val="28"/>
                <w:szCs w:val="28"/>
                <w:u w:val="single"/>
                <w:lang w:val="en-US" w:eastAsia="zh-CN"/>
              </w:rPr>
            </w:pPr>
          </w:p>
        </w:tc>
      </w:tr>
    </w:tbl>
    <w:p w14:paraId="2423226A">
      <w:pPr>
        <w:pStyle w:val="29"/>
        <w:spacing w:line="360" w:lineRule="auto"/>
        <w:ind w:left="269" w:leftChars="128"/>
        <w:rPr>
          <w:rFonts w:hint="default" w:ascii="Times New Roman" w:hAnsi="Times New Roman" w:cs="Times New Roman"/>
          <w:bCs/>
          <w:sz w:val="2"/>
          <w:szCs w:val="2"/>
          <w:lang w:eastAsia="zh-CN"/>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3109"/>
        <w:gridCol w:w="3109"/>
        <w:gridCol w:w="1110"/>
      </w:tblGrid>
      <w:tr w14:paraId="0491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169" w:type="dxa"/>
            <w:vAlign w:val="center"/>
          </w:tcPr>
          <w:p w14:paraId="165DFFB3">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序号</w:t>
            </w:r>
          </w:p>
        </w:tc>
        <w:tc>
          <w:tcPr>
            <w:tcW w:w="3109" w:type="dxa"/>
            <w:vAlign w:val="center"/>
          </w:tcPr>
          <w:p w14:paraId="5CCFB418">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招标文件的商务条款</w:t>
            </w:r>
          </w:p>
        </w:tc>
        <w:tc>
          <w:tcPr>
            <w:tcW w:w="3109" w:type="dxa"/>
            <w:vAlign w:val="center"/>
          </w:tcPr>
          <w:p w14:paraId="7F4ACFBC">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投标文件的商务条款</w:t>
            </w:r>
          </w:p>
        </w:tc>
        <w:tc>
          <w:tcPr>
            <w:tcW w:w="1110" w:type="dxa"/>
            <w:vAlign w:val="center"/>
          </w:tcPr>
          <w:p w14:paraId="3EB4E383">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说明</w:t>
            </w:r>
          </w:p>
        </w:tc>
      </w:tr>
      <w:tr w14:paraId="66CA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20D2D1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3A15064">
            <w:pPr>
              <w:pStyle w:val="29"/>
              <w:spacing w:line="360" w:lineRule="auto"/>
              <w:ind w:left="540" w:leftChars="257" w:firstLine="480"/>
              <w:jc w:val="center"/>
              <w:rPr>
                <w:rFonts w:hint="default" w:ascii="Times New Roman" w:hAnsi="Times New Roman" w:cs="Times New Roman"/>
                <w:bCs/>
                <w:kern w:val="2"/>
                <w:sz w:val="24"/>
                <w:szCs w:val="24"/>
                <w:lang w:val="en-US" w:eastAsia="zh-CN"/>
              </w:rPr>
            </w:pPr>
          </w:p>
        </w:tc>
        <w:tc>
          <w:tcPr>
            <w:tcW w:w="3109" w:type="dxa"/>
          </w:tcPr>
          <w:p w14:paraId="6F2799FD">
            <w:pPr>
              <w:pStyle w:val="29"/>
              <w:spacing w:line="360" w:lineRule="auto"/>
              <w:ind w:left="540" w:leftChars="257" w:firstLine="480"/>
              <w:jc w:val="center"/>
              <w:rPr>
                <w:rFonts w:hint="default" w:ascii="Times New Roman" w:hAnsi="Times New Roman" w:cs="Times New Roman"/>
                <w:bCs/>
                <w:kern w:val="2"/>
                <w:sz w:val="24"/>
                <w:szCs w:val="24"/>
                <w:lang w:val="en-US" w:eastAsia="zh-CN"/>
              </w:rPr>
            </w:pPr>
          </w:p>
        </w:tc>
        <w:tc>
          <w:tcPr>
            <w:tcW w:w="1110" w:type="dxa"/>
          </w:tcPr>
          <w:p w14:paraId="30845DC3">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2762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79E63A30">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02E0A94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2FB9524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3ABC4842">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6569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46E96BF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000CECF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067A306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2A743574">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79C7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83A767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36382DB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5F55A483">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6FBB1F68">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360A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AB415D9">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F4FD7B6">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261B9E1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2003C4DC">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54B1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76FFFFC3">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066E0346">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72DCB2C6">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3A0909C9">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5F63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1D105C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1E61BAA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4EC13A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0AD984D7">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424C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C84292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774A1AA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1B72E00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764865FB">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6DA1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125AEE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A432AD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762E8CA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5CCDCA0D">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310E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41A9ED2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1F1358E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7D4FE1B2">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1C57ED52">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3D7A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169" w:type="dxa"/>
          </w:tcPr>
          <w:p w14:paraId="025412E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17A7A1B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09" w:type="dxa"/>
          </w:tcPr>
          <w:p w14:paraId="654B844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110" w:type="dxa"/>
          </w:tcPr>
          <w:p w14:paraId="527CE7DB">
            <w:pPr>
              <w:pStyle w:val="29"/>
              <w:spacing w:line="360" w:lineRule="auto"/>
              <w:ind w:left="540" w:leftChars="257" w:firstLine="480"/>
              <w:rPr>
                <w:rFonts w:hint="default" w:ascii="Times New Roman" w:hAnsi="Times New Roman" w:cs="Times New Roman"/>
                <w:bCs/>
                <w:kern w:val="2"/>
                <w:sz w:val="24"/>
                <w:szCs w:val="24"/>
                <w:lang w:val="en-US" w:eastAsia="zh-CN"/>
              </w:rPr>
            </w:pPr>
          </w:p>
        </w:tc>
      </w:tr>
    </w:tbl>
    <w:p w14:paraId="28D452B0">
      <w:pPr>
        <w:pStyle w:val="29"/>
        <w:spacing w:line="360" w:lineRule="auto"/>
        <w:rPr>
          <w:rFonts w:hint="default" w:ascii="Times New Roman" w:hAnsi="Times New Roman" w:cs="Times New Roman"/>
          <w:bCs/>
          <w:sz w:val="24"/>
          <w:szCs w:val="24"/>
        </w:rPr>
      </w:pPr>
    </w:p>
    <w:p w14:paraId="1DECB0F3">
      <w:pPr>
        <w:pStyle w:val="29"/>
        <w:spacing w:line="360" w:lineRule="auto"/>
        <w:rPr>
          <w:rFonts w:hint="default" w:ascii="Times New Roman" w:hAnsi="Times New Roman" w:cs="Times New Roman"/>
          <w:bCs/>
          <w:sz w:val="24"/>
          <w:szCs w:val="24"/>
          <w:lang w:eastAsia="zh-CN"/>
        </w:rPr>
      </w:pPr>
      <w:r>
        <w:rPr>
          <w:rFonts w:hint="default" w:ascii="Times New Roman" w:hAnsi="Times New Roman" w:cs="Times New Roman"/>
          <w:bCs/>
          <w:sz w:val="24"/>
          <w:szCs w:val="24"/>
          <w:lang w:eastAsia="zh-CN"/>
        </w:rPr>
        <w:t>投标人（企业电子签章）：</w:t>
      </w:r>
      <w:r>
        <w:rPr>
          <w:rFonts w:hint="default" w:ascii="Times New Roman" w:hAnsi="Times New Roman" w:cs="Times New Roman"/>
          <w:bCs/>
          <w:sz w:val="24"/>
          <w:szCs w:val="24"/>
          <w:u w:val="single"/>
          <w:lang w:eastAsia="zh-CN"/>
        </w:rPr>
        <w:t xml:space="preserve">                 </w:t>
      </w:r>
    </w:p>
    <w:p w14:paraId="6F10E2AF">
      <w:pPr>
        <w:pStyle w:val="3"/>
        <w:jc w:val="center"/>
        <w:rPr>
          <w:rFonts w:hint="default" w:ascii="Times New Roman" w:hAnsi="Times New Roman" w:eastAsia="方正小标宋_GBK" w:cs="Times New Roman"/>
          <w:b w:val="0"/>
          <w:color w:val="auto"/>
          <w:sz w:val="30"/>
          <w:szCs w:val="30"/>
        </w:rPr>
      </w:pPr>
      <w:bookmarkStart w:id="412" w:name="_Hlt520350957"/>
      <w:bookmarkEnd w:id="412"/>
      <w:bookmarkStart w:id="413" w:name="_Hlt520273711"/>
      <w:bookmarkEnd w:id="413"/>
      <w:bookmarkStart w:id="414" w:name="_Hlt520274407"/>
      <w:bookmarkEnd w:id="414"/>
      <w:bookmarkStart w:id="415" w:name="_Hlt520274393"/>
      <w:bookmarkEnd w:id="415"/>
      <w:bookmarkStart w:id="416" w:name="_Hlt520274911"/>
      <w:bookmarkEnd w:id="416"/>
      <w:bookmarkStart w:id="417" w:name="_Hlt520350918"/>
      <w:bookmarkEnd w:id="417"/>
      <w:bookmarkStart w:id="418" w:name="_Hlt520274065"/>
      <w:bookmarkEnd w:id="418"/>
      <w:bookmarkStart w:id="419" w:name="_Hlt520343392"/>
      <w:bookmarkEnd w:id="419"/>
      <w:bookmarkStart w:id="420" w:name="_Hlt520343000"/>
      <w:bookmarkEnd w:id="420"/>
      <w:bookmarkStart w:id="421" w:name="_Hlt520273973"/>
      <w:bookmarkEnd w:id="421"/>
      <w:bookmarkStart w:id="422" w:name="_Hlt520271212"/>
      <w:bookmarkEnd w:id="422"/>
      <w:r>
        <w:rPr>
          <w:rFonts w:hint="default" w:ascii="Times New Roman" w:hAnsi="Times New Roman" w:cs="Times New Roman"/>
          <w:b w:val="0"/>
          <w:color w:val="auto"/>
          <w:sz w:val="28"/>
          <w:szCs w:val="28"/>
          <w:lang w:eastAsia="zh-CN"/>
        </w:rPr>
        <w:br w:type="page"/>
      </w:r>
      <w:bookmarkStart w:id="423" w:name="_Toc142693684"/>
      <w:bookmarkStart w:id="424" w:name="_Toc987616865"/>
      <w:bookmarkStart w:id="425" w:name="_Toc960186873"/>
      <w:bookmarkStart w:id="426" w:name="_Toc37830125"/>
      <w:bookmarkStart w:id="427" w:name="_Toc104654542"/>
      <w:bookmarkStart w:id="428" w:name="_Toc1764653932"/>
      <w:bookmarkStart w:id="429" w:name="_Toc804892690"/>
      <w:r>
        <w:rPr>
          <w:rFonts w:hint="default" w:ascii="Times New Roman" w:hAnsi="Times New Roman" w:eastAsia="方正小标宋_GBK" w:cs="Times New Roman"/>
          <w:b w:val="0"/>
          <w:color w:val="auto"/>
          <w:sz w:val="30"/>
          <w:szCs w:val="30"/>
          <w:lang w:val="en-US" w:eastAsia="zh-CN"/>
        </w:rPr>
        <w:t>六、</w:t>
      </w:r>
      <w:r>
        <w:rPr>
          <w:rFonts w:hint="default" w:ascii="Times New Roman" w:hAnsi="Times New Roman" w:eastAsia="方正小标宋_GBK" w:cs="Times New Roman"/>
          <w:b w:val="0"/>
          <w:color w:val="auto"/>
          <w:sz w:val="30"/>
          <w:szCs w:val="30"/>
          <w:lang w:eastAsia="zh-CN"/>
        </w:rPr>
        <w:t>技术规格偏离表</w:t>
      </w:r>
      <w:bookmarkEnd w:id="402"/>
      <w:bookmarkEnd w:id="403"/>
      <w:bookmarkEnd w:id="404"/>
      <w:bookmarkEnd w:id="405"/>
      <w:bookmarkEnd w:id="423"/>
      <w:bookmarkEnd w:id="424"/>
      <w:bookmarkEnd w:id="425"/>
      <w:bookmarkEnd w:id="426"/>
      <w:bookmarkEnd w:id="427"/>
      <w:bookmarkEnd w:id="428"/>
      <w:bookmarkEnd w:id="429"/>
    </w:p>
    <w:p w14:paraId="70C411D7">
      <w:pPr>
        <w:pStyle w:val="29"/>
        <w:spacing w:line="360" w:lineRule="auto"/>
        <w:ind w:left="540" w:leftChars="257" w:firstLine="480"/>
        <w:rPr>
          <w:rFonts w:hint="default" w:ascii="Times New Roman" w:hAnsi="Times New Roman" w:cs="Times New Roman"/>
          <w:bCs/>
          <w:sz w:val="24"/>
          <w:szCs w:val="24"/>
        </w:rPr>
      </w:pPr>
    </w:p>
    <w:tbl>
      <w:tblPr>
        <w:tblStyle w:val="59"/>
        <w:tblW w:w="0" w:type="auto"/>
        <w:tblInd w:w="-47" w:type="dxa"/>
        <w:tblLayout w:type="fixed"/>
        <w:tblCellMar>
          <w:top w:w="0" w:type="dxa"/>
          <w:left w:w="108" w:type="dxa"/>
          <w:bottom w:w="0" w:type="dxa"/>
          <w:right w:w="108" w:type="dxa"/>
        </w:tblCellMar>
      </w:tblPr>
      <w:tblGrid>
        <w:gridCol w:w="5812"/>
        <w:gridCol w:w="2788"/>
      </w:tblGrid>
      <w:tr w14:paraId="45B0522D">
        <w:tblPrEx>
          <w:tblCellMar>
            <w:top w:w="0" w:type="dxa"/>
            <w:left w:w="108" w:type="dxa"/>
            <w:bottom w:w="0" w:type="dxa"/>
            <w:right w:w="108" w:type="dxa"/>
          </w:tblCellMar>
        </w:tblPrEx>
        <w:tc>
          <w:tcPr>
            <w:tcW w:w="5812" w:type="dxa"/>
          </w:tcPr>
          <w:p w14:paraId="6AC09253">
            <w:pPr>
              <w:spacing w:line="44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eastAsia="zh-CN"/>
              </w:rPr>
              <w:t>采购编号：豫财招标采购-2026-891</w:t>
            </w:r>
          </w:p>
        </w:tc>
        <w:tc>
          <w:tcPr>
            <w:tcW w:w="2788" w:type="dxa"/>
          </w:tcPr>
          <w:p w14:paraId="3BAB046A">
            <w:pPr>
              <w:spacing w:line="440" w:lineRule="exact"/>
              <w:rPr>
                <w:rFonts w:hint="default" w:ascii="Times New Roman" w:hAnsi="Times New Roman" w:eastAsia="仿宋_GB2312" w:cs="Times New Roman"/>
                <w:bCs/>
                <w:color w:val="auto"/>
                <w:sz w:val="28"/>
                <w:szCs w:val="28"/>
                <w:u w:val="single"/>
                <w:lang w:val="en-US" w:eastAsia="zh-CN"/>
              </w:rPr>
            </w:pPr>
          </w:p>
        </w:tc>
      </w:tr>
    </w:tbl>
    <w:p w14:paraId="33A3F045">
      <w:pPr>
        <w:pStyle w:val="29"/>
        <w:spacing w:line="360" w:lineRule="auto"/>
        <w:rPr>
          <w:rFonts w:hint="default" w:ascii="Times New Roman" w:hAnsi="Times New Roman" w:cs="Times New Roman"/>
          <w:bCs/>
          <w:sz w:val="2"/>
          <w:szCs w:val="2"/>
          <w:lang w:val="en-US" w:eastAsia="zh-CN"/>
        </w:rPr>
      </w:pP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195"/>
        <w:gridCol w:w="1245"/>
        <w:gridCol w:w="1320"/>
        <w:gridCol w:w="1050"/>
        <w:gridCol w:w="1068"/>
      </w:tblGrid>
      <w:tr w14:paraId="22C0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vAlign w:val="center"/>
          </w:tcPr>
          <w:p w14:paraId="38E760A0">
            <w:pPr>
              <w:pStyle w:val="29"/>
              <w:spacing w:line="360" w:lineRule="auto"/>
              <w:ind w:left="-31" w:leftChars="-15"/>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序号</w:t>
            </w:r>
          </w:p>
        </w:tc>
        <w:tc>
          <w:tcPr>
            <w:tcW w:w="3195" w:type="dxa"/>
            <w:vAlign w:val="center"/>
          </w:tcPr>
          <w:p w14:paraId="3DA18A18">
            <w:pPr>
              <w:pStyle w:val="29"/>
              <w:spacing w:line="360" w:lineRule="auto"/>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货物名称及伴随服务内容</w:t>
            </w:r>
          </w:p>
        </w:tc>
        <w:tc>
          <w:tcPr>
            <w:tcW w:w="1245" w:type="dxa"/>
            <w:vAlign w:val="center"/>
          </w:tcPr>
          <w:p w14:paraId="67BF1A2A">
            <w:pPr>
              <w:pStyle w:val="29"/>
              <w:spacing w:line="360" w:lineRule="auto"/>
              <w:ind w:left="-206" w:leftChars="-98" w:right="-166" w:rightChars="-7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招标要求</w:t>
            </w:r>
          </w:p>
        </w:tc>
        <w:tc>
          <w:tcPr>
            <w:tcW w:w="1320" w:type="dxa"/>
            <w:vAlign w:val="center"/>
          </w:tcPr>
          <w:p w14:paraId="0A26FB66">
            <w:pPr>
              <w:pStyle w:val="29"/>
              <w:spacing w:line="360" w:lineRule="auto"/>
              <w:ind w:left="-48" w:leftChars="-23"/>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投标响应</w:t>
            </w:r>
          </w:p>
        </w:tc>
        <w:tc>
          <w:tcPr>
            <w:tcW w:w="1050" w:type="dxa"/>
            <w:vAlign w:val="center"/>
          </w:tcPr>
          <w:p w14:paraId="7F7410FA">
            <w:pPr>
              <w:pStyle w:val="29"/>
              <w:spacing w:line="360" w:lineRule="auto"/>
              <w:ind w:left="-34" w:leftChars="-16"/>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偏离</w:t>
            </w:r>
          </w:p>
        </w:tc>
        <w:tc>
          <w:tcPr>
            <w:tcW w:w="1068" w:type="dxa"/>
            <w:vAlign w:val="center"/>
          </w:tcPr>
          <w:p w14:paraId="07405045">
            <w:pPr>
              <w:pStyle w:val="29"/>
              <w:spacing w:line="360" w:lineRule="auto"/>
              <w:ind w:left="-82" w:leftChars="-39"/>
              <w:jc w:val="center"/>
              <w:rPr>
                <w:rFonts w:hint="default" w:ascii="Times New Roman" w:hAnsi="Times New Roman" w:cs="Times New Roman"/>
                <w:bCs/>
                <w:kern w:val="2"/>
                <w:sz w:val="24"/>
                <w:szCs w:val="24"/>
                <w:lang w:val="en-US" w:eastAsia="zh-CN"/>
              </w:rPr>
            </w:pPr>
            <w:r>
              <w:rPr>
                <w:rFonts w:hint="default" w:ascii="Times New Roman" w:hAnsi="Times New Roman" w:cs="Times New Roman"/>
                <w:bCs/>
                <w:kern w:val="2"/>
                <w:sz w:val="24"/>
                <w:szCs w:val="24"/>
                <w:lang w:val="en-US" w:eastAsia="zh-CN"/>
              </w:rPr>
              <w:t>说明</w:t>
            </w:r>
          </w:p>
        </w:tc>
      </w:tr>
      <w:tr w14:paraId="2434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0B10BB4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3A5ACE09">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2BB4DA6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6AC29CD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29A7FB7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C2C3050">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444E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4C68011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5694F2E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7213DAB2">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3174E3EB">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5B524B8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4850C927">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7DA3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2ED7C303">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2E0FFC5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42CF2F4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556302C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148F7CB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58F4025D">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0309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0E389E8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2C13154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37DA91E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44B47D4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5EB5226A">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7A8157B2">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5DD7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7D7AD4D0">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1395673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6DE4181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1CAC005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54F8CFE3">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070EAF9">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7C7D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31695980">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36BF7516">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0756E13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416FAD91">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0C8619F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21DF12D">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136D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2DEBEB8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1D05FFD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73FFD4C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22692EC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69E2E71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9D8B6AC">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2253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0DA7A48F">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36F3A3D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3F173C5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4DB0D21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49DADBB5">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28CAF50B">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0B8D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tcPr>
          <w:p w14:paraId="7F15B63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34F6959B">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1C417AC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5CF523B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57AFBFBC">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309904D1">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1B96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8" w:type="dxa"/>
          </w:tcPr>
          <w:p w14:paraId="22949D90">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68CF042A">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0DB5234D">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600482D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059E65A4">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3FEF4D01">
            <w:pPr>
              <w:pStyle w:val="29"/>
              <w:spacing w:line="360" w:lineRule="auto"/>
              <w:ind w:left="540" w:leftChars="257" w:firstLine="480"/>
              <w:rPr>
                <w:rFonts w:hint="default" w:ascii="Times New Roman" w:hAnsi="Times New Roman" w:cs="Times New Roman"/>
                <w:bCs/>
                <w:kern w:val="2"/>
                <w:sz w:val="24"/>
                <w:szCs w:val="24"/>
                <w:lang w:val="en-US" w:eastAsia="zh-CN"/>
              </w:rPr>
            </w:pPr>
          </w:p>
        </w:tc>
      </w:tr>
      <w:tr w14:paraId="2B55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tcPr>
          <w:p w14:paraId="4575750E">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3195" w:type="dxa"/>
          </w:tcPr>
          <w:p w14:paraId="4290FE9B">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245" w:type="dxa"/>
          </w:tcPr>
          <w:p w14:paraId="36F78918">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320" w:type="dxa"/>
          </w:tcPr>
          <w:p w14:paraId="5D27C2D7">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50" w:type="dxa"/>
          </w:tcPr>
          <w:p w14:paraId="2ABA4B79">
            <w:pPr>
              <w:pStyle w:val="29"/>
              <w:spacing w:line="360" w:lineRule="auto"/>
              <w:ind w:left="540" w:leftChars="257" w:firstLine="480"/>
              <w:rPr>
                <w:rFonts w:hint="default" w:ascii="Times New Roman" w:hAnsi="Times New Roman" w:cs="Times New Roman"/>
                <w:bCs/>
                <w:kern w:val="2"/>
                <w:sz w:val="24"/>
                <w:szCs w:val="24"/>
                <w:lang w:val="en-US" w:eastAsia="zh-CN"/>
              </w:rPr>
            </w:pPr>
          </w:p>
        </w:tc>
        <w:tc>
          <w:tcPr>
            <w:tcW w:w="1068" w:type="dxa"/>
          </w:tcPr>
          <w:p w14:paraId="0E7E4530">
            <w:pPr>
              <w:pStyle w:val="29"/>
              <w:spacing w:line="360" w:lineRule="auto"/>
              <w:ind w:left="540" w:leftChars="257" w:firstLine="480"/>
              <w:rPr>
                <w:rFonts w:hint="default" w:ascii="Times New Roman" w:hAnsi="Times New Roman" w:cs="Times New Roman"/>
                <w:bCs/>
                <w:kern w:val="2"/>
                <w:sz w:val="24"/>
                <w:szCs w:val="24"/>
                <w:lang w:val="en-US" w:eastAsia="zh-CN"/>
              </w:rPr>
            </w:pPr>
          </w:p>
        </w:tc>
      </w:tr>
    </w:tbl>
    <w:p w14:paraId="50F49F45">
      <w:pPr>
        <w:pStyle w:val="29"/>
        <w:spacing w:line="360" w:lineRule="auto"/>
        <w:ind w:left="540" w:leftChars="257" w:firstLine="480"/>
        <w:rPr>
          <w:rFonts w:hint="default" w:ascii="Times New Roman" w:hAnsi="Times New Roman" w:cs="Times New Roman"/>
          <w:bCs/>
          <w:sz w:val="24"/>
          <w:szCs w:val="24"/>
        </w:rPr>
      </w:pPr>
    </w:p>
    <w:p w14:paraId="3C54793A">
      <w:pPr>
        <w:pStyle w:val="77"/>
        <w:jc w:val="center"/>
        <w:rPr>
          <w:rFonts w:hint="default" w:ascii="Times New Roman" w:hAnsi="Times New Roman" w:cs="Times New Roman"/>
          <w:bCs/>
          <w:color w:val="auto"/>
          <w:u w:val="single"/>
        </w:rPr>
      </w:pPr>
      <w:r>
        <w:rPr>
          <w:rFonts w:hint="default" w:ascii="Times New Roman" w:hAnsi="Times New Roman" w:cs="Times New Roman"/>
          <w:bCs/>
          <w:color w:val="auto"/>
        </w:rPr>
        <w:t>投标人（企业电子签章）：</w:t>
      </w:r>
      <w:r>
        <w:rPr>
          <w:rFonts w:hint="default" w:ascii="Times New Roman" w:hAnsi="Times New Roman" w:cs="Times New Roman"/>
          <w:bCs/>
          <w:color w:val="auto"/>
          <w:u w:val="single"/>
        </w:rPr>
        <w:t xml:space="preserve">                 </w:t>
      </w:r>
    </w:p>
    <w:p w14:paraId="2E57E79C">
      <w:pPr>
        <w:pStyle w:val="3"/>
        <w:jc w:val="center"/>
        <w:rPr>
          <w:rFonts w:hint="default" w:ascii="Times New Roman" w:hAnsi="Times New Roman" w:eastAsia="方正小标宋_GBK" w:cs="Times New Roman"/>
          <w:b w:val="0"/>
          <w:color w:val="auto"/>
          <w:sz w:val="30"/>
          <w:szCs w:val="30"/>
          <w:lang w:eastAsia="zh-CN"/>
        </w:rPr>
      </w:pPr>
      <w:r>
        <w:rPr>
          <w:rFonts w:hint="default" w:ascii="Times New Roman" w:hAnsi="Times New Roman" w:cs="Times New Roman"/>
          <w:b w:val="0"/>
          <w:color w:val="auto"/>
          <w:lang w:eastAsia="zh-CN"/>
        </w:rPr>
        <w:br w:type="page"/>
      </w:r>
      <w:bookmarkEnd w:id="406"/>
      <w:bookmarkStart w:id="430" w:name="_Toc42148613"/>
      <w:bookmarkStart w:id="431" w:name="_Toc2003907413"/>
      <w:bookmarkStart w:id="432" w:name="_Toc1407304042"/>
      <w:bookmarkStart w:id="433" w:name="_Toc1531555161"/>
      <w:bookmarkStart w:id="434" w:name="_Toc71543325"/>
      <w:bookmarkStart w:id="435" w:name="_Toc1783728506"/>
      <w:bookmarkStart w:id="436" w:name="_Toc1191518010"/>
      <w:bookmarkStart w:id="437" w:name="_Toc91783675"/>
      <w:bookmarkStart w:id="438" w:name="_Toc374912780"/>
      <w:bookmarkStart w:id="439" w:name="_Toc642155508"/>
      <w:r>
        <w:rPr>
          <w:rFonts w:hint="default" w:ascii="Times New Roman" w:hAnsi="Times New Roman" w:eastAsia="方正小标宋_GBK" w:cs="Times New Roman"/>
          <w:b w:val="0"/>
          <w:color w:val="auto"/>
          <w:sz w:val="30"/>
          <w:szCs w:val="30"/>
          <w:lang w:eastAsia="zh-CN"/>
        </w:rPr>
        <w:t>七、</w:t>
      </w:r>
      <w:bookmarkEnd w:id="430"/>
      <w:bookmarkEnd w:id="431"/>
      <w:bookmarkEnd w:id="432"/>
      <w:bookmarkEnd w:id="433"/>
      <w:bookmarkStart w:id="440" w:name="_Toc447654087"/>
      <w:bookmarkStart w:id="441" w:name="_Toc960541360"/>
      <w:bookmarkStart w:id="442" w:name="_Toc1279155327"/>
      <w:bookmarkStart w:id="443" w:name="_Toc89037649"/>
      <w:r>
        <w:rPr>
          <w:rFonts w:hint="default" w:ascii="Times New Roman" w:hAnsi="Times New Roman" w:eastAsia="方正小标宋_GBK" w:cs="Times New Roman"/>
          <w:b w:val="0"/>
          <w:color w:val="auto"/>
          <w:sz w:val="30"/>
          <w:szCs w:val="30"/>
          <w:lang w:eastAsia="zh-CN"/>
        </w:rPr>
        <w:t>综合证明文件</w:t>
      </w:r>
      <w:bookmarkEnd w:id="434"/>
      <w:bookmarkEnd w:id="435"/>
      <w:bookmarkEnd w:id="436"/>
      <w:bookmarkEnd w:id="437"/>
      <w:bookmarkEnd w:id="438"/>
      <w:bookmarkEnd w:id="439"/>
      <w:bookmarkEnd w:id="440"/>
      <w:bookmarkEnd w:id="441"/>
      <w:bookmarkEnd w:id="442"/>
      <w:bookmarkEnd w:id="443"/>
    </w:p>
    <w:p w14:paraId="40AFBC71">
      <w:pPr>
        <w:pStyle w:val="4"/>
        <w:spacing w:line="360" w:lineRule="exact"/>
        <w:rPr>
          <w:rFonts w:hint="default" w:ascii="Times New Roman" w:hAnsi="Times New Roman" w:eastAsia="仿宋_GB2312" w:cs="Times New Roman"/>
          <w:b w:val="0"/>
          <w:color w:val="auto"/>
          <w:sz w:val="28"/>
          <w:szCs w:val="28"/>
          <w:lang w:eastAsia="zh-CN"/>
        </w:rPr>
      </w:pPr>
      <w:bookmarkStart w:id="444" w:name="_Toc1974888321"/>
      <w:bookmarkStart w:id="445" w:name="_Toc71543326"/>
      <w:bookmarkStart w:id="446" w:name="_Toc947281468"/>
      <w:bookmarkStart w:id="447" w:name="_Toc1325819456_WPSOffice_Level3"/>
      <w:bookmarkStart w:id="448" w:name="_Toc765014490"/>
      <w:bookmarkStart w:id="449" w:name="_Toc751864404"/>
      <w:r>
        <w:rPr>
          <w:rFonts w:hint="default" w:ascii="Times New Roman" w:hAnsi="Times New Roman" w:eastAsia="仿宋_GB2312" w:cs="Times New Roman"/>
          <w:b w:val="0"/>
          <w:color w:val="auto"/>
          <w:sz w:val="28"/>
          <w:szCs w:val="28"/>
          <w:lang w:val="en-US" w:eastAsia="zh-CN"/>
        </w:rPr>
        <w:t>1.</w:t>
      </w:r>
      <w:r>
        <w:rPr>
          <w:rFonts w:hint="default" w:ascii="Times New Roman" w:hAnsi="Times New Roman" w:eastAsia="仿宋_GB2312" w:cs="Times New Roman"/>
          <w:b w:val="0"/>
          <w:color w:val="auto"/>
          <w:sz w:val="28"/>
          <w:szCs w:val="28"/>
          <w:lang w:eastAsia="zh-CN"/>
        </w:rPr>
        <w:t>综合实力</w:t>
      </w:r>
      <w:bookmarkEnd w:id="444"/>
      <w:bookmarkEnd w:id="445"/>
      <w:bookmarkEnd w:id="446"/>
      <w:bookmarkEnd w:id="447"/>
      <w:bookmarkEnd w:id="448"/>
      <w:bookmarkEnd w:id="449"/>
    </w:p>
    <w:p w14:paraId="6ADA7D10">
      <w:pPr>
        <w:spacing w:line="360" w:lineRule="auto"/>
        <w:ind w:firstLine="482"/>
        <w:jc w:val="left"/>
        <w:rPr>
          <w:rFonts w:hint="default" w:ascii="Times New Roman" w:hAnsi="Times New Roman" w:eastAsia="仿宋_GB2312" w:cs="Times New Roman"/>
          <w:bCs/>
          <w:color w:val="auto"/>
          <w:kern w:val="0"/>
          <w:sz w:val="28"/>
          <w:szCs w:val="28"/>
          <w:lang w:eastAsia="zh-CN"/>
        </w:rPr>
      </w:pPr>
      <w:r>
        <w:rPr>
          <w:rFonts w:hint="default" w:ascii="Times New Roman" w:hAnsi="Times New Roman" w:eastAsia="仿宋_GB2312" w:cs="Times New Roman"/>
          <w:bCs/>
          <w:color w:val="auto"/>
          <w:kern w:val="0"/>
          <w:sz w:val="28"/>
          <w:szCs w:val="28"/>
          <w:lang w:eastAsia="zh-CN"/>
        </w:rPr>
        <w:t>根据招标文件要求，提供投标人认证等证书。（提供认证</w:t>
      </w:r>
      <w:r>
        <w:rPr>
          <w:rFonts w:hint="default" w:ascii="Times New Roman" w:hAnsi="Times New Roman" w:eastAsia="仿宋_GB2312" w:cs="Times New Roman"/>
          <w:bCs/>
          <w:color w:val="auto"/>
          <w:sz w:val="28"/>
          <w:szCs w:val="28"/>
          <w:lang w:val="en-US" w:eastAsia="zh-CN"/>
        </w:rPr>
        <w:t>原件</w:t>
      </w:r>
      <w:r>
        <w:rPr>
          <w:rFonts w:hint="default" w:ascii="Times New Roman" w:hAnsi="Times New Roman" w:eastAsia="仿宋_GB2312" w:cs="Times New Roman"/>
          <w:bCs/>
          <w:color w:val="auto"/>
          <w:sz w:val="28"/>
          <w:szCs w:val="28"/>
          <w:lang w:eastAsia="zh-CN"/>
        </w:rPr>
        <w:t>扫描件</w:t>
      </w:r>
      <w:r>
        <w:rPr>
          <w:rFonts w:hint="default" w:ascii="Times New Roman" w:hAnsi="Times New Roman" w:eastAsia="仿宋_GB2312" w:cs="Times New Roman"/>
          <w:bCs/>
          <w:color w:val="auto"/>
          <w:kern w:val="0"/>
          <w:sz w:val="28"/>
          <w:szCs w:val="28"/>
          <w:lang w:eastAsia="zh-CN"/>
        </w:rPr>
        <w:t>，扫描不清晰的不得分，招标文件未要求的不需要提供）</w:t>
      </w:r>
    </w:p>
    <w:p w14:paraId="2852D341">
      <w:pPr>
        <w:rPr>
          <w:rFonts w:hint="default" w:ascii="Times New Roman" w:hAnsi="Times New Roman" w:eastAsia="等线" w:cs="Times New Roman"/>
          <w:bCs/>
          <w:color w:val="auto"/>
          <w:lang w:eastAsia="zh-CN"/>
        </w:rPr>
      </w:pPr>
    </w:p>
    <w:p w14:paraId="6E49C1B8">
      <w:pPr>
        <w:pStyle w:val="4"/>
        <w:spacing w:line="360" w:lineRule="exact"/>
        <w:rPr>
          <w:rFonts w:hint="default" w:ascii="Times New Roman" w:hAnsi="Times New Roman" w:eastAsia="仿宋_GB2312" w:cs="Times New Roman"/>
          <w:b w:val="0"/>
          <w:color w:val="auto"/>
          <w:sz w:val="28"/>
          <w:szCs w:val="28"/>
          <w:lang w:eastAsia="zh-CN"/>
        </w:rPr>
      </w:pPr>
      <w:bookmarkStart w:id="450" w:name="_Toc2110045194"/>
      <w:bookmarkStart w:id="451" w:name="_Toc799340312_WPSOffice_Level3"/>
      <w:bookmarkStart w:id="452" w:name="_Toc1849820970"/>
      <w:bookmarkStart w:id="453" w:name="_Toc71543327"/>
      <w:bookmarkStart w:id="454" w:name="_Toc973020382"/>
      <w:bookmarkStart w:id="455" w:name="_Toc619505013"/>
      <w:r>
        <w:rPr>
          <w:rFonts w:hint="default" w:ascii="Times New Roman" w:hAnsi="Times New Roman" w:eastAsia="仿宋_GB2312" w:cs="Times New Roman"/>
          <w:b w:val="0"/>
          <w:color w:val="auto"/>
          <w:sz w:val="28"/>
          <w:szCs w:val="28"/>
          <w:lang w:val="en-US" w:eastAsia="zh-CN"/>
        </w:rPr>
        <w:t>2.</w:t>
      </w:r>
      <w:r>
        <w:rPr>
          <w:rFonts w:hint="default" w:ascii="Times New Roman" w:hAnsi="Times New Roman" w:eastAsia="仿宋_GB2312" w:cs="Times New Roman"/>
          <w:b w:val="0"/>
          <w:color w:val="auto"/>
          <w:sz w:val="28"/>
          <w:szCs w:val="28"/>
          <w:lang w:eastAsia="zh-CN"/>
        </w:rPr>
        <w:t>类似项目业绩</w:t>
      </w:r>
      <w:bookmarkEnd w:id="450"/>
      <w:bookmarkEnd w:id="451"/>
      <w:bookmarkEnd w:id="452"/>
      <w:bookmarkEnd w:id="453"/>
      <w:bookmarkEnd w:id="454"/>
      <w:bookmarkEnd w:id="455"/>
    </w:p>
    <w:p w14:paraId="2ED8A58E">
      <w:pPr>
        <w:spacing w:line="360" w:lineRule="exact"/>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附表：相关项目业绩一览表</w:t>
      </w:r>
    </w:p>
    <w:tbl>
      <w:tblPr>
        <w:tblStyle w:val="59"/>
        <w:tblW w:w="9444" w:type="dxa"/>
        <w:tblInd w:w="-69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1200"/>
        <w:gridCol w:w="2175"/>
        <w:gridCol w:w="2187"/>
        <w:gridCol w:w="2050"/>
        <w:gridCol w:w="1832"/>
      </w:tblGrid>
      <w:tr w14:paraId="6D431DF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27"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0DD9DAE9">
            <w:pPr>
              <w:jc w:val="center"/>
              <w:rPr>
                <w:rFonts w:hint="default" w:ascii="Times New Roman" w:hAnsi="Times New Roman" w:eastAsia="仿宋_GB2312" w:cs="Times New Roman"/>
                <w:bCs/>
                <w:color w:val="auto"/>
                <w:kern w:val="0"/>
                <w:sz w:val="28"/>
                <w:szCs w:val="28"/>
                <w:lang w:val="en-US" w:eastAsia="zh-CN"/>
              </w:rPr>
            </w:pPr>
            <w:r>
              <w:rPr>
                <w:rFonts w:hint="default" w:ascii="Times New Roman" w:hAnsi="Times New Roman" w:eastAsia="仿宋_GB2312" w:cs="Times New Roman"/>
                <w:bCs/>
                <w:color w:val="auto"/>
                <w:kern w:val="0"/>
                <w:sz w:val="28"/>
                <w:szCs w:val="28"/>
                <w:lang w:val="en-US" w:eastAsia="zh-CN"/>
              </w:rPr>
              <w:t>序号</w:t>
            </w: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322CDAFF">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项目名称</w:t>
            </w: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1CEB8F67">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简要描述</w:t>
            </w: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0C0DB550">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项目金额</w:t>
            </w:r>
          </w:p>
          <w:p w14:paraId="22048EEA">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（万元）</w:t>
            </w: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tcPr>
          <w:p w14:paraId="7408B5FD">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项目单位</w:t>
            </w:r>
          </w:p>
          <w:p w14:paraId="06DC27CD">
            <w:pPr>
              <w:jc w:val="center"/>
              <w:rPr>
                <w:rFonts w:hint="default" w:ascii="Times New Roman" w:hAnsi="Times New Roman" w:eastAsia="仿宋_GB2312" w:cs="Times New Roman"/>
                <w:bCs/>
                <w:color w:val="auto"/>
                <w:kern w:val="0"/>
                <w:sz w:val="28"/>
                <w:szCs w:val="28"/>
              </w:rPr>
            </w:pPr>
            <w:r>
              <w:rPr>
                <w:rFonts w:hint="default" w:ascii="Times New Roman" w:hAnsi="Times New Roman" w:eastAsia="仿宋_GB2312" w:cs="Times New Roman"/>
                <w:bCs/>
                <w:color w:val="auto"/>
                <w:kern w:val="0"/>
                <w:sz w:val="28"/>
                <w:szCs w:val="28"/>
              </w:rPr>
              <w:t>联系电话</w:t>
            </w:r>
          </w:p>
        </w:tc>
      </w:tr>
      <w:tr w14:paraId="4A0E3D2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35"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C717E98">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5F9E917">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0DBD17F">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202C88B">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680DC30">
            <w:pPr>
              <w:rPr>
                <w:rFonts w:hint="default" w:ascii="Times New Roman" w:hAnsi="Times New Roman" w:eastAsia="仿宋_GB2312" w:cs="Times New Roman"/>
                <w:bCs/>
                <w:color w:val="auto"/>
                <w:kern w:val="0"/>
                <w:sz w:val="28"/>
                <w:szCs w:val="28"/>
              </w:rPr>
            </w:pPr>
          </w:p>
        </w:tc>
      </w:tr>
      <w:tr w14:paraId="773671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51"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506A5EA">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E08AA1D">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68E4CDB">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760F82E">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3EDFE48">
            <w:pPr>
              <w:rPr>
                <w:rFonts w:hint="default" w:ascii="Times New Roman" w:hAnsi="Times New Roman" w:eastAsia="仿宋_GB2312" w:cs="Times New Roman"/>
                <w:bCs/>
                <w:color w:val="auto"/>
                <w:kern w:val="0"/>
                <w:sz w:val="28"/>
                <w:szCs w:val="28"/>
              </w:rPr>
            </w:pPr>
          </w:p>
        </w:tc>
      </w:tr>
      <w:tr w14:paraId="0980F91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58"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7A4D49AF">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9F42145">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57D2957">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9E3255F">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6CBC690">
            <w:pPr>
              <w:rPr>
                <w:rFonts w:hint="default" w:ascii="Times New Roman" w:hAnsi="Times New Roman" w:eastAsia="仿宋_GB2312" w:cs="Times New Roman"/>
                <w:bCs/>
                <w:color w:val="auto"/>
                <w:kern w:val="0"/>
                <w:sz w:val="28"/>
                <w:szCs w:val="28"/>
              </w:rPr>
            </w:pPr>
          </w:p>
        </w:tc>
      </w:tr>
      <w:tr w14:paraId="1181E6A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58"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5EC60E8">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6AAF33B">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3E113CAB">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4AAE6D0">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4CC30DCB">
            <w:pPr>
              <w:rPr>
                <w:rFonts w:hint="default" w:ascii="Times New Roman" w:hAnsi="Times New Roman" w:eastAsia="仿宋_GB2312" w:cs="Times New Roman"/>
                <w:bCs/>
                <w:color w:val="auto"/>
                <w:kern w:val="0"/>
                <w:sz w:val="28"/>
                <w:szCs w:val="28"/>
              </w:rPr>
            </w:pPr>
          </w:p>
        </w:tc>
      </w:tr>
      <w:tr w14:paraId="447465A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84" w:hRule="atLeast"/>
        </w:trPr>
        <w:tc>
          <w:tcPr>
            <w:tcW w:w="120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6ADE5AFA">
            <w:pPr>
              <w:rPr>
                <w:rFonts w:hint="default" w:ascii="Times New Roman" w:hAnsi="Times New Roman" w:eastAsia="仿宋_GB2312" w:cs="Times New Roman"/>
                <w:bCs/>
                <w:color w:val="auto"/>
                <w:kern w:val="0"/>
                <w:sz w:val="28"/>
                <w:szCs w:val="28"/>
              </w:rPr>
            </w:pPr>
          </w:p>
        </w:tc>
        <w:tc>
          <w:tcPr>
            <w:tcW w:w="2175"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5A2CE220">
            <w:pPr>
              <w:rPr>
                <w:rFonts w:hint="default" w:ascii="Times New Roman" w:hAnsi="Times New Roman" w:eastAsia="仿宋_GB2312" w:cs="Times New Roman"/>
                <w:bCs/>
                <w:color w:val="auto"/>
                <w:kern w:val="0"/>
                <w:sz w:val="28"/>
                <w:szCs w:val="28"/>
              </w:rPr>
            </w:pPr>
          </w:p>
        </w:tc>
        <w:tc>
          <w:tcPr>
            <w:tcW w:w="2187"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0E2C6007">
            <w:pPr>
              <w:rPr>
                <w:rFonts w:hint="default" w:ascii="Times New Roman" w:hAnsi="Times New Roman" w:eastAsia="仿宋_GB2312" w:cs="Times New Roman"/>
                <w:bCs/>
                <w:color w:val="auto"/>
                <w:kern w:val="0"/>
                <w:sz w:val="28"/>
                <w:szCs w:val="28"/>
              </w:rPr>
            </w:pPr>
          </w:p>
        </w:tc>
        <w:tc>
          <w:tcPr>
            <w:tcW w:w="205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25C849D3">
            <w:pPr>
              <w:rPr>
                <w:rFonts w:hint="default" w:ascii="Times New Roman" w:hAnsi="Times New Roman" w:eastAsia="仿宋_GB2312" w:cs="Times New Roman"/>
                <w:bCs/>
                <w:color w:val="auto"/>
                <w:kern w:val="0"/>
                <w:sz w:val="28"/>
                <w:szCs w:val="28"/>
              </w:rPr>
            </w:pPr>
          </w:p>
        </w:tc>
        <w:tc>
          <w:tcPr>
            <w:tcW w:w="1832"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14:paraId="1D4B0AB0">
            <w:pPr>
              <w:rPr>
                <w:rFonts w:hint="default" w:ascii="Times New Roman" w:hAnsi="Times New Roman" w:eastAsia="仿宋_GB2312" w:cs="Times New Roman"/>
                <w:bCs/>
                <w:color w:val="auto"/>
                <w:kern w:val="0"/>
                <w:sz w:val="28"/>
                <w:szCs w:val="28"/>
              </w:rPr>
            </w:pPr>
          </w:p>
        </w:tc>
      </w:tr>
    </w:tbl>
    <w:p w14:paraId="108B810E">
      <w:pPr>
        <w:widowControl w:val="0"/>
        <w:rPr>
          <w:rFonts w:hint="default" w:ascii="Times New Roman" w:hAnsi="Times New Roman" w:eastAsia="仿宋_GB2312" w:cs="Times New Roman"/>
          <w:bCs/>
          <w:color w:val="auto"/>
          <w:sz w:val="28"/>
          <w:szCs w:val="28"/>
        </w:rPr>
      </w:pPr>
    </w:p>
    <w:p w14:paraId="45208DDD">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注：（</w:t>
      </w: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）投标人可按上述的格式自行编制，后附扫描件。</w:t>
      </w:r>
    </w:p>
    <w:p w14:paraId="41A75EA2">
      <w:pPr>
        <w:numPr>
          <w:ilvl w:val="0"/>
          <w:numId w:val="4"/>
        </w:num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业绩扫描不清楚或合同总金额不明确的不予认可，虚假业绩将自行承担相关责任。</w:t>
      </w:r>
    </w:p>
    <w:p w14:paraId="7F30A016">
      <w:pPr>
        <w:numPr>
          <w:ilvl w:val="0"/>
          <w:numId w:val="4"/>
        </w:num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招标文件未要求提供业绩证明文件的，投标人可不提供。</w:t>
      </w:r>
    </w:p>
    <w:p w14:paraId="1AB4466F">
      <w:pPr>
        <w:pStyle w:val="3"/>
        <w:jc w:val="center"/>
        <w:rPr>
          <w:rFonts w:hint="default" w:ascii="Times New Roman" w:hAnsi="Times New Roman" w:eastAsia="方正小标宋_GBK" w:cs="Times New Roman"/>
          <w:b w:val="0"/>
          <w:color w:val="auto"/>
          <w:sz w:val="30"/>
          <w:szCs w:val="30"/>
          <w:lang w:eastAsia="zh-CN"/>
        </w:rPr>
      </w:pPr>
      <w:bookmarkStart w:id="456" w:name="_Toc1027952896"/>
      <w:bookmarkStart w:id="457" w:name="_Toc2003764980"/>
      <w:bookmarkStart w:id="458" w:name="_Toc203536082"/>
      <w:bookmarkStart w:id="459" w:name="_Toc741327320"/>
      <w:bookmarkStart w:id="460" w:name="_Toc349828394"/>
      <w:bookmarkStart w:id="461" w:name="_Toc297277348"/>
      <w:bookmarkStart w:id="462" w:name="_Toc71543334"/>
      <w:bookmarkStart w:id="463" w:name="_Toc1342357120"/>
      <w:bookmarkStart w:id="464" w:name="_Toc1405132080"/>
      <w:bookmarkStart w:id="465" w:name="_Toc1276166143"/>
      <w:bookmarkStart w:id="466" w:name="_Toc1642658699"/>
      <w:r>
        <w:rPr>
          <w:rFonts w:hint="default" w:ascii="Times New Roman" w:hAnsi="Times New Roman" w:eastAsia="方正小标宋_GBK" w:cs="Times New Roman"/>
          <w:b w:val="0"/>
          <w:color w:val="auto"/>
          <w:sz w:val="30"/>
          <w:szCs w:val="30"/>
          <w:lang w:val="en" w:eastAsia="zh-CN"/>
        </w:rPr>
        <w:br w:type="page"/>
      </w:r>
      <w:r>
        <w:rPr>
          <w:rFonts w:hint="default" w:ascii="Times New Roman" w:hAnsi="Times New Roman" w:eastAsia="方正小标宋_GBK" w:cs="Times New Roman"/>
          <w:b w:val="0"/>
          <w:color w:val="auto"/>
          <w:sz w:val="30"/>
          <w:szCs w:val="30"/>
          <w:lang w:val="en" w:eastAsia="zh-CN"/>
        </w:rPr>
        <w:t>八</w:t>
      </w:r>
      <w:r>
        <w:rPr>
          <w:rFonts w:hint="default" w:ascii="Times New Roman" w:hAnsi="Times New Roman" w:eastAsia="方正小标宋_GBK" w:cs="Times New Roman"/>
          <w:b w:val="0"/>
          <w:color w:val="auto"/>
          <w:sz w:val="30"/>
          <w:szCs w:val="30"/>
          <w:lang w:eastAsia="zh-CN"/>
        </w:rPr>
        <w:t>、其他文件</w:t>
      </w:r>
      <w:bookmarkEnd w:id="456"/>
      <w:bookmarkEnd w:id="457"/>
      <w:bookmarkEnd w:id="458"/>
      <w:bookmarkEnd w:id="459"/>
      <w:bookmarkEnd w:id="460"/>
      <w:bookmarkEnd w:id="461"/>
      <w:bookmarkEnd w:id="462"/>
      <w:bookmarkEnd w:id="463"/>
      <w:bookmarkEnd w:id="464"/>
      <w:bookmarkEnd w:id="465"/>
      <w:bookmarkEnd w:id="466"/>
    </w:p>
    <w:p w14:paraId="4C6D7354">
      <w:pPr>
        <w:rPr>
          <w:rFonts w:hint="default" w:ascii="Times New Roman" w:hAnsi="Times New Roman" w:eastAsia="方正小标宋_GBK" w:cs="Times New Roman"/>
          <w:b w:val="0"/>
          <w:color w:val="auto"/>
          <w:sz w:val="30"/>
          <w:szCs w:val="30"/>
          <w:lang w:eastAsia="zh-CN"/>
        </w:rPr>
      </w:pPr>
      <w:r>
        <w:rPr>
          <w:rFonts w:hint="default" w:ascii="Times New Roman" w:hAnsi="Times New Roman" w:eastAsia="方正小标宋_GBK" w:cs="Times New Roman"/>
          <w:b w:val="0"/>
          <w:color w:val="auto"/>
          <w:sz w:val="30"/>
          <w:szCs w:val="30"/>
          <w:lang w:eastAsia="zh-CN"/>
        </w:rPr>
        <w:br w:type="page"/>
      </w:r>
    </w:p>
    <w:p w14:paraId="65F87C80">
      <w:pPr>
        <w:pStyle w:val="3"/>
        <w:jc w:val="center"/>
        <w:rPr>
          <w:rFonts w:hint="default" w:ascii="Times New Roman" w:hAnsi="Times New Roman" w:eastAsia="仿宋" w:cs="Times New Roman"/>
          <w:b w:val="0"/>
          <w:color w:val="auto"/>
          <w:sz w:val="30"/>
          <w:szCs w:val="30"/>
          <w:lang w:eastAsia="zh-CN"/>
        </w:rPr>
      </w:pPr>
      <w:bookmarkStart w:id="467" w:name="_Toc5020514"/>
      <w:bookmarkStart w:id="468" w:name="_Toc1478433670"/>
      <w:r>
        <w:rPr>
          <w:rFonts w:hint="default" w:ascii="Times New Roman" w:hAnsi="Times New Roman" w:eastAsia="仿宋" w:cs="Times New Roman"/>
          <w:color w:val="auto"/>
          <w:sz w:val="28"/>
          <w:szCs w:val="28"/>
          <w:lang w:eastAsia="zh-CN"/>
        </w:rPr>
        <w:t>九、产品适用政府采购政策情况表（节能、环保）</w:t>
      </w:r>
      <w:bookmarkEnd w:id="467"/>
      <w:bookmarkEnd w:id="468"/>
    </w:p>
    <w:tbl>
      <w:tblPr>
        <w:tblStyle w:val="59"/>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890"/>
        <w:gridCol w:w="10"/>
        <w:gridCol w:w="1018"/>
        <w:gridCol w:w="1190"/>
        <w:gridCol w:w="1490"/>
        <w:gridCol w:w="40"/>
        <w:gridCol w:w="40"/>
        <w:gridCol w:w="830"/>
        <w:gridCol w:w="30"/>
        <w:gridCol w:w="10"/>
        <w:gridCol w:w="903"/>
        <w:gridCol w:w="1477"/>
      </w:tblGrid>
      <w:tr w14:paraId="402F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24" w:type="dxa"/>
            <w:vMerge w:val="restart"/>
            <w:vAlign w:val="center"/>
          </w:tcPr>
          <w:p w14:paraId="11D0371D">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节能产品</w:t>
            </w:r>
          </w:p>
        </w:tc>
        <w:tc>
          <w:tcPr>
            <w:tcW w:w="1900" w:type="dxa"/>
            <w:gridSpan w:val="2"/>
            <w:vAlign w:val="center"/>
          </w:tcPr>
          <w:p w14:paraId="2C8B503F">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1、优先采购</w:t>
            </w:r>
          </w:p>
          <w:p w14:paraId="3FE8983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产品名称</w:t>
            </w:r>
          </w:p>
        </w:tc>
        <w:tc>
          <w:tcPr>
            <w:tcW w:w="1018" w:type="dxa"/>
            <w:vAlign w:val="center"/>
          </w:tcPr>
          <w:p w14:paraId="6B9F3FFC">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品牌、型号</w:t>
            </w:r>
          </w:p>
        </w:tc>
        <w:tc>
          <w:tcPr>
            <w:tcW w:w="1190" w:type="dxa"/>
            <w:vAlign w:val="center"/>
          </w:tcPr>
          <w:p w14:paraId="679E3EE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制造商</w:t>
            </w:r>
          </w:p>
        </w:tc>
        <w:tc>
          <w:tcPr>
            <w:tcW w:w="1490" w:type="dxa"/>
            <w:vAlign w:val="center"/>
          </w:tcPr>
          <w:p w14:paraId="03D952D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认证证书编号</w:t>
            </w:r>
          </w:p>
        </w:tc>
        <w:tc>
          <w:tcPr>
            <w:tcW w:w="910" w:type="dxa"/>
            <w:gridSpan w:val="3"/>
            <w:vAlign w:val="center"/>
          </w:tcPr>
          <w:p w14:paraId="5B181269">
            <w:pPr>
              <w:keepNext w:val="0"/>
              <w:keepLines w:val="0"/>
              <w:widowControl/>
              <w:suppressLineNumbers w:val="0"/>
              <w:spacing w:before="0" w:beforeAutospacing="0" w:afterAutospacing="0" w:line="400" w:lineRule="exact"/>
              <w:ind w:left="0" w:right="0"/>
              <w:jc w:val="center"/>
              <w:rPr>
                <w:rFonts w:hint="default" w:ascii="Times New Roman" w:hAnsi="Times New Roman" w:eastAsia="仿宋" w:cs="Times New Roman"/>
                <w:color w:val="auto"/>
              </w:rPr>
            </w:pPr>
            <w:r>
              <w:rPr>
                <w:rFonts w:hint="default" w:ascii="Times New Roman" w:hAnsi="Times New Roman" w:eastAsia="仿宋" w:cs="Times New Roman"/>
                <w:color w:val="auto"/>
              </w:rPr>
              <w:t>数量</w:t>
            </w:r>
          </w:p>
        </w:tc>
        <w:tc>
          <w:tcPr>
            <w:tcW w:w="943" w:type="dxa"/>
            <w:gridSpan w:val="3"/>
            <w:vAlign w:val="center"/>
          </w:tcPr>
          <w:p w14:paraId="2B50838C">
            <w:pPr>
              <w:keepNext w:val="0"/>
              <w:keepLines w:val="0"/>
              <w:widowControl/>
              <w:suppressLineNumbers w:val="0"/>
              <w:spacing w:before="0" w:beforeAutospacing="0" w:afterAutospacing="0" w:line="400" w:lineRule="exact"/>
              <w:ind w:left="0" w:right="0"/>
              <w:jc w:val="center"/>
              <w:rPr>
                <w:rFonts w:hint="default" w:ascii="Times New Roman" w:hAnsi="Times New Roman" w:eastAsia="仿宋" w:cs="Times New Roman"/>
                <w:color w:val="auto"/>
              </w:rPr>
            </w:pPr>
            <w:r>
              <w:rPr>
                <w:rFonts w:hint="default" w:ascii="Times New Roman" w:hAnsi="Times New Roman" w:eastAsia="仿宋" w:cs="Times New Roman"/>
                <w:color w:val="auto"/>
              </w:rPr>
              <w:t>单价</w:t>
            </w:r>
            <w:r>
              <w:rPr>
                <w:rFonts w:hint="default" w:ascii="Times New Roman" w:hAnsi="Times New Roman" w:eastAsia="仿宋" w:cs="Times New Roman"/>
                <w:color w:val="auto"/>
                <w:lang w:val="en-GB"/>
              </w:rPr>
              <w:t>（元）</w:t>
            </w:r>
          </w:p>
        </w:tc>
        <w:tc>
          <w:tcPr>
            <w:tcW w:w="1477" w:type="dxa"/>
            <w:vAlign w:val="center"/>
          </w:tcPr>
          <w:p w14:paraId="17685DA3">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合计（元）</w:t>
            </w:r>
          </w:p>
        </w:tc>
      </w:tr>
      <w:tr w14:paraId="6750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5F47A22">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900" w:type="dxa"/>
            <w:gridSpan w:val="2"/>
            <w:vAlign w:val="center"/>
          </w:tcPr>
          <w:p w14:paraId="687C51CB">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018" w:type="dxa"/>
            <w:vAlign w:val="center"/>
          </w:tcPr>
          <w:p w14:paraId="062ABEF9">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190" w:type="dxa"/>
            <w:vAlign w:val="center"/>
          </w:tcPr>
          <w:p w14:paraId="3E0F46C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90" w:type="dxa"/>
            <w:vAlign w:val="center"/>
          </w:tcPr>
          <w:p w14:paraId="5F16D8C9">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10" w:type="dxa"/>
            <w:gridSpan w:val="3"/>
            <w:vAlign w:val="center"/>
          </w:tcPr>
          <w:p w14:paraId="0783A3F0">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43" w:type="dxa"/>
            <w:gridSpan w:val="3"/>
            <w:vAlign w:val="center"/>
          </w:tcPr>
          <w:p w14:paraId="4B70AE17">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77" w:type="dxa"/>
            <w:vAlign w:val="center"/>
          </w:tcPr>
          <w:p w14:paraId="645A65FD">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1C03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4F91623">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900" w:type="dxa"/>
            <w:gridSpan w:val="2"/>
            <w:vAlign w:val="center"/>
          </w:tcPr>
          <w:p w14:paraId="576DDFC0">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018" w:type="dxa"/>
            <w:vAlign w:val="center"/>
          </w:tcPr>
          <w:p w14:paraId="441F525E">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190" w:type="dxa"/>
            <w:vAlign w:val="center"/>
          </w:tcPr>
          <w:p w14:paraId="597522C1">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90" w:type="dxa"/>
            <w:vAlign w:val="center"/>
          </w:tcPr>
          <w:p w14:paraId="05A24208">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10" w:type="dxa"/>
            <w:gridSpan w:val="3"/>
            <w:vAlign w:val="center"/>
          </w:tcPr>
          <w:p w14:paraId="1C248C4F">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43" w:type="dxa"/>
            <w:gridSpan w:val="3"/>
            <w:vAlign w:val="center"/>
          </w:tcPr>
          <w:p w14:paraId="25BE9DB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77" w:type="dxa"/>
            <w:vAlign w:val="center"/>
          </w:tcPr>
          <w:p w14:paraId="1A50EB00">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373A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3B5728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7451" w:type="dxa"/>
            <w:gridSpan w:val="11"/>
            <w:vAlign w:val="center"/>
          </w:tcPr>
          <w:p w14:paraId="16010FE9">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优先采购节能产品金额总计（元）</w:t>
            </w:r>
          </w:p>
        </w:tc>
        <w:tc>
          <w:tcPr>
            <w:tcW w:w="1477" w:type="dxa"/>
            <w:vAlign w:val="center"/>
          </w:tcPr>
          <w:p w14:paraId="39497C7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1A10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2ADDF123">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900" w:type="dxa"/>
            <w:gridSpan w:val="2"/>
            <w:vAlign w:val="center"/>
          </w:tcPr>
          <w:p w14:paraId="0B57341B">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2、强制采购</w:t>
            </w:r>
          </w:p>
          <w:p w14:paraId="09CD98CC">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产品名称</w:t>
            </w:r>
          </w:p>
        </w:tc>
        <w:tc>
          <w:tcPr>
            <w:tcW w:w="1018" w:type="dxa"/>
            <w:vAlign w:val="center"/>
          </w:tcPr>
          <w:p w14:paraId="28C5F0F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品牌、型号</w:t>
            </w:r>
          </w:p>
        </w:tc>
        <w:tc>
          <w:tcPr>
            <w:tcW w:w="1190" w:type="dxa"/>
            <w:vAlign w:val="center"/>
          </w:tcPr>
          <w:p w14:paraId="61679EFE">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制造商</w:t>
            </w:r>
          </w:p>
        </w:tc>
        <w:tc>
          <w:tcPr>
            <w:tcW w:w="1530" w:type="dxa"/>
            <w:gridSpan w:val="2"/>
            <w:vAlign w:val="center"/>
          </w:tcPr>
          <w:p w14:paraId="3EADBB2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认证证书编号</w:t>
            </w:r>
          </w:p>
        </w:tc>
        <w:tc>
          <w:tcPr>
            <w:tcW w:w="900" w:type="dxa"/>
            <w:gridSpan w:val="3"/>
            <w:vAlign w:val="center"/>
          </w:tcPr>
          <w:p w14:paraId="2A35782A">
            <w:pPr>
              <w:keepNext w:val="0"/>
              <w:keepLines w:val="0"/>
              <w:widowControl/>
              <w:suppressLineNumbers w:val="0"/>
              <w:spacing w:before="0" w:beforeAutospacing="0" w:afterAutospacing="0" w:line="400" w:lineRule="exact"/>
              <w:ind w:left="0" w:right="0"/>
              <w:jc w:val="center"/>
              <w:rPr>
                <w:rFonts w:hint="default" w:ascii="Times New Roman" w:hAnsi="Times New Roman" w:eastAsia="仿宋" w:cs="Times New Roman"/>
                <w:color w:val="auto"/>
              </w:rPr>
            </w:pPr>
            <w:r>
              <w:rPr>
                <w:rFonts w:hint="default" w:ascii="Times New Roman" w:hAnsi="Times New Roman" w:eastAsia="仿宋" w:cs="Times New Roman"/>
                <w:color w:val="auto"/>
              </w:rPr>
              <w:t>数量</w:t>
            </w:r>
          </w:p>
        </w:tc>
        <w:tc>
          <w:tcPr>
            <w:tcW w:w="913" w:type="dxa"/>
            <w:gridSpan w:val="2"/>
            <w:vAlign w:val="center"/>
          </w:tcPr>
          <w:p w14:paraId="57264EED">
            <w:pPr>
              <w:keepNext w:val="0"/>
              <w:keepLines w:val="0"/>
              <w:widowControl/>
              <w:suppressLineNumbers w:val="0"/>
              <w:spacing w:before="0" w:beforeAutospacing="0" w:afterAutospacing="0" w:line="400" w:lineRule="exact"/>
              <w:ind w:left="0" w:right="0"/>
              <w:jc w:val="center"/>
              <w:rPr>
                <w:rFonts w:hint="default" w:ascii="Times New Roman" w:hAnsi="Times New Roman" w:eastAsia="仿宋" w:cs="Times New Roman"/>
                <w:color w:val="auto"/>
              </w:rPr>
            </w:pPr>
            <w:r>
              <w:rPr>
                <w:rFonts w:hint="default" w:ascii="Times New Roman" w:hAnsi="Times New Roman" w:eastAsia="仿宋" w:cs="Times New Roman"/>
                <w:color w:val="auto"/>
              </w:rPr>
              <w:t>单价</w:t>
            </w:r>
            <w:r>
              <w:rPr>
                <w:rFonts w:hint="default" w:ascii="Times New Roman" w:hAnsi="Times New Roman" w:eastAsia="仿宋" w:cs="Times New Roman"/>
                <w:color w:val="auto"/>
                <w:lang w:val="en-GB"/>
              </w:rPr>
              <w:t>（元）</w:t>
            </w:r>
          </w:p>
        </w:tc>
        <w:tc>
          <w:tcPr>
            <w:tcW w:w="1477" w:type="dxa"/>
            <w:vAlign w:val="center"/>
          </w:tcPr>
          <w:p w14:paraId="76D47651">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合计（元）</w:t>
            </w:r>
          </w:p>
        </w:tc>
      </w:tr>
      <w:tr w14:paraId="0DB0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6F09ECE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900" w:type="dxa"/>
            <w:gridSpan w:val="2"/>
            <w:vAlign w:val="center"/>
          </w:tcPr>
          <w:p w14:paraId="1E634336">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018" w:type="dxa"/>
            <w:vAlign w:val="center"/>
          </w:tcPr>
          <w:p w14:paraId="4BDF70B1">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190" w:type="dxa"/>
            <w:vAlign w:val="center"/>
          </w:tcPr>
          <w:p w14:paraId="54BCE633">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530" w:type="dxa"/>
            <w:gridSpan w:val="2"/>
            <w:vAlign w:val="center"/>
          </w:tcPr>
          <w:p w14:paraId="38606620">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00" w:type="dxa"/>
            <w:gridSpan w:val="3"/>
            <w:vAlign w:val="center"/>
          </w:tcPr>
          <w:p w14:paraId="743B2A76">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13" w:type="dxa"/>
            <w:gridSpan w:val="2"/>
            <w:vAlign w:val="center"/>
          </w:tcPr>
          <w:p w14:paraId="33CBA48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77" w:type="dxa"/>
            <w:vAlign w:val="center"/>
          </w:tcPr>
          <w:p w14:paraId="4A556FD4">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5DEB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04F4E62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900" w:type="dxa"/>
            <w:gridSpan w:val="2"/>
            <w:vAlign w:val="center"/>
          </w:tcPr>
          <w:p w14:paraId="1465BDC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018" w:type="dxa"/>
            <w:vAlign w:val="center"/>
          </w:tcPr>
          <w:p w14:paraId="43343897">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190" w:type="dxa"/>
            <w:vAlign w:val="center"/>
          </w:tcPr>
          <w:p w14:paraId="475002A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530" w:type="dxa"/>
            <w:gridSpan w:val="2"/>
            <w:vAlign w:val="center"/>
          </w:tcPr>
          <w:p w14:paraId="5241B56E">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00" w:type="dxa"/>
            <w:gridSpan w:val="3"/>
            <w:vAlign w:val="center"/>
          </w:tcPr>
          <w:p w14:paraId="0FCF6FC3">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13" w:type="dxa"/>
            <w:gridSpan w:val="2"/>
            <w:vAlign w:val="center"/>
          </w:tcPr>
          <w:p w14:paraId="771F02AD">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77" w:type="dxa"/>
            <w:vAlign w:val="center"/>
          </w:tcPr>
          <w:p w14:paraId="6EB7B0EC">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1286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1A6548ED">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7451" w:type="dxa"/>
            <w:gridSpan w:val="11"/>
            <w:vAlign w:val="center"/>
          </w:tcPr>
          <w:p w14:paraId="1D32FF26">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强制采购节能产品金额总计（元）</w:t>
            </w:r>
          </w:p>
        </w:tc>
        <w:tc>
          <w:tcPr>
            <w:tcW w:w="1477" w:type="dxa"/>
            <w:vAlign w:val="center"/>
          </w:tcPr>
          <w:p w14:paraId="49626198">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4EE7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24" w:type="dxa"/>
            <w:vMerge w:val="restart"/>
            <w:vAlign w:val="center"/>
          </w:tcPr>
          <w:p w14:paraId="175ED5F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环境标志产品</w:t>
            </w:r>
          </w:p>
        </w:tc>
        <w:tc>
          <w:tcPr>
            <w:tcW w:w="1890" w:type="dxa"/>
            <w:vAlign w:val="center"/>
          </w:tcPr>
          <w:p w14:paraId="3F687A16">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产品名称</w:t>
            </w:r>
          </w:p>
        </w:tc>
        <w:tc>
          <w:tcPr>
            <w:tcW w:w="1028" w:type="dxa"/>
            <w:gridSpan w:val="2"/>
            <w:vAlign w:val="center"/>
          </w:tcPr>
          <w:p w14:paraId="459B37EF">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品牌、型号</w:t>
            </w:r>
          </w:p>
        </w:tc>
        <w:tc>
          <w:tcPr>
            <w:tcW w:w="1190" w:type="dxa"/>
            <w:vAlign w:val="center"/>
          </w:tcPr>
          <w:p w14:paraId="75BD13B9">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制造商</w:t>
            </w:r>
          </w:p>
        </w:tc>
        <w:tc>
          <w:tcPr>
            <w:tcW w:w="1570" w:type="dxa"/>
            <w:gridSpan w:val="3"/>
            <w:vAlign w:val="center"/>
          </w:tcPr>
          <w:p w14:paraId="66F0FDD2">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认证证书编号</w:t>
            </w:r>
          </w:p>
        </w:tc>
        <w:tc>
          <w:tcPr>
            <w:tcW w:w="870" w:type="dxa"/>
            <w:gridSpan w:val="3"/>
            <w:vAlign w:val="center"/>
          </w:tcPr>
          <w:p w14:paraId="3B67F48A">
            <w:pPr>
              <w:keepNext w:val="0"/>
              <w:keepLines w:val="0"/>
              <w:widowControl/>
              <w:suppressLineNumbers w:val="0"/>
              <w:spacing w:before="0" w:beforeAutospacing="0" w:afterAutospacing="0" w:line="400" w:lineRule="exact"/>
              <w:ind w:left="0" w:right="0"/>
              <w:jc w:val="center"/>
              <w:rPr>
                <w:rFonts w:hint="default" w:ascii="Times New Roman" w:hAnsi="Times New Roman" w:eastAsia="仿宋" w:cs="Times New Roman"/>
                <w:color w:val="auto"/>
              </w:rPr>
            </w:pPr>
            <w:r>
              <w:rPr>
                <w:rFonts w:hint="default" w:ascii="Times New Roman" w:hAnsi="Times New Roman" w:eastAsia="仿宋" w:cs="Times New Roman"/>
                <w:color w:val="auto"/>
              </w:rPr>
              <w:t>数量</w:t>
            </w:r>
          </w:p>
        </w:tc>
        <w:tc>
          <w:tcPr>
            <w:tcW w:w="903" w:type="dxa"/>
            <w:vAlign w:val="center"/>
          </w:tcPr>
          <w:p w14:paraId="424C5E5D">
            <w:pPr>
              <w:keepNext w:val="0"/>
              <w:keepLines w:val="0"/>
              <w:widowControl/>
              <w:suppressLineNumbers w:val="0"/>
              <w:spacing w:before="0" w:beforeAutospacing="0" w:afterAutospacing="0" w:line="400" w:lineRule="exact"/>
              <w:ind w:left="0" w:right="0"/>
              <w:jc w:val="center"/>
              <w:rPr>
                <w:rFonts w:hint="default" w:ascii="Times New Roman" w:hAnsi="Times New Roman" w:eastAsia="仿宋" w:cs="Times New Roman"/>
                <w:color w:val="auto"/>
              </w:rPr>
            </w:pPr>
            <w:r>
              <w:rPr>
                <w:rFonts w:hint="default" w:ascii="Times New Roman" w:hAnsi="Times New Roman" w:eastAsia="仿宋" w:cs="Times New Roman"/>
                <w:color w:val="auto"/>
              </w:rPr>
              <w:t>单价</w:t>
            </w:r>
            <w:r>
              <w:rPr>
                <w:rFonts w:hint="default" w:ascii="Times New Roman" w:hAnsi="Times New Roman" w:eastAsia="仿宋" w:cs="Times New Roman"/>
                <w:color w:val="auto"/>
                <w:lang w:val="en-GB"/>
              </w:rPr>
              <w:t>（元）</w:t>
            </w:r>
          </w:p>
        </w:tc>
        <w:tc>
          <w:tcPr>
            <w:tcW w:w="1477" w:type="dxa"/>
            <w:vAlign w:val="center"/>
          </w:tcPr>
          <w:p w14:paraId="41F1EFA0">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合计（元）</w:t>
            </w:r>
          </w:p>
        </w:tc>
      </w:tr>
      <w:tr w14:paraId="313A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619F1E6">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890" w:type="dxa"/>
            <w:vAlign w:val="center"/>
          </w:tcPr>
          <w:p w14:paraId="4DAFE8B0">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028" w:type="dxa"/>
            <w:gridSpan w:val="2"/>
            <w:vAlign w:val="center"/>
          </w:tcPr>
          <w:p w14:paraId="48E227EB">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190" w:type="dxa"/>
            <w:vAlign w:val="center"/>
          </w:tcPr>
          <w:p w14:paraId="5A638479">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570" w:type="dxa"/>
            <w:gridSpan w:val="3"/>
            <w:vAlign w:val="center"/>
          </w:tcPr>
          <w:p w14:paraId="472AA1BC">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870" w:type="dxa"/>
            <w:gridSpan w:val="3"/>
            <w:vAlign w:val="center"/>
          </w:tcPr>
          <w:p w14:paraId="69062697">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03" w:type="dxa"/>
            <w:vAlign w:val="center"/>
          </w:tcPr>
          <w:p w14:paraId="0A50830F">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77" w:type="dxa"/>
            <w:vAlign w:val="center"/>
          </w:tcPr>
          <w:p w14:paraId="7442D638">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5894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683750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890" w:type="dxa"/>
            <w:vAlign w:val="center"/>
          </w:tcPr>
          <w:p w14:paraId="21B7D7D9">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028" w:type="dxa"/>
            <w:gridSpan w:val="2"/>
            <w:vAlign w:val="center"/>
          </w:tcPr>
          <w:p w14:paraId="219286E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190" w:type="dxa"/>
            <w:vAlign w:val="center"/>
          </w:tcPr>
          <w:p w14:paraId="465D1B72">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570" w:type="dxa"/>
            <w:gridSpan w:val="3"/>
            <w:vAlign w:val="center"/>
          </w:tcPr>
          <w:p w14:paraId="1CF3D09C">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870" w:type="dxa"/>
            <w:gridSpan w:val="3"/>
            <w:vAlign w:val="center"/>
          </w:tcPr>
          <w:p w14:paraId="6E15523B">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03" w:type="dxa"/>
            <w:vAlign w:val="center"/>
          </w:tcPr>
          <w:p w14:paraId="07CCADCF">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77" w:type="dxa"/>
            <w:vAlign w:val="center"/>
          </w:tcPr>
          <w:p w14:paraId="5AE1E14D">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1377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4DECF0D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7451" w:type="dxa"/>
            <w:gridSpan w:val="11"/>
            <w:vAlign w:val="center"/>
          </w:tcPr>
          <w:p w14:paraId="60C644C1">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环境标志产品金额总计（元）</w:t>
            </w:r>
          </w:p>
        </w:tc>
        <w:tc>
          <w:tcPr>
            <w:tcW w:w="1477" w:type="dxa"/>
            <w:vAlign w:val="center"/>
          </w:tcPr>
          <w:p w14:paraId="3E1F3CCC">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00C1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restart"/>
            <w:vAlign w:val="center"/>
          </w:tcPr>
          <w:p w14:paraId="0C36F290">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本国</w:t>
            </w:r>
          </w:p>
          <w:p w14:paraId="1789ACF8">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产品</w:t>
            </w:r>
          </w:p>
        </w:tc>
        <w:tc>
          <w:tcPr>
            <w:tcW w:w="1890" w:type="dxa"/>
            <w:vAlign w:val="center"/>
          </w:tcPr>
          <w:p w14:paraId="190AFE41">
            <w:pPr>
              <w:keepNext w:val="0"/>
              <w:keepLines w:val="0"/>
              <w:widowControl/>
              <w:suppressLineNumbers w:val="0"/>
              <w:spacing w:before="0" w:beforeAutospacing="0" w:afterAutospacing="0"/>
              <w:ind w:left="0" w:right="0"/>
              <w:jc w:val="center"/>
              <w:rPr>
                <w:rFonts w:hint="default" w:ascii="Times New Roman" w:hAnsi="Times New Roman" w:eastAsia="仿宋" w:cs="Times New Roman"/>
                <w:color w:val="auto"/>
                <w:szCs w:val="24"/>
                <w:lang w:val="en-GB" w:eastAsia="zh-CN"/>
              </w:rPr>
            </w:pPr>
            <w:r>
              <w:rPr>
                <w:rFonts w:hint="default" w:ascii="Times New Roman" w:hAnsi="Times New Roman" w:eastAsia="仿宋" w:cs="Times New Roman"/>
                <w:color w:val="auto"/>
                <w:szCs w:val="24"/>
                <w:lang w:val="en-US" w:eastAsia="zh-CN"/>
              </w:rPr>
              <w:t>产品名称</w:t>
            </w:r>
          </w:p>
        </w:tc>
        <w:tc>
          <w:tcPr>
            <w:tcW w:w="1028" w:type="dxa"/>
            <w:gridSpan w:val="2"/>
            <w:vAlign w:val="center"/>
          </w:tcPr>
          <w:p w14:paraId="3A2E66F7">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rPr>
              <w:t>品牌、型号</w:t>
            </w:r>
          </w:p>
        </w:tc>
        <w:tc>
          <w:tcPr>
            <w:tcW w:w="1190" w:type="dxa"/>
            <w:vAlign w:val="center"/>
          </w:tcPr>
          <w:p w14:paraId="3DCC5CB2">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制造商</w:t>
            </w:r>
          </w:p>
        </w:tc>
        <w:tc>
          <w:tcPr>
            <w:tcW w:w="1570" w:type="dxa"/>
            <w:gridSpan w:val="3"/>
            <w:vAlign w:val="center"/>
          </w:tcPr>
          <w:p w14:paraId="549C532D">
            <w:pPr>
              <w:keepNext w:val="0"/>
              <w:keepLines w:val="0"/>
              <w:widowControl/>
              <w:suppressLineNumbers w:val="0"/>
              <w:spacing w:before="0" w:beforeAutospacing="0" w:afterAutospacing="0"/>
              <w:ind w:left="0" w:right="0"/>
              <w:jc w:val="center"/>
              <w:rPr>
                <w:rFonts w:hint="default" w:ascii="Times New Roman" w:hAnsi="Times New Roman" w:eastAsia="仿宋" w:cs="Times New Roman"/>
                <w:color w:val="auto"/>
                <w:szCs w:val="24"/>
                <w:lang w:val="en-GB" w:eastAsia="zh-CN"/>
              </w:rPr>
            </w:pPr>
            <w:r>
              <w:rPr>
                <w:rFonts w:hint="default" w:ascii="Times New Roman" w:hAnsi="Times New Roman" w:eastAsia="仿宋" w:cs="Times New Roman"/>
                <w:color w:val="auto"/>
                <w:szCs w:val="24"/>
                <w:lang w:val="en-US" w:eastAsia="zh-CN"/>
              </w:rPr>
              <w:t>生产厂址</w:t>
            </w:r>
          </w:p>
        </w:tc>
        <w:tc>
          <w:tcPr>
            <w:tcW w:w="860" w:type="dxa"/>
            <w:gridSpan w:val="2"/>
            <w:vAlign w:val="center"/>
          </w:tcPr>
          <w:p w14:paraId="128416B2">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rPr>
              <w:t>数量</w:t>
            </w:r>
          </w:p>
        </w:tc>
        <w:tc>
          <w:tcPr>
            <w:tcW w:w="913" w:type="dxa"/>
            <w:gridSpan w:val="2"/>
            <w:vAlign w:val="center"/>
          </w:tcPr>
          <w:p w14:paraId="5C0C71CD">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rPr>
              <w:t>单价</w:t>
            </w:r>
            <w:r>
              <w:rPr>
                <w:rFonts w:hint="default" w:ascii="Times New Roman" w:hAnsi="Times New Roman" w:eastAsia="仿宋" w:cs="Times New Roman"/>
                <w:color w:val="auto"/>
                <w:lang w:val="en-GB"/>
              </w:rPr>
              <w:t>（元）</w:t>
            </w:r>
          </w:p>
        </w:tc>
        <w:tc>
          <w:tcPr>
            <w:tcW w:w="1477" w:type="dxa"/>
            <w:vAlign w:val="center"/>
          </w:tcPr>
          <w:p w14:paraId="4D62383B">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合计（元）</w:t>
            </w:r>
          </w:p>
        </w:tc>
      </w:tr>
      <w:tr w14:paraId="1651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1165E832">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890" w:type="dxa"/>
            <w:vAlign w:val="center"/>
          </w:tcPr>
          <w:p w14:paraId="220C23C0">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028" w:type="dxa"/>
            <w:gridSpan w:val="2"/>
            <w:vAlign w:val="center"/>
          </w:tcPr>
          <w:p w14:paraId="670A3EED">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190" w:type="dxa"/>
            <w:vAlign w:val="center"/>
          </w:tcPr>
          <w:p w14:paraId="1142EB3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570" w:type="dxa"/>
            <w:gridSpan w:val="3"/>
            <w:vAlign w:val="center"/>
          </w:tcPr>
          <w:p w14:paraId="61327279">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860" w:type="dxa"/>
            <w:gridSpan w:val="2"/>
            <w:vAlign w:val="center"/>
          </w:tcPr>
          <w:p w14:paraId="48732C4A">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13" w:type="dxa"/>
            <w:gridSpan w:val="2"/>
            <w:vAlign w:val="center"/>
          </w:tcPr>
          <w:p w14:paraId="36432D0E">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77" w:type="dxa"/>
            <w:vAlign w:val="center"/>
          </w:tcPr>
          <w:p w14:paraId="535E97D7">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2050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4A833D0D">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890" w:type="dxa"/>
            <w:vAlign w:val="center"/>
          </w:tcPr>
          <w:p w14:paraId="78488C34">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028" w:type="dxa"/>
            <w:gridSpan w:val="2"/>
            <w:vAlign w:val="center"/>
          </w:tcPr>
          <w:p w14:paraId="70B78691">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190" w:type="dxa"/>
            <w:vAlign w:val="center"/>
          </w:tcPr>
          <w:p w14:paraId="7BBF29C3">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570" w:type="dxa"/>
            <w:gridSpan w:val="3"/>
            <w:vAlign w:val="center"/>
          </w:tcPr>
          <w:p w14:paraId="770B527D">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860" w:type="dxa"/>
            <w:gridSpan w:val="2"/>
            <w:vAlign w:val="center"/>
          </w:tcPr>
          <w:p w14:paraId="72D87EE5">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913" w:type="dxa"/>
            <w:gridSpan w:val="2"/>
            <w:vAlign w:val="center"/>
          </w:tcPr>
          <w:p w14:paraId="0EC7E0F4">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1477" w:type="dxa"/>
            <w:vAlign w:val="center"/>
          </w:tcPr>
          <w:p w14:paraId="10A9C636">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r w14:paraId="775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4F41344B">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c>
          <w:tcPr>
            <w:tcW w:w="7451" w:type="dxa"/>
            <w:gridSpan w:val="11"/>
            <w:vAlign w:val="center"/>
          </w:tcPr>
          <w:p w14:paraId="13091FB1">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r>
              <w:rPr>
                <w:rFonts w:hint="default" w:ascii="Times New Roman" w:hAnsi="Times New Roman" w:eastAsia="仿宋" w:cs="Times New Roman"/>
                <w:color w:val="auto"/>
                <w:lang w:val="en-GB"/>
              </w:rPr>
              <w:t>本国产品金额总计（元）</w:t>
            </w:r>
          </w:p>
        </w:tc>
        <w:tc>
          <w:tcPr>
            <w:tcW w:w="1477" w:type="dxa"/>
            <w:vAlign w:val="center"/>
          </w:tcPr>
          <w:p w14:paraId="19812B7C">
            <w:pPr>
              <w:pStyle w:val="226"/>
              <w:keepNext w:val="0"/>
              <w:keepLines w:val="0"/>
              <w:suppressLineNumbers w:val="0"/>
              <w:tabs>
                <w:tab w:val="left" w:pos="1260"/>
              </w:tabs>
              <w:spacing w:before="0" w:beforeAutospacing="0" w:afterAutospacing="0" w:line="400" w:lineRule="exact"/>
              <w:ind w:left="0" w:right="0"/>
              <w:jc w:val="center"/>
              <w:rPr>
                <w:rFonts w:hint="default" w:ascii="Times New Roman" w:hAnsi="Times New Roman" w:eastAsia="仿宋" w:cs="Times New Roman"/>
                <w:color w:val="auto"/>
                <w:lang w:val="en-GB"/>
              </w:rPr>
            </w:pPr>
          </w:p>
        </w:tc>
      </w:tr>
    </w:tbl>
    <w:p w14:paraId="71E90E90">
      <w:pPr>
        <w:ind w:left="561"/>
        <w:rPr>
          <w:rFonts w:hint="default" w:ascii="Times New Roman" w:hAnsi="Times New Roman" w:eastAsia="仿宋" w:cs="Times New Roman"/>
          <w:b/>
          <w:color w:val="auto"/>
          <w:sz w:val="28"/>
          <w:szCs w:val="28"/>
          <w:lang w:val="en-GB" w:eastAsia="zh-CN"/>
        </w:rPr>
      </w:pPr>
      <w:r>
        <w:rPr>
          <w:rFonts w:hint="default" w:ascii="Times New Roman" w:hAnsi="Times New Roman" w:eastAsia="仿宋" w:cs="Times New Roman"/>
          <w:b/>
          <w:color w:val="auto"/>
          <w:sz w:val="28"/>
          <w:szCs w:val="28"/>
          <w:lang w:val="en-GB" w:eastAsia="zh-CN"/>
        </w:rPr>
        <w:t>（后附相关认证证书）</w:t>
      </w:r>
    </w:p>
    <w:p w14:paraId="2DBBDCA3">
      <w:pPr>
        <w:pStyle w:val="13"/>
        <w:rPr>
          <w:rFonts w:hint="default" w:ascii="Times New Roman" w:hAnsi="Times New Roman" w:eastAsia="仿宋" w:cs="Times New Roman"/>
          <w:color w:val="auto"/>
          <w:lang w:val="en-GB" w:eastAsia="zh-CN"/>
        </w:rPr>
      </w:pPr>
    </w:p>
    <w:p w14:paraId="151DF115">
      <w:pPr>
        <w:spacing w:line="360" w:lineRule="auto"/>
        <w:ind w:firstLine="482" w:firstLineChars="200"/>
        <w:rPr>
          <w:rFonts w:hint="default" w:ascii="Times New Roman" w:hAnsi="Times New Roman" w:eastAsia="仿宋" w:cs="Times New Roman"/>
          <w:b/>
          <w:color w:val="auto"/>
          <w:sz w:val="24"/>
          <w:szCs w:val="24"/>
          <w:lang w:val="en-GB" w:eastAsia="zh-CN"/>
        </w:rPr>
      </w:pPr>
      <w:r>
        <w:rPr>
          <w:rFonts w:hint="default" w:ascii="Times New Roman" w:hAnsi="Times New Roman" w:eastAsia="仿宋" w:cs="Times New Roman"/>
          <w:b/>
          <w:color w:val="auto"/>
          <w:sz w:val="24"/>
          <w:szCs w:val="24"/>
          <w:lang w:val="en-GB" w:eastAsia="zh-CN"/>
        </w:rPr>
        <w:t>填报要求：</w:t>
      </w:r>
    </w:p>
    <w:p w14:paraId="4595131B">
      <w:pPr>
        <w:spacing w:line="360" w:lineRule="auto"/>
        <w:ind w:firstLine="482" w:firstLineChars="200"/>
        <w:rPr>
          <w:rFonts w:hint="default" w:ascii="Times New Roman" w:hAnsi="Times New Roman" w:eastAsia="仿宋" w:cs="Times New Roman"/>
          <w:b/>
          <w:color w:val="auto"/>
          <w:sz w:val="24"/>
          <w:szCs w:val="24"/>
          <w:lang w:val="en-GB" w:eastAsia="zh-CN"/>
        </w:rPr>
      </w:pPr>
      <w:r>
        <w:rPr>
          <w:rFonts w:hint="default" w:ascii="Times New Roman" w:hAnsi="Times New Roman" w:eastAsia="仿宋" w:cs="Times New Roman"/>
          <w:b/>
          <w:color w:val="auto"/>
          <w:sz w:val="24"/>
          <w:szCs w:val="24"/>
          <w:lang w:val="en-US" w:eastAsia="zh-CN"/>
        </w:rPr>
        <w:t>1</w:t>
      </w:r>
      <w:r>
        <w:rPr>
          <w:rFonts w:hint="default" w:ascii="Times New Roman" w:hAnsi="Times New Roman" w:eastAsia="仿宋" w:cs="Times New Roman"/>
          <w:b/>
          <w:color w:val="auto"/>
          <w:sz w:val="24"/>
          <w:szCs w:val="24"/>
          <w:lang w:val="en-GB" w:eastAsia="zh-CN"/>
        </w:rPr>
        <w:t>、请根据招标文件“第六章项目需求及技术要求”要求的节能产品类型、环境标志产品类型，填写本表。</w:t>
      </w:r>
    </w:p>
    <w:p w14:paraId="79D7BBF9">
      <w:pPr>
        <w:spacing w:line="360" w:lineRule="auto"/>
        <w:ind w:firstLine="482" w:firstLineChars="200"/>
        <w:rPr>
          <w:rFonts w:hint="default" w:ascii="Times New Roman" w:hAnsi="Times New Roman" w:eastAsia="仿宋" w:cs="Times New Roman"/>
          <w:b/>
          <w:color w:val="auto"/>
          <w:sz w:val="24"/>
          <w:szCs w:val="24"/>
          <w:lang w:val="en-GB" w:eastAsia="zh-CN"/>
        </w:rPr>
      </w:pPr>
      <w:r>
        <w:rPr>
          <w:rFonts w:hint="default" w:ascii="Times New Roman" w:hAnsi="Times New Roman" w:eastAsia="仿宋" w:cs="Times New Roman"/>
          <w:b/>
          <w:color w:val="auto"/>
          <w:sz w:val="24"/>
          <w:szCs w:val="24"/>
          <w:lang w:val="en-US" w:eastAsia="zh-CN"/>
        </w:rPr>
        <w:t>2</w:t>
      </w:r>
      <w:r>
        <w:rPr>
          <w:rFonts w:hint="default" w:ascii="Times New Roman" w:hAnsi="Times New Roman" w:eastAsia="仿宋" w:cs="Times New Roman"/>
          <w:b/>
          <w:color w:val="auto"/>
          <w:sz w:val="24"/>
          <w:szCs w:val="24"/>
          <w:lang w:val="en-GB" w:eastAsia="zh-CN"/>
        </w:rPr>
        <w:t>、本表的产品名称和品牌、型号、金额应与《分项报价表》一致。</w:t>
      </w:r>
    </w:p>
    <w:p w14:paraId="123D4C3B">
      <w:pPr>
        <w:spacing w:line="360" w:lineRule="auto"/>
        <w:ind w:firstLine="482" w:firstLineChars="200"/>
        <w:rPr>
          <w:rFonts w:hint="default" w:ascii="Times New Roman" w:hAnsi="Times New Roman" w:eastAsia="仿宋" w:cs="Times New Roman"/>
          <w:b/>
          <w:color w:val="auto"/>
          <w:sz w:val="24"/>
          <w:szCs w:val="24"/>
          <w:lang w:val="en-GB" w:eastAsia="zh-CN"/>
        </w:rPr>
      </w:pPr>
      <w:r>
        <w:rPr>
          <w:rFonts w:hint="default" w:ascii="Times New Roman" w:hAnsi="Times New Roman" w:eastAsia="仿宋" w:cs="Times New Roman"/>
          <w:b/>
          <w:color w:val="auto"/>
          <w:sz w:val="24"/>
          <w:szCs w:val="24"/>
          <w:lang w:val="en-US" w:eastAsia="zh-CN"/>
        </w:rPr>
        <w:t>3、</w:t>
      </w:r>
      <w:r>
        <w:rPr>
          <w:rFonts w:hint="default" w:ascii="Times New Roman" w:hAnsi="Times New Roman" w:eastAsia="仿宋" w:cs="Times New Roman"/>
          <w:b/>
          <w:color w:val="auto"/>
          <w:sz w:val="24"/>
          <w:szCs w:val="24"/>
          <w:lang w:val="en-GB" w:eastAsia="zh-CN"/>
        </w:rPr>
        <w:t>请投标人正确填写本表，所填内容和后附的证明资料将作为评审的依据。其内容或数据应与对应的证明资料相符。未填写或未正确填写本表的，所提供的对应节能、环保证明资料不予认可。</w:t>
      </w:r>
    </w:p>
    <w:p w14:paraId="6AB016A4">
      <w:pPr>
        <w:ind w:firstLine="482" w:firstLineChars="200"/>
        <w:rPr>
          <w:rFonts w:hint="default" w:ascii="Times New Roman" w:hAnsi="Times New Roman" w:cs="Times New Roman"/>
          <w:lang w:eastAsia="zh-CN"/>
        </w:rPr>
      </w:pPr>
      <w:r>
        <w:rPr>
          <w:rFonts w:hint="default" w:ascii="Times New Roman" w:hAnsi="Times New Roman" w:eastAsia="仿宋" w:cs="Times New Roman"/>
          <w:b/>
          <w:color w:val="auto"/>
          <w:sz w:val="24"/>
          <w:szCs w:val="24"/>
          <w:lang w:val="en-US" w:eastAsia="zh-CN"/>
        </w:rPr>
        <w:t>4</w:t>
      </w:r>
      <w:r>
        <w:rPr>
          <w:rFonts w:hint="default" w:ascii="Times New Roman" w:hAnsi="Times New Roman" w:eastAsia="仿宋" w:cs="Times New Roman"/>
          <w:b/>
          <w:color w:val="auto"/>
          <w:sz w:val="24"/>
          <w:szCs w:val="24"/>
          <w:lang w:val="en-GB" w:eastAsia="zh-CN"/>
        </w:rPr>
        <w:t>、无适用政府采购政策产品，可不填。</w:t>
      </w:r>
    </w:p>
    <w:p w14:paraId="2E71ED9E">
      <w:pPr>
        <w:jc w:val="center"/>
        <w:rPr>
          <w:rFonts w:hint="default" w:ascii="Times New Roman" w:hAnsi="Times New Roman" w:eastAsia="方正小标宋_GBK" w:cs="Times New Roman"/>
          <w:bCs/>
          <w:color w:val="auto"/>
          <w:sz w:val="30"/>
          <w:szCs w:val="30"/>
          <w:lang w:eastAsia="zh-CN"/>
        </w:rPr>
      </w:pPr>
    </w:p>
    <w:p w14:paraId="5F1D4738">
      <w:pPr>
        <w:pStyle w:val="199"/>
        <w:rPr>
          <w:rFonts w:hint="default" w:ascii="Times New Roman" w:hAnsi="Times New Roman" w:eastAsia="宋体" w:cs="Times New Roman"/>
          <w:bCs/>
          <w:color w:val="auto"/>
          <w:kern w:val="0"/>
          <w:lang w:eastAsia="zh-CN"/>
        </w:rPr>
      </w:pPr>
    </w:p>
    <w:p w14:paraId="7A367AC6">
      <w:pPr>
        <w:spacing w:line="360" w:lineRule="auto"/>
        <w:ind w:left="1080" w:hanging="540"/>
        <w:jc w:val="center"/>
        <w:rPr>
          <w:rFonts w:hint="default" w:ascii="Times New Roman" w:hAnsi="Times New Roman" w:eastAsia="宋体" w:cs="Times New Roman"/>
          <w:bCs/>
          <w:color w:val="auto"/>
          <w:lang w:eastAsia="zh-CN"/>
        </w:rPr>
        <w:sectPr>
          <w:pgSz w:w="11900" w:h="16840"/>
          <w:pgMar w:top="1440" w:right="1800" w:bottom="1440" w:left="1800" w:header="851" w:footer="992" w:gutter="0"/>
          <w:cols w:space="720" w:num="1"/>
        </w:sectPr>
      </w:pPr>
    </w:p>
    <w:p w14:paraId="1D671F53">
      <w:pPr>
        <w:keepNext/>
        <w:keepLines/>
        <w:numPr>
          <w:ilvl w:val="0"/>
          <w:numId w:val="5"/>
        </w:numPr>
        <w:spacing w:line="360" w:lineRule="auto"/>
        <w:jc w:val="center"/>
        <w:outlineLvl w:val="0"/>
        <w:rPr>
          <w:rFonts w:hint="default" w:ascii="Times New Roman" w:hAnsi="Times New Roman" w:eastAsia="宋体" w:cs="Times New Roman"/>
          <w:bCs/>
          <w:color w:val="auto"/>
          <w:kern w:val="44"/>
          <w:sz w:val="36"/>
          <w:szCs w:val="36"/>
          <w:lang w:eastAsia="zh-CN"/>
        </w:rPr>
      </w:pPr>
      <w:r>
        <w:rPr>
          <w:rFonts w:hint="default" w:ascii="Times New Roman" w:hAnsi="Times New Roman" w:eastAsia="宋体" w:cs="Times New Roman"/>
          <w:bCs/>
          <w:color w:val="auto"/>
          <w:kern w:val="44"/>
          <w:sz w:val="36"/>
          <w:szCs w:val="36"/>
          <w:lang w:eastAsia="zh-CN"/>
        </w:rPr>
        <w:t>项目需求及技术要求</w:t>
      </w:r>
      <w:bookmarkEnd w:id="252"/>
      <w:bookmarkEnd w:id="253"/>
      <w:bookmarkEnd w:id="254"/>
      <w:bookmarkEnd w:id="255"/>
      <w:bookmarkEnd w:id="256"/>
      <w:bookmarkEnd w:id="257"/>
      <w:bookmarkEnd w:id="258"/>
    </w:p>
    <w:p w14:paraId="650E8F76">
      <w:pPr>
        <w:keepNext/>
        <w:keepLines/>
        <w:pageBreakBefore w:val="0"/>
        <w:widowControl w:val="0"/>
        <w:numPr>
          <w:ilvl w:val="0"/>
          <w:numId w:val="6"/>
        </w:numPr>
        <w:kinsoku/>
        <w:wordWrap/>
        <w:overflowPunct/>
        <w:topLinePunct w:val="0"/>
        <w:autoSpaceDE/>
        <w:autoSpaceDN/>
        <w:bidi w:val="0"/>
        <w:adjustRightInd w:val="0"/>
        <w:snapToGrid/>
        <w:spacing w:before="160" w:line="240" w:lineRule="auto"/>
        <w:ind w:left="272"/>
        <w:textAlignment w:val="bottom"/>
        <w:outlineLvl w:val="1"/>
        <w:rPr>
          <w:rFonts w:hint="default" w:ascii="Times New Roman" w:hAnsi="Times New Roman" w:eastAsia="黑体" w:cs="Times New Roman"/>
          <w:bCs/>
          <w:color w:val="auto"/>
          <w:kern w:val="21"/>
          <w:sz w:val="28"/>
          <w:szCs w:val="28"/>
          <w:lang w:val="en-US" w:eastAsia="zh-CN"/>
        </w:rPr>
      </w:pPr>
      <w:bookmarkStart w:id="469" w:name="_Hlk225773534"/>
      <w:bookmarkStart w:id="470" w:name="_Toc2134447957"/>
      <w:bookmarkStart w:id="471" w:name="_Toc450869757"/>
      <w:bookmarkStart w:id="472" w:name="_Toc2055339244_WPSOffice_Level1"/>
      <w:bookmarkStart w:id="473" w:name="_Toc2103487907_WPSOffice_Level1"/>
      <w:bookmarkStart w:id="474" w:name="_Toc1228469917"/>
      <w:bookmarkStart w:id="475" w:name="_Toc342626813"/>
      <w:bookmarkStart w:id="476" w:name="_Toc1203796512"/>
      <w:bookmarkStart w:id="477" w:name="_Toc1281126177_WPSOffice_Level1"/>
      <w:bookmarkStart w:id="478" w:name="_Toc1220109555_WPSOffice_Level1"/>
      <w:bookmarkStart w:id="479" w:name="_Toc1278987015"/>
      <w:bookmarkStart w:id="480" w:name="_Toc1658402222_WPSOffice_Level1"/>
      <w:bookmarkStart w:id="481" w:name="_Toc577545602"/>
      <w:bookmarkStart w:id="482" w:name="_Toc1364277335"/>
      <w:bookmarkStart w:id="483" w:name="_Toc876002453"/>
      <w:r>
        <w:rPr>
          <w:rFonts w:hint="default" w:ascii="Times New Roman" w:hAnsi="Times New Roman" w:eastAsia="黑体" w:cs="Times New Roman"/>
          <w:bCs/>
          <w:color w:val="auto"/>
          <w:kern w:val="21"/>
          <w:sz w:val="28"/>
          <w:szCs w:val="28"/>
          <w:lang w:val="en-US" w:eastAsia="zh-CN"/>
        </w:rPr>
        <w:t>采购清单</w:t>
      </w:r>
      <w:r>
        <w:rPr>
          <w:rFonts w:hint="eastAsia" w:ascii="Times New Roman" w:hAnsi="Times New Roman" w:eastAsia="黑体" w:cs="Times New Roman"/>
          <w:bCs/>
          <w:color w:val="auto"/>
          <w:kern w:val="21"/>
          <w:sz w:val="28"/>
          <w:szCs w:val="28"/>
          <w:lang w:val="en-US" w:eastAsia="zh-CN"/>
        </w:rPr>
        <w:t>（如前后数量不一致，以本表为准）</w:t>
      </w:r>
    </w:p>
    <w:p w14:paraId="342E2099">
      <w:pPr>
        <w:keepNext/>
        <w:keepLines/>
        <w:pageBreakBefore w:val="0"/>
        <w:widowControl w:val="0"/>
        <w:numPr>
          <w:ilvl w:val="0"/>
          <w:numId w:val="0"/>
        </w:numPr>
        <w:kinsoku/>
        <w:wordWrap/>
        <w:overflowPunct/>
        <w:topLinePunct w:val="0"/>
        <w:autoSpaceDE/>
        <w:autoSpaceDN/>
        <w:bidi w:val="0"/>
        <w:adjustRightInd w:val="0"/>
        <w:snapToGrid/>
        <w:spacing w:before="160" w:line="240" w:lineRule="auto"/>
        <w:jc w:val="center"/>
        <w:textAlignment w:val="bottom"/>
        <w:outlineLvl w:val="2"/>
        <w:rPr>
          <w:rFonts w:hint="default" w:ascii="Times New Roman" w:hAnsi="Times New Roman" w:eastAsia="黑体" w:cs="Times New Roman"/>
          <w:bCs/>
          <w:color w:val="auto"/>
          <w:kern w:val="21"/>
          <w:sz w:val="24"/>
          <w:szCs w:val="24"/>
          <w:lang w:val="en-US" w:eastAsia="zh-CN"/>
        </w:rPr>
      </w:pPr>
      <w:r>
        <w:rPr>
          <w:rFonts w:hint="eastAsia" w:ascii="Times New Roman" w:hAnsi="Times New Roman" w:eastAsia="黑体" w:cs="Times New Roman"/>
          <w:bCs/>
          <w:color w:val="auto"/>
          <w:kern w:val="21"/>
          <w:sz w:val="24"/>
          <w:szCs w:val="24"/>
          <w:lang w:val="en-US" w:eastAsia="zh-CN"/>
        </w:rPr>
        <w:t>表1</w:t>
      </w:r>
      <w:r>
        <w:rPr>
          <w:rFonts w:hint="eastAsia" w:ascii="黑体" w:hAnsi="黑体" w:eastAsia="黑体"/>
          <w:sz w:val="24"/>
          <w:szCs w:val="24"/>
          <w:lang w:val="zh-CN" w:bidi="zh-CN"/>
        </w:rPr>
        <w:t>采购标的汇总表</w:t>
      </w:r>
    </w:p>
    <w:tbl>
      <w:tblPr>
        <w:tblStyle w:val="59"/>
        <w:tblW w:w="1017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964"/>
        <w:gridCol w:w="2317"/>
        <w:gridCol w:w="928"/>
        <w:gridCol w:w="794"/>
        <w:gridCol w:w="1661"/>
        <w:gridCol w:w="1361"/>
        <w:gridCol w:w="1361"/>
      </w:tblGrid>
      <w:tr w14:paraId="6B5C63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325C4A24">
            <w:pPr>
              <w:keepNext w:val="0"/>
              <w:keepLines w:val="0"/>
              <w:pageBreakBefore w:val="0"/>
              <w:widowControl w:val="0"/>
              <w:kinsoku/>
              <w:wordWrap/>
              <w:overflowPunct/>
              <w:topLinePunct w:val="0"/>
              <w:autoSpaceDE/>
              <w:autoSpaceDN/>
              <w:bidi w:val="0"/>
              <w:adjustRightInd w:val="0"/>
              <w:snapToGrid w:val="0"/>
              <w:spacing w:after="0" w:line="240" w:lineRule="auto"/>
              <w:ind w:left="0"/>
              <w:textAlignment w:val="auto"/>
              <w:rPr>
                <w:rFonts w:hint="default" w:ascii="Times New Roman" w:hAnsi="Times New Roman" w:eastAsia="仿宋_GB2312" w:cs="Times New Roman"/>
                <w:bCs/>
                <w:color w:val="auto"/>
                <w:kern w:val="0"/>
                <w:sz w:val="24"/>
                <w:szCs w:val="24"/>
                <w:lang w:val="en-US" w:eastAsia="zh-CN"/>
              </w:rPr>
            </w:pPr>
            <w:bookmarkStart w:id="484" w:name="_Toc25523"/>
            <w:r>
              <w:rPr>
                <w:rFonts w:hint="default" w:ascii="Times New Roman" w:hAnsi="Times New Roman" w:eastAsia="仿宋_GB2312" w:cs="Times New Roman"/>
                <w:bCs/>
                <w:color w:val="auto"/>
                <w:kern w:val="0"/>
                <w:sz w:val="24"/>
                <w:szCs w:val="24"/>
                <w:lang w:val="en-US" w:eastAsia="zh-CN"/>
              </w:rPr>
              <w:t>序号</w:t>
            </w:r>
          </w:p>
        </w:tc>
        <w:tc>
          <w:tcPr>
            <w:tcW w:w="964" w:type="dxa"/>
            <w:noWrap/>
            <w:vAlign w:val="center"/>
          </w:tcPr>
          <w:p w14:paraId="1F962A39">
            <w:pPr>
              <w:keepNext w:val="0"/>
              <w:keepLines w:val="0"/>
              <w:pageBreakBefore w:val="0"/>
              <w:widowControl w:val="0"/>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类别</w:t>
            </w:r>
          </w:p>
        </w:tc>
        <w:tc>
          <w:tcPr>
            <w:tcW w:w="2317" w:type="dxa"/>
            <w:noWrap/>
            <w:vAlign w:val="center"/>
          </w:tcPr>
          <w:p w14:paraId="3DFE1ABF">
            <w:pPr>
              <w:keepNext w:val="0"/>
              <w:keepLines w:val="0"/>
              <w:pageBreakBefore w:val="0"/>
              <w:widowControl w:val="0"/>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设备名称</w:t>
            </w:r>
          </w:p>
        </w:tc>
        <w:tc>
          <w:tcPr>
            <w:tcW w:w="928" w:type="dxa"/>
            <w:noWrap/>
            <w:vAlign w:val="center"/>
          </w:tcPr>
          <w:p w14:paraId="67F3DB57">
            <w:pPr>
              <w:keepNext w:val="0"/>
              <w:keepLines w:val="0"/>
              <w:pageBreakBefore w:val="0"/>
              <w:widowControl w:val="0"/>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数量</w:t>
            </w:r>
          </w:p>
        </w:tc>
        <w:tc>
          <w:tcPr>
            <w:tcW w:w="794" w:type="dxa"/>
            <w:noWrap/>
            <w:vAlign w:val="center"/>
          </w:tcPr>
          <w:p w14:paraId="3B20F16E">
            <w:pPr>
              <w:keepNext w:val="0"/>
              <w:keepLines w:val="0"/>
              <w:pageBreakBefore w:val="0"/>
              <w:widowControl w:val="0"/>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单位</w:t>
            </w:r>
          </w:p>
        </w:tc>
        <w:tc>
          <w:tcPr>
            <w:tcW w:w="1661" w:type="dxa"/>
            <w:noWrap/>
            <w:vAlign w:val="center"/>
          </w:tcPr>
          <w:p w14:paraId="3C3E42CC">
            <w:pPr>
              <w:keepNext w:val="0"/>
              <w:keepLines w:val="0"/>
              <w:pageBreakBefore w:val="0"/>
              <w:widowControl w:val="0"/>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所属行业</w:t>
            </w:r>
          </w:p>
        </w:tc>
        <w:tc>
          <w:tcPr>
            <w:tcW w:w="1361" w:type="dxa"/>
            <w:noWrap/>
            <w:vAlign w:val="center"/>
          </w:tcPr>
          <w:p w14:paraId="624AA95C">
            <w:pPr>
              <w:keepNext w:val="0"/>
              <w:keepLines w:val="0"/>
              <w:pageBreakBefore w:val="0"/>
              <w:widowControl w:val="0"/>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 w:eastAsia="zh-CN"/>
              </w:rPr>
              <w:t>节能产品类型</w:t>
            </w:r>
          </w:p>
        </w:tc>
        <w:tc>
          <w:tcPr>
            <w:tcW w:w="1361" w:type="dxa"/>
            <w:noWrap/>
            <w:vAlign w:val="center"/>
          </w:tcPr>
          <w:p w14:paraId="1D1D27F3">
            <w:pPr>
              <w:keepNext w:val="0"/>
              <w:keepLines w:val="0"/>
              <w:pageBreakBefore w:val="0"/>
              <w:widowControl w:val="0"/>
              <w:kinsoku/>
              <w:wordWrap/>
              <w:overflowPunct/>
              <w:topLinePunct w:val="0"/>
              <w:autoSpaceDE/>
              <w:autoSpaceDN/>
              <w:bidi w:val="0"/>
              <w:adjustRightInd w:val="0"/>
              <w:snapToGrid w:val="0"/>
              <w:spacing w:after="0" w:line="240" w:lineRule="auto"/>
              <w:ind w:left="0"/>
              <w:jc w:val="center"/>
              <w:textAlignment w:val="auto"/>
              <w:rPr>
                <w:rFonts w:hint="default" w:ascii="Times New Roman" w:hAnsi="Times New Roman" w:eastAsia="仿宋_GB2312" w:cs="Times New Roman"/>
                <w:bCs/>
                <w:color w:val="auto"/>
                <w:kern w:val="0"/>
                <w:sz w:val="24"/>
                <w:szCs w:val="24"/>
                <w:lang w:val="en" w:eastAsia="zh-CN"/>
              </w:rPr>
            </w:pPr>
            <w:r>
              <w:rPr>
                <w:rFonts w:hint="default" w:ascii="Times New Roman" w:hAnsi="Times New Roman" w:eastAsia="仿宋_GB2312" w:cs="Times New Roman"/>
                <w:bCs/>
                <w:color w:val="auto"/>
                <w:kern w:val="0"/>
                <w:sz w:val="24"/>
                <w:szCs w:val="24"/>
                <w:lang w:val="en" w:eastAsia="zh-CN"/>
              </w:rPr>
              <w:t>环境标志产品类型</w:t>
            </w:r>
          </w:p>
        </w:tc>
      </w:tr>
      <w:tr w14:paraId="30101F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3E98A233">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p>
        </w:tc>
        <w:tc>
          <w:tcPr>
            <w:tcW w:w="964" w:type="dxa"/>
            <w:vMerge w:val="restart"/>
            <w:shd w:val="clear" w:color="auto" w:fill="auto"/>
            <w:noWrap/>
            <w:vAlign w:val="center"/>
          </w:tcPr>
          <w:p w14:paraId="31057A5A">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bidi="ar"/>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数据存储</w:t>
            </w:r>
          </w:p>
        </w:tc>
        <w:tc>
          <w:tcPr>
            <w:tcW w:w="2317" w:type="dxa"/>
            <w:shd w:val="clear" w:color="auto" w:fill="auto"/>
            <w:noWrap/>
            <w:vAlign w:val="center"/>
          </w:tcPr>
          <w:p w14:paraId="7A9EF578">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分布式存储</w:t>
            </w:r>
          </w:p>
        </w:tc>
        <w:tc>
          <w:tcPr>
            <w:tcW w:w="928" w:type="dxa"/>
            <w:shd w:val="clear" w:color="auto" w:fill="auto"/>
            <w:noWrap/>
            <w:vAlign w:val="center"/>
          </w:tcPr>
          <w:p w14:paraId="3A31B20F">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2</w:t>
            </w:r>
          </w:p>
        </w:tc>
        <w:tc>
          <w:tcPr>
            <w:tcW w:w="794" w:type="dxa"/>
            <w:shd w:val="clear" w:color="auto" w:fill="auto"/>
            <w:noWrap/>
            <w:vAlign w:val="center"/>
          </w:tcPr>
          <w:p w14:paraId="68F3D6AC">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套</w:t>
            </w:r>
          </w:p>
        </w:tc>
        <w:tc>
          <w:tcPr>
            <w:tcW w:w="1661" w:type="dxa"/>
            <w:noWrap/>
            <w:vAlign w:val="center"/>
          </w:tcPr>
          <w:p w14:paraId="1FA6B2D0">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1E4A4231">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0EE5DCF7">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r>
      <w:tr w14:paraId="4DFDA5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599CB981">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bookmarkStart w:id="485" w:name="_Hlk226097133"/>
          </w:p>
        </w:tc>
        <w:tc>
          <w:tcPr>
            <w:tcW w:w="964" w:type="dxa"/>
            <w:vMerge w:val="continue"/>
            <w:shd w:val="clear" w:color="auto" w:fill="auto"/>
            <w:noWrap/>
            <w:vAlign w:val="center"/>
          </w:tcPr>
          <w:p w14:paraId="67E7A4E3">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bidi="ar"/>
              </w:rPr>
            </w:pPr>
          </w:p>
        </w:tc>
        <w:tc>
          <w:tcPr>
            <w:tcW w:w="2317" w:type="dxa"/>
            <w:shd w:val="clear" w:color="auto" w:fill="auto"/>
            <w:noWrap/>
            <w:vAlign w:val="center"/>
          </w:tcPr>
          <w:p w14:paraId="744572A3">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存储业务交换机</w:t>
            </w:r>
          </w:p>
        </w:tc>
        <w:tc>
          <w:tcPr>
            <w:tcW w:w="928" w:type="dxa"/>
            <w:shd w:val="clear" w:color="auto" w:fill="auto"/>
            <w:noWrap/>
            <w:vAlign w:val="center"/>
          </w:tcPr>
          <w:p w14:paraId="45C32109">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4</w:t>
            </w:r>
          </w:p>
        </w:tc>
        <w:tc>
          <w:tcPr>
            <w:tcW w:w="794" w:type="dxa"/>
            <w:shd w:val="clear" w:color="auto" w:fill="auto"/>
            <w:noWrap/>
            <w:vAlign w:val="center"/>
          </w:tcPr>
          <w:p w14:paraId="56EFA5BC">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3F0666AC">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3C384516">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7A2E7468">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r>
      <w:bookmarkEnd w:id="485"/>
      <w:tr w14:paraId="2F4728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378BBFE2">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p>
        </w:tc>
        <w:tc>
          <w:tcPr>
            <w:tcW w:w="964" w:type="dxa"/>
            <w:vMerge w:val="continue"/>
            <w:shd w:val="clear" w:color="auto" w:fill="auto"/>
            <w:noWrap/>
            <w:vAlign w:val="center"/>
          </w:tcPr>
          <w:p w14:paraId="6AC48A9D">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bidi="ar"/>
              </w:rPr>
            </w:pPr>
          </w:p>
        </w:tc>
        <w:tc>
          <w:tcPr>
            <w:tcW w:w="2317" w:type="dxa"/>
            <w:shd w:val="clear" w:color="auto" w:fill="auto"/>
            <w:noWrap/>
            <w:vAlign w:val="center"/>
          </w:tcPr>
          <w:p w14:paraId="715729F2">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管理交换机</w:t>
            </w:r>
          </w:p>
        </w:tc>
        <w:tc>
          <w:tcPr>
            <w:tcW w:w="928" w:type="dxa"/>
            <w:shd w:val="clear" w:color="auto" w:fill="auto"/>
            <w:noWrap/>
            <w:vAlign w:val="center"/>
          </w:tcPr>
          <w:p w14:paraId="054D12EB">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4</w:t>
            </w:r>
          </w:p>
        </w:tc>
        <w:tc>
          <w:tcPr>
            <w:tcW w:w="794" w:type="dxa"/>
            <w:shd w:val="clear" w:color="auto" w:fill="auto"/>
            <w:noWrap/>
            <w:vAlign w:val="center"/>
          </w:tcPr>
          <w:p w14:paraId="0F9841BF">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1250466E">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74A1D3AA">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37917469">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r>
      <w:tr w14:paraId="4C187D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515A3E4A">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bookmarkStart w:id="486" w:name="_Hlk226097039"/>
          </w:p>
        </w:tc>
        <w:tc>
          <w:tcPr>
            <w:tcW w:w="964" w:type="dxa"/>
            <w:vMerge w:val="restart"/>
            <w:shd w:val="clear" w:color="auto" w:fill="auto"/>
            <w:noWrap/>
            <w:vAlign w:val="center"/>
          </w:tcPr>
          <w:p w14:paraId="64A5117D">
            <w:pPr>
              <w:keepNext w:val="0"/>
              <w:keepLines w:val="0"/>
              <w:widowControl/>
              <w:suppressLineNumbers w:val="0"/>
              <w:ind w:firstLine="0" w:firstLineChars="0"/>
              <w:jc w:val="center"/>
              <w:textAlignment w:val="center"/>
              <w:rPr>
                <w:rFonts w:hint="default" w:ascii="Times New Roman" w:hAnsi="Times New Roman" w:eastAsia="仿宋" w:cs="Times New Roman"/>
                <w:color w:val="auto"/>
                <w:kern w:val="2"/>
                <w:sz w:val="24"/>
                <w:szCs w:val="24"/>
                <w:u w:val="none"/>
                <w:lang w:bidi="ar"/>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数据库服务器</w:t>
            </w:r>
          </w:p>
        </w:tc>
        <w:tc>
          <w:tcPr>
            <w:tcW w:w="2317" w:type="dxa"/>
            <w:shd w:val="clear" w:color="auto" w:fill="auto"/>
            <w:noWrap/>
            <w:vAlign w:val="center"/>
          </w:tcPr>
          <w:p w14:paraId="3F43035B">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空间数据库集群</w:t>
            </w:r>
          </w:p>
        </w:tc>
        <w:tc>
          <w:tcPr>
            <w:tcW w:w="928" w:type="dxa"/>
            <w:shd w:val="clear" w:color="auto" w:fill="auto"/>
            <w:noWrap/>
            <w:vAlign w:val="center"/>
          </w:tcPr>
          <w:p w14:paraId="41663817">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3</w:t>
            </w:r>
          </w:p>
        </w:tc>
        <w:tc>
          <w:tcPr>
            <w:tcW w:w="794" w:type="dxa"/>
            <w:shd w:val="clear" w:color="auto" w:fill="auto"/>
            <w:noWrap/>
            <w:vAlign w:val="center"/>
          </w:tcPr>
          <w:p w14:paraId="49F9BF17">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0198689A">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3B370252">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75DB22AC">
            <w:pPr>
              <w:widowControl w:val="0"/>
              <w:spacing w:after="0" w:line="240" w:lineRule="auto"/>
              <w:jc w:val="both"/>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优先环保</w:t>
            </w:r>
          </w:p>
        </w:tc>
      </w:tr>
      <w:bookmarkEnd w:id="486"/>
      <w:tr w14:paraId="280052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67F8E9AD">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p>
        </w:tc>
        <w:tc>
          <w:tcPr>
            <w:tcW w:w="964" w:type="dxa"/>
            <w:vMerge w:val="continue"/>
            <w:shd w:val="clear" w:color="auto" w:fill="auto"/>
            <w:noWrap/>
            <w:vAlign w:val="center"/>
          </w:tcPr>
          <w:p w14:paraId="66B31C69">
            <w:pPr>
              <w:keepNext w:val="0"/>
              <w:keepLines w:val="0"/>
              <w:widowControl/>
              <w:suppressLineNumbers w:val="0"/>
              <w:ind w:firstLine="0" w:firstLineChars="0"/>
              <w:jc w:val="center"/>
              <w:textAlignment w:val="center"/>
              <w:rPr>
                <w:rFonts w:hint="default" w:ascii="Times New Roman" w:hAnsi="Times New Roman" w:eastAsia="仿宋" w:cs="Times New Roman"/>
                <w:color w:val="auto"/>
                <w:kern w:val="2"/>
                <w:sz w:val="24"/>
                <w:szCs w:val="24"/>
                <w:u w:val="none"/>
                <w:lang w:bidi="ar"/>
              </w:rPr>
            </w:pPr>
          </w:p>
        </w:tc>
        <w:tc>
          <w:tcPr>
            <w:tcW w:w="2317" w:type="dxa"/>
            <w:shd w:val="clear" w:color="auto" w:fill="auto"/>
            <w:noWrap/>
            <w:vAlign w:val="center"/>
          </w:tcPr>
          <w:p w14:paraId="2DC373D9">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图数据库</w:t>
            </w:r>
          </w:p>
        </w:tc>
        <w:tc>
          <w:tcPr>
            <w:tcW w:w="928" w:type="dxa"/>
            <w:shd w:val="clear" w:color="auto" w:fill="auto"/>
            <w:noWrap/>
            <w:vAlign w:val="center"/>
          </w:tcPr>
          <w:p w14:paraId="11EE7E6B">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3</w:t>
            </w:r>
          </w:p>
        </w:tc>
        <w:tc>
          <w:tcPr>
            <w:tcW w:w="794" w:type="dxa"/>
            <w:shd w:val="clear" w:color="auto" w:fill="auto"/>
            <w:noWrap/>
            <w:vAlign w:val="center"/>
          </w:tcPr>
          <w:p w14:paraId="4F5A60F1">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7A317F6C">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7C8C0C32">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6EE9EF64">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优先环保</w:t>
            </w:r>
          </w:p>
        </w:tc>
      </w:tr>
      <w:tr w14:paraId="4A7C3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17DAB3E8">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bookmarkStart w:id="487" w:name="_Hlk226097212"/>
          </w:p>
        </w:tc>
        <w:tc>
          <w:tcPr>
            <w:tcW w:w="964" w:type="dxa"/>
            <w:vMerge w:val="continue"/>
            <w:shd w:val="clear" w:color="auto" w:fill="auto"/>
            <w:noWrap/>
            <w:vAlign w:val="center"/>
          </w:tcPr>
          <w:p w14:paraId="33A6DB9F">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bidi="ar"/>
              </w:rPr>
            </w:pPr>
          </w:p>
        </w:tc>
        <w:tc>
          <w:tcPr>
            <w:tcW w:w="2317" w:type="dxa"/>
            <w:shd w:val="clear" w:color="auto" w:fill="auto"/>
            <w:noWrap/>
            <w:vAlign w:val="center"/>
          </w:tcPr>
          <w:p w14:paraId="57578FFC">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非关系数据库集群</w:t>
            </w:r>
          </w:p>
        </w:tc>
        <w:tc>
          <w:tcPr>
            <w:tcW w:w="928" w:type="dxa"/>
            <w:shd w:val="clear" w:color="auto" w:fill="auto"/>
            <w:noWrap/>
            <w:vAlign w:val="center"/>
          </w:tcPr>
          <w:p w14:paraId="5ABDADB8">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3</w:t>
            </w:r>
          </w:p>
        </w:tc>
        <w:tc>
          <w:tcPr>
            <w:tcW w:w="794" w:type="dxa"/>
            <w:shd w:val="clear" w:color="auto" w:fill="auto"/>
            <w:noWrap/>
            <w:vAlign w:val="center"/>
          </w:tcPr>
          <w:p w14:paraId="02B94528">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56EA4B1F">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7A3D12EF">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269DB958">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优先环保</w:t>
            </w:r>
          </w:p>
        </w:tc>
      </w:tr>
      <w:bookmarkEnd w:id="487"/>
      <w:tr w14:paraId="456D46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7072FB73">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p>
        </w:tc>
        <w:tc>
          <w:tcPr>
            <w:tcW w:w="964" w:type="dxa"/>
            <w:vMerge w:val="restart"/>
            <w:shd w:val="clear" w:color="auto" w:fill="auto"/>
            <w:noWrap/>
            <w:vAlign w:val="center"/>
          </w:tcPr>
          <w:p w14:paraId="1125A639">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bidi="ar"/>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应用服务器</w:t>
            </w:r>
          </w:p>
        </w:tc>
        <w:tc>
          <w:tcPr>
            <w:tcW w:w="2317" w:type="dxa"/>
            <w:shd w:val="clear" w:color="auto" w:fill="auto"/>
            <w:noWrap/>
            <w:vAlign w:val="center"/>
          </w:tcPr>
          <w:p w14:paraId="063C5364">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应用服务器集群</w:t>
            </w:r>
          </w:p>
        </w:tc>
        <w:tc>
          <w:tcPr>
            <w:tcW w:w="928" w:type="dxa"/>
            <w:shd w:val="clear" w:color="auto" w:fill="auto"/>
            <w:noWrap/>
            <w:vAlign w:val="center"/>
          </w:tcPr>
          <w:p w14:paraId="7BFB6D36">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6</w:t>
            </w:r>
          </w:p>
        </w:tc>
        <w:tc>
          <w:tcPr>
            <w:tcW w:w="794" w:type="dxa"/>
            <w:shd w:val="clear" w:color="auto" w:fill="auto"/>
            <w:noWrap/>
            <w:vAlign w:val="center"/>
          </w:tcPr>
          <w:p w14:paraId="0C7312B7">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77D7AB4A">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41518AC5">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05860C02">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优先环保</w:t>
            </w:r>
          </w:p>
        </w:tc>
      </w:tr>
      <w:tr w14:paraId="0E06B4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725ADE36">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bookmarkStart w:id="488" w:name="_Hlk226097243"/>
          </w:p>
        </w:tc>
        <w:tc>
          <w:tcPr>
            <w:tcW w:w="964" w:type="dxa"/>
            <w:vMerge w:val="continue"/>
            <w:shd w:val="clear" w:color="auto" w:fill="auto"/>
            <w:noWrap/>
            <w:vAlign w:val="center"/>
          </w:tcPr>
          <w:p w14:paraId="7F469444">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bidi="ar"/>
              </w:rPr>
            </w:pPr>
          </w:p>
        </w:tc>
        <w:tc>
          <w:tcPr>
            <w:tcW w:w="2317" w:type="dxa"/>
            <w:shd w:val="clear" w:color="auto" w:fill="auto"/>
            <w:noWrap/>
            <w:vAlign w:val="center"/>
          </w:tcPr>
          <w:p w14:paraId="6D326112">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GIS集群</w:t>
            </w:r>
          </w:p>
        </w:tc>
        <w:tc>
          <w:tcPr>
            <w:tcW w:w="928" w:type="dxa"/>
            <w:shd w:val="clear" w:color="auto" w:fill="auto"/>
            <w:noWrap/>
            <w:vAlign w:val="center"/>
          </w:tcPr>
          <w:p w14:paraId="2408AA6E">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4</w:t>
            </w:r>
          </w:p>
        </w:tc>
        <w:tc>
          <w:tcPr>
            <w:tcW w:w="794" w:type="dxa"/>
            <w:shd w:val="clear" w:color="auto" w:fill="auto"/>
            <w:noWrap/>
            <w:vAlign w:val="center"/>
          </w:tcPr>
          <w:p w14:paraId="07DABA7F">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11BBB0F0">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710E514C">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0F8E2111">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优先环保</w:t>
            </w:r>
          </w:p>
        </w:tc>
      </w:tr>
      <w:bookmarkEnd w:id="488"/>
      <w:tr w14:paraId="369E6D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45F6AFA7">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bookmarkStart w:id="489" w:name="_Hlk226097338"/>
          </w:p>
        </w:tc>
        <w:tc>
          <w:tcPr>
            <w:tcW w:w="964" w:type="dxa"/>
            <w:vMerge w:val="continue"/>
            <w:shd w:val="clear" w:color="auto" w:fill="auto"/>
            <w:noWrap/>
            <w:vAlign w:val="center"/>
          </w:tcPr>
          <w:p w14:paraId="3C5AE7ED">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bidi="ar"/>
              </w:rPr>
            </w:pPr>
          </w:p>
        </w:tc>
        <w:tc>
          <w:tcPr>
            <w:tcW w:w="2317" w:type="dxa"/>
            <w:shd w:val="clear" w:color="auto" w:fill="auto"/>
            <w:noWrap/>
            <w:vAlign w:val="center"/>
          </w:tcPr>
          <w:p w14:paraId="08F28442">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计算集群</w:t>
            </w:r>
          </w:p>
        </w:tc>
        <w:tc>
          <w:tcPr>
            <w:tcW w:w="928" w:type="dxa"/>
            <w:shd w:val="clear" w:color="auto" w:fill="auto"/>
            <w:noWrap/>
            <w:vAlign w:val="center"/>
          </w:tcPr>
          <w:p w14:paraId="4E7DB659">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5</w:t>
            </w:r>
          </w:p>
        </w:tc>
        <w:tc>
          <w:tcPr>
            <w:tcW w:w="794" w:type="dxa"/>
            <w:shd w:val="clear" w:color="auto" w:fill="auto"/>
            <w:noWrap/>
            <w:vAlign w:val="center"/>
          </w:tcPr>
          <w:p w14:paraId="116C1D47">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01848948">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1529DE0D">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4571CD7A">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优先环保</w:t>
            </w:r>
          </w:p>
        </w:tc>
      </w:tr>
      <w:bookmarkEnd w:id="489"/>
      <w:tr w14:paraId="69770A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noWrap/>
            <w:vAlign w:val="center"/>
          </w:tcPr>
          <w:p w14:paraId="57587349">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p>
        </w:tc>
        <w:tc>
          <w:tcPr>
            <w:tcW w:w="964" w:type="dxa"/>
            <w:vMerge w:val="continue"/>
            <w:shd w:val="clear" w:color="auto" w:fill="auto"/>
            <w:noWrap/>
            <w:vAlign w:val="center"/>
          </w:tcPr>
          <w:p w14:paraId="79356F6E">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bidi="ar"/>
              </w:rPr>
            </w:pPr>
          </w:p>
        </w:tc>
        <w:tc>
          <w:tcPr>
            <w:tcW w:w="2317" w:type="dxa"/>
            <w:shd w:val="clear" w:color="auto" w:fill="auto"/>
            <w:noWrap/>
            <w:vAlign w:val="center"/>
          </w:tcPr>
          <w:p w14:paraId="090B985D">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高性能服务器</w:t>
            </w:r>
          </w:p>
        </w:tc>
        <w:tc>
          <w:tcPr>
            <w:tcW w:w="928" w:type="dxa"/>
            <w:shd w:val="clear" w:color="auto" w:fill="auto"/>
            <w:noWrap/>
            <w:vAlign w:val="center"/>
          </w:tcPr>
          <w:p w14:paraId="4FF136D8">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1</w:t>
            </w:r>
          </w:p>
        </w:tc>
        <w:tc>
          <w:tcPr>
            <w:tcW w:w="794" w:type="dxa"/>
            <w:shd w:val="clear" w:color="auto" w:fill="auto"/>
            <w:noWrap/>
            <w:vAlign w:val="center"/>
          </w:tcPr>
          <w:p w14:paraId="55DC509A">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73821429">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6CE4CA54">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4D594CEF">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优先环保</w:t>
            </w:r>
          </w:p>
        </w:tc>
      </w:tr>
      <w:tr w14:paraId="6E8574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2AD3E645">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p>
        </w:tc>
        <w:tc>
          <w:tcPr>
            <w:tcW w:w="964" w:type="dxa"/>
            <w:shd w:val="clear" w:color="auto" w:fill="auto"/>
            <w:noWrap/>
            <w:vAlign w:val="center"/>
          </w:tcPr>
          <w:p w14:paraId="4ED6D6F9">
            <w:pPr>
              <w:keepNext w:val="0"/>
              <w:keepLines w:val="0"/>
              <w:widowControl/>
              <w:suppressLineNumbers w:val="0"/>
              <w:ind w:firstLine="0" w:firstLineChars="0"/>
              <w:jc w:val="center"/>
              <w:textAlignment w:val="center"/>
              <w:rPr>
                <w:rFonts w:hint="default" w:ascii="Times New Roman" w:hAnsi="Times New Roman" w:eastAsia="仿宋" w:cs="Times New Roman"/>
                <w:color w:val="auto"/>
                <w:kern w:val="2"/>
                <w:sz w:val="24"/>
                <w:szCs w:val="24"/>
                <w:u w:val="none"/>
                <w:lang w:bidi="ar"/>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数据库系统</w:t>
            </w:r>
          </w:p>
        </w:tc>
        <w:tc>
          <w:tcPr>
            <w:tcW w:w="2317" w:type="dxa"/>
            <w:shd w:val="clear" w:color="auto" w:fill="auto"/>
            <w:noWrap/>
            <w:vAlign w:val="center"/>
          </w:tcPr>
          <w:p w14:paraId="6A9A86F9">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数据库系统</w:t>
            </w:r>
          </w:p>
        </w:tc>
        <w:tc>
          <w:tcPr>
            <w:tcW w:w="928" w:type="dxa"/>
            <w:shd w:val="clear" w:color="auto" w:fill="auto"/>
            <w:noWrap/>
            <w:vAlign w:val="center"/>
          </w:tcPr>
          <w:p w14:paraId="6206085A">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3</w:t>
            </w:r>
          </w:p>
        </w:tc>
        <w:tc>
          <w:tcPr>
            <w:tcW w:w="794" w:type="dxa"/>
            <w:shd w:val="clear" w:color="auto" w:fill="auto"/>
            <w:noWrap/>
            <w:vAlign w:val="center"/>
          </w:tcPr>
          <w:p w14:paraId="3C7CC551">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套</w:t>
            </w:r>
          </w:p>
        </w:tc>
        <w:tc>
          <w:tcPr>
            <w:tcW w:w="1661" w:type="dxa"/>
            <w:noWrap/>
            <w:vAlign w:val="center"/>
          </w:tcPr>
          <w:p w14:paraId="151CD6A7">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软件和信息技术服务业</w:t>
            </w:r>
          </w:p>
        </w:tc>
        <w:tc>
          <w:tcPr>
            <w:tcW w:w="1361" w:type="dxa"/>
            <w:noWrap/>
            <w:vAlign w:val="center"/>
          </w:tcPr>
          <w:p w14:paraId="19E15BDA">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334BBD10">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r>
      <w:tr w14:paraId="1F6301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5DCA1105">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p>
        </w:tc>
        <w:tc>
          <w:tcPr>
            <w:tcW w:w="964" w:type="dxa"/>
            <w:shd w:val="clear" w:color="auto" w:fill="auto"/>
            <w:noWrap/>
            <w:vAlign w:val="center"/>
          </w:tcPr>
          <w:p w14:paraId="4574977A">
            <w:pPr>
              <w:keepNext w:val="0"/>
              <w:keepLines w:val="0"/>
              <w:widowControl/>
              <w:suppressLineNumbers w:val="0"/>
              <w:ind w:firstLine="0" w:firstLineChars="0"/>
              <w:jc w:val="center"/>
              <w:textAlignment w:val="center"/>
              <w:rPr>
                <w:rFonts w:hint="default" w:ascii="Times New Roman" w:hAnsi="Times New Roman" w:eastAsia="仿宋" w:cs="Times New Roman"/>
                <w:color w:val="auto"/>
                <w:kern w:val="2"/>
                <w:sz w:val="24"/>
                <w:szCs w:val="24"/>
                <w:u w:val="none"/>
                <w:lang w:bidi="ar"/>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操作系统</w:t>
            </w:r>
          </w:p>
        </w:tc>
        <w:tc>
          <w:tcPr>
            <w:tcW w:w="2317" w:type="dxa"/>
            <w:shd w:val="clear" w:color="auto" w:fill="auto"/>
            <w:noWrap/>
            <w:vAlign w:val="center"/>
          </w:tcPr>
          <w:p w14:paraId="4736EDC6">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操作系统</w:t>
            </w:r>
          </w:p>
        </w:tc>
        <w:tc>
          <w:tcPr>
            <w:tcW w:w="928" w:type="dxa"/>
            <w:shd w:val="clear" w:color="auto" w:fill="auto"/>
            <w:noWrap/>
            <w:vAlign w:val="center"/>
          </w:tcPr>
          <w:p w14:paraId="46659F7E">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34</w:t>
            </w:r>
          </w:p>
        </w:tc>
        <w:tc>
          <w:tcPr>
            <w:tcW w:w="794" w:type="dxa"/>
            <w:shd w:val="clear" w:color="auto" w:fill="auto"/>
            <w:noWrap/>
            <w:vAlign w:val="center"/>
          </w:tcPr>
          <w:p w14:paraId="0A4B7027">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套</w:t>
            </w:r>
          </w:p>
        </w:tc>
        <w:tc>
          <w:tcPr>
            <w:tcW w:w="1661" w:type="dxa"/>
            <w:noWrap/>
            <w:vAlign w:val="center"/>
          </w:tcPr>
          <w:p w14:paraId="014E0230">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软件和信息技术服务业</w:t>
            </w:r>
          </w:p>
        </w:tc>
        <w:tc>
          <w:tcPr>
            <w:tcW w:w="1361" w:type="dxa"/>
            <w:noWrap/>
            <w:vAlign w:val="center"/>
          </w:tcPr>
          <w:p w14:paraId="45E0B2DE">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61413F65">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r>
      <w:tr w14:paraId="1ECAAB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4B67901E">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p>
        </w:tc>
        <w:tc>
          <w:tcPr>
            <w:tcW w:w="964" w:type="dxa"/>
            <w:shd w:val="clear" w:color="auto" w:fill="auto"/>
            <w:noWrap/>
            <w:vAlign w:val="center"/>
          </w:tcPr>
          <w:p w14:paraId="65267B8D">
            <w:pPr>
              <w:keepNext w:val="0"/>
              <w:keepLines w:val="0"/>
              <w:widowControl/>
              <w:suppressLineNumbers w:val="0"/>
              <w:ind w:firstLine="0" w:firstLineChars="0"/>
              <w:jc w:val="center"/>
              <w:textAlignment w:val="center"/>
              <w:rPr>
                <w:rFonts w:hint="default" w:ascii="Times New Roman" w:hAnsi="Times New Roman" w:eastAsia="仿宋" w:cs="Times New Roman"/>
                <w:color w:val="auto"/>
                <w:kern w:val="2"/>
                <w:sz w:val="24"/>
                <w:szCs w:val="24"/>
                <w:u w:val="none"/>
                <w:lang w:bidi="ar"/>
              </w:rPr>
            </w:pPr>
            <w:r>
              <w:rPr>
                <w:rFonts w:hint="default" w:ascii="Times New Roman" w:hAnsi="Times New Roman" w:eastAsia="仿宋_GB2312" w:cs="Times New Roman"/>
                <w:i w:val="0"/>
                <w:iCs w:val="0"/>
                <w:color w:val="000000" w:themeColor="text1"/>
                <w:kern w:val="0"/>
                <w:sz w:val="24"/>
                <w:szCs w:val="24"/>
                <w:u w:val="none"/>
                <w:lang w:val="en-US" w:eastAsia="zh-CN" w:bidi="ar"/>
                <w14:textFill>
                  <w14:solidFill>
                    <w14:schemeClr w14:val="tx1"/>
                  </w14:solidFill>
                </w14:textFill>
              </w:rPr>
              <w:t>中间件</w:t>
            </w:r>
          </w:p>
        </w:tc>
        <w:tc>
          <w:tcPr>
            <w:tcW w:w="2317" w:type="dxa"/>
            <w:shd w:val="clear" w:color="auto" w:fill="auto"/>
            <w:noWrap/>
            <w:vAlign w:val="center"/>
          </w:tcPr>
          <w:p w14:paraId="18613EFD">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中间件</w:t>
            </w:r>
          </w:p>
        </w:tc>
        <w:tc>
          <w:tcPr>
            <w:tcW w:w="928" w:type="dxa"/>
            <w:shd w:val="clear" w:color="auto" w:fill="auto"/>
            <w:noWrap/>
            <w:vAlign w:val="center"/>
          </w:tcPr>
          <w:p w14:paraId="3B58D74D">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8</w:t>
            </w:r>
          </w:p>
        </w:tc>
        <w:tc>
          <w:tcPr>
            <w:tcW w:w="794" w:type="dxa"/>
            <w:shd w:val="clear" w:color="auto" w:fill="auto"/>
            <w:noWrap/>
            <w:vAlign w:val="center"/>
          </w:tcPr>
          <w:p w14:paraId="3CD6EA94">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套</w:t>
            </w:r>
          </w:p>
        </w:tc>
        <w:tc>
          <w:tcPr>
            <w:tcW w:w="1661" w:type="dxa"/>
            <w:noWrap/>
            <w:vAlign w:val="center"/>
          </w:tcPr>
          <w:p w14:paraId="050C7567">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软件和信息技术服务业</w:t>
            </w:r>
          </w:p>
        </w:tc>
        <w:tc>
          <w:tcPr>
            <w:tcW w:w="1361" w:type="dxa"/>
            <w:noWrap/>
            <w:vAlign w:val="center"/>
          </w:tcPr>
          <w:p w14:paraId="0C009111">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0CB16BCE">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r>
      <w:tr w14:paraId="69BA2E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dxa"/>
            <w:noWrap/>
            <w:vAlign w:val="center"/>
          </w:tcPr>
          <w:p w14:paraId="1DBFF50B">
            <w:pPr>
              <w:widowControl w:val="0"/>
              <w:numPr>
                <w:ilvl w:val="0"/>
                <w:numId w:val="7"/>
              </w:numPr>
              <w:snapToGrid w:val="0"/>
              <w:spacing w:after="0" w:line="240" w:lineRule="auto"/>
              <w:jc w:val="center"/>
              <w:rPr>
                <w:rFonts w:hint="default" w:ascii="Times New Roman" w:hAnsi="Times New Roman" w:eastAsia="仿宋_GB2312" w:cs="Times New Roman"/>
                <w:bCs/>
                <w:color w:val="auto"/>
                <w:sz w:val="24"/>
                <w:szCs w:val="24"/>
                <w:lang w:val="en-US" w:eastAsia="zh-CN"/>
              </w:rPr>
            </w:pPr>
          </w:p>
        </w:tc>
        <w:tc>
          <w:tcPr>
            <w:tcW w:w="964" w:type="dxa"/>
            <w:shd w:val="clear" w:color="auto" w:fill="auto"/>
            <w:noWrap/>
            <w:vAlign w:val="center"/>
          </w:tcPr>
          <w:p w14:paraId="26B1C0E7">
            <w:pPr>
              <w:ind w:firstLine="0" w:firstLineChars="0"/>
              <w:jc w:val="both"/>
              <w:rPr>
                <w:rFonts w:hint="default" w:ascii="Times New Roman" w:hAnsi="Times New Roman" w:eastAsia="仿宋" w:cs="Times New Roman"/>
                <w:color w:val="auto"/>
                <w:kern w:val="2"/>
                <w:sz w:val="24"/>
                <w:szCs w:val="24"/>
                <w:u w:val="none"/>
                <w:lang w:bidi="ar"/>
              </w:rPr>
            </w:pPr>
            <w:r>
              <w:rPr>
                <w:rFonts w:hint="default" w:ascii="Times New Roman" w:hAnsi="Times New Roman" w:eastAsia="仿宋_GB2312" w:cs="Times New Roman"/>
                <w:i w:val="0"/>
                <w:iCs w:val="0"/>
                <w:color w:val="000000" w:themeColor="text1"/>
                <w:sz w:val="24"/>
                <w:szCs w:val="24"/>
                <w:u w:val="none"/>
                <w:lang w:val="en-US" w:eastAsia="zh-CN"/>
                <w14:textFill>
                  <w14:solidFill>
                    <w14:schemeClr w14:val="tx1"/>
                  </w14:solidFill>
                </w14:textFill>
              </w:rPr>
              <w:t>安全设备</w:t>
            </w:r>
          </w:p>
        </w:tc>
        <w:tc>
          <w:tcPr>
            <w:tcW w:w="2317" w:type="dxa"/>
            <w:shd w:val="clear" w:color="auto" w:fill="auto"/>
            <w:noWrap/>
            <w:vAlign w:val="center"/>
          </w:tcPr>
          <w:p w14:paraId="7465B5AD">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运维安全管理系统</w:t>
            </w:r>
          </w:p>
        </w:tc>
        <w:tc>
          <w:tcPr>
            <w:tcW w:w="928" w:type="dxa"/>
            <w:shd w:val="clear" w:color="auto" w:fill="auto"/>
            <w:noWrap/>
            <w:vAlign w:val="center"/>
          </w:tcPr>
          <w:p w14:paraId="7F12B6CE">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1</w:t>
            </w:r>
          </w:p>
        </w:tc>
        <w:tc>
          <w:tcPr>
            <w:tcW w:w="794" w:type="dxa"/>
            <w:shd w:val="clear" w:color="auto" w:fill="auto"/>
            <w:noWrap/>
            <w:vAlign w:val="center"/>
          </w:tcPr>
          <w:p w14:paraId="476E1840">
            <w:pPr>
              <w:widowControl/>
              <w:adjustRightInd w:val="0"/>
              <w:snapToGrid w:val="0"/>
              <w:ind w:firstLine="0" w:firstLineChars="0"/>
              <w:jc w:val="center"/>
              <w:textAlignment w:val="auto"/>
              <w:rPr>
                <w:rFonts w:hint="default" w:ascii="Times New Roman" w:hAnsi="Times New Roman" w:eastAsia="仿宋" w:cs="Times New Roman"/>
                <w:color w:val="auto"/>
                <w:kern w:val="2"/>
                <w:sz w:val="24"/>
                <w:szCs w:val="24"/>
                <w:u w:val="none"/>
                <w:lang w:val="en-US" w:eastAsia="zh-CN" w:bidi="ar"/>
              </w:rPr>
            </w:pPr>
            <w:r>
              <w:rPr>
                <w:rFonts w:hint="default" w:ascii="Times New Roman" w:hAnsi="Times New Roman" w:eastAsia="仿宋" w:cs="Times New Roman"/>
                <w:color w:val="auto"/>
                <w:kern w:val="2"/>
                <w:sz w:val="24"/>
                <w:szCs w:val="24"/>
                <w:u w:val="none"/>
                <w:lang w:bidi="ar"/>
              </w:rPr>
              <w:t>台</w:t>
            </w:r>
          </w:p>
        </w:tc>
        <w:tc>
          <w:tcPr>
            <w:tcW w:w="1661" w:type="dxa"/>
            <w:noWrap/>
            <w:vAlign w:val="center"/>
          </w:tcPr>
          <w:p w14:paraId="62AE0007">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工业</w:t>
            </w:r>
          </w:p>
        </w:tc>
        <w:tc>
          <w:tcPr>
            <w:tcW w:w="1361" w:type="dxa"/>
            <w:noWrap/>
            <w:vAlign w:val="center"/>
          </w:tcPr>
          <w:p w14:paraId="440C97AB">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c>
          <w:tcPr>
            <w:tcW w:w="1361" w:type="dxa"/>
            <w:noWrap/>
            <w:vAlign w:val="center"/>
          </w:tcPr>
          <w:p w14:paraId="2AC7C3FF">
            <w:pPr>
              <w:widowControl w:val="0"/>
              <w:spacing w:after="0" w:line="240" w:lineRule="auto"/>
              <w:jc w:val="center"/>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Cs/>
                <w:color w:val="auto"/>
                <w:sz w:val="24"/>
                <w:szCs w:val="24"/>
                <w:highlight w:val="none"/>
                <w:lang w:val="en-US" w:eastAsia="zh-CN"/>
              </w:rPr>
              <w:t>/</w:t>
            </w:r>
          </w:p>
        </w:tc>
      </w:tr>
      <w:bookmarkEnd w:id="484"/>
    </w:tbl>
    <w:p w14:paraId="20A44789">
      <w:pPr>
        <w:rPr>
          <w:rFonts w:hint="default" w:ascii="Times New Roman" w:hAnsi="Times New Roman" w:eastAsia="仿宋_GB2312" w:cs="Times New Roman"/>
          <w:bCs/>
          <w:kern w:val="21"/>
          <w:sz w:val="28"/>
          <w:szCs w:val="28"/>
          <w:lang w:val="en-US" w:eastAsia="zh-CN"/>
        </w:rPr>
      </w:pPr>
      <w:r>
        <w:rPr>
          <w:rFonts w:hint="default" w:ascii="Times New Roman" w:hAnsi="Times New Roman" w:eastAsia="仿宋_GB2312" w:cs="Times New Roman"/>
          <w:bCs/>
          <w:sz w:val="28"/>
          <w:szCs w:val="28"/>
          <w:lang w:val="en-US" w:eastAsia="zh-CN"/>
        </w:rPr>
        <w:t>指标按重要性分为“★”、“</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sz w:val="28"/>
          <w:szCs w:val="28"/>
          <w:lang w:val="en-US" w:eastAsia="zh-CN"/>
        </w:rPr>
        <w:t>”和不加符号项。“★”代表实质性指标，不满足该指标项将导致投标被拒绝，“</w:t>
      </w:r>
      <w:r>
        <w:rPr>
          <w:rFonts w:hint="default"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sz w:val="28"/>
          <w:szCs w:val="28"/>
          <w:lang w:val="en-US" w:eastAsia="zh-CN"/>
        </w:rPr>
        <w:t>代表重要指标，未加符号项则表示一般指标项。</w:t>
      </w:r>
      <w:r>
        <w:rPr>
          <w:rFonts w:hint="default" w:ascii="Times New Roman" w:hAnsi="Times New Roman" w:eastAsia="仿宋_GB2312" w:cs="Times New Roman"/>
          <w:bCs/>
          <w:kern w:val="21"/>
          <w:sz w:val="28"/>
          <w:szCs w:val="28"/>
          <w:lang w:val="en-US" w:eastAsia="zh-CN"/>
        </w:rPr>
        <w:t>“/”表示不作要求。</w:t>
      </w:r>
    </w:p>
    <w:p w14:paraId="03242D2C">
      <w:pPr>
        <w:keepNext/>
        <w:keepLines/>
        <w:pageBreakBefore w:val="0"/>
        <w:widowControl w:val="0"/>
        <w:numPr>
          <w:ilvl w:val="0"/>
          <w:numId w:val="6"/>
        </w:numPr>
        <w:kinsoku/>
        <w:wordWrap/>
        <w:overflowPunct/>
        <w:topLinePunct w:val="0"/>
        <w:autoSpaceDE/>
        <w:autoSpaceDN/>
        <w:bidi w:val="0"/>
        <w:adjustRightInd w:val="0"/>
        <w:snapToGrid/>
        <w:spacing w:before="160" w:line="240" w:lineRule="auto"/>
        <w:ind w:left="272" w:leftChars="0" w:firstLine="0" w:firstLineChars="0"/>
        <w:textAlignment w:val="bottom"/>
        <w:outlineLvl w:val="1"/>
        <w:rPr>
          <w:rFonts w:hint="default" w:ascii="Times New Roman" w:hAnsi="Times New Roman" w:eastAsia="黑体" w:cs="Times New Roman"/>
          <w:bCs/>
          <w:color w:val="auto"/>
          <w:kern w:val="21"/>
          <w:sz w:val="28"/>
          <w:szCs w:val="28"/>
          <w:lang w:val="en-US" w:eastAsia="zh-CN"/>
        </w:rPr>
      </w:pPr>
      <w:r>
        <w:rPr>
          <w:rFonts w:hint="default" w:ascii="Times New Roman" w:hAnsi="Times New Roman" w:eastAsia="黑体" w:cs="Times New Roman"/>
          <w:bCs/>
          <w:color w:val="auto"/>
          <w:kern w:val="21"/>
          <w:sz w:val="28"/>
          <w:szCs w:val="28"/>
          <w:lang w:val="en-US" w:eastAsia="zh-CN"/>
        </w:rPr>
        <w:t>技术参数</w:t>
      </w:r>
    </w:p>
    <w:p w14:paraId="767C957D">
      <w:pPr>
        <w:keepNext/>
        <w:keepLines/>
        <w:pageBreakBefore w:val="0"/>
        <w:widowControl w:val="0"/>
        <w:numPr>
          <w:ilvl w:val="0"/>
          <w:numId w:val="0"/>
        </w:numPr>
        <w:kinsoku/>
        <w:wordWrap/>
        <w:overflowPunct/>
        <w:topLinePunct w:val="0"/>
        <w:autoSpaceDE/>
        <w:autoSpaceDN/>
        <w:bidi w:val="0"/>
        <w:adjustRightInd w:val="0"/>
        <w:snapToGrid/>
        <w:spacing w:before="160" w:line="240" w:lineRule="auto"/>
        <w:jc w:val="center"/>
        <w:textAlignment w:val="bottom"/>
        <w:outlineLvl w:val="2"/>
        <w:rPr>
          <w:rFonts w:hint="eastAsia" w:ascii="Times New Roman" w:hAnsi="Times New Roman" w:eastAsia="黑体" w:cs="Times New Roman"/>
          <w:bCs/>
          <w:color w:val="auto"/>
          <w:kern w:val="21"/>
          <w:sz w:val="24"/>
          <w:szCs w:val="24"/>
          <w:lang w:val="en-US" w:eastAsia="zh-CN"/>
        </w:rPr>
      </w:pPr>
      <w:r>
        <w:rPr>
          <w:rFonts w:hint="eastAsia" w:ascii="Times New Roman" w:hAnsi="Times New Roman" w:eastAsia="黑体" w:cs="Times New Roman"/>
          <w:bCs/>
          <w:color w:val="auto"/>
          <w:kern w:val="21"/>
          <w:sz w:val="24"/>
          <w:szCs w:val="24"/>
          <w:lang w:val="en-US" w:eastAsia="zh-CN"/>
        </w:rPr>
        <w:t>表2 实景三维河南建设省级项目2025年软硬件采购项目采购技术要求</w:t>
      </w:r>
    </w:p>
    <w:tbl>
      <w:tblPr>
        <w:tblStyle w:val="59"/>
        <w:tblW w:w="9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0"/>
        <w:gridCol w:w="791"/>
        <w:gridCol w:w="8479"/>
      </w:tblGrid>
      <w:tr w14:paraId="5A2C3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3EF45B3F">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default"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序号</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27D70BCF">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b/>
                <w:bCs/>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名称</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7C1AADD3">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b/>
                <w:bCs/>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技术参数要求</w:t>
            </w:r>
          </w:p>
        </w:tc>
      </w:tr>
      <w:tr w14:paraId="48E79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27B36069">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7140687F">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分布式存储</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74607BF0">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★分布式存储系统1套，包含4个分布式存储服务器节点，1套分布式存储软件，提供不少于本次硬件的数据总容量永久授权，分布式系统的所有软件功能全部激活</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w:t>
            </w:r>
          </w:p>
          <w:p w14:paraId="205A0E6D">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一、分布式存储软件技术要求</w:t>
            </w:r>
          </w:p>
          <w:p w14:paraId="2B620593">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▲1、采用全对称分布式架构，元数据和数据的融合部署到存储节点上，不需要专门的管理节点；元数据、数据均采用集群方式部署，满足任何一个节点出现故障，不影响数据的正常访问功能</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w:t>
            </w:r>
          </w:p>
          <w:p w14:paraId="7F01E82E">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2、所投产品组成的集群可同时提供块存储、文件存储、对象以及HDFS存储服务，本次配置不限容量的块、文件、对象、大数据存储服务授权许可, 方便灵活选择部署方式；</w:t>
            </w:r>
          </w:p>
          <w:p w14:paraId="0F8E2B61">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3、存储集群支持扩展节点不小于2千节点，存储总容量空间可提供不低于EB级</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w:t>
            </w:r>
          </w:p>
          <w:p w14:paraId="585287D6">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▲4、所投产品支持全局聚合策略将多个小文件（＜1M）写入后聚合成一个文件</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w:t>
            </w:r>
          </w:p>
          <w:p w14:paraId="74F0F9F8">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5、为保障集群性能稳定，要求所投产品能检测出集群中的慢盘和网络亚健康异常网口，并进行告警；</w:t>
            </w:r>
          </w:p>
          <w:p w14:paraId="0320664A">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6、支持桶内对象可跨存储池进行存储；</w:t>
            </w:r>
          </w:p>
          <w:p w14:paraId="3F1A40C2">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▲7、所投产品支持数据副本和纠删码K+M方式的冗余保护机制，可根据数据不同的保护级别在同一系统内同时设置数据副本模式和纠删码模式；纠删码最多可接受4个节点同时失效而不丢失数据，副本支持2-8副本</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w:t>
            </w:r>
          </w:p>
          <w:p w14:paraId="29A999FD">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▲8、所投产品支持文件快速遍历，10万个文件遍历耗时小于5秒，100万个文件遍历耗时小于1分钟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w:t>
            </w:r>
          </w:p>
          <w:p w14:paraId="5D2F6871">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▲9、所投产品支持基于文件和目录的WORM功能，文件进入保护期后，文件只能被读取，不可进行修改，写入，删除等操作</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w:t>
            </w:r>
          </w:p>
          <w:p w14:paraId="0095EAA9">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10、提供三年软件升级维保服务。</w:t>
            </w:r>
          </w:p>
          <w:p w14:paraId="7B23C852">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二、分布式存储服务器技术要求</w:t>
            </w:r>
          </w:p>
          <w:p w14:paraId="03B53D8E">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1、机型：4U机架式服务器，配置导轨，</w:t>
            </w:r>
          </w:p>
          <w:p w14:paraId="590756D5">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2、处理器：配置≥2 颗国产ARM架构处理器，单处理器核心≥32，主频≥2.6GHz；</w:t>
            </w:r>
          </w:p>
          <w:p w14:paraId="2EC67BEA">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3、内存：配置≥256GB  DDR4内存；最大可扩展内存≥1TB，支持内存纠错等高级功能；</w:t>
            </w:r>
          </w:p>
          <w:p w14:paraId="6CDB8AA7">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★4、存储：最大可支持≥40块硬盘；配置≥2块600G SAS硬盘，≥4块7.68TB U.2 Nvme SSD硬盘，配置≥36块（≥16TB） SAS HDD机械硬盘</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w:t>
            </w:r>
          </w:p>
          <w:p w14:paraId="5841ABC0">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5、阵列控制器：支持RAID 0/1/5/10/50等，可配置≥2GB Cache，支持电容掉电保护；</w:t>
            </w:r>
          </w:p>
          <w:p w14:paraId="2D093994">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6、网卡：支持≥2个灵活IO网络插卡，配置≥2张双口25G光网卡（含光模块），配置≥4个千兆电口；</w:t>
            </w:r>
          </w:p>
          <w:p w14:paraId="79403609">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7、电源：配置≥2个2000W热插拔冗余电源模块；</w:t>
            </w:r>
          </w:p>
          <w:p w14:paraId="43978D3A">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8、故障诊断：主机前面板提供故障诊断功能，包含故障诊断数码管：可显示服务器有部件故障；具有对系统/内存/电源/风扇/温度/网络等关键部件的故障诊断报警功能；支持基于部件的精准故障诊断，方便部件故障定位和更换；</w:t>
            </w:r>
          </w:p>
          <w:p w14:paraId="33233146">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▲9、产品可靠性：提供MTBF时间≥40万小时证书</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w:t>
            </w:r>
          </w:p>
          <w:p w14:paraId="5D1E766B">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10、抗震能力：设备应具备不小于7级烈度抗震能力</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w:t>
            </w:r>
          </w:p>
          <w:p w14:paraId="1EDEF6DD">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11、服务：提供原厂三年保修服务，保修期内故障硬盘介质保留服务。</w:t>
            </w:r>
          </w:p>
        </w:tc>
      </w:tr>
      <w:tr w14:paraId="54DE2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169D1441">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596422E2">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存储业务交换机</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6A4118F1">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1、关键芯片（CPU、交换芯片）为国产自研，提供承诺函，格式自拟；</w:t>
            </w:r>
          </w:p>
          <w:p w14:paraId="3DC4896E">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2、交换能力：交换容量≥8Tbps，包转发率≥2400Mpps（以官网或彩页最小值为准）；</w:t>
            </w:r>
          </w:p>
          <w:p w14:paraId="79458B92">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3、接口要求：48个1G/10G/25Gbps SFP28端口和8个40G/100G QSFP28端口（支持拆分为10G/25G端口使用），≥1个扩展插槽，支持扩展4个10G端口；</w:t>
            </w:r>
          </w:p>
          <w:p w14:paraId="16B43206">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4、内置存储容量：≥240GB SSD（固态硬盘），用于存储操作系统镜像、日志文件及运维数据；</w:t>
            </w:r>
          </w:p>
          <w:p w14:paraId="6F4E6CF4">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5、支持M-LAG和S-MLAG技术，实现多台设备间的链路聚合；</w:t>
            </w:r>
          </w:p>
          <w:p w14:paraId="1ACE8AFC">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6、支持IPv4静态路由，RIPv1&amp;v2，OSPF，BGP，ECMP，PBR，支持uRPF检测和VRF；支持IPv6静态路由，OSPFV3，RIPng，ICMPv6，NDP；</w:t>
            </w:r>
          </w:p>
          <w:p w14:paraId="203A5188">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7、支持BGP EVPN VXLAN，实现数据中心网络扩展；</w:t>
            </w:r>
          </w:p>
          <w:p w14:paraId="207B1CEC">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▲8、无损网络：支持基于RDMA的无损存储网络，支持ECN及PFC拥塞控制机制</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r>
              <w:rPr>
                <w:rFonts w:hint="eastAsia" w:ascii="仿宋_GB2312" w:hAnsi="仿宋_GB2312" w:eastAsia="仿宋_GB2312" w:cs="仿宋_GB2312"/>
                <w:color w:val="000000" w:themeColor="text1"/>
                <w:kern w:val="0"/>
                <w:sz w:val="24"/>
                <w:szCs w:val="24"/>
                <w:u w:val="none"/>
                <w:lang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w:t>
            </w:r>
          </w:p>
          <w:p w14:paraId="7BBC7264">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9、实配可热插拔的冗余双电源，实配4块风扇；</w:t>
            </w:r>
          </w:p>
          <w:p w14:paraId="3E918A72">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10、配置：配置8个25G多模光模块，配置75个10G多模光模块，配置4个100G多模光模块；1条5米100G QSFP28有源光缆（含模块）；</w:t>
            </w:r>
          </w:p>
          <w:p w14:paraId="490BFA98">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11、提供3年原厂质保服务。</w:t>
            </w:r>
          </w:p>
        </w:tc>
      </w:tr>
      <w:tr w14:paraId="26CD6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590B36DC">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7B06C980">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管理交换机</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1047B919">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1、关键芯片（CPU、交换芯片）为国产自研</w:t>
            </w:r>
          </w:p>
          <w:p w14:paraId="4619F5DD">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2、交换能力：交换容量≥750Gbps，包转发率≥360Mpps，以官网或彩页最小值为准</w:t>
            </w:r>
            <w:r>
              <w:rPr>
                <w:rFonts w:hint="eastAsia" w:ascii="仿宋_GB2312" w:hAnsi="仿宋_GB2312" w:eastAsia="仿宋_GB2312" w:cs="仿宋_GB2312"/>
                <w:i w:val="0"/>
                <w:iCs w:val="0"/>
                <w:color w:val="000000" w:themeColor="text1"/>
                <w:kern w:val="0"/>
                <w:sz w:val="24"/>
                <w:szCs w:val="24"/>
                <w:u w:val="none"/>
                <w:lang w:eastAsia="zh-CN" w:bidi="ar"/>
                <w14:textFill>
                  <w14:solidFill>
                    <w14:schemeClr w14:val="tx1"/>
                  </w14:solidFill>
                </w14:textFill>
              </w:rPr>
              <w:t>；</w:t>
            </w:r>
          </w:p>
          <w:p w14:paraId="5AE1106E">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3、接口要求：≥48 个 10/100/1000M 电口，≥4 个 1/10G SFP + 光口，≥1 个 Console 口，≥1 个 MGMT 口，≥1 个 USB 口</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w:t>
            </w:r>
          </w:p>
          <w:p w14:paraId="7DC37184">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实配可插拔冗余电源；</w:t>
            </w:r>
          </w:p>
          <w:p w14:paraId="083775A0">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配置 4 个万兆多模光模块</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w:t>
            </w:r>
          </w:p>
          <w:p w14:paraId="57005635">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6</w:t>
            </w: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、MAC 表项≥32K，</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提供承诺函，格式自拟；</w:t>
            </w:r>
          </w:p>
          <w:p w14:paraId="1A56D0E9">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7</w:t>
            </w: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、支持 VPC 或 M-LAG 技术，实现多台设备间的链路聚合</w:t>
            </w:r>
          </w:p>
          <w:p w14:paraId="54CBC6DC">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8</w:t>
            </w: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、支持 IPv4 静态路由，RIPv1&amp;v2，OSPF，BGP，ECMP，PBR，支持 uRPF 检测和 VRF；支持 IPv6 静态路由，OSPFV3，RIPng，ICMPv6，NDP等</w:t>
            </w:r>
          </w:p>
          <w:p w14:paraId="477672B8">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9</w:t>
            </w: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、BGP 协议支持 MD5 加密（可选支持 SM3 国密加密）</w:t>
            </w:r>
          </w:p>
          <w:p w14:paraId="4541A7FA">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10</w:t>
            </w:r>
            <w:r>
              <w:rPr>
                <w:rFonts w:hint="eastAsia" w:ascii="仿宋_GB2312" w:hAnsi="仿宋_GB2312" w:eastAsia="仿宋_GB2312" w:cs="仿宋_GB2312"/>
                <w:i w:val="0"/>
                <w:iCs w:val="0"/>
                <w:color w:val="000000" w:themeColor="text1"/>
                <w:kern w:val="0"/>
                <w:sz w:val="24"/>
                <w:szCs w:val="24"/>
                <w:u w:val="none"/>
                <w:lang w:bidi="ar"/>
                <w14:textFill>
                  <w14:solidFill>
                    <w14:schemeClr w14:val="tx1"/>
                  </w14:solidFill>
                </w14:textFill>
              </w:rPr>
              <w:t>、提供 3 年原厂质保服务</w:t>
            </w:r>
          </w:p>
        </w:tc>
      </w:tr>
      <w:tr w14:paraId="5154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29B9DDC6">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5C87648">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空间数据库集群</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504E1F55">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default"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详见附表1</w:t>
            </w:r>
          </w:p>
        </w:tc>
      </w:tr>
      <w:tr w14:paraId="1CD6D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38E1023A">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F870FE0">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图数据库</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1AD0D62A">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详见附表2</w:t>
            </w:r>
          </w:p>
        </w:tc>
      </w:tr>
      <w:tr w14:paraId="2293F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6E6FD5B5">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007B007A">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非关系数据库集群</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35A4DF0A">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详见附表3</w:t>
            </w:r>
          </w:p>
        </w:tc>
      </w:tr>
      <w:tr w14:paraId="3A1AA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02511AFB">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030517EC">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应用服务器集群</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3C1F553E">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详见附表4</w:t>
            </w:r>
          </w:p>
        </w:tc>
      </w:tr>
      <w:tr w14:paraId="39A53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72946956">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1023AF0">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GIS集群</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0313353A">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详见附表5</w:t>
            </w:r>
          </w:p>
        </w:tc>
      </w:tr>
      <w:tr w14:paraId="05C9C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44B4C0DB">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29AFD0F8">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计算集群</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3E024C35">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详见附表6</w:t>
            </w:r>
          </w:p>
        </w:tc>
      </w:tr>
      <w:tr w14:paraId="37F6B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6A4A4BB7">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18E86D4E">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高性能服务器</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6FA9B12F">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详见附表7</w:t>
            </w:r>
          </w:p>
        </w:tc>
      </w:tr>
      <w:tr w14:paraId="6BF47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4727D4CE">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6C8729C4">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数据库系统</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3E736FA1">
            <w:pPr>
              <w:keepNext w:val="0"/>
              <w:keepLines w:val="0"/>
              <w:pageBreakBefore w:val="0"/>
              <w:widowControl/>
              <w:numPr>
                <w:ilvl w:val="-1"/>
                <w:numId w:val="0"/>
              </w:numPr>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详见附表8</w:t>
            </w:r>
          </w:p>
        </w:tc>
      </w:tr>
      <w:tr w14:paraId="2087F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6DF9875F">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B8E6CB5">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操作系统</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5A90B2CD">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t>详见附表9</w:t>
            </w:r>
          </w:p>
        </w:tc>
      </w:tr>
      <w:tr w14:paraId="48D7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2482C186">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5DF564A8">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中间件</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75E8329D">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Style w:val="61"/>
                <w:rFonts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1、兼容主流国产关系型数据库（包括但不限于达梦、金仓、瀚高、优炫、神通等安全可靠名录内的数据库产品），</w:t>
            </w:r>
            <w:r>
              <w:rPr>
                <w:rStyle w:val="61"/>
                <w:rFonts w:ascii="仿宋_GB2312" w:hAnsi="仿宋_GB2312" w:eastAsia="仿宋_GB2312" w:cs="仿宋_GB2312"/>
                <w:color w:val="000000" w:themeColor="text1"/>
                <w:kern w:val="0"/>
                <w:sz w:val="24"/>
                <w:szCs w:val="24"/>
                <w:lang w:val="en-US" w:eastAsia="zh-CN" w:bidi="ar"/>
                <w14:textFill>
                  <w14:solidFill>
                    <w14:schemeClr w14:val="tx1"/>
                  </w14:solidFill>
                </w14:textFill>
              </w:rPr>
              <w:t>适配国产软硬件运行环境；</w:t>
            </w:r>
          </w:p>
          <w:p w14:paraId="05C58393">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Style w:val="61"/>
                <w:rFonts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符合GB/T 36327-2018标准，</w:t>
            </w:r>
            <w:r>
              <w:rPr>
                <w:rStyle w:val="61"/>
                <w:rFonts w:ascii="仿宋_GB2312" w:hAnsi="仿宋_GB2312" w:eastAsia="仿宋_GB2312" w:cs="仿宋_GB2312"/>
                <w:color w:val="000000" w:themeColor="text1"/>
                <w:kern w:val="0"/>
                <w:sz w:val="24"/>
                <w:szCs w:val="24"/>
                <w:lang w:val="en-US" w:eastAsia="zh-CN" w:bidi="ar"/>
                <w14:textFill>
                  <w14:solidFill>
                    <w14:schemeClr w14:val="tx1"/>
                  </w14:solidFill>
                </w14:textFill>
              </w:rPr>
              <w:t>支持Jakarta EE 9及以上规范；</w:t>
            </w:r>
          </w:p>
          <w:p w14:paraId="606448F5">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Style w:val="61"/>
                <w:rFonts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Style w:val="61"/>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Style w:val="61"/>
                <w:rFonts w:ascii="仿宋_GB2312" w:hAnsi="仿宋_GB2312" w:eastAsia="仿宋_GB2312" w:cs="仿宋_GB2312"/>
                <w:color w:val="000000" w:themeColor="text1"/>
                <w:kern w:val="0"/>
                <w:sz w:val="24"/>
                <w:szCs w:val="24"/>
                <w:lang w:val="en-US" w:eastAsia="zh-CN" w:bidi="ar"/>
                <w14:textFill>
                  <w14:solidFill>
                    <w14:schemeClr w14:val="tx1"/>
                  </w14:solidFill>
                </w14:textFill>
              </w:rPr>
              <w:t>支持百万级并发，性能优于开源Tomcat，支持集群部署、弹性伸缩与故障自愈；</w:t>
            </w:r>
          </w:p>
          <w:p w14:paraId="1F7C706A">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Style w:val="311"/>
                <w:rFonts w:ascii="仿宋_GB2312" w:hAnsi="仿宋_GB2312" w:eastAsia="仿宋_GB2312" w:cs="仿宋_GB2312"/>
                <w:color w:val="000000" w:themeColor="text1"/>
                <w:sz w:val="24"/>
                <w:szCs w:val="24"/>
                <w:lang w:val="en-US" w:eastAsia="zh-CN" w:bidi="ar"/>
                <w14:textFill>
                  <w14:solidFill>
                    <w14:schemeClr w14:val="tx1"/>
                  </w14:solidFill>
                </w14:textFill>
              </w:rPr>
            </w:pPr>
            <w:r>
              <w:rPr>
                <w:rStyle w:val="61"/>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Style w:val="61"/>
                <w:rFonts w:ascii="仿宋_GB2312" w:hAnsi="仿宋_GB2312" w:eastAsia="仿宋_GB2312" w:cs="仿宋_GB2312"/>
                <w:color w:val="000000" w:themeColor="text1"/>
                <w:kern w:val="0"/>
                <w:sz w:val="24"/>
                <w:szCs w:val="24"/>
                <w:lang w:val="en-US" w:eastAsia="zh-CN" w:bidi="ar"/>
                <w14:textFill>
                  <w14:solidFill>
                    <w14:schemeClr w14:val="tx1"/>
                  </w14:solidFill>
                </w14:textFill>
              </w:rPr>
              <w:t>具备权限管控</w:t>
            </w:r>
            <w:r>
              <w:rPr>
                <w:rStyle w:val="311"/>
                <w:rFonts w:ascii="仿宋_GB2312" w:hAnsi="仿宋_GB2312" w:eastAsia="仿宋_GB2312" w:cs="仿宋_GB2312"/>
                <w:color w:val="000000" w:themeColor="text1"/>
                <w:sz w:val="24"/>
                <w:szCs w:val="24"/>
                <w:lang w:val="en-US" w:eastAsia="zh-CN" w:bidi="ar"/>
                <w14:textFill>
                  <w14:solidFill>
                    <w14:schemeClr w14:val="tx1"/>
                  </w14:solidFill>
                </w14:textFill>
              </w:rPr>
              <w:t>、操作审计、可视化运维能力，满足安全合规要求；</w:t>
            </w:r>
          </w:p>
          <w:p w14:paraId="716E7806">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both"/>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Style w:val="311"/>
                <w:rFonts w:hint="eastAsia" w:ascii="仿宋_GB2312" w:hAnsi="仿宋_GB2312" w:eastAsia="仿宋_GB2312" w:cs="仿宋_GB2312"/>
                <w:color w:val="000000" w:themeColor="text1"/>
                <w:sz w:val="24"/>
                <w:szCs w:val="24"/>
                <w:lang w:val="en-US" w:eastAsia="zh-CN" w:bidi="ar"/>
                <w14:textFill>
                  <w14:solidFill>
                    <w14:schemeClr w14:val="tx1"/>
                  </w14:solidFill>
                </w14:textFill>
              </w:rPr>
              <w:t>5、</w:t>
            </w:r>
            <w:r>
              <w:rPr>
                <w:rStyle w:val="311"/>
                <w:rFonts w:ascii="仿宋_GB2312" w:hAnsi="仿宋_GB2312" w:eastAsia="仿宋_GB2312" w:cs="仿宋_GB2312"/>
                <w:color w:val="000000" w:themeColor="text1"/>
                <w:sz w:val="24"/>
                <w:szCs w:val="24"/>
                <w:lang w:val="en-US" w:eastAsia="zh-CN" w:bidi="ar"/>
                <w14:textFill>
                  <w14:solidFill>
                    <w14:schemeClr w14:val="tx1"/>
                  </w14:solidFill>
                </w14:textFill>
              </w:rPr>
              <w:t>提供原厂三年维保及软件免费升级服务。</w:t>
            </w:r>
          </w:p>
        </w:tc>
      </w:tr>
      <w:tr w14:paraId="3B655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70" w:type="dxa"/>
            <w:tcBorders>
              <w:top w:val="single" w:color="auto" w:sz="4" w:space="0"/>
              <w:left w:val="single" w:color="auto" w:sz="4" w:space="0"/>
              <w:bottom w:val="single" w:color="auto" w:sz="4" w:space="0"/>
              <w:right w:val="single" w:color="auto" w:sz="4" w:space="0"/>
            </w:tcBorders>
            <w:shd w:val="clear" w:color="auto" w:fill="auto"/>
            <w:vAlign w:val="center"/>
          </w:tcPr>
          <w:p w14:paraId="54DD7739">
            <w:pPr>
              <w:keepNext w:val="0"/>
              <w:keepLines w:val="0"/>
              <w:pageBreakBefore w:val="0"/>
              <w:widowControl w:val="0"/>
              <w:numPr>
                <w:ilvl w:val="0"/>
                <w:numId w:val="8"/>
              </w:numPr>
              <w:kinsoku/>
              <w:wordWrap/>
              <w:overflowPunct/>
              <w:topLinePunct w:val="0"/>
              <w:autoSpaceDE/>
              <w:autoSpaceDN/>
              <w:bidi w:val="0"/>
              <w:adjustRightInd/>
              <w:snapToGrid w:val="0"/>
              <w:spacing w:after="0" w:line="240" w:lineRule="auto"/>
              <w:ind w:left="0" w:leftChars="0" w:firstLine="0" w:firstLineChars="0"/>
              <w:jc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65A2E829">
            <w:pPr>
              <w:keepNext w:val="0"/>
              <w:keepLines w:val="0"/>
              <w:pageBreakBefore w:val="0"/>
              <w:widowControl/>
              <w:suppressLineNumbers w:val="0"/>
              <w:kinsoku/>
              <w:wordWrap/>
              <w:overflowPunct/>
              <w:topLinePunct w:val="0"/>
              <w:autoSpaceDE/>
              <w:autoSpaceDN/>
              <w:bidi w:val="0"/>
              <w:adjustRightInd/>
              <w:spacing w:after="0" w:line="240" w:lineRule="auto"/>
              <w:ind w:firstLine="0" w:firstLineChars="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运维安全管理系统</w:t>
            </w:r>
          </w:p>
        </w:tc>
        <w:tc>
          <w:tcPr>
            <w:tcW w:w="8479" w:type="dxa"/>
            <w:tcBorders>
              <w:top w:val="single" w:color="auto" w:sz="4" w:space="0"/>
              <w:left w:val="single" w:color="auto" w:sz="4" w:space="0"/>
              <w:bottom w:val="single" w:color="auto" w:sz="4" w:space="0"/>
              <w:right w:val="single" w:color="auto" w:sz="4" w:space="0"/>
            </w:tcBorders>
            <w:shd w:val="clear" w:color="auto" w:fill="auto"/>
            <w:vAlign w:val="center"/>
          </w:tcPr>
          <w:p w14:paraId="69DA82F7">
            <w:pPr>
              <w:keepNext w:val="0"/>
              <w:keepLines w:val="0"/>
              <w:pageBreakBefore w:val="0"/>
              <w:widowControl/>
              <w:numPr>
                <w:ilvl w:val="0"/>
                <w:numId w:val="9"/>
              </w:numPr>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默认包含运维授权数≥50，最大可扩展资产数≥150，图形运维最大并发数≥100，字符运维最大并发数≥200；</w:t>
            </w:r>
          </w:p>
          <w:p w14:paraId="15534785">
            <w:pPr>
              <w:keepNext w:val="0"/>
              <w:keepLines w:val="0"/>
              <w:pageBreakBefore w:val="0"/>
              <w:widowControl/>
              <w:numPr>
                <w:ilvl w:val="0"/>
                <w:numId w:val="9"/>
              </w:numPr>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规格≥1U，内存大小≥8G，国产CPU和操作系统，满足国产化要求；</w:t>
            </w:r>
          </w:p>
          <w:p w14:paraId="039E9D0C">
            <w:pPr>
              <w:keepNext w:val="0"/>
              <w:keepLines w:val="0"/>
              <w:pageBreakBefore w:val="0"/>
              <w:widowControl/>
              <w:numPr>
                <w:ilvl w:val="0"/>
                <w:numId w:val="9"/>
              </w:numPr>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硬盘容量≥1.92TSSD；</w:t>
            </w:r>
          </w:p>
          <w:p w14:paraId="364C8366">
            <w:pPr>
              <w:keepNext w:val="0"/>
              <w:keepLines w:val="0"/>
              <w:pageBreakBefore w:val="0"/>
              <w:widowControl/>
              <w:numPr>
                <w:ilvl w:val="0"/>
                <w:numId w:val="9"/>
              </w:numPr>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接口≥6个千兆电口，4个千兆</w:t>
            </w:r>
            <w:r>
              <w:rPr>
                <w:rFonts w:hint="eastAsia" w:ascii="仿宋_GB2312" w:hAnsi="仿宋_GB2312" w:eastAsia="仿宋_GB2312" w:cs="仿宋_GB2312"/>
                <w:color w:val="000000" w:themeColor="text1"/>
                <w:kern w:val="0"/>
                <w:sz w:val="24"/>
                <w:szCs w:val="24"/>
                <w:u w:val="none"/>
                <w:lang w:bidi="ar"/>
                <w14:textFill>
                  <w14:solidFill>
                    <w14:schemeClr w14:val="tx1"/>
                  </w14:solidFill>
                </w14:textFill>
              </w:rPr>
              <w:t>SFP</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光口，提供不少于3年软件升级及硬件质保；</w:t>
            </w:r>
          </w:p>
          <w:p w14:paraId="72DEA001">
            <w:pPr>
              <w:keepNext w:val="0"/>
              <w:keepLines w:val="0"/>
              <w:pageBreakBefore w:val="0"/>
              <w:widowControl/>
              <w:numPr>
                <w:ilvl w:val="0"/>
                <w:numId w:val="9"/>
              </w:numPr>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为提升运维便捷性，兼容现有操作习惯：支持web页面直接发起运维，无需安装任何控件，并同时支持调用Xshell、Putty、WinSCP、RDP等客户端工具实现单点登陆，不改变运维人员操作习惯；</w:t>
            </w:r>
          </w:p>
          <w:p w14:paraId="681C2ACF">
            <w:pPr>
              <w:keepNext w:val="0"/>
              <w:keepLines w:val="0"/>
              <w:pageBreakBefore w:val="0"/>
              <w:widowControl/>
              <w:numPr>
                <w:ilvl w:val="0"/>
                <w:numId w:val="9"/>
              </w:numPr>
              <w:suppressLineNumbers w:val="0"/>
              <w:kinsoku/>
              <w:wordWrap/>
              <w:overflowPunct/>
              <w:topLinePunct w:val="0"/>
              <w:autoSpaceDE/>
              <w:autoSpaceDN/>
              <w:bidi w:val="0"/>
              <w:adjustRightInd/>
              <w:spacing w:after="0" w:line="240" w:lineRule="auto"/>
              <w:ind w:firstLine="0" w:firstLineChars="0"/>
              <w:jc w:val="both"/>
              <w:textAlignment w:val="top"/>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为支持通过动作流配置提供广泛的应用接入支持，无论被接入的资源如何设计登录动作，通过动作流配置都可以实现单点登陆和审计接入（提供承诺函，格式自拟）；</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7、为提升运维登录安全性，强化权限双重管控：支持在授权基础上设定双人复核登陆，登录时必须经过第二人授权后才能登录，第二人可通过远程授权或同终端授权两种方式实现授权；支持在授权基础上自定义访问审批流程，可设置一级或多级审批人，每级审批可指定通过投票数，需逐级审批通过才可最终发起运维操作（提供承诺函，格式自拟）；</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8、为保障运维过程安全，实现泄露行为可追溯：为保证运维过程中安全性，避免截图拍照等造成泄露无法溯源，设备支持运维水印、录像水印、监控水印开启关闭功能（提供承诺函，格式自拟）。</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9、支持B/S资源防跳转功能，运维人员仅能访问授权的B/S资源。</w:t>
            </w:r>
          </w:p>
        </w:tc>
      </w:tr>
    </w:tbl>
    <w:p w14:paraId="1C919A66">
      <w:pPr>
        <w:rPr>
          <w:rFonts w:hint="default"/>
          <w:lang w:val="en-US" w:eastAsia="zh-CN"/>
        </w:rPr>
      </w:pPr>
    </w:p>
    <w:p w14:paraId="6B9C7210">
      <w:pPr>
        <w:spacing w:line="360" w:lineRule="auto"/>
        <w:ind w:firstLine="0" w:firstLineChars="0"/>
        <w:jc w:val="left"/>
        <w:outlineLvl w:val="2"/>
        <w:rPr>
          <w:rFonts w:hint="eastAsia" w:hAnsi="仿宋" w:cs="Times New Roman"/>
          <w:b/>
          <w:bCs/>
          <w:sz w:val="24"/>
          <w:szCs w:val="24"/>
          <w:lang w:val="en-US" w:eastAsia="zh-CN"/>
        </w:rPr>
      </w:pPr>
      <w:r>
        <w:rPr>
          <w:rFonts w:hint="eastAsia" w:hAnsi="仿宋" w:cs="Times New Roman"/>
          <w:b/>
          <w:bCs/>
          <w:sz w:val="24"/>
          <w:szCs w:val="24"/>
          <w:lang w:val="en-US" w:eastAsia="zh-CN"/>
        </w:rPr>
        <w:t>附表1</w:t>
      </w:r>
    </w:p>
    <w:tbl>
      <w:tblPr>
        <w:tblStyle w:val="59"/>
        <w:tblW w:w="50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
        <w:gridCol w:w="576"/>
        <w:gridCol w:w="787"/>
        <w:gridCol w:w="836"/>
        <w:gridCol w:w="1176"/>
        <w:gridCol w:w="972"/>
        <w:gridCol w:w="3524"/>
        <w:gridCol w:w="817"/>
      </w:tblGrid>
      <w:tr w14:paraId="21ECD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8A6827">
            <w:pPr>
              <w:keepNext w:val="0"/>
              <w:keepLines w:val="0"/>
              <w:pageBreakBefore w:val="0"/>
              <w:widowControl/>
              <w:suppressLineNumbers w:val="0"/>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8"/>
                <w:szCs w:val="28"/>
                <w:u w:val="none"/>
                <w:lang w:val="en-US" w:eastAsia="zh-CN" w:bidi="ar"/>
              </w:rPr>
              <w:t>空间数据库集群</w:t>
            </w:r>
          </w:p>
        </w:tc>
      </w:tr>
      <w:tr w14:paraId="52535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07C0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重要程度</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A51B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序号</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C1E4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指标分类</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3534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一级指标1</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CC7A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Style w:val="358"/>
                <w:rFonts w:ascii="仿宋_GB2312" w:hAnsi="仿宋_GB2312" w:eastAsia="仿宋_GB2312" w:cs="仿宋_GB2312"/>
                <w:color w:val="auto"/>
                <w:sz w:val="24"/>
                <w:szCs w:val="24"/>
                <w:lang w:val="en-US" w:eastAsia="zh-CN" w:bidi="ar"/>
              </w:rPr>
              <w:t>二级指标</w:t>
            </w:r>
            <w:r>
              <w:rPr>
                <w:rFonts w:hint="eastAsia" w:ascii="仿宋_GB2312" w:hAnsi="仿宋_GB2312" w:eastAsia="仿宋_GB2312" w:cs="仿宋_GB2312"/>
                <w:b/>
                <w:bCs/>
                <w:i w:val="0"/>
                <w:iCs w:val="0"/>
                <w:color w:val="auto"/>
                <w:kern w:val="0"/>
                <w:sz w:val="24"/>
                <w:szCs w:val="24"/>
                <w:u w:val="none"/>
                <w:lang w:val="en-US" w:eastAsia="zh-CN" w:bidi="ar"/>
              </w:rPr>
              <w:t xml:space="preserve"> </w:t>
            </w:r>
            <w:r>
              <w:rPr>
                <w:rStyle w:val="358"/>
                <w:rFonts w:ascii="仿宋_GB2312" w:hAnsi="仿宋_GB2312" w:eastAsia="仿宋_GB2312" w:cs="仿宋_GB2312"/>
                <w:color w:val="auto"/>
                <w:sz w:val="24"/>
                <w:szCs w:val="24"/>
                <w:lang w:val="en-US" w:eastAsia="zh-CN" w:bidi="ar"/>
              </w:rPr>
              <w:t>1</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2FC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是否可以作为评分因素2</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1E94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指标要求</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1050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证明材料要求</w:t>
            </w:r>
          </w:p>
        </w:tc>
      </w:tr>
      <w:tr w14:paraId="3D11C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1B6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8E93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284D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52D7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CAC2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信息</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9B90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770F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Style w:val="359"/>
                <w:rFonts w:ascii="仿宋_GB2312" w:hAnsi="仿宋_GB2312" w:eastAsia="仿宋_GB2312" w:cs="仿宋_GB2312"/>
                <w:color w:val="auto"/>
                <w:sz w:val="24"/>
                <w:szCs w:val="24"/>
                <w:lang w:val="en-US" w:eastAsia="zh-CN" w:bidi="ar"/>
              </w:rPr>
              <w:t>实配CPU数量：2颗，ARM架构</w:t>
            </w:r>
            <w:r>
              <w:rPr>
                <w:rStyle w:val="360"/>
                <w:rFonts w:ascii="仿宋_GB2312" w:hAnsi="仿宋_GB2312" w:eastAsia="仿宋_GB2312" w:cs="仿宋_GB2312"/>
                <w:color w:val="auto"/>
                <w:sz w:val="24"/>
                <w:szCs w:val="24"/>
                <w:lang w:val="en-US" w:eastAsia="zh-CN" w:bidi="ar"/>
              </w:rPr>
              <w:t>；供应商给出CPU 信息，包含 CPU 型号、物理核心数、主频、末级缓存容量、线程数、热设计功耗及支持内存的最高速率、通道数和位宽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EA5A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51B5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9C22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2FC3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B706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A2E7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106F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主板支持CPU和内存情况</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EBF9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E43D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供应商给出主板支持的CPU 和内存的型号数量</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9BC8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88AF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6915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6C5F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79B0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C5C4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5FB0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主板内存槽数量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6DD9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6682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Style w:val="360"/>
                <w:rFonts w:ascii="仿宋_GB2312" w:hAnsi="仿宋_GB2312" w:eastAsia="仿宋_GB2312" w:cs="仿宋_GB2312"/>
                <w:color w:val="auto"/>
                <w:sz w:val="24"/>
                <w:szCs w:val="24"/>
                <w:lang w:val="en-US" w:eastAsia="zh-CN" w:bidi="ar"/>
              </w:rPr>
              <w:t>非板载内存的可扩展插槽数量应不少于</w:t>
            </w:r>
            <w:r>
              <w:rPr>
                <w:rStyle w:val="359"/>
                <w:rFonts w:ascii="仿宋_GB2312" w:hAnsi="仿宋_GB2312" w:eastAsia="仿宋_GB2312" w:cs="仿宋_GB2312"/>
                <w:color w:val="auto"/>
                <w:sz w:val="24"/>
                <w:szCs w:val="24"/>
                <w:lang w:val="en-US" w:eastAsia="zh-CN" w:bidi="ar"/>
              </w:rPr>
              <w:t xml:space="preserve"> 16 个</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AF7B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F73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6729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2DED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0CAD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1B6A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7A4E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主板存储接口</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AA99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0D1B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至少支持 SATA、SAS、M.2、U.2 等存储接口中的 1 种</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06B3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6EDC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29D1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EB0A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A5F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00F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385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插槽接口</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5A33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1A5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PCIe3.0 或以上的高速串行计算机扩展总线标准，PCIe 的接口速率与位宽需保证向下兼容</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6E6A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85D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72CE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C648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2F4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C205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E0AD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主板PCIe插槽数量及规格</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3AE1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B90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 a) 高度大于44.45mm 双路或以上服务器 PCIe 插槽或接口应不少于 5个；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单路服务器 PCIe 插槽或接口应不少于 4 个，可通过扩展卡进行插槽扩展</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D80A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134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9B89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4A55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E6FA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F742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EBB2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特殊孔位及接口</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A428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5FF0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55CC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C3F6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6F44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4008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4EEC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48D0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50DC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板载网络接口</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48CD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60E5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支持板载网络接口不少于 1 个1GE 网口</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F1F7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499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253A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9C55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7A12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4FF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CF7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 OCP 插槽数量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DD2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6240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EC15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C340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9AF0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53CE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DE95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B19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E6DF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474C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1AA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F907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3CEF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0F4F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929B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0F17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969B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2649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7EEF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A247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≥DDR4</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A018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AAE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A689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746A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C330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F185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810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内存通道</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ABA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983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支持多个内存接口通道，每个通道可支持 1DPC 或 2DPC，当支持 2DPC时，印制电路板上应具备插槽的序号标识，具体通道数应在随机文件中明确</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8558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E9BC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1F5B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FE10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760A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767F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C737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硬盘规格</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EB61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70E2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供应商给出服务器支持硬磁盘和固态盘类型及规格</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C868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8F7A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88D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80F9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9E52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0E6A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82FD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硬盘实配容量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93C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DBF0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a)配备硬磁盘，服务器提供的实配硬磁盘单盘可用容量应不小于 2.4TB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b)配备固态盘，实配固态盘单盘可用容量不小于 1.92TB</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87A4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9119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E62F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D4AD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C966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E289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CD7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硬盘接口类型</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3E5D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D286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a)配备硬磁盘，应提供 SAS 3.0及以上接口；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b)配备固态盘，应提供至少 1 种类型固态盘接口，如 UFS、SATA、PCIe等</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12B8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A6AE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5133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E24B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B46D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41E9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6A9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0315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9680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a)配备硬磁盘，服务器提供的实配硬磁盘数量应不小于 1 块；</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b)配备固态盘，实配盘数应不小于 4 块</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CC40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CFDC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9C2C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6C33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2BA7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9628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547F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硬盘插槽数量及规格</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B1EE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D17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供应商应给出配置的硬盘尺寸，如 2.5 英寸、3.5 英寸硬磁盘；</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机箱高度为 88.9mm 的服务器可支持的硬盘数量应不少于 8 块，机箱高度为 44.45mm 的服务器可支持的硬盘数量应不少于 4 块。</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9AAF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87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4E8E1">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070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E638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3F23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489E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硬盘其他参数要求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C467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0C8C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11430</wp:posOffset>
                  </wp:positionH>
                  <wp:positionV relativeFrom="paragraph">
                    <wp:posOffset>471805</wp:posOffset>
                  </wp:positionV>
                  <wp:extent cx="76835" cy="47625"/>
                  <wp:effectExtent l="0" t="0" r="0" b="0"/>
                  <wp:wrapNone/>
                  <wp:docPr id="3" name="textbox1"/>
                  <wp:cNvGraphicFramePr/>
                  <a:graphic xmlns:a="http://schemas.openxmlformats.org/drawingml/2006/main">
                    <a:graphicData uri="http://schemas.openxmlformats.org/drawingml/2006/picture">
                      <pic:pic xmlns:pic="http://schemas.openxmlformats.org/drawingml/2006/picture">
                        <pic:nvPicPr>
                          <pic:cNvPr id="3" name="textbox1"/>
                          <pic:cNvPicPr/>
                        </pic:nvPicPr>
                        <pic:blipFill>
                          <a:blip r:embed="rId17"/>
                          <a:stretch>
                            <a:fillRect/>
                          </a:stretch>
                        </pic:blipFill>
                        <pic:spPr>
                          <a:xfrm>
                            <a:off x="0" y="0"/>
                            <a:ext cx="76835" cy="47625"/>
                          </a:xfrm>
                          <a:prstGeom prst="rect">
                            <a:avLst/>
                          </a:prstGeom>
                          <a:noFill/>
                          <a:ln>
                            <a:noFill/>
                          </a:ln>
                        </pic:spPr>
                      </pic:pic>
                    </a:graphicData>
                  </a:graphic>
                </wp:anchor>
              </w:drawing>
            </w: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21BD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741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869A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1D9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19</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DD75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DC8D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DBAF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RAID卡支持的SAS接口数量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3FAE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88A4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81D4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9E3E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102B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13CC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6F5C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442A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B34A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 SAS 接口数量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C7BA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7056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321C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6748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8E6D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637C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2E4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9915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 卡规格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9171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HBA卡端口数量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50BB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39D9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DEB6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F3E9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F404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0E30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971A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FC3A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148A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网口速率和数量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BD5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E13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配置≥2个千兆以太网RJ45接口；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配置≥2个万兆网口（含万兆多模光模块）</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8A86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DD7D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7A67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2FF8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23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A78A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7BB4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7D03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存储型服务器网口速率和数量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14A0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345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82E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E4D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F51C1">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87C9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24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DFD1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4779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7BE5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独立网卡网口数量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99B8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119D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A187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CDE9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FA51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0353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25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37D4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1B6B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F4C2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独立网卡接口类型</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7584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50A0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4B9C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4F7A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0EAF7">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2F30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26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64CB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FDD0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900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板载网卡接口类型</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0A9F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CCF2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8644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CE9C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0AA4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402D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414F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68C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5FE7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5D39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637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显示接口类型应不少于 1 种，如：VGA、DP、HDMI 等</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380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739C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D12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92C2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16CD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9992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CFFE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USB接口</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A003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D1B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USB 接口，如 USB2.0、USB3.0等</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A7D0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A9A5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EF477">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F068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29</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68C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D52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5E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特殊接口及孔位</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A04C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A9FE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3F6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5353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BFC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7BE6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399105DD">
            <w:pPr>
              <w:keepNext w:val="0"/>
              <w:keepLines w:val="0"/>
              <w:pageBreakBefore w:val="0"/>
              <w:widowControl/>
              <w:kinsoku/>
              <w:wordWrap/>
              <w:overflowPunct/>
              <w:topLinePunct w:val="0"/>
              <w:autoSpaceDE/>
              <w:autoSpaceDN/>
              <w:bidi w:val="0"/>
              <w:adjustRightInd/>
              <w:snapToGrid/>
              <w:spacing w:after="0" w:line="240" w:lineRule="exact"/>
              <w:jc w:val="left"/>
              <w:rPr>
                <w:rFonts w:hint="eastAsia" w:ascii="仿宋_GB2312" w:hAnsi="仿宋_GB2312" w:eastAsia="仿宋_GB2312" w:cs="仿宋_GB2312"/>
                <w:i w:val="0"/>
                <w:iCs w:val="0"/>
                <w:color w:val="auto"/>
                <w:sz w:val="24"/>
                <w:szCs w:val="24"/>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0831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CA2D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其他接口</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339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A148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39AA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159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51DF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CC4E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2BD5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982B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6C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电源冗余模式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537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CBBB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整机电源模块按 1+1 冗余或N+1 冗余配置</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677C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6EBB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616E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9A7C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A9F0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F107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4C06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15C1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DFC5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44BB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98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70FF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424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33</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68BF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BA72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EE06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电源功率</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8BC6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6198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电源模块功率应有一定冗余，满足处理器满载时的需求</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32D4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6671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3CF0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6493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9697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CC5D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 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5399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电源指示灯</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4EC6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DEA8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24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DC34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979B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3B7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35</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3A4C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F5C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F527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外观和结构</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E8F1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7CEC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a)服务器的零部件应紧固无松动，可插拔部件应可靠连接，开关、按钮和其它控制部件应灵活可靠，布局应方便使用；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产品表面不应有明显的凹痕、划伤、裂缝、变形和污染等。表面涂层均匀，不应起泡、龟裂、脱落和磨损，金属零部件无锈蚀及其它机械损伤；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产品表面说明功能的文字、符号和标志应清晰、端正且牢固；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应在服务器的显著位置提供运行状态的指示功能，并在随机文件中明确具体含义；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 机架、机箱的尺寸应符合通用机柜的安装要求，插入总线插座的电路板接口外形尺寸应符合有关总线标准的规定，将机箱固定在机柜上，机箱底面最大下垂变形不得干涉相邻机体；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 高密度服务器应给出 CPU 个数与机柜高度；</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 服务器尺寸具体要求在随机文件中明确</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22FE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7C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DB55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1C44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36</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4E41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C27C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120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尺寸（高×宽×深）</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495E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1C9D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供应商给出产品尺寸；设计应遵循标准化、系列化的要求；机箱的内部结构符合通用部件的安装需要</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70E3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19E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9E53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0313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32D2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0229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2BCB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服务器导轨</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B50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EA40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供应商给出导轨尺寸、安装方式等信息</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2B26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1538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71E2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C51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A56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1B9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16B3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个数与机柜高度单位(U)比</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DD7A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F4B6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9AD8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2FBB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ADD1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523F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39</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3B97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DE73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4471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环境适应性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3E86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6D7B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气候环境适应性应符合GB/T9813.3 的有关规定，工作温度 10~35℃ , 贮存运输温度-40～55℃ ; 工作相对湿度35%～80%，贮存运输相对湿度 20％～93%（40℃) ; 大气压86～106kPa</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7543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4CF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04FD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A3FE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2FA6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7C05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47E1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特殊机型环境适应性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F613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B378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3E38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C45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C86C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32D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94B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E8D6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D7A3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20E1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29C6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机械环境适应性应符合GB/T9813.3 的有关规定</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561C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F648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454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374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71BD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1F6F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30C1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噪声</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8067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59A4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的有关规定，在产品说明中给出具体测试值</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697E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2887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6F3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375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43</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4F8F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468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774A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655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B81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11BF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2FA0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E011">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4E90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E315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CFB7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4675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一键式迁移</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8B5B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8FA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F45A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9158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A73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D190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45</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8326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2C57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A458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机柜尺寸</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01A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DADF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供应商给出长度、高度和深度</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9D2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F8E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7DDC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48F4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46</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EE13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BAFA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9C4F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机柜管理板</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758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75E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AD42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3701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42D57">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5847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B65F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45B0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A25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机柜电源规格</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A349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6A7B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30BA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5FF1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E75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E8B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6059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C9CB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1F8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主板外部接口</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D242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5041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 USB、显示、管理等接口，如：VGA、DP、HDMI、USB3.0、PS/2 接口、BMC 管理端口</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0F05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8B7A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5C78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C9B6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49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2A84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A786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FAE8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主板防烧板设计</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6322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42FA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95E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FA8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83EB7">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EC7E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50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BAA6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80E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6768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扩展功能</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BFB0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0477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6925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2A9E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7416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D832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9366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FE17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A1CC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网络功能</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7DC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11BE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支持网络连接、网络访问、数据交换和网络管控功能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4480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7074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5DA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9078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9ACE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D338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927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CPU计算处理功能要求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5A32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E037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支持通用计算及虚拟化功能。处理器需集成整型计算单元、浮点计算单元、内存控制器、I/O 模块等，处理器与存储部件、网络部件、I/O部件等组成计算系统，提供数据处理、网络接入等计算相关功能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25E9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C25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AE42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9111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53</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0F84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5872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8CA3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CPU密码算法实现要求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F97B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1DFD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芯片应符合 GM/T 0008 的相关规定，或芯片密码模块应符合GB/T37092 或 GM/T 0028 的相关规定</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F690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A0D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F75F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B55A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54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D077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F7FE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8616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内存校验</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1CA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1B0B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支持内存校验或内存增强型纠错功能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AA31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8FD8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562D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417A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55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23B0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AF33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760D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SSDNAND 健康状态上报</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2186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E4C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B2BB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2BD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D384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CE73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56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E06F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1ADE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E558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SSD单 die 故障隔离</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6F8A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BC58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3F3C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F1BA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AA11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3118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C5E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70D9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96BF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RAID卡RAID 级别支持</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039D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A6A6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模式支持 RAID 0/1/10/50</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DA28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7373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63E5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F3EE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82CB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A038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A49B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RAID卡BBU单元</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C11F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ECD8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卡实配电容掉电保护</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B453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EC8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EF0B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2FD2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59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08D6DC7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p>
          <w:p w14:paraId="0EE0646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BD21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A0C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光驱类型（是否支持 RW，以及光盘类型CD/DVD）</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6B05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2B57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5E44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B36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C774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5973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793C3F3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A39B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330E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电源热插拔</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420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F58B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整机电源模块应具备热插拔功能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2874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1A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B69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E32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48D0925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5AAD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F830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电源过流保护</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14B8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3A12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支持过流及短路保护的功能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FDFF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7DC4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4354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ED40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432BFD0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30DB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2DC7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散热方式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F001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CA7E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支持风冷或液冷等散热方式</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87E5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C5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FD48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9D98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63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614EBE1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A132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C43F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其他功能</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A033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A6AC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D07A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E1E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D998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F0E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BAF8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A6B2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3FB8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固件基础功能</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909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AE52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 支持 DHCP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2)支持静态 IP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3)支持设备日志记录，包括但不限于登录日志、操作日志和报警日志等功能；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4)支持日志信息导出和记录删除功能；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5)支持通过管理接口向外输出准确的报警信息功能；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6)设备的BMC 管理软件应能够按报警的严重程度进行区分；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7)支持 IPMI2.0、SNMP 或 Redfish等接口功能；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8)支持键盘、鼠标和视频的重定向、文本控制台的重定向、远程虚拟媒体、高可靠的硬件监控和管理功能；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9)支持基于网络开启、关闭和重启设备的功能，并查询当前设备开机运行状态；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10)支持故障提示功能，并可通过接口读取服务器故障信息；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11)支持基于网络的固件更新功能，包括 BMC 和 BIOS 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12)支持基于网络安装操作系统的功能，并可通过网络控制台访问设备；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13)支持通过本地的硬盘或光驱等存储设备，基于网络完成设备的操作系统安装功能；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14)支持通过浏览器打开管理界面并登录功能；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15)支持设置口令策略功能；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16)支持访问权限设置功能，并通过日志记录访问事件；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17)支持对出厂默认的用户名及口令进行安全保护功能，并提供默认口令修改提示；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18)支持读取设备主板的工作环境温度功能；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19)支持读取服务器 CPU 等核心器件的温度功能；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20)支持通过外部管理工具进行 BMC参数设置的功能，并可基于网络通过外部管理工具对 BMC 进行管理；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21)应支持固件版本查询、固件升级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22)支持基于网络实现开关机和复位控制的功能；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23)BMC 启动时间应不超过 180s，实现功能包括网络、IPMI、散热、传感器服务可用；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24)支持 BMC 固件设置的恢复出厂功能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5E1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D76F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983C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646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65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0ECE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D9B1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E3BB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固件增强功能</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CA69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90B2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5CE9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37BB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0CE7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2C62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66</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1FD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4762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C551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BIOS 固件基础功能</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8C48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4ED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a）支持查看固件版本、内存信息、主板信息、处理器信息和系统时间信息功能；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b）支持上电初始化界面显示 CPU 信息、内存信息、固件版本和部分快捷键信息功能；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c）支持设置界面中英文显示切换功能；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d）支持查看 PCIe 设备信息，SATA设备信息功能；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e）支持操作系统安装和引导功能，应并向操作系统提供计算机主板信息和服务接口；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f）支持设置启动顺序，并按照设置的启动顺序启动功能；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g）支持安全启动功能；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h）支持设置口令、修改口令、验证口令功能；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i）支持板载显示控制或独立显卡的显示控制功能；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j）支持 RAID 识别和启动功能；k）支持串口重定向功能；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l）支持固件更新功能；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m）支持BIOS 固件设置的恢复出厂功能；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n）支持网络引导启用和关闭功能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2615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E62B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1067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4F9D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6606278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DCAD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B44E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远程控制</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2E54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7681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支持远程关机和重新启动功能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8076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DF6F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C99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837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010C863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2723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A581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操作系统及驱动的升级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B262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84D9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支持通过网络、闪存盘对操作系统、驱动进行升级</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0893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EF5D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6E12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5881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69</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41B4310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36E3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3C55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操作系统及驱动的备份还原</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E8C3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6440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6C37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348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C520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583C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BF28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F9D0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E844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操作系统功能</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896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F282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支持访问控制、安全审计、网络接入鉴别等功能；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操作系统其他功能应满足操作系统政府采购需求标准中加*的指标要求</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CEFB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C80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FC68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3339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B38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363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D499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F34B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9D26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 18030 的有关规定</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4C86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2D75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EC6B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C509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0718122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F6BA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0F37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机柜管理功能</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32C5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3823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12CB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7851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D67E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B9A6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73</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496B2A9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0378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5405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机柜通信方式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D42B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611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20E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B63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1717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83FE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top"/>
          </w:tcPr>
          <w:p w14:paraId="5F58ED1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top"/>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7482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70B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多集群作业管理</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E97F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3616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215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5B25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514E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2E08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75</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69B1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D629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5A0F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F1A2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E68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等关键部件应当符合安全可靠测评要求</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E93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952E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9B0A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8933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76</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3011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D27C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05BE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故障检测</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924A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907B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支持故障检测功能，可以检测到具体的 FRU（内存、硬盘等）的故障并发出告警</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A98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2E1A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926C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7B1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77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F8B8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AEB2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C703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内存故障智能预测和自愈修复</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B39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8B87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2206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5027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0020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E0F7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78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516F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A4A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7A80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硬盘故障智能预测</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FA56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59C9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0DBE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D29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526C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2892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79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EC62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E225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8623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链路故障智能诊断</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A837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36C7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78E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5F39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84A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FC5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80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54DF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795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64DC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内存故障隔离</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0325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BA9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1678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796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BC9F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1807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81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B505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A6D9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CED4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内存、PCIe卡的故障精准告警功能</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E38A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F4C4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2477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CDEA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60D5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2391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82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B530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7E7B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F923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异常下电关键数据保护</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B7E1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8BC2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1C2F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2F52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9BAB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48C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83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A6B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CBD5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A1A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BMC/BIOS固件双镜像保护</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9C8E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05AC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81E5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69B6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4596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451A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84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F12F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E043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CF25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核重启隔离</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EF98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DA54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5D57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0BC4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A011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C0D9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85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C8F7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F768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1CC4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内存地址隔离</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16DD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4CE5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9F25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18D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66E7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50BB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86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F42F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BF09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6366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内存存储阵列替换</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AB93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E444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B907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A299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107C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F58E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87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1667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4B21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24EB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安全启动</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413B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E912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9A48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68C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56EB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2B63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88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E32A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DC77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4BC2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syslog 双向鉴别</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F291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37A1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A14E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DBF5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66F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39BB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89</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D788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932B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4883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弱口令字典检查</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2C1E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36E5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支持弱口令字典检查功能，出现在弱口令字典中的字符串不能被设置为用户口令</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5790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D2F0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3A5B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8BF2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95E1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1A74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2297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白名单访问控制</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97CE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351F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支持基于时间、IP 或 MAC 白名单访问控制</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D47A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D736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1507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ACD6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91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07A0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8C5C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82BB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双因素鉴别</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A74D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BEA0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B85C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36D1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05C4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E75A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D0BD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E9AF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89ED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二次鉴别</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247D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368B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支持二次鉴别功能。对于用户配置、权限配置、公钥导入等重要的管理操作，已登录用户应通过二次鉴别后，才能执行操作</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56E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259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3215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AEAE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93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497F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8484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EB07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匿名化用户告警接收邮箱</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ED2F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06A1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E81A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C028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1253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082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E11D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2651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BF77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密码证书安全加密存储</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B1A5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E135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支持对带外管理系统中的用户口令和证书等敏感信息进行加密存储，禁止使用私有的和业界已知不安全的密码算法</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FF24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8C3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A43F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7D8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95</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8C13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29D7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E930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敏感信息安全加密传输</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DFD7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C960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支持使用安全的传输加密协议（如SSH 或 HTTPS 等）传输用户的敏感信息</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B30E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15BA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0A67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D6D9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96</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798D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259C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1E6F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研发过程安全要求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9A74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4737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9047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5CA8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E272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5090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B1D4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FED5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0457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漏洞管理</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2AFE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2A1D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供应商承诺，生产商已建立漏洞全量视图，保证产品版本涉及到的所有漏洞(如驱动程序、BMC 软件等)都可以查看</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9851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B695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855C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61C9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98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053B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9E99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FEE2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网络关键设备服务器要求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2AF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CB77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AA1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F0D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946A8">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52C5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99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CFD0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393E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953B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增强要求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5C26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D167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5E78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0A5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E991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715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11B5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9783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ECAB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111B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AF53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安全要求应符合 GB 4943.1 的规定</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787A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6C8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8BF8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C7C1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8FAE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7CA5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D2E1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16F2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5B35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限用物质的限量应符合GB/T 26572的要求</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503E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E1EC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AAF5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228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B48E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363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2355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主频</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B745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C31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≥2.6GHz</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2EC6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EC30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B0B5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7F59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103</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EB85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0BA5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D426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核数</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0354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218C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≥24</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C5CC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4F95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DF4B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63E0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178A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B99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3B1F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末级缓存容量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7526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93A0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≥24MB</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C4C3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B335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88B4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AAE0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105</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8CCD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A1D5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8A1E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单内存模块容量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742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CDD1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≥32GB</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FD3C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AE6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682A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79C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106</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CBB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5893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B65E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内存速率</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50DC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0F01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≥3200MT/s</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13D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AB9D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8E97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686F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107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716E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F777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A98A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硬盘转速</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C69F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6A4C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实配SAS硬磁盘转速不低于10000rpm</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742E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A0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414B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20B1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A0DF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14D8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59AC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RAID卡缓存容量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39B1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DB7D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RAID 卡且 RAID 卡有缓存容量，容量不少于 2GB</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AB37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64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1C34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5B0D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109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4F1D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1558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HBA卡性能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4931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卡速率</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866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C99D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0550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BB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E72C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604C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110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AB73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24A0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3472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独立网卡速率</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0FD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50EE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6204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0EA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394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4FF1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111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9298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E8A3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6191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板载网卡速率</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6E0F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0EEB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822D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7997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1901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64EB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EA99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737D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FBD9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0A87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A69A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BA46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08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55E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8248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113</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07A7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2995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5E90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内存兼容性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D065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6C20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种及以上厂商的内存产品，且均不低于产品支持的内存规格</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D3D0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BC9E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3DE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BBE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F911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C90F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EAA4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固态存储兼容性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7E8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013B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种或以上厂商的固态存储产品，且均不低于产品支持的固态存储设备规格</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9AE9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F82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B6E4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433C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115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0B82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84FE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0F1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卡兼容性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5C11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F66A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47C7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B88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F2E5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268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116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8871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0235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225A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卡兼容性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11DD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63AA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0EE4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1458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4B7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966A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4CB8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4340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FEDB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网卡兼容性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C922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3762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网卡应适配两种或以上厂商产品</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9315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EFE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C92F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E1A1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8B1F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0E10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DD9F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功能卡兼容性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6361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CE4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内置或适配符合 PCIe 的功能卡，如：网络功能卡、存储功能卡及图形显示功能卡</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FA82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C5A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C544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611B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119</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2560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77DC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3942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B39E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E7D1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兼容多种主流生产商的外部设备，包括显示器、键盘、鼠标、闪存盘、移动硬盘、USB 光驱及 KVM 等，要求使用不同厂商的外部设备时，系统均能正常识别和安装驱动</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01E9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569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585C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1233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310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7F65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4661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数据库兼容</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7D94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138E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个及以上厂商的数据库产品</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88F1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90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FB97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FB34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90E7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1D54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E3D6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中间件兼容</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DA7A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73D1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个及以上厂商的中间件产品</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D90B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608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2972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28D8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0DEC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8F58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A482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平台软件兼容</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844B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53C7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个及以上厂商的大数据平台</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89AB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4BCD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F534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5C6E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123</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2888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EB07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348D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虚拟化软件兼容</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BB15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A30C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DAB7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97D1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0E78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E440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D78F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1AA1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存储可靠性要求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E58E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SSD可靠性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8C8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915D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25DA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2071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4868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0C3C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125</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74C1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F67C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3374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EF2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C510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m1 值（MTBF 的不可接受值）不得低于 30000h</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227D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7FD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8A38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EDA0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126</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0B2F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FEA2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A0B9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风扇可靠性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91C3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BC9F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风扇寿命应不低于40000h</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E3A8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F22A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D9D6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5CA1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127</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9E12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E779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D242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部件可靠性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FFB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E2D4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支持硬盘、电源、风扇热插拔(内置风扇除外)</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7E64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BAB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1C5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5104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128</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7058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9FAA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60F7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标志、包装、运输和贮存</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667E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9244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符合GB/T 9813.3 和商品包装政府采购需求标准的相关规定</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7C50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EBAA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70D5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0129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129</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C2C1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8B24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3904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B831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7DBC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提供电话、电子邮件、远程连接等多种形式服务；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提供同城 4h、异地 12h 技术响应服务，2 个工作日解决问题，对于未能解决的问题和故障应提供可行的升级方案，并提供周转设备；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建立全国技术服务体系和服务团体，符合专业服务体系标准要求，提供原厂中文服务；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服务周期内提供产品的维修、换件和升级服务</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939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59E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21B7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4EDD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3BAE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83F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243E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培训服务</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2359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AAA8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供应商提供培训材料、产品手册、培训视频等培训相关内容</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DD6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4180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A5C7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default"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7DCE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D96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42DD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9493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FCD7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B27B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产品免费服务周期（含换件和维修）应不小于 3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设备停产后继续提供质量保障服务（含备品备件），服务终止时间与最后一批设备交付时间间隔不低于 6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产品停止服务时间应提前 1 年告知客户；</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产品发布日期需在随机文件中明确</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83B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42FE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8E4D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5367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91F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8BF1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DE855">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工具要求</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9C7D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65C9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供应商提供设置服务器硬件、辅助操作系统安装等功能的辅助工具和管理软件。且随附软件应具有合法授权或版权</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D047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051C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0B37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0B06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133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5AFC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E6EE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ADFB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辅助工具</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CFAF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4D3F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DDFE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4DE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EBB4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E701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100B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A1A0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D1F0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驱动安装升级指引</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24D1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9527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供应商提供出厂安装的配件所需的驱动程序，形式包括但不限于驱动光盘、驱动下载链接等。其他配件应提供指引</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762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6BFF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143B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3176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135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8E9B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28C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DC9E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随机附开盖工具</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8847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A7A9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2FBB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4C2B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7FEC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75E0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136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413D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DF1A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5F60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代码迁移工具</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A70F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30DF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E894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A12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FA26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5AD4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137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85D1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4818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707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性能分析工具</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EA6C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7D62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722A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E52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40A08">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95B5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138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6938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D02D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C7BB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跨架构平台应用兼容</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DBB7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3636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079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4FEA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AD4F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5381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139</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1D0D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84F6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D171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管理软件</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E92B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3A10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具备资源管理、系统管理、性能监控、健康监控、基于网络控制、报警设置功能</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9296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BCD2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DE8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AFC7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140</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4B8A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B59F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9D14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厂家升级产品软件与扩容服务</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F394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9876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供应商提供原厂级的部件/软件产品升级和扩容能力</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B665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C115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CB64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5E4F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141</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6BBB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DC26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B160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服务保障升级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8C36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91DD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A20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F39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228B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78ED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142</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93B8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2D58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B990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提供上门服务</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8D440">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ADA1E">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供应商具备提供上门服务的能力(可收费)</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DFD0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0C6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5E99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仿宋_GB2312" w:hAnsi="仿宋_GB2312" w:eastAsia="仿宋_GB2312" w:cs="仿宋_GB2312"/>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314F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143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47C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2D0B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148B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业务场景性能优化服务及整体架构升级服务</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B2151">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5D9F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E367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939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6AAB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30808">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144</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8CEE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F7B0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ED767">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抗干扰性</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19C5B">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8CA7D">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当产品部件出现供应风险时，应通知客户并提供风险应对方案确保产品的服务保障，必要时应停止相关受影响产品的销售</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13096">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64E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0C4F">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96E2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145 </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04FFA">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31299">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32792">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供应能力证明</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40C53">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3ADC">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供应商提供供应链稳定承诺书，确保产品的部件在产品服务周期内稳定供货</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47FE4">
            <w:pPr>
              <w:keepNext w:val="0"/>
              <w:keepLines w:val="0"/>
              <w:pageBreakBefore w:val="0"/>
              <w:widowControl/>
              <w:suppressLineNumbers w:val="0"/>
              <w:kinsoku/>
              <w:wordWrap/>
              <w:overflowPunct/>
              <w:topLinePunct w:val="0"/>
              <w:autoSpaceDE/>
              <w:autoSpaceDN/>
              <w:bidi w:val="0"/>
              <w:adjustRightInd/>
              <w:snapToGrid/>
              <w:spacing w:after="0"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bl>
    <w:p w14:paraId="4A30C485">
      <w:pPr>
        <w:spacing w:line="360" w:lineRule="auto"/>
        <w:ind w:firstLine="0" w:firstLineChars="0"/>
        <w:jc w:val="left"/>
        <w:rPr>
          <w:rFonts w:hint="eastAsia" w:hAnsi="仿宋" w:cs="Times New Roman"/>
          <w:b/>
          <w:bCs/>
          <w:sz w:val="24"/>
          <w:szCs w:val="24"/>
        </w:rPr>
      </w:pPr>
      <w:r>
        <w:rPr>
          <w:rFonts w:hint="eastAsia" w:hAnsi="仿宋" w:cs="Times New Roman"/>
          <w:b/>
          <w:bCs/>
          <w:sz w:val="24"/>
          <w:szCs w:val="24"/>
        </w:rPr>
        <w:t xml:space="preserve"> </w:t>
      </w:r>
    </w:p>
    <w:p w14:paraId="55D15ED0">
      <w:pPr>
        <w:spacing w:line="240" w:lineRule="auto"/>
        <w:ind w:firstLine="0" w:firstLineChars="0"/>
        <w:jc w:val="left"/>
        <w:rPr>
          <w:rFonts w:hint="eastAsia" w:hAnsi="仿宋" w:cs="Times New Roman"/>
          <w:b/>
          <w:bCs/>
          <w:sz w:val="24"/>
          <w:szCs w:val="24"/>
        </w:rPr>
      </w:pPr>
      <w:r>
        <w:rPr>
          <w:rFonts w:hint="eastAsia" w:hAnsi="仿宋" w:cs="Times New Roman"/>
          <w:b/>
          <w:bCs/>
          <w:sz w:val="24"/>
          <w:szCs w:val="24"/>
        </w:rPr>
        <w:br w:type="page"/>
      </w:r>
    </w:p>
    <w:p w14:paraId="373C2CFD">
      <w:pPr>
        <w:pageBreakBefore/>
        <w:spacing w:line="360" w:lineRule="auto"/>
        <w:ind w:firstLine="0" w:firstLineChars="0"/>
        <w:jc w:val="left"/>
        <w:outlineLvl w:val="2"/>
        <w:rPr>
          <w:rFonts w:hint="eastAsia" w:hAnsi="仿宋" w:cs="Times New Roman"/>
          <w:b/>
          <w:bCs/>
          <w:sz w:val="24"/>
          <w:szCs w:val="24"/>
          <w:lang w:val="en-US" w:eastAsia="zh-CN"/>
        </w:rPr>
      </w:pPr>
      <w:r>
        <w:rPr>
          <w:rFonts w:hint="eastAsia" w:hAnsi="仿宋" w:cs="Times New Roman"/>
          <w:b/>
          <w:bCs/>
          <w:sz w:val="24"/>
          <w:szCs w:val="24"/>
          <w:lang w:val="en-US" w:eastAsia="zh-CN"/>
        </w:rPr>
        <w:t>附表2</w:t>
      </w:r>
    </w:p>
    <w:tbl>
      <w:tblPr>
        <w:tblStyle w:val="59"/>
        <w:tblW w:w="507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
        <w:gridCol w:w="576"/>
        <w:gridCol w:w="779"/>
        <w:gridCol w:w="874"/>
        <w:gridCol w:w="1581"/>
        <w:gridCol w:w="1008"/>
        <w:gridCol w:w="3014"/>
        <w:gridCol w:w="815"/>
      </w:tblGrid>
      <w:tr w14:paraId="4FA9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36F8A3C">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b/>
                <w:bCs/>
                <w:i w:val="0"/>
                <w:iCs w:val="0"/>
                <w:color w:val="auto"/>
                <w:kern w:val="0"/>
                <w:sz w:val="28"/>
                <w:szCs w:val="28"/>
                <w:u w:val="none"/>
                <w:lang w:val="en-US" w:eastAsia="zh-CN" w:bidi="ar"/>
              </w:rPr>
              <w:t>图数据库</w:t>
            </w:r>
          </w:p>
        </w:tc>
      </w:tr>
      <w:tr w14:paraId="21567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9DC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重要程度</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1BD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序号</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AE8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指标分类</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1AB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一级指标1</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F3D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二级指标 1</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64C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是否可以作为评分因素2</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0EC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指标要求</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FD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证明材料要求</w:t>
            </w:r>
          </w:p>
        </w:tc>
      </w:tr>
      <w:tr w14:paraId="2DCFE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A7D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3F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5C3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35E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0D5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信息</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46C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22F8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实配CPU数量：2颗，ARM架构；供应商给出CPU 信息，包含 CPU 型号、物理核心数、主频、末级缓存容量、线程数、热设计功耗及支持内存的最高速率、通道数和位宽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74D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65E2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0F0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E83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6D4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85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640E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主板支持CPU和内存情况</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6D8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69E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供应商给出主板支持的CPU 和内存的型号数量</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0F6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642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2E8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1CD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FF3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2DD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137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主板内存槽数量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E02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A82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非板载内存的可扩展插槽数量应不少于 16 个</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9B4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2C01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537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DD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A91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D7C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59B1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主板存储接口</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72F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A059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至少支持 SATA、SAS、M.2、U.2 等存储接口中的 1 种</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5C5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D11B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AF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928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8CB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08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120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插槽接口</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517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9399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PCIe3.0 或以上的高速串行计算机扩展总线标准，PCIe 的接口速率与位宽需保证向下兼容</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BA9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CB8B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312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183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2BC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B27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6F3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主板PCIe插槽数量及规格</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851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6A6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 a) 高度大于44.45mm 双路或以上服务器 PCIe 插槽或接口应不少于 5个；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单路服务器 PCIe 插槽或接口应不少于 4 个，可通过扩展卡进行插槽扩展</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5A7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B14C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CA89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22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F59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0A2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CEC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特殊孔位及接口</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B11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396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4B3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9430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B2C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B6A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4DF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F7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789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板载网络接口</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209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E8A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支持板载网络接口不少于 1 个1GE 网口</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2AD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C6DF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CC9B6">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8B1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4B2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716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258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 OCP 插槽数量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86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44FD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EC3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1C7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72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C9A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84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420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FD5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AD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BD56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C26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083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1A9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AEA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9CD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71D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323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286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397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≥DDR4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E4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8F4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40D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DBA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443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FC4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D54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内存通道</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8A9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209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支持多个内存接口通道，每个通道可支持 1DPC 或 2DPC，当支持 2DPC时，印制电路板上应具备插槽的序号标识，具体通道数应在随机文件中明确</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55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3282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8F0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D9A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C6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B9C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6425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硬盘规格</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A9B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D940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供应商给出服务器支持硬磁盘和固态盘类型及规格</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4D3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6177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DD8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539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96F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1C3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C03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硬盘实配容量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7FB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3D4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a)配备硬磁盘，服务器提供的实配硬磁盘单盘可用容量应不小于 2.4TB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b)配备固态盘，实配固态盘单盘可用容量不小于 480GB</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1BA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0D5B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DD6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3B0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44A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44A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85E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硬盘接口类型</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710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53B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a)配备硬磁盘，应提供 SAS 3.0及以上接口；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b)配备固态盘，应提供至少 1 种类型固态盘接口，如 UFS、SATA、PCIe等</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FC4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A1A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27E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99A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041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990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7B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F5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428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a)配备硬磁盘，服务器提供的实配硬磁盘数量应不小于 1 块；</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b)配备固态盘，实配盘数应不小于 4 块</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F80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210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A5D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17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4A0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BBC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F10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硬盘插槽数量及规格</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433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4C3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供应商应给出配置的硬盘尺寸，如 2.5 英寸、3.5 英寸硬磁盘；</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机箱高度为 88.9mm 的服务器可支持的硬盘数量应不少于 8 块，机箱高度为 44.45mm 的服务器可支持的硬盘数量应不少于 4 块。</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FEE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C4A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93F2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F78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32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534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54E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硬盘其他参数要求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09A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DD8C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11430</wp:posOffset>
                  </wp:positionH>
                  <wp:positionV relativeFrom="paragraph">
                    <wp:posOffset>471805</wp:posOffset>
                  </wp:positionV>
                  <wp:extent cx="76835" cy="47625"/>
                  <wp:effectExtent l="0" t="0" r="0" b="0"/>
                  <wp:wrapNone/>
                  <wp:docPr id="2" name="textbox1"/>
                  <wp:cNvGraphicFramePr/>
                  <a:graphic xmlns:a="http://schemas.openxmlformats.org/drawingml/2006/main">
                    <a:graphicData uri="http://schemas.openxmlformats.org/drawingml/2006/picture">
                      <pic:pic xmlns:pic="http://schemas.openxmlformats.org/drawingml/2006/picture">
                        <pic:nvPicPr>
                          <pic:cNvPr id="2" name="textbox1"/>
                          <pic:cNvPicPr/>
                        </pic:nvPicPr>
                        <pic:blipFill>
                          <a:blip r:embed="rId17"/>
                          <a:stretch>
                            <a:fillRect/>
                          </a:stretch>
                        </pic:blipFill>
                        <pic:spPr>
                          <a:xfrm>
                            <a:off x="0" y="0"/>
                            <a:ext cx="76835" cy="47625"/>
                          </a:xfrm>
                          <a:prstGeom prst="rect">
                            <a:avLst/>
                          </a:prstGeom>
                          <a:noFill/>
                          <a:ln>
                            <a:noFill/>
                          </a:ln>
                        </pic:spPr>
                      </pic:pic>
                    </a:graphicData>
                  </a:graphic>
                </wp:anchor>
              </w:drawing>
            </w: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C30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B0E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87D1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DC9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A22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4C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EA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RAID卡支持的SAS接口数量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0C7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9BE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8C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F2F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1128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543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23D6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1FA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E52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 SAS 接口数量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317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E8F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021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D340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E91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EAB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2A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545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 卡规格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602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HBA卡端口数量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CBB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6C4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74F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A687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296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C9B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DF4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24B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130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网口速率和数量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E2C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DB6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配置≥2个千兆以太网RJ45接口；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配置≥2个万兆网口（含万兆多模光模块）</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DA1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BCD2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F674B">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3D8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23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BE36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204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BC8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存储型服务器网口速率和数量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BF4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F8E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D85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CDE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EE756">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AB9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24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A3C9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7C8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D54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独立网卡网口数量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EBF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38C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F29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40BF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2D29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01D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25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F20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5BE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226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独立网卡接口类型</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303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ED3C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219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671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3B727">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7C7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26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FA01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7AE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B003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板载网卡接口类型</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4DB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3971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C69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3227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B01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127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5A7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576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1D0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5DC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2F8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显示接口类型应不少于 1 种，如：VGA、DP、HDMI 等</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1DA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360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2E3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05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B52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F23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6E05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USB接口</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357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2F05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USB 接口，如 USB2.0、USB3.0等</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B8B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E883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B6F27">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F32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8EA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74C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6AD1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特殊接口及孔位</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627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681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47F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EBC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F006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8A6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top"/>
          </w:tcPr>
          <w:p w14:paraId="3DE3619B">
            <w:pPr>
              <w:spacing w:line="240" w:lineRule="exact"/>
              <w:jc w:val="left"/>
              <w:rPr>
                <w:rFonts w:hint="eastAsia" w:ascii="仿宋_GB2312" w:hAnsi="仿宋_GB2312" w:eastAsia="仿宋_GB2312" w:cs="仿宋_GB2312"/>
                <w:i w:val="0"/>
                <w:iCs w:val="0"/>
                <w:color w:val="auto"/>
                <w:sz w:val="24"/>
                <w:szCs w:val="24"/>
                <w:u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EB3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5C2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其他接口</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91A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8886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239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A61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B33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EDC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F5E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B85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352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电源冗余模式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79F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AD6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整机电源模块按 1+1 冗余或N+1 冗余配置</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A3A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38A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62D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54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7D1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DCB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9DF7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电源模块数量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B2B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4D32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9ED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5F3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FCD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F9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BEA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E94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3C8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电源功率</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987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4C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电源模块功率应有一定冗余，满足处理器满载时的需求</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47E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D28D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397A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ADD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8FB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B4F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 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7465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电源指示灯</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50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96C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54F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F6E1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5D9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1D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E4B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34C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E40C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外观和结构</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42D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677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a)服务器的零部件应紧固无松动，可插拔部件应可靠连接，开关、按钮和其它控制部件应灵活可靠，布局应方便使用；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产品表面不应有明显的凹痕、划伤、裂缝、变形和污染等。表面涂层均匀，不应起泡、龟裂、脱落和磨损，金属零部件无锈蚀及其它机械损伤；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产品表面说明功能的文字、符号和标志应清晰、端正且牢固；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应在服务器的显著位置提供运行状态的指示功能，并在随机文件中明确具体含义；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 机架、机箱的尺寸应符合通用机柜的安装要求，插入总线插座的电路板接口外形尺寸应符合有关总线标准的规定，将机箱固定在机柜上，机箱底面最大下垂变形不得干涉相邻机体；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 高密度服务器应给出 CPU 个数与机柜高度；</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 服务器尺寸具体要求在随机文件中明确</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F2F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8A85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F4F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2CA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9D1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F68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CA6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尺寸（高×宽×深）</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C2D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DE97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供应商给出产品尺寸；设计应遵循标准化、系列化的要求；机箱的内部结构符合通用部件的安装需要</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61A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018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CDB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C30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C1A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8B2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B63E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服务器导轨</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021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1A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供应商给出导轨尺寸、安装方式等信息</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E8C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F308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0017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819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4F9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07B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4C8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个数与机柜高度单位(U)比</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686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3EE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924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828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12B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A58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8D1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55E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937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环境适应性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34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4B0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气候环境适应性应符合GB/T9813.3 的有关规定，工作温度 10~35℃ , 贮存运输温度-40～55℃ ; 工作相对湿度35%～80%，贮存运输相对湿度 20％～93%（40℃) ; 大气压86～106kPa</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A6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B121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E0335">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F1C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88A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1AB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CB2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特殊机型环境适应性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39D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0F4B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B7B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EBDD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15E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10B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2633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BB7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993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469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EA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机械环境适应性应符合GB/T9813.3 的有关规定</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3AF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843C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C03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0C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814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27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8D9B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噪声</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604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03E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的有关规定，在产品说明中给出具体测试值</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376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808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201B2">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B9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7EF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A1B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179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526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60C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C0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7A16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0C2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CD3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0AC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D5A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BFF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一键式迁移</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D05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E23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F46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B9B2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DA0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069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4FD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738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635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机柜尺寸</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CA4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51E0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供应商给出长度、高度和深度</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138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A2C1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D0B6B">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077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8A75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170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5FD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机柜管理板</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E69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DFF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596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6F9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F0536">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E79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0AE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BD4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E9E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机柜电源规格</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470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1059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EF8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E9D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64C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973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F5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2FB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12C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主板外部接口</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D78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A47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 USB、显示、管理等接口，如：VGA、DP、HDMI、USB3.0、PS/2 接口、BMC 管理端口</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30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8D4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17B9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8CB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49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835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DEF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9F1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主板防烧板设计</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3EF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F62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6B4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C42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39B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D4F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50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F5F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AA6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A6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扩展功能</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0F0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D7F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750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9BDE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537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3D5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27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590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214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网络功能</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518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73E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支持网络连接、网络访问、数据交换和网络管控功能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2D5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E2A1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4DD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5A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08F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B19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29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CPU计算处理功能要求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BA5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82D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支持通用计算及虚拟化功能。处理器需集成整型计算单元、浮点计算单元、内存控制器、I/O 模块等，处理器与存储部件、网络部件、I/O部件等组成计算系统，提供数据处理、网络接入等计算相关功能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0E1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D33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87B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581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46A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8C2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133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CPU密码算法实现要求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082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1A3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芯片应符合 GM/T 0008 的相关规定，或芯片密码模块应符合GB/T37092 或 GM/T 0028 的相关规定</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032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6E63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038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C5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54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94F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8D3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931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内存校验</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A40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84A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支持内存校验或内存增强型纠错功能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99D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382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7022E">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15E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55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ED2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06B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323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SSDNAND 健康状态上报</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A7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55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A18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545E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5869B">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79A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56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91F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9DA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1336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SSD单 die 故障隔离</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1D9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69F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763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8D85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C86D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B7C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09B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5C0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2291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RAID卡RAID 级别支持</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EAD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318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模式支持 RAID 0/1/10/50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68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7B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6BE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E78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517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4D1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A72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RAID卡BBU单元</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CA8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BFB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卡实配电容掉电保护</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A2A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9F3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A90CD">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243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59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top"/>
          </w:tcPr>
          <w:p w14:paraId="35175AB5">
            <w:pPr>
              <w:keepNext w:val="0"/>
              <w:keepLines w:val="0"/>
              <w:widowControl/>
              <w:suppressLineNumbers w:val="0"/>
              <w:spacing w:line="240" w:lineRule="exact"/>
              <w:ind w:firstLine="0" w:firstLineChars="0"/>
              <w:jc w:val="left"/>
              <w:textAlignment w:val="top"/>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77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273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光驱类型（是否支持 RW，以及光盘类型CD/DVD）</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E91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0D1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B2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836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B7F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759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top"/>
          </w:tcPr>
          <w:p w14:paraId="5880D120">
            <w:pPr>
              <w:keepNext w:val="0"/>
              <w:keepLines w:val="0"/>
              <w:widowControl/>
              <w:suppressLineNumbers w:val="0"/>
              <w:spacing w:line="240" w:lineRule="exact"/>
              <w:ind w:firstLine="0" w:firstLineChars="0"/>
              <w:jc w:val="left"/>
              <w:textAlignment w:val="top"/>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566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B7F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电源热插拔</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208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6ED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整机电源模块应具备热插拔功能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691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287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D47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533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top"/>
          </w:tcPr>
          <w:p w14:paraId="102FE325">
            <w:pPr>
              <w:keepNext w:val="0"/>
              <w:keepLines w:val="0"/>
              <w:widowControl/>
              <w:suppressLineNumbers w:val="0"/>
              <w:spacing w:line="240" w:lineRule="exact"/>
              <w:ind w:firstLine="0" w:firstLineChars="0"/>
              <w:jc w:val="left"/>
              <w:textAlignment w:val="top"/>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77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4C7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电源过流保护</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F81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847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支持过流及短路保护的功能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E29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88E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8D6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E87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top"/>
          </w:tcPr>
          <w:p w14:paraId="5363D344">
            <w:pPr>
              <w:keepNext w:val="0"/>
              <w:keepLines w:val="0"/>
              <w:widowControl/>
              <w:suppressLineNumbers w:val="0"/>
              <w:spacing w:line="240" w:lineRule="exact"/>
              <w:ind w:firstLine="0" w:firstLineChars="0"/>
              <w:jc w:val="left"/>
              <w:textAlignment w:val="top"/>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85C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EB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散热方式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88F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865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支持风冷或液冷等散热方式</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E38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D2C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1285B">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9C0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63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top"/>
          </w:tcPr>
          <w:p w14:paraId="77ED6F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B18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89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其他功能</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788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DB4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218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61D7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82D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478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4558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CB9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3CCA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固件基础功能</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5D9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26E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 支持 DHCP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2)支持静态 IP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3)支持设备日志记录，包括但不限于登录日志、操作日志和报警日志等功能；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4)支持日志信息导出和记录删除功能；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5)支持通过管理接口向外输出准确的报警信息功能；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6)设备的BMC 管理软件应能够按报警的严重程度进行区分；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7)支持 IPMI2.0、SNMP 或 Redfish等接口功能；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8)支持键盘、鼠标和视频的重定向、文本控制台的重定向、远程虚拟媒体、高可靠的硬件监控和管理功能；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9)支持基于网络开启、关闭和重启设备的功能，并查询当前设备开机运行状态；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10)支持故障提示功能，并可通过接口读取服务器故障信息；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11)支持基于网络的固件更新功能，包括 BMC 和 BIOS 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12)支持基于网络安装操作系统的功能，并可通过网络控制台访问设备；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13)支持通过本地的硬盘或光驱等存储设备，基于网络完成设备的操作系统安装功能；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14)支持通过浏览器打开管理界面并登录功能；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15)支持设置口令策略功能；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16)支持访问权限设置功能，并通过日志记录访问事件；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17)支持对出厂默认的用户名及口令进行安全保护功能，并提供默认口令修改提示；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18)支持读取设备主板的工作环境温度功能；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19)支持读取服务器 CPU 等核心器件的温度功能；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20)支持通过外部管理工具进行 BMC参数设置的功能，并可基于网络通过外部管理工具对 BMC 进行管理；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21)应支持固件版本查询、固件升级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22)支持基于网络实现开关机和复位控制的功能；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23)BMC 启动时间应不超过 180s，实现功能包括网络、IPMI、散热、传感器服务可用；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24)支持 BMC 固件设置的恢复出厂功能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5A1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54E3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46D4B">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BED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65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17A8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610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63E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固件增强功能</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5B0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95A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4C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E6E1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EC4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6E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5C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EBD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91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BIOS 固件基础功能</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191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2BD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a）支持查看固件版本、内存信息、主板信息、处理器信息和系统时间信息功能；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b）支持上电初始化界面显示 CPU 信息、内存信息、固件版本和部分快捷键信息功能；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c）支持设置界面中英文显示切换功能；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d）支持查看 PCIe 设备信息，SATA设备信息功能；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e）支持操作系统安装和引导功能，应并向操作系统提供计算机主板信息和服务接口；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f）支持设置启动顺序，并按照设置的启动顺序启动功能；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g）支持安全启动功能；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h）支持设置口令、修改口令、验证口令功能；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i）支持板载显示控制或独立显卡的显示控制功能；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j）支持 RAID 识别和启动功能；k）支持串口重定向功能；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l）支持固件更新功能；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m）支持BIOS 固件设置的恢复出厂功能；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n）支持网络引导启用和关闭功能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17D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E926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416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2D0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EC1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54A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002B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远程控制</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DBD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3C6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支持远程关机和重新启动功能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E5B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4666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43D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610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6723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A5D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CA3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操作系统及驱动的升级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BB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D9AF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支持通过网络、闪存盘对操作系统、驱动进行升级</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789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AA9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3507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CE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06F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CFA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51A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操作系统及驱动的备份还原</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D2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BB8D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A48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259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38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C1A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4AF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82A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F42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操作系统功能</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94F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501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支持访问控制、安全审计、网络接入鉴别等功能；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操作系统其他功能应满足操作系统政府采购需求标准中加*的指标要求</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4C7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FE7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7BB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319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37B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FB3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1F8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E2C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DF5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 18030 的有关规定</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DA0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11F9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C20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A84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top"/>
          </w:tcPr>
          <w:p w14:paraId="36D20A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B53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AE7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机柜管理功能</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AD4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DD7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EF7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8074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7232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A67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top"/>
          </w:tcPr>
          <w:p w14:paraId="612F66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364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748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机柜通信方式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E8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A74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81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5DB5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96A37">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DA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top"/>
          </w:tcPr>
          <w:p w14:paraId="7B2819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A1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1AB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多集群作业管理</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B94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4ED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860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998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21F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2F0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5169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6A3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50E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B6E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90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等关键部件应当符合安全可靠测评要求</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8F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66E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D72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FF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14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2DB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02E5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故障检测</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F09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B27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支持故障检测功能，可以检测到具体的 FRU（内存、硬盘等）的故障并发出告警</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4E2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300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7E8E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574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77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619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732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6F4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内存故障智能预测和自愈修复</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921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27A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E4C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6C3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A4AF3">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440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78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A0C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282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D3A0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硬盘故障智能预测</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8D4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BE9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C45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5371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64F88">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14F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79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12D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AD2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802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链路故障智能诊断</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6B1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774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F98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6C5A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7CBC">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EF4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80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2036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1E0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0C2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内存故障隔离</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BD6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D72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E6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6A5F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1821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58A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81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EEB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DA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EA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内存、PCIe卡的故障精准告警功能</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85E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BA90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DE7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AD5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C324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8A7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82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5F2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3D0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209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异常下电关键数据保护</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B4E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41B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2DA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B717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1417C">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57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83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E3B6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BD3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83A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BMC/BIOS固件双镜像保护</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B38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195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AC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C9B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3A967">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E71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84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6C9B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EF0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07A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核重启隔离</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BB9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66E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D7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5DD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BCE9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99B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85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913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A4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733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内存地址隔离</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B98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A2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0F7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85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B9F9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A1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86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520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48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885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内存存储阵列替换</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647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48E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E3B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F43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2EB16">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78F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87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FC4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340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8AD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安全启动</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269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176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A8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6E0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21986">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185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88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825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BA1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E91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syslog 双向鉴别</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90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955B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39E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178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B44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2C1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8C5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4AD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9BB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弱口令字典检查</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415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BF0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支持弱口令字典检查功能，出现在弱口令字典中的字符串不能被设置为用户口令</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7CA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9B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38E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494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B05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A97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E7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白名单访问控制</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86B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5F81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支持基于时间、IP 或 MAC 白名单访问控制</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B28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03E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3714E">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643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91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D7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EC9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ADF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双因素鉴别</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B94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6D2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477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9472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20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BD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C05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078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D86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二次鉴别</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1D9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9E3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支持二次鉴别功能。对于用户配置、权限配置、公钥导入等重要的管理操作，已登录用户应通过二次鉴别后，才能执行操作</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344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7D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E8CA7">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631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93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224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3C6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E31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匿名化用户告警接收邮箱</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3FB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17CA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33C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A230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5F9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610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945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FBA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DAC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密码证书安全加密存储</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30E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343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支持对带外管理系统中的用户口令和证书等敏感信息进行加密存储，禁止使用私有的和业界已知不安全的密码算法</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273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02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54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001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B4F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DD4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803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敏感信息安全加密传输</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2B8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147D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支持使用安全的传输加密协议（如SSH 或 HTTPS 等）传输用户的敏感信息</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A82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CE99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DF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298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558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CD6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93A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研发过程安全要求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1CE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195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869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E80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C97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66D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CEB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541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271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漏洞管理</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7A9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A22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供应商承诺，生产商已建立漏洞全量视图，保证产品版本涉及到的所有漏洞(如驱动程序、BMC 软件等)都可以查看</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44F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EB4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B3D6B">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CA2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98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465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308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7C1C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网络关键设备服务器要求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5C9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E1B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10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FBE5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A06D9">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7B0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99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2CE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E26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1B4C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增强要求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6A2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1984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837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F1E7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04A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6E2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4BA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0DC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F85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815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2AF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安全要求应符合 GB 4943.1 的规定</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F68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AD84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2A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F57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04D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431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47E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02C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4C38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限用物质的限量应符合GB/T 26572的要求</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6B2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F0F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D2F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016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F39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89D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2E5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主频</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6F2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DA7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≥2.6GHz</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D7C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807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9C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491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DE4E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B40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BF4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核数</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3DD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D9A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7CE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8C9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81B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77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EF19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421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8CE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末级缓存容量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2D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9A61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≥24MB</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378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7891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F01A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82B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748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7D0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5F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单内存模块容量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EF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67D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≥32GB</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334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149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6E2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8C1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54BC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4F9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2F3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内存速率</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299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226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≥3200MT/s</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CA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327A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3A2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064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107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9DA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DB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存储性能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B3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硬盘转速</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750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834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实配SAS硬磁盘转速不低于10000rpm</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350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B02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AC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94C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A70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3A5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837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RAID卡缓存容量</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D76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27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RAID 卡且 RAID 卡有缓存容量，容量不少于 2GB</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59F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936C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AEF3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7A2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109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77C0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1E1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HBA卡性能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1510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卡速率</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E73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AFA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51C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DC42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816EC">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DC6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110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01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1E2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D2E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独立网卡速率</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4F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C9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A78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FF4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C8D8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BC0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111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B48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5E7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21A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板载网卡速率</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181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195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CA2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FCA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D4C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4C2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0B2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57C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EF8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53F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884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157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0D6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41D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2EA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AFD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B6C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1AC8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内存兼容性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00E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A632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种及以上厂商的内存产品，且均不低于产品支持的内存规格</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648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A976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89E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AB5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E36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25D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BA3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固态存储兼容性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AE8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70F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种或以上厂商的固态存储产品，且均不低于产品支持的固态存储设备规格</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BE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B4B7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72829">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8D7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115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D7FF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6DE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69D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卡兼容性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0B4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B63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FC7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2E3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B67A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043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116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3A4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215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096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卡兼容性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2C8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BF3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39C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E623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1FF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72C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0C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E1F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1156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网卡兼容性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50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337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网卡应适配两种或以上厂商产品</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9B3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80A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DDB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85E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2C2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B1E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905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功能卡兼容性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2C6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E10F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内置或适配符合 PCIe 的功能卡，如：网络功能卡、存储功能卡及图形显示功能卡</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C1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3E4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1AD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062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CEBF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8C8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B66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264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18A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兼容多种主流生产商的外部设备，包括显示器、键盘、鼠标、闪存盘、移动硬盘、USB 光驱及 KVM 等，要求使用不同厂商的外部设备时，系统均能正常识别和安装驱动</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B50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4AD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2CC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96F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6AC8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7DD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33B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数据库兼容</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0BB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584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个及以上厂商的数据库产品</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EB8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ACB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BC1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E3A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D85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F66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F4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中间件兼容</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569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D1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个及以上厂商的中间件产品</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E99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716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446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347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58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24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6C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平台软件兼容</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41E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CF2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个及以上厂商的大数据平台</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110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8B2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3ECF8">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EE2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6BE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B2E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AF3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虚拟化软件兼容</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0E1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9841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5E7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FCB9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D42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0C8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B60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292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存储可靠性要求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D0C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SSD可靠性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B42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D0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DBD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F4C4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76B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D7E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AFB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2F7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755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7D7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3F8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m1 值（MTBF 的不可接受值）不得低于 30000h</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E20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F47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BE9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386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BCFE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43C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D30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风扇可靠性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52F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3BE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风扇寿命应不低于40000h</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92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D2C6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51E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D07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BBE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C30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182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部件可靠性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80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522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支持硬盘、电源、风扇热插拔(内置风扇除外)</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28F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638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8ED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19C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2E8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AEC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C50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标志、包装、运输和贮存</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723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E3AD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符合GB/T 9813.3 和商品包装政府采购需求标准的相关规定</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E0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649E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28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DEC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7BB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4BD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683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C2E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A85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提供电话、电子邮件、远程连接等多种形式服务；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提供同城 4h、异地 12h 技术响应服务，2 个工作日解决问题，对于未能解决的问题和故障应提供可行的升级方案，并提供周转设备；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建立全国技术服务体系和服务团体，符合专业服务体系标准要求，提供原厂中文服务；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服务周期内提供产品的维修、换件和升级服务</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7DE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AA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788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6DF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349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C70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13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培训服务</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113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0E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供应商提供培训材料、产品手册、培训视频等培训相关内容</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36E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E21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CDB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1AC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25B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482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96BD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46A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EA74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产品免费服务周期（含换件和维修）应不小于 3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设备停产后继续提供质量保障服务（含备品备件），服务终止时间与最后一批设备交付时间间隔不低于 6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产品停止服务时间应提前 1 年告知客户；</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产品发布日期需在随机文件中明确</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ED6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E29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587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B77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B49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913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432B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工具要求</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76D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C67C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供应商提供设置服务器硬件、辅助操作系统安装等功能的辅助工具和管理软件。且随附软件应具有合法授权或版权</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A01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6F2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A0FA7">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46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133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F8D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8F3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4E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辅助工具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AC6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DF9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9C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3FE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C57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564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14EC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DB2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3BB5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驱动安装升级指引</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A90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608C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供应商提供出厂安装的配件所需的驱动程序，形式包括但不限于驱动光盘、驱动下载链接等。其他配件应提供指引</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E4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A02F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2A3C">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5F7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135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A0F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71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2C4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随机附开盖工具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1F1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C15D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80D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BD41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C955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27B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136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541F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0A2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C328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代码迁移工具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624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075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ADA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695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4D3C8">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CF7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137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BE6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3CD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6D9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性能分析工具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188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71E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D2D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29C6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72FBE">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EA5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138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46E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160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66D8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跨架构平台应用兼容</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BF0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00F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229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2FEE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93B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0BB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30E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5D8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1C7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管理软件</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3E3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A59B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具备资源管理、系统管理、性能监控、健康监控、基于网络控制、报警设置功能</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E24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0E9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5E9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66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80A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2EE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789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厂家升级产品软件与扩容服务</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865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E71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供应商提供原厂级的部件/软件产品升级和扩容能力</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0E6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B5B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0AD0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694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320C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144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3227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服务保障升级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FCC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1B3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1FA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B4F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0FD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B8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C41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EE6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2D38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提供上门服务</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C6B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17C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供应商具备提供上门服务的能力(可收费)</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826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AF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099A4">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27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143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56C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9EB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AA8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业务场景性能优化服务及整体架构升级服务</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A53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C06A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400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5590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67A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75A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CAE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05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A8B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抗干扰性</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5F5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97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当产品部件出现供应风险时，应通知客户并提供风险应对方案确保产品的服务保障，必要时应停止相关受影响产品的销售</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03F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FD89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7C2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8FC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145 </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B1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9BF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E84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供应能力证明</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F6D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853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供应商提供供应链稳定承诺书，确保产品的部件在产品服务周期内稳定供货</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436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bl>
    <w:p w14:paraId="2A53278C">
      <w:pPr>
        <w:pageBreakBefore/>
        <w:spacing w:line="360" w:lineRule="auto"/>
        <w:ind w:firstLine="0" w:firstLineChars="0"/>
        <w:jc w:val="left"/>
        <w:outlineLvl w:val="2"/>
        <w:rPr>
          <w:rFonts w:hint="eastAsia" w:hAnsi="仿宋" w:cs="Times New Roman"/>
          <w:b/>
          <w:bCs/>
          <w:sz w:val="24"/>
          <w:szCs w:val="24"/>
          <w:lang w:val="en-US" w:eastAsia="zh-CN"/>
        </w:rPr>
      </w:pPr>
      <w:r>
        <w:rPr>
          <w:rFonts w:hint="eastAsia" w:hAnsi="仿宋" w:cs="Times New Roman"/>
          <w:b/>
          <w:bCs/>
          <w:sz w:val="24"/>
          <w:szCs w:val="24"/>
          <w:lang w:val="en-US" w:eastAsia="zh-CN"/>
        </w:rPr>
        <w:t>附表3</w:t>
      </w:r>
    </w:p>
    <w:tbl>
      <w:tblPr>
        <w:tblStyle w:val="59"/>
        <w:tblW w:w="514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0"/>
        <w:gridCol w:w="576"/>
        <w:gridCol w:w="813"/>
        <w:gridCol w:w="844"/>
        <w:gridCol w:w="1487"/>
        <w:gridCol w:w="1044"/>
        <w:gridCol w:w="3214"/>
        <w:gridCol w:w="773"/>
      </w:tblGrid>
      <w:tr w14:paraId="031F7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AE8AD0">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b/>
                <w:bCs/>
                <w:i w:val="0"/>
                <w:iCs w:val="0"/>
                <w:color w:val="auto"/>
                <w:kern w:val="0"/>
                <w:sz w:val="28"/>
                <w:szCs w:val="28"/>
                <w:u w:val="none"/>
                <w:lang w:val="en-US" w:eastAsia="zh-CN" w:bidi="ar"/>
              </w:rPr>
              <w:t>非关系数据库集群</w:t>
            </w:r>
          </w:p>
        </w:tc>
      </w:tr>
      <w:tr w14:paraId="425D8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nil"/>
              <w:left w:val="single" w:color="000000" w:sz="4" w:space="0"/>
              <w:bottom w:val="single" w:color="000000" w:sz="4" w:space="0"/>
              <w:right w:val="single" w:color="000000" w:sz="4" w:space="0"/>
            </w:tcBorders>
            <w:shd w:val="clear" w:color="auto" w:fill="auto"/>
            <w:vAlign w:val="center"/>
          </w:tcPr>
          <w:p w14:paraId="7728D8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重要程度</w:t>
            </w:r>
          </w:p>
        </w:tc>
        <w:tc>
          <w:tcPr>
            <w:tcW w:w="245" w:type="pct"/>
            <w:tcBorders>
              <w:top w:val="nil"/>
              <w:left w:val="single" w:color="000000" w:sz="4" w:space="0"/>
              <w:bottom w:val="single" w:color="000000" w:sz="4" w:space="0"/>
              <w:right w:val="single" w:color="000000" w:sz="4" w:space="0"/>
            </w:tcBorders>
            <w:shd w:val="clear" w:color="auto" w:fill="auto"/>
            <w:vAlign w:val="center"/>
          </w:tcPr>
          <w:p w14:paraId="1F48F6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序号</w:t>
            </w:r>
          </w:p>
        </w:tc>
        <w:tc>
          <w:tcPr>
            <w:tcW w:w="450" w:type="pct"/>
            <w:tcBorders>
              <w:top w:val="nil"/>
              <w:left w:val="single" w:color="000000" w:sz="4" w:space="0"/>
              <w:bottom w:val="single" w:color="000000" w:sz="4" w:space="0"/>
              <w:right w:val="single" w:color="000000" w:sz="4" w:space="0"/>
            </w:tcBorders>
            <w:shd w:val="clear" w:color="auto" w:fill="auto"/>
            <w:vAlign w:val="center"/>
          </w:tcPr>
          <w:p w14:paraId="54C789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指标分类</w:t>
            </w:r>
          </w:p>
        </w:tc>
        <w:tc>
          <w:tcPr>
            <w:tcW w:w="467" w:type="pct"/>
            <w:tcBorders>
              <w:top w:val="nil"/>
              <w:left w:val="single" w:color="000000" w:sz="4" w:space="0"/>
              <w:bottom w:val="single" w:color="000000" w:sz="4" w:space="0"/>
              <w:right w:val="single" w:color="000000" w:sz="4" w:space="0"/>
            </w:tcBorders>
            <w:shd w:val="clear" w:color="auto" w:fill="auto"/>
            <w:vAlign w:val="center"/>
          </w:tcPr>
          <w:p w14:paraId="3F9216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一级指标1</w:t>
            </w:r>
          </w:p>
        </w:tc>
        <w:tc>
          <w:tcPr>
            <w:tcW w:w="815" w:type="pct"/>
            <w:tcBorders>
              <w:top w:val="nil"/>
              <w:left w:val="single" w:color="000000" w:sz="4" w:space="0"/>
              <w:bottom w:val="single" w:color="000000" w:sz="4" w:space="0"/>
              <w:right w:val="single" w:color="000000" w:sz="4" w:space="0"/>
            </w:tcBorders>
            <w:shd w:val="clear" w:color="auto" w:fill="auto"/>
            <w:vAlign w:val="center"/>
          </w:tcPr>
          <w:p w14:paraId="6CC4FF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二级指标 1</w:t>
            </w:r>
          </w:p>
        </w:tc>
        <w:tc>
          <w:tcPr>
            <w:tcW w:w="575" w:type="pct"/>
            <w:tcBorders>
              <w:top w:val="nil"/>
              <w:left w:val="single" w:color="000000" w:sz="4" w:space="0"/>
              <w:bottom w:val="single" w:color="000000" w:sz="4" w:space="0"/>
              <w:right w:val="single" w:color="000000" w:sz="4" w:space="0"/>
            </w:tcBorders>
            <w:shd w:val="clear" w:color="auto" w:fill="auto"/>
            <w:vAlign w:val="center"/>
          </w:tcPr>
          <w:p w14:paraId="1444B4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是否可以作为评分因素2</w:t>
            </w:r>
          </w:p>
        </w:tc>
        <w:tc>
          <w:tcPr>
            <w:tcW w:w="1750" w:type="pct"/>
            <w:tcBorders>
              <w:top w:val="nil"/>
              <w:left w:val="single" w:color="000000" w:sz="4" w:space="0"/>
              <w:bottom w:val="single" w:color="000000" w:sz="4" w:space="0"/>
              <w:right w:val="single" w:color="000000" w:sz="4" w:space="0"/>
            </w:tcBorders>
            <w:shd w:val="clear" w:color="auto" w:fill="auto"/>
            <w:vAlign w:val="center"/>
          </w:tcPr>
          <w:p w14:paraId="484AB5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指标要求</w:t>
            </w:r>
          </w:p>
        </w:tc>
        <w:tc>
          <w:tcPr>
            <w:tcW w:w="426" w:type="pct"/>
            <w:tcBorders>
              <w:top w:val="nil"/>
              <w:left w:val="single" w:color="000000" w:sz="4" w:space="0"/>
              <w:bottom w:val="single" w:color="000000" w:sz="4" w:space="0"/>
              <w:right w:val="single" w:color="000000" w:sz="4" w:space="0"/>
            </w:tcBorders>
            <w:shd w:val="clear" w:color="auto" w:fill="auto"/>
            <w:vAlign w:val="center"/>
          </w:tcPr>
          <w:p w14:paraId="4FFD43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证明材料要求</w:t>
            </w:r>
          </w:p>
        </w:tc>
      </w:tr>
      <w:tr w14:paraId="1AF0E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79D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1FB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08F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954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E0B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信息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C06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067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实配CPU数量：2颗，ARM架构；供应商给出CPU 信息，包含 CPU 型号、物理核心数、主频、末级缓存容量、线程数、热设计功耗及支持内存的最高速率、通道数和位宽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3E4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52D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ED6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F70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C80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DF6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8EB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主板支持CPU和内存情况</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B63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A3C8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供应商给出主板支持的CPU 和内存的型号数量</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757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7A6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AD9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E19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B67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D4B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1C5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主板内存槽数量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CCF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0E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非板载内存的可扩展插槽数量应不少于 16 个</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762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68CE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7D6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F7D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2B6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10A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581D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主板存储接口</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187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FD51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至少支持 SATA、SAS、M.2、U.2 等存储接口中的 1 种</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77B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FBD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24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E51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1D7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CC1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F32C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插槽接口</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616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7ED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PCIe3.0 或以上的高速串行计算机扩展总线标准，PCIe 的接口速率与位宽需保证向下兼容</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746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9FB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04C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4B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CB6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161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8B9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主板PCIe插槽数量及规格</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6D5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C61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 a) 高度大于44.45mm 双路或以上服务器 PCIe 插槽或接口应不少于 5个；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单路服务器 PCIe 插槽或接口应不少于 4 个，可通过扩展卡进行插槽扩展</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2DB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BE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BF7C3">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A58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77A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317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BA0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特殊孔位及接口</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EBB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F2D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029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97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24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159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CA3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674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67F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板载网络接口</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4E6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4F2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支持板载网络接口不少于 1 个1GE 网口</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1CB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262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D558">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A30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E9E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E8C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F01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 OCP 插槽数量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BB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4667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5CC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D7C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0CB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DF0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42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0E3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AD1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3CE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420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C2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9F9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FDD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10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FBD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F3D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BC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404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344B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≥DDR4</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DE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85C9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A62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43B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7B5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50B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099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内存通道</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AA1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A4E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支持多个内存接口通道，每个通道可支持 1DPC 或 2DPC，当支持 2DPC时，印制电路板上应具备插槽的序号标识，具体通道数应在随机文件中明确</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A4E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3857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C9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96D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F8F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711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752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硬盘规格</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E02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4479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供应商给出服务器支持硬磁盘和固态盘类型及规格</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CF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6959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E93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D50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683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84B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9B7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硬盘实配容量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F2A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3C0A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a)配备硬磁盘，服务器提供的实配硬磁盘单盘可用容量应不小于10TB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b)配备固态盘，实配固态盘单盘可用容量不小于 3.84TB</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371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A827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77E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548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1BA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FB6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AC4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硬盘接口类型</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C56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903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a)配备硬磁盘，应提供 SAS 3.0及以上接口；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b)配备固态盘，应提供至少 1 种类型固态盘接口，如 UFS、SATA、PCIe等</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450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AD9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C19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04D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860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BC9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0A45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0FF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E01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a)配备硬磁盘，服务器提供的实配硬磁盘数量应不小于2 块；</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b)配备固态盘，实配盘数应不小于6 块</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864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4DEE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8A3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00C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B0E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A3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181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硬盘插槽数量及规格</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F78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01A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供应商应给出配置的硬盘尺寸，如 2.5 英寸、3.5 英寸硬磁盘；</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机箱高度为 88.9mm 的服务器可支持的硬盘数量应不少于 8 块，机箱高度为 44.45mm 的服务器可支持的硬盘数量应不少于 4 块。</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F29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188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689E">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8B0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B35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200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47C8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硬盘其他参数要求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DC6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29BA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11430</wp:posOffset>
                  </wp:positionH>
                  <wp:positionV relativeFrom="paragraph">
                    <wp:posOffset>471805</wp:posOffset>
                  </wp:positionV>
                  <wp:extent cx="76835" cy="47625"/>
                  <wp:effectExtent l="0" t="0" r="0" b="0"/>
                  <wp:wrapNone/>
                  <wp:docPr id="4" name="textbox1"/>
                  <wp:cNvGraphicFramePr/>
                  <a:graphic xmlns:a="http://schemas.openxmlformats.org/drawingml/2006/main">
                    <a:graphicData uri="http://schemas.openxmlformats.org/drawingml/2006/picture">
                      <pic:pic xmlns:pic="http://schemas.openxmlformats.org/drawingml/2006/picture">
                        <pic:nvPicPr>
                          <pic:cNvPr id="4" name="textbox1"/>
                          <pic:cNvPicPr/>
                        </pic:nvPicPr>
                        <pic:blipFill>
                          <a:blip r:embed="rId17"/>
                          <a:stretch>
                            <a:fillRect/>
                          </a:stretch>
                        </pic:blipFill>
                        <pic:spPr>
                          <a:xfrm>
                            <a:off x="0" y="0"/>
                            <a:ext cx="76835" cy="47625"/>
                          </a:xfrm>
                          <a:prstGeom prst="rect">
                            <a:avLst/>
                          </a:prstGeom>
                          <a:noFill/>
                          <a:ln>
                            <a:noFill/>
                          </a:ln>
                        </pic:spPr>
                      </pic:pic>
                    </a:graphicData>
                  </a:graphic>
                </wp:anchor>
              </w:drawing>
            </w: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851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68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E6E3E">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A67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59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DAE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8E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RAID卡支持的SAS接口数量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AF9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D1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D98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4EEC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90482">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D11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03FD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6CD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DD5C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 SAS 接口数量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74A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43BA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66D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9E01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1E2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590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743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A9B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 卡规格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58C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HBA卡端口数量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EF4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AA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AFE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DE2C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2E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D2C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B74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9F6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2DD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网口速率和数量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ADD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4AD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配置≥2个千兆以太网RJ45接口；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配置≥2个万兆网口（含万兆多模光模块）</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87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36E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B190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2BC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23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7A1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2FB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8FA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存储型服务器网口速率和数量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1D9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7221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C0E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80D2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2023C">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5FA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24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B32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3E9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EA8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独立网卡网口数量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475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EAF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BC8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67CE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C96EC">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B88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25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4A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A0E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02A0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独立网卡接口类型</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0FA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EF7C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16C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8136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0F09">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9D3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26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7B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58B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BAC6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板载网卡接口类型</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AFA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E1F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F54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5BF2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AC1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7D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BCF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E2F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7B1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F45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8B8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显示接口类型应不少于 1 种，如：VGA、DP、HDMI 等</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B9D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6E0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DEA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543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0E2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3E7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F1D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USB接口</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186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D5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USB 接口，如 USB2.0、USB3.0等</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558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4283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B207C">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607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148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1F5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2FA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特殊接口及孔位</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4AA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E659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0FF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1BE8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593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A45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54F3CFF8">
            <w:pPr>
              <w:spacing w:line="240" w:lineRule="exact"/>
              <w:jc w:val="left"/>
              <w:rPr>
                <w:rFonts w:hint="eastAsia" w:ascii="仿宋_GB2312" w:hAnsi="仿宋_GB2312" w:eastAsia="仿宋_GB2312" w:cs="仿宋_GB2312"/>
                <w:i w:val="0"/>
                <w:iCs w:val="0"/>
                <w:color w:val="auto"/>
                <w:sz w:val="24"/>
                <w:szCs w:val="24"/>
                <w:u w:val="none"/>
              </w:rPr>
            </w:pP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70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0DCC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其他接口</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358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E2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0A0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852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95C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2AA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44C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38D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C147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电源冗余模式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169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35F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整机电源模块按 1+1 冗余或N+1 冗余配置</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D74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10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DD0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33D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C20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664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93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电源模块数量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946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A94B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DA3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4A4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359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C26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883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17A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52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电源功率</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D91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B9C7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电源模块功率应有一定冗余，满足处理器满载时的需求</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308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D623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839DB">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39C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E19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B09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 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8BE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电源指示灯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728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5DB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328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A1A3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5B4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CBB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3E0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754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C4BC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外观和结构</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A6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52D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a)服务器的零部件应紧固无松动，可插拔部件应可靠连接，开关、按钮和其它控制部件应灵活可靠，布局应方便使用；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产品表面不应有明显的凹痕、划伤、裂缝、变形和污染等。表面涂层均匀，不应起泡、龟裂、脱落和磨损，金属零部件无锈蚀及其它机械损伤；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产品表面说明功能的文字、符号和标志应清晰、端正且牢固；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应在服务器的显著位置提供运行状态的指示功能，并在随机文件中明确具体含义；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 机架、机箱的尺寸应符合通用机柜的安装要求，插入总线插座的电路板接口外形尺寸应符合有关总线标准的规定，将机箱固定在机柜上，机箱底面最大下垂变形不得干涉相邻机体；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 高密度服务器应给出 CPU 个数与机柜高度；</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 服务器尺寸具体要求在随机文件中明确</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BA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22EB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F15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B5A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E8B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AFE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ACDA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尺寸（高×宽×深）</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683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413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供应商给出产品尺寸；设计应遵循标准化、系列化的要求；机箱的内部结构符合通用部件的安装需要</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508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1E8F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9D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721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061B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2E4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FD81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服务器导轨</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70B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119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供应商给出导轨尺寸、安装方式等信息</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7B1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422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10B9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3B1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7B7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DD2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847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个数与机柜高度单位(U)比</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6E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F0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980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4D0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4A5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ECE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1B3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7C9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4E7C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环境适应性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4EB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DEA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气候环境适应性应符合GB/T9813.3 的有关规定，工作温度 10~35℃ , 贮存运输温度-40～55℃ ; 工作相对湿度35%～80%，贮存运输相对湿度 20％～93%（40℃) ; 大气压86～106kPa</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993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DD54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B72C8">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E43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85A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BF8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1A9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特殊机型环境适应性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0D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C63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B9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B7B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52C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721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855F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652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12C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748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C4E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机械环境适应性应符合GB/T9813.3 的有关规定</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D26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0DF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4FD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6BB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B28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C26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206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噪声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3AE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239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的有关规定，在产品说明中给出具体测试值</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B15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A12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0924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80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6A7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F5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51ED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F1E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748D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465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D35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1EF9">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756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91EB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5E7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E3A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一键式迁移</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785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EEE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A64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E00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D43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E4E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EE4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0A8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0873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机柜尺寸</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31B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BF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供应商给出长度、高度和深度</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EC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2553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458A5">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903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F9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14A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B3B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机柜管理板</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7BD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76A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83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F73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AE4B5">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8E7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9B2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3BA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462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机柜电源规格</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6B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697F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9B3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F28A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EE0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3C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41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D6F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52C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主板外部接口</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F87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F78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 USB、显示、管理等接口，如：VGA、DP、HDMI、USB3.0、PS/2 接口、BMC 管理端口</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38D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5E2B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563B5">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C6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49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617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086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4401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主板防烧板设计</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C62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0C05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790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2C0B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4ADE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282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50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00AB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91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A6D2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扩展功能</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61A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68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BEE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31A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91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633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E1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AF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BAD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网络功能</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8E4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5A4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支持网络连接、网络访问、数据交换和网络管控功能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6A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579D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AFE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A1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9982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3BD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4EF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CPU计算处理功能要求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F0D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98E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支持通用计算及虚拟化功能。处理器需集成整型计算单元、浮点计算单元、内存控制器、I/O 模块等，处理器与存储部件、网络部件、I/O部件等组成计算系统，提供数据处理、网络接入等计算相关功能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85C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0FC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369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A12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B13C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B53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603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CPU密码算法实现要求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C0B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4A1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芯片应符合 GM/T 0008 的相关规定，或芯片密码模块应符合GB/T37092 或 GM/T 0028 的相关规定</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67A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CAD6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AD2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286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54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704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A8F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307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内存校验</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797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A47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支持内存校验或内存增强型纠错功能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6D1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72C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53946">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444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55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B402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53B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21C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SSDNAND 健康状态上报</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1C0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92D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331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86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079B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998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56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0B2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6F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5DB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SSD单 die 故障隔离</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EB6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AC22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9BA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206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7E7E4">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3DD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D7A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5DF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C699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RAID卡RAID 级别支持</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2D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1AF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模式支持 RAID 0/1/10/50</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E8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A311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D67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000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F55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704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25E7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RAID卡BBU单元</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B28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55D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卡实配电容掉电保护</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BA5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5CFC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D86D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065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59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4F9E15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777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EE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光驱类型（是否支持 RW，以及光盘类型CD/DVD）</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1FF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C773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605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ECF2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F8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47D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7E9C75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7EF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B86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电源热插拔</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07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DEA1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整机电源模块应具备热插拔功能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CB0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8FA0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EA7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191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66EDE0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72F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3D2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电源过流保护</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128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5D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支持过流及短路保护的功能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C8D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4B3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3C8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A23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3D55ABC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515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34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散热方式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1BD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B7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支持风冷或液冷等散热方式</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A1E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2F17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35058">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ABE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63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2826C8D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FA0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16B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其他功能</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4DE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A16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A91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BF54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1C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C2C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37D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004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222E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固件基础功能</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475D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D3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 支持 DHCP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2)支持静态 IP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3)支持设备日志记录，包括但不限于登录日志、操作日志和报警日志等功能；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4)支持日志信息导出和记录删除功能；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5)支持通过管理接口向外输出准确的报警信息功能；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6)设备的BMC 管理软件应能够按报警的严重程度进行区分；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7)支持 IPMI2.0、SNMP 或 Redfish等接口功能；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8)支持键盘、鼠标和视频的重定向、文本控制台的重定向、远程虚拟媒体、高可靠的硬件监控和管理功能；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9)支持基于网络开启、关闭和重启设备的功能，并查询当前设备开机运行状态；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10)支持故障提示功能，并可通过接口读取服务器故障信息；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11)支持基于网络的固件更新功能，包括 BMC 和 BIOS 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12)支持基于网络安装操作系统的功能，并可通过网络控制台访问设备；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13)支持通过本地的硬盘或光驱等存储设备，基于网络完成设备的操作系统安装功能；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14)支持通过浏览器打开管理界面并登录功能；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15)支持设置口令策略功能；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16)支持访问权限设置功能，并通过日志记录访问事件；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17)支持对出厂默认的用户名及口令进行安全保护功能，并提供默认口令修改提示；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18)支持读取设备主板的工作环境温度功能；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19)支持读取服务器 CPU 等核心器件的温度功能；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20)支持通过外部管理工具进行 BMC参数设置的功能，并可基于网络通过外部管理工具对 BMC 进行管理；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21)应支持固件版本查询、固件升级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22)支持基于网络实现开关机和复位控制的功能；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23)BMC 启动时间应不超过 180s，实现功能包括网络、IPMI、散热、传感器服务可用；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24)支持 BMC 固件设置的恢复出厂功能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F98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CF1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E69D8">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B6C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65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B52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615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94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固件增强功能</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60E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D7C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0DB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7DC8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BBD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5D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9A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BCB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ECD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BIOS 固件基础功能</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688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0E7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a）支持查看固件版本、内存信息、主板信息、处理器信息和系统时间信息功能；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b）支持上电初始化界面显示 CPU 信息、内存信息、固件版本和部分快捷键信息功能；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c）支持设置界面中英文显示切换功能；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d）支持查看 PCIe 设备信息，SATA设备信息功能；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e）支持操作系统安装和引导功能，应并向操作系统提供计算机主板信息和服务接口；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f）支持设置启动顺序，并按照设置的启动顺序启动功能；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g）支持安全启动功能；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h）支持设置口令、修改口令、验证口令功能；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i）支持板载显示控制或独立显卡的显示控制功能；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j）支持 RAID 识别和启动功能；k）支持串口重定向功能；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l）支持固件更新功能；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m）支持BIOS 固件设置的恢复出厂功能；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n）支持网络引导启用和关闭功能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AC6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A79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32B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253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7F6846F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70C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B0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远程控制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88B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AC8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支持远程关机和重新启动功能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B94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BD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B1E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E39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412A67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B0D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7D7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操作系统及驱动的升级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6B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ABA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支持通过网络、闪存盘对操作系统、驱动进行升级</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35D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DF2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D8CDE">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80C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24A8F5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AAC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87D9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操作系统及驱动的备份还原</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1F3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FE6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D3D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3F6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068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0B2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933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8F6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463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操作系统功能</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76C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23DB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支持访问控制、安全审计、网络接入鉴别等功能；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操作系统其他功能应满足操作系统政府采购需求标准中加*的指标要求</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C05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B30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93E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E67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0B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AED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AF3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800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16D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 18030 的有关规定</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C67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4E4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926E9">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F36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0FC236EB">
            <w:pPr>
              <w:keepNext w:val="0"/>
              <w:keepLines w:val="0"/>
              <w:widowControl/>
              <w:suppressLineNumbers w:val="0"/>
              <w:spacing w:line="240" w:lineRule="exact"/>
              <w:ind w:firstLine="0" w:firstLineChars="0"/>
              <w:jc w:val="left"/>
              <w:textAlignment w:val="top"/>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556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AE9E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机柜管理功能</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25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F787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248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5E92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544AD">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DB0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54768CCB">
            <w:pPr>
              <w:keepNext w:val="0"/>
              <w:keepLines w:val="0"/>
              <w:widowControl/>
              <w:suppressLineNumbers w:val="0"/>
              <w:spacing w:line="240" w:lineRule="exact"/>
              <w:ind w:firstLine="0" w:firstLineChars="0"/>
              <w:jc w:val="left"/>
              <w:textAlignment w:val="top"/>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84B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4E2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机柜通信方式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568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0C1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306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5A18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87F5">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7EE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33889999">
            <w:pPr>
              <w:keepNext w:val="0"/>
              <w:keepLines w:val="0"/>
              <w:widowControl/>
              <w:suppressLineNumbers w:val="0"/>
              <w:spacing w:line="240" w:lineRule="exact"/>
              <w:ind w:firstLine="0" w:firstLineChars="0"/>
              <w:jc w:val="left"/>
              <w:textAlignment w:val="top"/>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AE7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BB82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多集群作业管理</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10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DD8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928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7E3A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670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463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356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429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C00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712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261F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等关键部件应当符合安全可靠测评要求</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0169C">
            <w:pPr>
              <w:keepNext w:val="0"/>
              <w:keepLines w:val="0"/>
              <w:widowControl/>
              <w:suppressLineNumbers w:val="0"/>
              <w:spacing w:line="240" w:lineRule="exact"/>
              <w:ind w:firstLine="0" w:firstLineChars="0"/>
              <w:jc w:val="center"/>
              <w:textAlignment w:val="center"/>
              <w:rPr>
                <w:rFonts w:hint="default"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6260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FE7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5B5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16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FBF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825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故障检测</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39E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9D8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支持故障检测功能，可以检测到具体的 FRU（内存、硬盘等）的故障并发出告警</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234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C345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6FD76">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F8C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77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69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534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45E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内存故障智能预测和自愈修复</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D4C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E53F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954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4A76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E64D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FCB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78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42D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2E9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156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硬盘故障智能预测</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5BB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461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F0C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F1C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1342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5F0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79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4F9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316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5BE0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链路故障智能诊断</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E91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7EA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D8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006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000DD">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AFC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80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971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A5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3983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内存故障隔离</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7FB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C0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5BC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0CC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896AD">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868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81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8B0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820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C7B4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内存、PCIe卡的故障精准告警功能</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5B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D0EE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8BD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959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64567">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DF0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82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487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AA9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CDF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异常下电关键数据保护</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1A2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59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3B4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2A8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9B22B">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992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83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B6F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963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687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BMC/BIOS固件双镜像保护</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8A1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87E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3BD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8E4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9974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EE8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84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1D8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B7C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C8D5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核重启隔离</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88F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FD9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345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C73A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40073">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7CB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85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B28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FC2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25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内存地址隔离</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946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EAE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D87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1D1F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7E4C">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949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86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98E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561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8D8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内存存储阵列替换</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FB1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DB9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C25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443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FBE5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E0E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87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F7A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885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3A8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安全启动</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6D0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0D2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EA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70E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0A543">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B74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88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704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2BA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C69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syslog 双向鉴别</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288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9F2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D54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47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418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3CC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574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220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A6E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弱口令字典检查</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CAE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C3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支持弱口令字典检查功能，出现在弱口令字典中的字符串不能被设置为用户口令</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765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D49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85A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CC0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B9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F3D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11F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白名单访问控制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818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D8F0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支持基于时间、IP 或 MAC 白名单访问控制</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870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A10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1E624">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584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91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538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73A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58B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双因素鉴别</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75C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C1E2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7DD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64F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AA3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A84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559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F74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B36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二次鉴别</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C1C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8A1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支持二次鉴别功能。对于用户配置、权限配置、公钥导入等重要的管理操作，已登录用户应通过二次鉴别后，才能执行操作</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E53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A4D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7A8A5">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9BB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93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6A1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B7D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F5F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匿名化用户告警接收邮箱</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512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01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F00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6E0A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74A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821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51F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018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7D6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密码证书安全加密存储</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F41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27D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支持对带外管理系统中的用户口令和证书等敏感信息进行加密存储，禁止使用私有的和业界已知不安全的密码算法</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CBF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5D65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837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E9E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5CF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B81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4A9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敏感信息安全加密传输</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946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BC87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支持使用安全的传输加密协议（如SSH 或 HTTPS 等）传输用户的敏感信息</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D02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6EE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ACA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3D6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3AD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C87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C71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研发过程安全要求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278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27D0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727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7A2B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AAB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E1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AA3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62D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BB2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漏洞管理</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C99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72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供应商承诺，生产商已建立漏洞全量视图，保证产品版本涉及到的所有漏洞(如驱动程序、BMC 软件等)都可以查看</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2F3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BA5A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64AD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64B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98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A4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E31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EFC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网络关键设备服务器要求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4EC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05A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FC5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B1E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BE7EC">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0D1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99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78E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E1B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C24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增强要求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436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86BD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551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CB4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6AD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194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624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777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E6B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77A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A83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安全要求应符合 GB 4943.1 的规定</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148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30E6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3A8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77E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BF3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893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0B0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882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FEE1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限用物质的限量应符合GB/T 26572的要求</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68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1B4F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3CA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BBD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796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BDF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5F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主频</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A4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0DE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≥2.6GHz</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BCB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FEAE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68F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FA6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5DE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D7D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BAD1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核数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08D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5A75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≥24</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BD2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B42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CF6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4F4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51AC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B86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B78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末级缓存容量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0A5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3E38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≥24MB</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458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F27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1AD5">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B16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23B8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54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17AE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单内存模块容量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731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04C2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≥32GB</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083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3556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750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06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7F9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991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B8A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内存速率</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5A5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450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≥3200MT/s</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9C2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E861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259F1">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6A1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107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FA7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CA5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9F79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硬盘转速</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F94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1B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实配SAS硬磁盘转速不低于7200rpm</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B5E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70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915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993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51C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6AC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ECE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RAID卡缓存容量</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7DB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011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RAID 卡且 RAID 卡有缓存容量，容量不少于 2GB</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89B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AD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6D7B2">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8BB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109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69D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C3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HBA卡性能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0B1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卡速率</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994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2F7F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3E3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DF5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3BB2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ABF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110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677B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2C1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C25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独立网卡速率</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84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1B5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A2C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D2A8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355D7">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F56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111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B4CE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41A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4C0C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板载网卡速率</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391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AEF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7C8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ED2A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04C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7B4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84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41F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46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B0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106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F75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DFE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64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4A2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800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F97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136D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内存兼容性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711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2A0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种及以上厂商的内存产品，且均不低于产品支持的内存规格</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CE5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3670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254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664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40AE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FDA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664C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固态存储兼容性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16A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C27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种或以上厂商的固态存储产品，且均不低于产品支持的固态存储设备规格</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4C0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393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88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EFA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115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B78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E5F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7C16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卡兼容性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6A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55A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E20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B0B5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F07D5">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996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116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A7A3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AA6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6BB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卡兼容性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5F0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53F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B53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9C97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2F6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82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7FC0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65C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E6DD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网卡兼容性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C1C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3EE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网卡应适配两种或以上厂商产品</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20E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7C94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488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18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82D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2CD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B03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功能卡兼容性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B41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0A3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内置或适配符合 PCIe 的功能卡，如：网络功能卡、存储功能卡及图形显示功能卡</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0F0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951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71A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0E2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CF8F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9CC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4B9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09F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68E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兼容多种主流生产商的外部设备，包括显示器、键盘、鼠标、闪存盘、移动硬盘、USB 光驱及 KVM 等，要求使用不同厂商的外部设备时，系统均能正常识别和安装驱动</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BB8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94B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D8B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E3A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E4F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CFF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E65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数据库兼容</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4D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F33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个及以上厂商的数据库产品</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977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203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0FB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719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8A5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01B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89A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中间件兼容</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F22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A33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个及以上厂商的中间件产品</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3E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8261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49C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91A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6396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E9C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609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平台软件兼容</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C09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02A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个及以上厂商的大数据平台</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609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F5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714C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037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71F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381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36B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虚拟化软件兼容</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7F5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D09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EF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B392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05FF2">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B5E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A96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57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存储可靠性要求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1FC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SSD可靠性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C2C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23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F3A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CAB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0F0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E56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7D8A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21D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BFC9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44A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91FF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m1 值（MTBF 的不可接受值）不得低于 30000h</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8DC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C54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A15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B07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D81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AFC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9D0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风扇可靠性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C6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AF2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风扇寿命应不低于40000h</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802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0AC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6E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12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9705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520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D77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部件可靠性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FE3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BC9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支持硬盘、电源、风扇热插拔(内置风扇除外)</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07A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764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3D6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9F3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3B4C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6E0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2F9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标志、包装、运输和贮存</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032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9B9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符合GB/T 9813.3 和商品包装政府采购需求标准的相关规定</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C29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9C36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03A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12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C337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707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E08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D3A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D89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提供电话、电子邮件、远程连接等多种形式服务；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提供同城 4h、异地 12h 技术响应服务，2 个工作日解决问题，对于未能解决的问题和故障应提供可行的升级方案，并提供周转设备；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建立全国技术服务体系和服务团体，符合专业服务体系标准要求，提供原厂中文服务；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服务周期内提供产品的维修、换件和升级服务</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22B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1C9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351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4F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5E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E08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15E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培训服务</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22E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7DD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供应商提供培训材料、产品手册、培训视频等培训相关内容</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F93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289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2C7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DDE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6405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D4D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9495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FFA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81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产品免费服务周期（含换件和维修）应不小于 3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设备停产后继续提供质量保障服务（含备品备件），服务终止时间与最后一批设备交付时间间隔不低于 6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产品停止服务时间应提前 1 年告知客户；</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产品发布日期需在随机文件中明确</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062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45B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AA7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110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77B5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8AC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62B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工具要求</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3D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0415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供应商提供设置服务器硬件、辅助操作系统安装等功能的辅助工具和管理软件。且随附软件应具有合法授权或版权</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EE1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792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4B036">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C82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133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8A3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07F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30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辅助工具</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351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74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69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AC35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F41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6CA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D75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DFB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94C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驱动安装升级指引</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D64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01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供应商提供出厂安装的配件所需的驱动程序，形式包括但不限于驱动光盘、驱动下载链接等。其他配件应提供指引</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E32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7025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2C4A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A6E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135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592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A7D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B86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随机附开盖工具</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686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0D2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5A6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FB46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340A">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70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136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4AD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D67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015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代码迁移工具</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93A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D12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A8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5E0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86182">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ABC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137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2A58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BD7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41C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性能分析工具</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EE3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FA4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448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502F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D3900">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8E0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138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8218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5DE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E65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跨架构平台应用兼容</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FD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E92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C79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AE3E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D07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33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EB64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562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9D8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4D2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99D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具备资源管理、系统管理、性能监控、健康监控、基于网络控制、报警设置功能</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0F9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0A5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8CD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8F1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A1D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65A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6B8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厂家升级产品软件与扩容服务</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BBA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FED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供应商提供原厂级的部件/软件产品升级和扩容能力</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A4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461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2992F">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BC5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7D42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831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41C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服务保障升级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6F2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A4F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5F7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2E93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A90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B1E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523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171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2D7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提供上门服务</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636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5491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供应商具备提供上门服务的能力(可收费)</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240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139D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44933">
            <w:pPr>
              <w:spacing w:line="240" w:lineRule="exact"/>
              <w:jc w:val="center"/>
              <w:rPr>
                <w:rFonts w:hint="eastAsia" w:ascii="仿宋_GB2312" w:hAnsi="仿宋_GB2312" w:eastAsia="仿宋_GB2312" w:cs="仿宋_GB2312"/>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AAE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143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F92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296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3C4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业务场景性能优化服务及整体架构升级服务</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065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B563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C87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943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39F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5F5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508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429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C6A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抗干扰性</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AD0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0C5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当产品部件出现供应风险时，应通知客户并提供风险应对方案确保产品的服务保障，必要时应停止相关受影响产品的销售</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0D9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FDD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064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3E0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145 </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EE4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F94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544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供应能力证明</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BB2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4A1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供应商提供供应链稳定承诺书，确保产品的部件在产品服务周期内稳定供货</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6FE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bl>
    <w:p w14:paraId="77E5D4F0">
      <w:pPr>
        <w:pageBreakBefore/>
        <w:spacing w:line="360" w:lineRule="auto"/>
        <w:ind w:firstLine="0" w:firstLineChars="0"/>
        <w:jc w:val="left"/>
        <w:outlineLvl w:val="2"/>
        <w:rPr>
          <w:rFonts w:hint="eastAsia" w:hAnsi="仿宋" w:cs="Times New Roman"/>
          <w:b/>
          <w:bCs/>
          <w:sz w:val="24"/>
          <w:szCs w:val="24"/>
          <w:lang w:val="en-US" w:eastAsia="zh-CN"/>
        </w:rPr>
      </w:pPr>
      <w:r>
        <w:rPr>
          <w:rFonts w:hint="eastAsia" w:hAnsi="仿宋" w:cs="Times New Roman"/>
          <w:b/>
          <w:bCs/>
          <w:sz w:val="24"/>
          <w:szCs w:val="24"/>
          <w:lang w:val="en-US" w:eastAsia="zh-CN"/>
        </w:rPr>
        <w:t>附表4</w:t>
      </w:r>
    </w:p>
    <w:tbl>
      <w:tblPr>
        <w:tblStyle w:val="59"/>
        <w:tblW w:w="514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4"/>
        <w:gridCol w:w="576"/>
        <w:gridCol w:w="821"/>
        <w:gridCol w:w="895"/>
        <w:gridCol w:w="1451"/>
        <w:gridCol w:w="1039"/>
        <w:gridCol w:w="3244"/>
        <w:gridCol w:w="711"/>
      </w:tblGrid>
      <w:tr w14:paraId="5A3B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5A13B2">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b/>
                <w:bCs/>
                <w:i w:val="0"/>
                <w:iCs w:val="0"/>
                <w:color w:val="auto"/>
                <w:kern w:val="0"/>
                <w:sz w:val="28"/>
                <w:szCs w:val="28"/>
                <w:u w:val="none"/>
                <w:lang w:val="en-US" w:eastAsia="zh-CN" w:bidi="ar"/>
              </w:rPr>
              <w:t>应用服务器集群</w:t>
            </w:r>
          </w:p>
        </w:tc>
      </w:tr>
      <w:tr w14:paraId="4A3F1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nil"/>
              <w:left w:val="single" w:color="000000" w:sz="4" w:space="0"/>
              <w:bottom w:val="single" w:color="000000" w:sz="4" w:space="0"/>
              <w:right w:val="single" w:color="000000" w:sz="4" w:space="0"/>
            </w:tcBorders>
            <w:shd w:val="clear" w:color="auto" w:fill="auto"/>
            <w:vAlign w:val="center"/>
          </w:tcPr>
          <w:p w14:paraId="1C9E94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重要程度</w:t>
            </w:r>
          </w:p>
        </w:tc>
        <w:tc>
          <w:tcPr>
            <w:tcW w:w="255" w:type="pct"/>
            <w:tcBorders>
              <w:top w:val="nil"/>
              <w:left w:val="single" w:color="000000" w:sz="4" w:space="0"/>
              <w:bottom w:val="single" w:color="000000" w:sz="4" w:space="0"/>
              <w:right w:val="single" w:color="000000" w:sz="4" w:space="0"/>
            </w:tcBorders>
            <w:shd w:val="clear" w:color="auto" w:fill="auto"/>
            <w:vAlign w:val="center"/>
          </w:tcPr>
          <w:p w14:paraId="6E6BFA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序号</w:t>
            </w:r>
          </w:p>
        </w:tc>
        <w:tc>
          <w:tcPr>
            <w:tcW w:w="453" w:type="pct"/>
            <w:tcBorders>
              <w:top w:val="nil"/>
              <w:left w:val="single" w:color="000000" w:sz="4" w:space="0"/>
              <w:bottom w:val="single" w:color="000000" w:sz="4" w:space="0"/>
              <w:right w:val="single" w:color="000000" w:sz="4" w:space="0"/>
            </w:tcBorders>
            <w:shd w:val="clear" w:color="auto" w:fill="auto"/>
            <w:vAlign w:val="center"/>
          </w:tcPr>
          <w:p w14:paraId="3D947F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指标分类</w:t>
            </w:r>
          </w:p>
        </w:tc>
        <w:tc>
          <w:tcPr>
            <w:tcW w:w="493" w:type="pct"/>
            <w:tcBorders>
              <w:top w:val="nil"/>
              <w:left w:val="single" w:color="000000" w:sz="4" w:space="0"/>
              <w:bottom w:val="single" w:color="000000" w:sz="4" w:space="0"/>
              <w:right w:val="single" w:color="000000" w:sz="4" w:space="0"/>
            </w:tcBorders>
            <w:shd w:val="clear" w:color="auto" w:fill="auto"/>
            <w:vAlign w:val="center"/>
          </w:tcPr>
          <w:p w14:paraId="086713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一级指标1</w:t>
            </w:r>
          </w:p>
        </w:tc>
        <w:tc>
          <w:tcPr>
            <w:tcW w:w="794" w:type="pct"/>
            <w:tcBorders>
              <w:top w:val="nil"/>
              <w:left w:val="single" w:color="000000" w:sz="4" w:space="0"/>
              <w:bottom w:val="single" w:color="000000" w:sz="4" w:space="0"/>
              <w:right w:val="single" w:color="000000" w:sz="4" w:space="0"/>
            </w:tcBorders>
            <w:shd w:val="clear" w:color="auto" w:fill="auto"/>
            <w:vAlign w:val="center"/>
          </w:tcPr>
          <w:p w14:paraId="08FC2F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二级指标 1</w:t>
            </w:r>
          </w:p>
        </w:tc>
        <w:tc>
          <w:tcPr>
            <w:tcW w:w="571" w:type="pct"/>
            <w:tcBorders>
              <w:top w:val="nil"/>
              <w:left w:val="single" w:color="000000" w:sz="4" w:space="0"/>
              <w:bottom w:val="single" w:color="000000" w:sz="4" w:space="0"/>
              <w:right w:val="single" w:color="000000" w:sz="4" w:space="0"/>
            </w:tcBorders>
            <w:shd w:val="clear" w:color="auto" w:fill="auto"/>
            <w:vAlign w:val="center"/>
          </w:tcPr>
          <w:p w14:paraId="606CD3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是否可以作为评分因素2</w:t>
            </w:r>
          </w:p>
        </w:tc>
        <w:tc>
          <w:tcPr>
            <w:tcW w:w="1765" w:type="pct"/>
            <w:tcBorders>
              <w:top w:val="nil"/>
              <w:left w:val="single" w:color="000000" w:sz="4" w:space="0"/>
              <w:bottom w:val="single" w:color="000000" w:sz="4" w:space="0"/>
              <w:right w:val="single" w:color="000000" w:sz="4" w:space="0"/>
            </w:tcBorders>
            <w:shd w:val="clear" w:color="auto" w:fill="auto"/>
            <w:vAlign w:val="center"/>
          </w:tcPr>
          <w:p w14:paraId="36C669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指标要求</w:t>
            </w:r>
          </w:p>
        </w:tc>
        <w:tc>
          <w:tcPr>
            <w:tcW w:w="389" w:type="pct"/>
            <w:tcBorders>
              <w:top w:val="nil"/>
              <w:left w:val="single" w:color="000000" w:sz="4" w:space="0"/>
              <w:bottom w:val="single" w:color="000000" w:sz="4" w:space="0"/>
              <w:right w:val="single" w:color="000000" w:sz="4" w:space="0"/>
            </w:tcBorders>
            <w:shd w:val="clear" w:color="auto" w:fill="auto"/>
            <w:vAlign w:val="center"/>
          </w:tcPr>
          <w:p w14:paraId="5DC119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证明材料要求</w:t>
            </w:r>
          </w:p>
        </w:tc>
      </w:tr>
      <w:tr w14:paraId="5B701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2D6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82B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410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B29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8CC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信息</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C9D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6E6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实配CPU数量：2颗，C86架构；供应商给出CPU 信息，包含 CPU 型号、物理核心数、主频、末级缓存容量、线程数、热设计功耗及支持内存的最高速率、通道数和位宽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9A4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8EAF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67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F6D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255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116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BBB5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主板支持CPU和内存情况</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0EC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DE4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供应商给出主板支持的CPU 和内存的型号数量</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C8D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3129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3A3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E5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C82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24A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2C0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主板内存槽数量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70E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54D8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非板载内存的可扩展插槽数量应不少于 16 个</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48A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ECF8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AB8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808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2E6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2C6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053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主板存储接口</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331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A90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至少支持 SATA、SAS、M.2、U.2 等存储接口中的 1 种</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1FD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75D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0C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E40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08E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C81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C6EE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插槽接口</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3EB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9B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PCIe3.0 或以上的高速串行计算机扩展总线标准，PCIe 的接口速率与位宽需保证向下兼容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FBC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EABD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125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B37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6A5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43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19A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主板PCIe插槽数量及规格</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1A4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C4E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 a) 高度大于44.45mm 双路或以上服务器 PCIe 插槽或接口应不少于 5个；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单路服务器 PCIe 插槽或接口应不少于 4 个，可通过扩展卡进行插槽扩展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C5A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CC8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2CA9A">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084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8ED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195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373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特殊孔位及接口</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2DD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37D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282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45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4A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049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E5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8A7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925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板载网络接口</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B97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1A6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支持板载网络接口不少于 1 个1GE 网口</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097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0F8D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FF41F">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950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E87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514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DF93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 OCP 插槽数量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84E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E76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FCD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5EE0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5B7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3AB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404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DDE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57D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43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988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3ED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6326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12B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105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530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FA7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6CE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9E9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F3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≥DDR4</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FFC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8C3A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BB6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4BB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957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A9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AF4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内存通道</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25B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298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支持多个内存接口通道，每个通道可支持 1DPC 或 2DPC，当支持 2DPC时，印制电路板上应具备插槽的序号标识，具体通道数应在随机文件中明确</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696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6FD2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C00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B35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8D5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61A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ADB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硬盘规格</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EDB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105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供应商给出服务器支持硬磁盘和固态盘类型及规格</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FF3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D8CB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0E9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6D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96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AED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4C5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硬盘实配容量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1AB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428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配备固态盘，实配固态盘单盘可用容量不小于 480GB</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C53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84C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3C6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66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4A8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3B4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0EC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硬盘接口类型</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D8A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288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配备固态盘，应提供至少 1 种类型固态盘接口，如 UFS、SATA、PCIe等</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FB4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B74F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66E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377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5C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E83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917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20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1BD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配备固态盘，实配盘数应不小于4块</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0BB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622C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7A4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CDB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52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E37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846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硬盘插槽数量及规格</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E11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A6E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供应商应给出配置的硬盘尺寸，如 2.5 英寸、3.5 英寸硬磁盘；</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机箱高度为 88.9mm 的服务器可支持的硬盘数量应不少于 8 块，机箱高度为 44.45mm 的服务器可支持的硬盘数量应不少于 4 块。</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FD0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2E8B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B277">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72F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7CB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31F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BAE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硬盘其他参数要求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AB5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2343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11430</wp:posOffset>
                  </wp:positionH>
                  <wp:positionV relativeFrom="paragraph">
                    <wp:posOffset>471805</wp:posOffset>
                  </wp:positionV>
                  <wp:extent cx="76835" cy="47625"/>
                  <wp:effectExtent l="0" t="0" r="0" b="0"/>
                  <wp:wrapNone/>
                  <wp:docPr id="12" name="textbox1"/>
                  <wp:cNvGraphicFramePr/>
                  <a:graphic xmlns:a="http://schemas.openxmlformats.org/drawingml/2006/main">
                    <a:graphicData uri="http://schemas.openxmlformats.org/drawingml/2006/picture">
                      <pic:pic xmlns:pic="http://schemas.openxmlformats.org/drawingml/2006/picture">
                        <pic:nvPicPr>
                          <pic:cNvPr id="12" name="textbox1"/>
                          <pic:cNvPicPr/>
                        </pic:nvPicPr>
                        <pic:blipFill>
                          <a:blip r:embed="rId17"/>
                          <a:stretch>
                            <a:fillRect/>
                          </a:stretch>
                        </pic:blipFill>
                        <pic:spPr>
                          <a:xfrm>
                            <a:off x="0" y="0"/>
                            <a:ext cx="76835" cy="47625"/>
                          </a:xfrm>
                          <a:prstGeom prst="rect">
                            <a:avLst/>
                          </a:prstGeom>
                          <a:noFill/>
                          <a:ln>
                            <a:noFill/>
                          </a:ln>
                        </pic:spPr>
                      </pic:pic>
                    </a:graphicData>
                  </a:graphic>
                </wp:anchor>
              </w:drawing>
            </w: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DCE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0C25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34DEF">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4BD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19</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A12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51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8766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RAID卡支持的SAS接口数量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210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39E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4D8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AFE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59586">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336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FCA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80F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84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 SAS 接口数量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F9C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9FEB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D77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7C68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DCE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8F9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EF0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AD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 卡规格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136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HBA卡端口数量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CC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809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D29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A626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CE9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77F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FC8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D86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E2A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网口速率和数量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A18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F3F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配置≥2个千兆以太网RJ45接口；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配置≥2个万兆网口（含万兆多模光模块）</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141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399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152B">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DF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23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A92C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E54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17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存储型服务器网口速率和数量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956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A23A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8AA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DA4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7854C">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796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24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AE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265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5B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独立网卡网口数量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B67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D3AB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66D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8A25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7357">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63A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25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E28D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8F5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386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独立网卡接口类型</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DF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A58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D20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64AB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FC4BE">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57D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26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E8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111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936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板载网卡接口类型</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BFD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591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42A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B18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8BE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5F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892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AC9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4BA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AB9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46C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显示接口类型应不少于 1 种，如：VGA、DP、HDMI 等</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C82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8A76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3EC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6FB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3C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E85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C1C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USB接口</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C2A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04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USB 接口，如 USB2.0、USB3.0等</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F19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99D9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803A9">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2EF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29</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51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29A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8F4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特殊接口及孔位</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D12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893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A7E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7ABC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419B4">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7B7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2C6D7566">
            <w:pPr>
              <w:spacing w:line="240" w:lineRule="exact"/>
              <w:jc w:val="left"/>
              <w:rPr>
                <w:rFonts w:hint="eastAsia" w:ascii="仿宋_GB2312" w:hAnsi="仿宋_GB2312" w:eastAsia="仿宋_GB2312" w:cs="仿宋_GB2312"/>
                <w:i w:val="0"/>
                <w:iCs w:val="0"/>
                <w:color w:val="auto"/>
                <w:sz w:val="24"/>
                <w:szCs w:val="24"/>
                <w:u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813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3FB8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其他接口</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89F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01A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BE1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83DD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30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D23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AE58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143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EAD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电源冗余模式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C1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A0F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整机电源模块按 1+1 冗余或N+1 冗余配置</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2B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359F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6CB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F93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695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7D3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043C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电源模块数量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F49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539C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86A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3D0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86B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D1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33</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A2E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5AA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852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电源功率</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38D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F9D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电源模块功率应有一定冗余，满足处理器满载时的需求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B85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A3E9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4D11">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AE2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4F70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2BD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 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D4F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电源指示灯</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9E1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B2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D9A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A23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5E2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01A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35</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4C0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0E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6B6B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外观和结构</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755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381B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a)服务器的零部件应紧固无松动，可插拔部件应可靠连接，开关、按钮和其它控制部件应灵活可靠，布局应方便使用；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产品表面不应有明显的凹痕、划伤、裂缝、变形和污染等。表面涂层均匀，不应起泡、龟裂、脱落和磨损，金属零部件无锈蚀及其它机械损伤；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产品表面说明功能的文字、符号和标志应清晰、端正且牢固；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应在服务器的显著位置提供运行状态的指示功能，并在随机文件中明确具体含义；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 机架、机箱的尺寸应符合通用机柜的安装要求，插入总线插座的电路板接口外形尺寸应符合有关总线标准的规定，将机箱固定在机柜上，机箱底面最大下垂变形不得干涉相邻机体；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 高密度服务器应给出 CPU 个数与机柜高度；</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 服务器尺寸具体要求在随机文件中明确</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5BE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FAB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049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415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4C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484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9BDE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尺寸（高×宽×深）</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5E9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9A7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供应商给出产品尺寸；设计应遵循标准化、系列化的要求；机箱的内部结构符合通用部件的安装需要</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536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B3C7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C75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F3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7199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C8D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929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服务器导轨</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A6B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F8E3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供应商给出导轨尺寸、安装方式等信息</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D62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CC0D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0CD51">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BEC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A940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E4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492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个数与机柜高度单位(U)比</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038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8132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985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AE80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F78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117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39</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DD8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431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EB5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环境适应性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9AC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30D5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气候环境适应性应符合GB/T9813.3 的有关规定，工作温度 10~35℃ , 贮存运输温度-40～55℃ ; 工作相对湿度35%～80%，贮存运输相对湿度 20％～93%（40℃) ; 大气压86～106kPa</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6E8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DF41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95470">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349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AB7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BB2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9105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特殊机型环境适应性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FD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460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183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485E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E70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669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87B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12D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A81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63D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53E8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机械环境适应性应符合GB/T9813.3 的有关规定</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C02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5A45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B6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EBC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2C8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157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F86B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噪声</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1D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D75B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的有关规定，在产品说明中给出具体测试值</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7F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FB29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23983">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92B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43</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944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63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1A8B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532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95F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3B2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D6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2083E">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B22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C849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051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2133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一键式迁移</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523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728C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6A2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DA9B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420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B5B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45</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D43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A33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401B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机柜尺寸</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03B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48CC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供应商给出长度、高度和深度</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59B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2EC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C531C">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8EF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6FC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7E3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95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机柜管理板</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D35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99C7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767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E92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23F54">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C6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A9B7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84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092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机柜电源规格</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F57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B7E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F1A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0213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93F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7DA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4B5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71B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71B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主板外部接口</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C7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B23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 USB、显示、管理等接口，如：VGA、DP、HDMI、USB3.0、PS/2 接口、BMC 管理端口</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4D8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98D8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29A1D">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B0C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49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315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5CE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7FE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主板防烧板设计</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2C1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B88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F2D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078D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90425">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D75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50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9EFC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24E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E25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扩展功能</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F1A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C8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D42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853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4F4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5AC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E3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567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570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网络功能</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0B3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52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支持网络连接、网络访问、数据交换和网络管控功能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7C2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A8D7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C2D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20B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FDF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92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748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CPU计算处理功能要求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008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E3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支持通用计算及虚拟化功能。处理器需集成整型计算单元、浮点计算单元、内存控制器、I/O 模块等，处理器与存储部件、网络部件、I/O部件等组成计算系统，提供数据处理、网络接入等计算相关功能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3C1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0C1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2F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4CF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53</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2C8E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75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0C4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CPU密码算法实现要求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02A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4A20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芯片应符合 GM/T 0008 的相关规定，或芯片密码模块应符合GB/T37092 或 GM/T 0028 的相关规定</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83C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47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569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C7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54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880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673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42D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内存校验</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352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6CF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支持内存校验或内存增强型纠错功能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CA4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01F0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C935">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65A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55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8E4B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24A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CF8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SSDNAND 健康状态上报</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E4B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7EC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2A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4996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A08A0">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046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56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8E9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549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1E9A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SSD单 die 故障隔离</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F69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F9D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070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8335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48A0">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F49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AC3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04E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37A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RAID卡RAID 级别支持</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C34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12F0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模式支持 RAID 0/1/10/50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3C5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46D2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FBA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9F8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79B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C73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6327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RAID卡BBU单元</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2E1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842D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卡支持电容掉电保护</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4BE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56D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7FDAB">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780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59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6341A8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F5A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B14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光驱类型（是否支持 RW，以及光盘类型CD/DVD）</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C35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5BE7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17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6B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F51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7C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07CC7E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1D0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4B4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电源热插拔</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A92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9BE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整机电源模块应具备热插拔功能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313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5AF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F6D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66D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6745B2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CE2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226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电源过流保护</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C22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2614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支持过流及短路保护的功能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0D8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EC34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C49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0A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19AEF2F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3B9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24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散热方式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DC9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C0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支持风冷或液冷等散热方式</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400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E3E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9D1B5">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7FC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63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0661FD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15E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E1A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其他功能</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26A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BEF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E34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8B4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423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24D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AB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47A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76A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固件基础功能</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432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980C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 支持 DHCP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2)支持静态 IP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3)支持设备日志记录，包括但不限于登录日志、操作日志和报警日志等功能；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4)支持日志信息导出和记录删除功能；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5)支持通过管理接口向外输出准确的报警信息功能；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6)设备的BMC 管理软件应能够按报警的严重程度进行区分；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7)支持 IPMI2.0、SNMP 或 Redfish等接口功能；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8)支持键盘、鼠标和视频的重定向、文本控制台的重定向、远程虚拟媒体、高可靠的硬件监控和管理功能；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9)支持基于网络开启、关闭和重启设备的功能，并查询当前设备开机运行状态；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10)支持故障提示功能，并可通过接口读取服务器故障信息；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11)支持基于网络的固件更新功能，包括 BMC 和 BIOS 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12)支持基于网络安装操作系统的功能，并可通过网络控制台访问设备；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13)支持通过本地的硬盘或光驱等存储设备，基于网络完成设备的操作系统安装功能；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14)支持通过浏览器打开管理界面并登录功能；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15)支持设置口令策略功能；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16)支持访问权限设置功能，并通过日志记录访问事件；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17)支持对出厂默认的用户名及口令进行安全保护功能，并提供默认口令修改提示；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18)支持读取设备主板的工作环境温度功能；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19)支持读取服务器 CPU 等核心器件的温度功能；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20)支持通过外部管理工具进行 BMC参数设置的功能，并可基于网络通过外部管理工具对 BMC 进行管理；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21)应支持固件版本查询、固件升级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22)支持基于网络实现开关机和复位控制的功能；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23)BMC 启动时间应不超过 180s，实现功能包括网络、IPMI、散热、传感器服务可用；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24)支持 BMC 固件设置的恢复出厂功能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A14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1DBF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14D72">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95E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65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A13C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CA6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F9E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固件增强功能</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1CF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ED6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36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0E74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18E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CB9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1BE7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8FC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847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BIOS 固件基础功能</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469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B86B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a）支持查看固件版本、内存信息、主板信息、处理器信息和系统时间信息功能；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b）支持上电初始化界面显示 CPU 信息、内存信息、固件版本和部分快捷键信息功能；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c）支持设置界面中英文显示切换功能；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d）支持查看 PCIe 设备信息，SATA设备信息功能；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e）支持操作系统安装和引导功能，应并向操作系统提供计算机主板信息和服务接口；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f）支持设置启动顺序，并按照设置的启动顺序启动功能；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g）支持安全启动功能；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h）支持设置口令、修改口令、验证口令功能；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i）支持板载显示控制或独立显卡的显示控制功能；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j）支持 RAID 识别和启动功能；k）支持串口重定向功能；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l）支持固件更新功能；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m）支持BIOS 固件设置的恢复出厂功能；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n）支持网络引导启用和关闭功能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DF3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8514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B9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5F2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2908A62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371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DE5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远程控制</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A68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94E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支持远程关机和重新启动功能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DEB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3AE3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558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110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26299C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404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242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操作系统及驱动的升级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1BF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283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支持通过网络、闪存盘对操作系统、驱动进行升级</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09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83E6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FBB5">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A6B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69</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4EA3A52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926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B2D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操作系统及驱动的备份还原</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7F7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D669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BB7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7FB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5A6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675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DB8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D1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891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操作系统功能</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AEA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189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支持访问控制、安全审计、网络接入鉴别等功能；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操作系统其他功能应满足操作系统政府采购需求标准中加*的指标要求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2BC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5E6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C4D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C4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D34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1E7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562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6DC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B311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 18030 的有关规定</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6BB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EBAD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2FC28">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515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369712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444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0FF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机柜管理功能</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137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023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D47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78F0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2B995">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24B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73</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1CB8D0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24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1097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机柜通信方式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4C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8242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6C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21F3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A8A15">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E2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top"/>
          </w:tcPr>
          <w:p w14:paraId="76127B5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32E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F81F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多集群作业管理</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9AF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DAD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A8E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A63D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116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EE4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75</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5A0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70C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8A3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46B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B061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等关键部件应当符合安全可靠测评要求</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34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6AC8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8DF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F58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1E2D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7F6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904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故障检测</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E26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C64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支持故障检测功能，可以检测到具体的 FRU（内存、硬盘等）的故障并发出告警</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561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EC1B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6E08">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CE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77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3B4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148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598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内存故障智能预测和自愈修复</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757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9EC8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7E9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D98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E9AFE">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04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78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D87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D69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DAD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硬盘故障智能预测</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21B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71E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186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439E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CB3FB">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F6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79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5E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73C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A74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链路故障智能诊断</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CC1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2F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88D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4B5D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28B0C">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F7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80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78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F0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C84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内存故障隔离</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97A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355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DF5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6F7E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9F30C">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EB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81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F712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1D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CAA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内存、PCIe卡的故障精准告警功能</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52A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354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235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C7C3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458B8">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14C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82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6DA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61A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689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异常下电关键数据保护</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8E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81C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26B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9F2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E6FF">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5FA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83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81D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78F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6D43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BMC/BIOS固件双镜像保护</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5FA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464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79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3ED7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AB99">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D59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84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08A9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A35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FA1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核重启隔离</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EEC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9EE8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777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2625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02A5E">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D22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85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DA33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DDB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533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内存地址隔离</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F76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6D2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36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AE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CA1E6">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37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86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81B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834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B8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内存存储阵列替换</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04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80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DF7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88A8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0D7E4">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DFD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87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F23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020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FA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安全启动</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E72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CBD3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10B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18FF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95DE">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44C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88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25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A0E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1D0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syslog 双向鉴别</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D05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D02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8B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F1ED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632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ED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89</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48E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AF0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E6FB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弱口令字典检查</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A8D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117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支持弱口令字典检查功能，出现在弱口令字典中的字符串不能被设置为用户口令</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CC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721A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F2E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294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E91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9DB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380C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白名单访问控制</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932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FD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支持基于时间、IP 或 MAC 白名单访问控制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7A4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A4C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A4FC4">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912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91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2A8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6E1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7F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双因素鉴别</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228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379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243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DC38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55C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801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0F8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667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9ED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二次鉴别</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50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51A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支持二次鉴别功能。对于用户配置、权限配置、公钥导入等重要的管理操作，已登录用户应通过二次鉴别后，才能执行操作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69E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DFA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69D33">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E29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93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C0E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1D8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EE9B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匿名化用户告警接收邮箱</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A88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683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656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8347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0D1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398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58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5CE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1CFB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密码证书安全加密存储</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E29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0F50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支持对带外管理系统中的用户口令和证书等敏感信息进行加密存储，禁止使用私有的和业界已知不安全的密码算法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758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ECAA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389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32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95</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85B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241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5103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敏感信息安全加密传输</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13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B2C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支持使用安全的传输加密协议（如SSH 或 HTTPS 等）传输用户的敏感信息</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1A1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0C2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D59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C37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C46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0E7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C74A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研发过程安全要求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60D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CC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190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AD77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35F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27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4FE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B85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678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漏洞管理</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6B8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5D51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供应商承诺，生产商已建立漏洞全量视图，保证产品版本涉及到的所有漏洞(如驱动程序、BMC 软件等)都可以查看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10E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B71D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F044">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DF9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98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9CE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C98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69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网络关键设备服务器要求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B86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3FE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2E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8C4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4695E">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5DE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99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08F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30C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F56A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增强要求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F17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CB18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8A3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9A1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F0E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EFF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E9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936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AC6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B9E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2E19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安全要求应符合 GB 4943.1 的规定</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343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1353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B0A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3D2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65D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DA6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BCA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E9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C50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限用物质的限量应符合GB/T 26572的要求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103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8C6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3B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62F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CDC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6E8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7A0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主频</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C50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A1C1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≥2.5GHz</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24A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87A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1BE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51D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103</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D6EB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E0F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841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核数</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D2E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E1B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5A0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72E2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AD1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618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297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2A8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7B5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末级缓存容量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DE5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C9F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≥32MB</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7DC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05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91D1D">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962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105</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2A1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5A4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0A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单内存模块容量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43D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F495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≥16GB</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C17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4C7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5E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9F3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087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09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3E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内存速率</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817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1CC8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≥3200MT/s</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419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A54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A887D">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163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107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15E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4CE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551A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硬盘转速</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91A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1EA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191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8EAB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F08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04C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B5B7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08D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21F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RAID卡缓存容量</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556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D3A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RAID 卡且 RAID 卡有缓存容量，容量不少于 2GB</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1EC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81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BA2F7">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9F0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109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9F0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603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HBA卡性能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B3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卡速率</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FAD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15C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D09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A3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0C6B7">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6EF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110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4DB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85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AC1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独立网卡速率</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954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1E7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FEE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A1D5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C92D8">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77E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111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725F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12F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FBA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板载网卡速率</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170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9E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18F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EED2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47F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05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CEB3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E27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6A5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20B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29A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530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DE8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4D6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CA2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113</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3838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9DA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FB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内存兼容性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E0F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83E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种及以上厂商的内存产品，且均不低于产品支持的内存规格</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35F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0073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931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1F1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47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7E6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3727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固态存储兼容性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386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9C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种或以上厂商的固态存储产品，且均不低于产品支持的固态存储设备规格</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09F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661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E1A3">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79C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115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09E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568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721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卡兼容性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179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611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E0F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330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27A9F">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304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116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6D1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6B9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9DE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卡兼容性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D72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2DD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3FC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CBC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F31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278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B02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59A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DA98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网卡兼容性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667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8DC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网卡应适配两种或以上厂商产品</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105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CF37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19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E8A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A23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A9C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4F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功能卡兼容性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BF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01D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内置或适配符合 PCIe 的功能卡，如：网络功能卡、存储功能卡及图形显示功能卡</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B0F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C95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F4D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D9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119</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CD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F7C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1D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8E7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695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兼容多种主流生产商的外部设备，包括显示器、键盘、鼠标、闪存盘、移动硬盘、USB 光驱及 KVM 等，要求使用不同厂商的外部设备时，系统均能正常识别和安装驱动</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6F5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7E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081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13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750F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3C8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CA67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数据库兼容</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5AA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5D8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个及以上厂商的数据库产品</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428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F45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FEC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43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6D8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EA5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81D3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中间件兼容</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9B5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8BC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个及以上厂商的中间件产品</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570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0C9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F9E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3B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D368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D51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8A0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平台软件兼容</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C24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BCC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个及以上厂商的大数据平台</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168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9AD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BF7A">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0D4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123</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B26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528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8A9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虚拟化软件兼容</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3BE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F487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3DC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97E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DBAE5">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660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D6EC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ED7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存储可靠性要求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70E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SSD可靠性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B1E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F38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1A2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5603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174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0C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125</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5C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50E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775D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A76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C33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m1 值（MTBF 的不可接受值）不得低于 30000h</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E2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9C6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87A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FED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230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608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E527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风扇可靠性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349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F6B3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风扇寿命应不低于40000h</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3A1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EB46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318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274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127</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8BD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9D0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A81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部件可靠性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EA6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2AC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支持硬盘、电源、风扇热插拔(内置风扇除外)</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417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80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03F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6BC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128</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CE76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0FE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8F0C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标志、包装、运输和贮存</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0E0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C15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符合GB/T 9813.3 和商品包装政府采购需求标准的相关规定</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2D6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B3E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258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835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129</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3A8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3E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3932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1EC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1F8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提供电话、电子邮件、远程连接等多种形式服务；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提供同城 4h、异地 12h 技术响应服务，2 个工作日解决问题，对于未能解决的问题和故障应提供可行的升级方案，并提供周转设备；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建立全国技术服务体系和服务团体，符合专业服务体系标准要求，提供原厂中文服务；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服务周期内提供产品的维修、换件和升级服务</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A3E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E9C0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917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1FE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446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D96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2E3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培训服务</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11C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A12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供应商提供培训材料、产品手册、培训视频等培训相关内容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565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B01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A65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B64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D0EF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8C6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E85D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916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032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产品免费服务周期（含换件和维修）应不小于 3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设备停产后继续提供质量保障服务（含备品备件），服务终止时间与最后一批设备交付时间间隔不低于 6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产品停止服务时间应提前 1 年告知客户；</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产品发布日期需在随机文件中明确</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B07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DA1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6C9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84D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200E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2A7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C54B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工具要求</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EBF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3D9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供应商提供设置服务器硬件、辅助操作系统安装等功能的辅助工具和管理软件。且随附软件应具有合法授权或版权</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837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B4C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82650">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90A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133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5CB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96E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559A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辅助工具</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636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871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6B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49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28E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F4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9821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DFB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670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驱动安装升级指引</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37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A2D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供应商提供出厂安装的配件所需的驱动程序，形式包括但不限于驱动光盘、驱动下载链接等。其他配件应提供指引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0EA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A105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CE964">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344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135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A6D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091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F51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随机附开盖工具</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016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BA0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B19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35DD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E8F11">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96A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136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153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AB4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C2A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代码迁移工具</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634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ED0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082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D384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02F9F">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3F7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137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A57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5ED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406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性能分析工具</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7C5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90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0AB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13D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A3615">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43F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138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63AC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06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86D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跨架构平台应用兼容</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97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3E31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F96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631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8A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B1D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139</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01D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ABA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82A1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管理软件</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483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02A2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具备资源管理、系统管理、性能监控、健康监控、基于网络控制、报警设置功能</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B7E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08D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58A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1E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A9E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089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4191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厂家升级产品软件与扩容服务</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BC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8C5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供应商提供原厂级的部件/软件产品升级和扩容能力</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063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49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37A56">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7EA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0866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E71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914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服务保障升级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66B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46E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99B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9496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61C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F13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142</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488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FDF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04F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提供上门服务</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9E0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989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供应商具备提供上门服务的能力(可收费)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A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A1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7482F">
            <w:pPr>
              <w:spacing w:line="240" w:lineRule="exact"/>
              <w:jc w:val="center"/>
              <w:rPr>
                <w:rFonts w:hint="eastAsia" w:ascii="仿宋_GB2312" w:hAnsi="仿宋_GB2312" w:eastAsia="仿宋_GB2312" w:cs="仿宋_GB2312"/>
                <w:i w:val="0"/>
                <w:iCs w:val="0"/>
                <w:color w:val="auto"/>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DC9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143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5C4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229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DF0E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业务场景性能优化服务及整体架构升级服务</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E50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BC8D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E28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5412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14B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F59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F58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CD7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95ED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抗干扰性</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E3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593F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当产品部件出现供应风险时，应通知客户并提供风险应对方案确保产品的服务保障，必要时应停止相关受影响产品的销售</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286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8C9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CFF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50F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145 </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776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FD3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526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供应能力证明</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181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2CAE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供应商提供供应链稳定承诺书，确保产品的部件在产品服务周期内稳定供货</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7F4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bl>
    <w:p w14:paraId="11E614A6">
      <w:pPr>
        <w:pageBreakBefore/>
        <w:spacing w:line="360" w:lineRule="auto"/>
        <w:ind w:firstLine="0" w:firstLineChars="0"/>
        <w:jc w:val="left"/>
        <w:outlineLvl w:val="2"/>
        <w:rPr>
          <w:rFonts w:hint="eastAsia" w:hAnsi="仿宋" w:cs="Times New Roman"/>
          <w:b/>
          <w:bCs/>
          <w:sz w:val="24"/>
          <w:szCs w:val="24"/>
          <w:lang w:val="en-US" w:eastAsia="zh-CN"/>
        </w:rPr>
      </w:pPr>
      <w:r>
        <w:rPr>
          <w:rFonts w:hint="eastAsia" w:hAnsi="仿宋" w:cs="Times New Roman"/>
          <w:b/>
          <w:bCs/>
          <w:sz w:val="24"/>
          <w:szCs w:val="24"/>
          <w:lang w:val="en-US" w:eastAsia="zh-CN"/>
        </w:rPr>
        <w:t>附表5</w:t>
      </w:r>
    </w:p>
    <w:tbl>
      <w:tblPr>
        <w:tblStyle w:val="59"/>
        <w:tblW w:w="515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9"/>
        <w:gridCol w:w="576"/>
        <w:gridCol w:w="898"/>
        <w:gridCol w:w="871"/>
        <w:gridCol w:w="1394"/>
        <w:gridCol w:w="997"/>
        <w:gridCol w:w="3252"/>
        <w:gridCol w:w="738"/>
      </w:tblGrid>
      <w:tr w14:paraId="0517D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7D75CB6">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b/>
                <w:bCs/>
                <w:i w:val="0"/>
                <w:iCs w:val="0"/>
                <w:color w:val="auto"/>
                <w:kern w:val="0"/>
                <w:sz w:val="28"/>
                <w:szCs w:val="28"/>
                <w:u w:val="none"/>
                <w:lang w:val="en-US" w:eastAsia="zh-CN" w:bidi="ar"/>
              </w:rPr>
              <w:t>GIS集群</w:t>
            </w:r>
          </w:p>
        </w:tc>
      </w:tr>
      <w:tr w14:paraId="11239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nil"/>
              <w:left w:val="single" w:color="000000" w:sz="4" w:space="0"/>
              <w:bottom w:val="single" w:color="000000" w:sz="4" w:space="0"/>
              <w:right w:val="single" w:color="000000" w:sz="4" w:space="0"/>
            </w:tcBorders>
            <w:shd w:val="clear" w:color="auto" w:fill="auto"/>
            <w:vAlign w:val="center"/>
          </w:tcPr>
          <w:p w14:paraId="3F5372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重要程度</w:t>
            </w:r>
          </w:p>
        </w:tc>
        <w:tc>
          <w:tcPr>
            <w:tcW w:w="262" w:type="pct"/>
            <w:tcBorders>
              <w:top w:val="nil"/>
              <w:left w:val="single" w:color="000000" w:sz="4" w:space="0"/>
              <w:bottom w:val="single" w:color="000000" w:sz="4" w:space="0"/>
              <w:right w:val="single" w:color="000000" w:sz="4" w:space="0"/>
            </w:tcBorders>
            <w:shd w:val="clear" w:color="auto" w:fill="auto"/>
            <w:vAlign w:val="center"/>
          </w:tcPr>
          <w:p w14:paraId="3B25CC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序号</w:t>
            </w:r>
          </w:p>
        </w:tc>
        <w:tc>
          <w:tcPr>
            <w:tcW w:w="493" w:type="pct"/>
            <w:tcBorders>
              <w:top w:val="nil"/>
              <w:left w:val="single" w:color="000000" w:sz="4" w:space="0"/>
              <w:bottom w:val="single" w:color="000000" w:sz="4" w:space="0"/>
              <w:right w:val="single" w:color="000000" w:sz="4" w:space="0"/>
            </w:tcBorders>
            <w:shd w:val="clear" w:color="auto" w:fill="auto"/>
            <w:vAlign w:val="center"/>
          </w:tcPr>
          <w:p w14:paraId="5C9476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指标分类</w:t>
            </w:r>
          </w:p>
        </w:tc>
        <w:tc>
          <w:tcPr>
            <w:tcW w:w="478" w:type="pct"/>
            <w:tcBorders>
              <w:top w:val="nil"/>
              <w:left w:val="single" w:color="000000" w:sz="4" w:space="0"/>
              <w:bottom w:val="single" w:color="000000" w:sz="4" w:space="0"/>
              <w:right w:val="single" w:color="000000" w:sz="4" w:space="0"/>
            </w:tcBorders>
            <w:shd w:val="clear" w:color="auto" w:fill="auto"/>
            <w:vAlign w:val="center"/>
          </w:tcPr>
          <w:p w14:paraId="0D491B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一级指标1</w:t>
            </w:r>
          </w:p>
        </w:tc>
        <w:tc>
          <w:tcPr>
            <w:tcW w:w="761" w:type="pct"/>
            <w:tcBorders>
              <w:top w:val="nil"/>
              <w:left w:val="single" w:color="000000" w:sz="4" w:space="0"/>
              <w:bottom w:val="single" w:color="000000" w:sz="4" w:space="0"/>
              <w:right w:val="single" w:color="000000" w:sz="4" w:space="0"/>
            </w:tcBorders>
            <w:shd w:val="clear" w:color="auto" w:fill="auto"/>
            <w:vAlign w:val="center"/>
          </w:tcPr>
          <w:p w14:paraId="5D35C5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二级指标 1</w:t>
            </w:r>
          </w:p>
        </w:tc>
        <w:tc>
          <w:tcPr>
            <w:tcW w:w="546" w:type="pct"/>
            <w:tcBorders>
              <w:top w:val="nil"/>
              <w:left w:val="single" w:color="000000" w:sz="4" w:space="0"/>
              <w:bottom w:val="single" w:color="000000" w:sz="4" w:space="0"/>
              <w:right w:val="single" w:color="000000" w:sz="4" w:space="0"/>
            </w:tcBorders>
            <w:shd w:val="clear" w:color="auto" w:fill="auto"/>
            <w:vAlign w:val="center"/>
          </w:tcPr>
          <w:p w14:paraId="4DD19C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是否可以作为评分因素2</w:t>
            </w:r>
          </w:p>
        </w:tc>
        <w:tc>
          <w:tcPr>
            <w:tcW w:w="1766" w:type="pct"/>
            <w:tcBorders>
              <w:top w:val="nil"/>
              <w:left w:val="single" w:color="000000" w:sz="4" w:space="0"/>
              <w:bottom w:val="single" w:color="000000" w:sz="4" w:space="0"/>
              <w:right w:val="single" w:color="000000" w:sz="4" w:space="0"/>
            </w:tcBorders>
            <w:shd w:val="clear" w:color="auto" w:fill="auto"/>
            <w:vAlign w:val="center"/>
          </w:tcPr>
          <w:p w14:paraId="4BCA4E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指标要求</w:t>
            </w:r>
          </w:p>
        </w:tc>
        <w:tc>
          <w:tcPr>
            <w:tcW w:w="403" w:type="pct"/>
            <w:tcBorders>
              <w:top w:val="nil"/>
              <w:left w:val="single" w:color="000000" w:sz="4" w:space="0"/>
              <w:bottom w:val="single" w:color="000000" w:sz="4" w:space="0"/>
              <w:right w:val="single" w:color="000000" w:sz="4" w:space="0"/>
            </w:tcBorders>
            <w:shd w:val="clear" w:color="auto" w:fill="auto"/>
            <w:vAlign w:val="center"/>
          </w:tcPr>
          <w:p w14:paraId="7C155D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证明材料要求</w:t>
            </w:r>
          </w:p>
        </w:tc>
      </w:tr>
      <w:tr w14:paraId="5DA1B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B3F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E79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195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37E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1F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信息</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7F1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9D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实配CPU数量：2颗，C86架构；供应商给出CPU 信息，包含 CPU 型号、物理核心数、主频、末级缓存容量、线程数、热设计功耗及支持内存的最高速率、通道数和位宽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5A2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FC1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858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16F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8FD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26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84E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主板支持CPU和内存情况</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349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D278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供应商给出主板支持的CPU 和内存的型号数量</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825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D51C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2DF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2C5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6D6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A95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6A5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主板内存槽数量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B2B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DFC0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非板载内存的可扩展插槽数量应不少于 32 个</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CBC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C9F2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6EE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748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C55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38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983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主板存储接口</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88F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DF5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至少支持 SATA、SAS、M.2、U.2 等存储接口中的 1 种</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D9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77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2EB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85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293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5BF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C076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插槽接口</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967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605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PCIe3.0 或以上的高速串行计算机扩展总线标准，PCIe 的接口速率与位宽需保证向下兼容</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10C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557E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66B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115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1C4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122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0E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主板PCIe插槽数量及规格</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37B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680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整机最大支持≥8个全高全长双宽GPU卡，本次需配置满足4张双宽GPU卡的套件，后续可直接插入≥4张双宽GPU卡；</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BAD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0E9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97C1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101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78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571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6F5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特殊孔位及接口</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D8F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212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CAB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CA6A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FD3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D0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1F5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FB6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615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板载网络接口</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36B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E31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支持板载网络接口不少于 1 个1GE 网口</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D25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EA17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F49D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825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056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CCD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AB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 OCP 插槽数量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FC3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FACF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5F3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AEA4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1DC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E99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63C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03B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F63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CF1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BBC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883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101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5E7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A0E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36E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B0A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FDA0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DCB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407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≥DDR4</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C24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9A4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2D7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EE5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38C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9FC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F43F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内存通道</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A83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4F7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支持多个内存接口通道，每个通道可支持 1DPC 或 2DPC，当支持 2DPC时，印制电路板上应具备插槽的序号标识，具体通道数应在随机文件中明确</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DFF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CF7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93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7DE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89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C7A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941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硬盘规格</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374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770C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供应商给出服务器支持硬磁盘和固态盘类型及规格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47C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0AAD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6D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482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FC3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58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C94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硬盘实配容量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016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6CF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配备固态盘，实配固态盘单盘可用容量不小于 3.84TB</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4B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4E09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16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75D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58E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D12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48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硬盘接口类型</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E7F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0C9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配备固态盘，应提供至少 1 种类型固态盘接口，如 UFS、SATA、PCIe等</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36C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A55A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D2A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49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FC6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5EF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7BD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ECA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9B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配备固态盘，实配盘数应不小于3块</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BEA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940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C3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72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819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01C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548B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硬盘插槽数量及规格</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F6E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0768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供应商应给出配置的硬盘尺寸，如 2.5 英寸、3.5 英寸硬磁盘；</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机箱高度为4U的服务器可支持的硬盘数量应不少于 8 块。</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6B1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73E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2C480">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F72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626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4A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8431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硬盘其他参数要求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193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FB41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11430</wp:posOffset>
                  </wp:positionH>
                  <wp:positionV relativeFrom="paragraph">
                    <wp:posOffset>471805</wp:posOffset>
                  </wp:positionV>
                  <wp:extent cx="76835" cy="47625"/>
                  <wp:effectExtent l="0" t="0" r="0" b="0"/>
                  <wp:wrapNone/>
                  <wp:docPr id="13" name="textbox1"/>
                  <wp:cNvGraphicFramePr/>
                  <a:graphic xmlns:a="http://schemas.openxmlformats.org/drawingml/2006/main">
                    <a:graphicData uri="http://schemas.openxmlformats.org/drawingml/2006/picture">
                      <pic:pic xmlns:pic="http://schemas.openxmlformats.org/drawingml/2006/picture">
                        <pic:nvPicPr>
                          <pic:cNvPr id="13" name="textbox1"/>
                          <pic:cNvPicPr/>
                        </pic:nvPicPr>
                        <pic:blipFill>
                          <a:blip r:embed="rId17"/>
                          <a:stretch>
                            <a:fillRect/>
                          </a:stretch>
                        </pic:blipFill>
                        <pic:spPr>
                          <a:xfrm>
                            <a:off x="0" y="0"/>
                            <a:ext cx="76835" cy="47625"/>
                          </a:xfrm>
                          <a:prstGeom prst="rect">
                            <a:avLst/>
                          </a:prstGeom>
                          <a:noFill/>
                          <a:ln>
                            <a:noFill/>
                          </a:ln>
                        </pic:spPr>
                      </pic:pic>
                    </a:graphicData>
                  </a:graphic>
                </wp:anchor>
              </w:drawing>
            </w: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C71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8E9F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7775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D1A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19</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733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B7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F2C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RAID卡支持的SAS接口数量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1CE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9A8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A2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8775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BDB89">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A7C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E3FF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007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5C5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 SAS 接口数量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14F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C6B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92E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D3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476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8D8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702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A36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HBA 卡规格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E1F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HBA卡端口数量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6E7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3A20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D0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CFF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DD2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EE7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07C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4DE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网络规格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D4D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网口速率和数量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3DC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C8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配置≥2个千兆以太网RJ45接口；</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配置≥2个万兆网口（含万兆多模光模块）</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774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FD7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8A794">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79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23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B90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10E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4BD7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存储型服务器网口速率和数量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F10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35D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1B5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AB58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5A2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DED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24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072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C45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5E5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独立网卡网口数量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0DC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41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5FD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118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0F0CF">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6E0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25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E45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DBE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4A2C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独立网卡接口类型</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74A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606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1AB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5BFF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A7B6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3CD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26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F8AF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16E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4B9A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板载网卡接口类型</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98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C6D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ECC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2DE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75A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118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4858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421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808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FE1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DF25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显示接口类型应不少于 1 种，如：VGA、DP、HDMI 等</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A13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C00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15F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6B3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DCC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485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DE2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USB接口</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D72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7776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USB 接口，如 USB2.0、USB3.0等</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452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0B4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02366">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19E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29</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15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E49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923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特殊接口及孔位</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67C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96E6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5B3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E7CF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928A">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420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7F46A16C">
            <w:pPr>
              <w:spacing w:line="240" w:lineRule="exact"/>
              <w:jc w:val="left"/>
              <w:rPr>
                <w:rFonts w:hint="eastAsia" w:ascii="仿宋_GB2312" w:hAnsi="仿宋_GB2312" w:eastAsia="仿宋_GB2312" w:cs="仿宋_GB2312"/>
                <w:i w:val="0"/>
                <w:iCs w:val="0"/>
                <w:color w:val="auto"/>
                <w:sz w:val="24"/>
                <w:szCs w:val="24"/>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F9E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ADF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其他接口</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AE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58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AFF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AFC4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E51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351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567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CBD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1A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电源冗余模式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25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82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整机电源模块按 2+2 冗余</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658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FA8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F21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CCF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D3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D2D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0B6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电源模块数量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7C9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CC7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61A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3CB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FF0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59F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33</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E34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BED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75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电源功率</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F4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9F22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电源模块功率应有较大冗余，满足整机后续扩展至8个全高全长双宽GPU卡后满载时的需求；单电源功率≥2200W</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4B0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DE6C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D4281">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93C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DA36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02E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 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05E7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电源指示灯</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D37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344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FE6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2882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45A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896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35</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84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868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41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外观和结构</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4DD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AB1C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a)服务器的零部件应紧固无松动，可插拔部件应可靠连接，开关、按钮和其它控制部件应灵活可靠，布局应方便使用；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产品表面不应有明显的凹痕、划伤、裂缝、变形和污染等。表面涂层均匀，不应起泡、龟裂、脱落和磨损，金属零部件无锈蚀及其它机械损伤；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产品表面说明功能的文字、符号和标志应清晰、端正且牢固；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应在服务器的显著位置提供运行状态的指示功能，并在随机文件中明确具体含义；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 机架、机箱的尺寸应符合通用机柜的安装要求，插入总线插座的电路板接口外形尺寸应符合有关总线标准的规定，将机箱固定在机柜上，机箱底面最大下垂变形不得干涉相邻机体；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 高密度服务器应给出 CPU 个数与机柜高度；</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 服务器尺寸具体要求在随机文件中明确</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15E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CEB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C6A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F9C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36</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F3C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B0C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7A5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尺寸（高×宽×深）</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F9D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07A5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整机高度≥4U</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供应商给出产品尺寸；设计应遵循标准化、系列化的要求；机箱的内部结构符合通用部件的安装需要</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F87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7B2D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6EF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E19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554B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328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E136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服务器导轨</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1F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613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供应商给出导轨尺寸、安装方式等信息</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BCB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2748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F92A6">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100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8E1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AA6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1B50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个数与机柜高度单位(U)比</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6CD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067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BA6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1B2D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962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55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39</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DE7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1F0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9C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环境适应性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9EC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B15C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气候环境适应性应符合GB/T9813.3 的有关规定，工作温度 10~35℃ , 贮存运输温度-40～55℃ ; 工作相对湿度35%～80%，贮存运输相对湿度 20％～93%（40℃) ; 大气压86～106kPa</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57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A7D2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55ABC">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1F1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AD46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92D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7CB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特殊机型环境适应性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FE0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BDA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C4E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88B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5C5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3C3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19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98B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E28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C8A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5908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机械环境适应性应符合GB/T9813.3 的有关规定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8CB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79F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658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061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EB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75A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622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噪声</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45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7F6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的有关规定，在产品说明中给出具体测试值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927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54F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C3381">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CB5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43</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541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2F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9216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B33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146E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3F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267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C65E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A84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708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FD9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E48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一键式迁移</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A49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77D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456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021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F88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85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45</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84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C5E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DDF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机柜尺寸</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46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5A8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供应商给出长度、高度和深度</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7DA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DC8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76223">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70A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46</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0D7E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3D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CD8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机柜管理板</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0A1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E53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F4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0463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BD0B8">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1F3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3D4E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FDA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D57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机柜电源规格</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3DE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D2D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110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8B00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6FF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228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4E4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EB6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F980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主板外部接口</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8DF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2DEA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 USB、显示、管理等接口，如：VGA、DP、HDMI、USB3.0、PS/2 接口、BMC 管理端口</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ECE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DC9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367F">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1A0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49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3E2C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1B1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46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主板防烧板设计</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C49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B39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141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20E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99A0A">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B36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50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456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3EC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A937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扩展功能</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626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5E88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24B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FC1A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1E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1D7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450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ED2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A7B2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网络功能</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AA2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BFE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支持网络连接、网络访问、数据交换和网络管控功能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6D4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D73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646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F39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05D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32C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45C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CPU计算处理功能要求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858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33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支持通用计算及虚拟化功能。处理器需集成整型计算单元、浮点计算单元、内存控制器、I/O 模块等，处理器与存储部件、网络部件、I/O部件等组成计算系统，提供数据处理、网络接入等计算相关功能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881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624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F1F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C52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53</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E9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6EF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1AD3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CPU密码算法实现要求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A54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77F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芯片应符合 GM/T 0008 的相关规定，或芯片密码模块应符合GB/T37092 或 GM/T 0028 的相关规定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0BB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4EA7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BC3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37E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54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ACA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2B1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401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内存校验</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87E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ECDE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支持内存校验或内存增强型纠错功能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EFD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D7CD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B566E">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FE6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55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D42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0EF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9A11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SSDNAND 健康状态上报</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89F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E6B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C00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0C0D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4F7A2">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C4C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56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C52F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4F8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3EA2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SSD单 die 故障隔离</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1A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022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A96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9B4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5F826">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098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60A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31C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35B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RAID卡RAID 级别支持</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A6C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46AF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模式支持 RAID 0/1/10/50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4B5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8E5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F51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E3E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9E5C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593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C3A5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RAID卡BBU单元</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869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048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卡支持电容掉电保护</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F6A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9654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EC8B6">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BB0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59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42E505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BC9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EDB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光驱类型（是否支持 RW，以及光盘类型CD/DVD）</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393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6DB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83A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205E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8A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940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2529D4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9C0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F39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电源热插拔</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F51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369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整机电源模块应具备热插拔功能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AFF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B06C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ABE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A4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7416D3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CA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B31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电源过流保护</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896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B71A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支持过流及短路保护的功能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C82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A315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7AD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581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08BF4C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656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F1E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散热方式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290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9F5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支持风冷或液冷等散热方式</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B81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95E4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A3D33">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39D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63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28F0C00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F75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BBF9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其他功能</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8FF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367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068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15F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C66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284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ED78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D62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13F7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固件基础功能</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7CBF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2A5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 支持 DHCP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2)支持静态 IP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3)支持设备日志记录，包括但不限于登录日志、操作日志和报警日志等功能；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4)支持日志信息导出和记录删除功能；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5)支持通过管理接口向外输出准确的报警信息功能；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6)设备的BMC 管理软件应能够按报警的严重程度进行区分；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7)支持 IPMI2.0、SNMP 或 Redfish等接口功能；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8)支持键盘、鼠标和视频的重定向、文本控制台的重定向、远程虚拟媒体、高可靠的硬件监控和管理功能；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9)支持基于网络开启、关闭和重启设备的功能，并查询当前设备开机运行状态；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10)支持故障提示功能，并可通过接口读取服务器故障信息；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11)支持基于网络的固件更新功能，包括 BMC 和 BIOS 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12)支持基于网络安装操作系统的功能，并可通过网络控制台访问设备；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13)支持通过本地的硬盘或光驱等存储设备，基于网络完成设备的操作系统安装功能；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14)支持通过浏览器打开管理界面并登录功能；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15)支持设置口令策略功能；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16)支持访问权限设置功能，并通过日志记录访问事件；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17)支持对出厂默认的用户名及口令进行安全保护功能，并提供默认口令修改提示；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18)支持读取设备主板的工作环境温度功能；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19)支持读取服务器 CPU 等核心器件的温度功能；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20)支持通过外部管理工具进行 BMC参数设置的功能，并可基于网络通过外部管理工具对 BMC 进行管理；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21)应支持固件版本查询、固件升级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22)支持基于网络实现开关机和复位控制的功能；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23)BMC 启动时间应不超过 180s，实现功能包括网络、IPMI、散热、传感器服务可用；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24)支持 BMC 固件设置的恢复出厂功能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7A2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75A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32137">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7B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65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E2D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079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86B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固件增强功能</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77B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2C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DDF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7D91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D5A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7B2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66</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CF5E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597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FA0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BIOS 固件基础功能</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974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F14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a）支持查看固件版本、内存信息、主板信息、处理器信息和系统时间信息功能；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b）支持上电初始化界面显示 CPU 信息、内存信息、固件版本和部分快捷键信息功能；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c）支持设置界面中英文显示切换功能；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d）支持查看 PCIe 设备信息，SATA设备信息功能；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e）支持操作系统安装和引导功能，应并向操作系统提供计算机主板信息和服务接口；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f）支持设置启动顺序，并按照设置的启动顺序启动功能；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g）支持安全启动功能；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h）支持设置口令、修改口令、验证口令功能；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i）支持板载显示控制或独立显卡的显示控制功能；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j）支持 RAID 识别和启动功能；k）支持串口重定向功能；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l）支持固件更新功能；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m）支持BIOS 固件设置的恢复出厂功能；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n）支持网络引导启用和关闭功能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34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7C6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AD6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0FC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6A866B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9A7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37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远程控制</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852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059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支持远程关机和重新启动功能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58C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E563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E77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11A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0914FB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A3D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37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操作系统及驱动的升级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84E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889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支持通过网络、闪存盘对操作系统、驱动进行升级</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69E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DE88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B182A">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58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69</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3316F0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01D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DF7F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操作系统及驱动的备份还原</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AC4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C957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D1D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09C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2E9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999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C76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B3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B58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操作系统功能</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B30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A76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支持访问控制、安全审计、网络接入鉴别等功能；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操作系统其他功能应满足操作系统政府采购需求标准中加*的指标要求</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FCE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55AA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6D6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4DC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1A3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3B4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79D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305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D9C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 18030 的有关规定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4A4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398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6134B">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441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5F3225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680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54A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机柜管理功能</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59B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B26C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301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6772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A9848">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A1B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73</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0384D4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B13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561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机柜通信方式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B99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452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514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428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45C4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AAE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top"/>
          </w:tcPr>
          <w:p w14:paraId="546F00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D51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BA0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多集群作业管理</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6F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BF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FD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AA53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098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331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75</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98A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BF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A095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D0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A32A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等关键部件应当符合安全可靠测评要求</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BEF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459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E8E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BCB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76</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FCB8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C3D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CF7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故障检测</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494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A72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支持故障检测功能，可以检测到具体的 FRU（内存、硬盘等）的故障并发出告警</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A2A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056F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3641E">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3D5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77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B2B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E78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408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内存故障智能预测和自愈修复</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E59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DAB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8FF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AE6E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60074">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6FA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78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68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C35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AE0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硬盘故障智能预测</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19A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F4C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CE3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3E21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7A8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FD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79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F2C8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849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2F1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链路故障智能诊断</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D06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A6C7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D39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323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1705E">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CDF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80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6F0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055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51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内存故障隔离</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66C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40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61F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10A1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BEBB4">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E43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81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EF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0C0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D28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内存、PCIe卡的故障精准告警功能</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6A4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BFC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F2C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78EB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D342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BC1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82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9C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7E0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B05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异常下电关键数据保护</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9D5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034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416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A32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44764">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72C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83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91B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7A1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3E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BMC/BIOS固件双镜像保护</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3AE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161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D7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6F5E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2DD18">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E64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84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85AA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8EB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3E6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核重启隔离</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4CD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09E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BE0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E473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78674">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7F8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85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EDB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A6D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1BB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内存地址隔离</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4C5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E8A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243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C1A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7B943">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B47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86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219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41C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105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内存存储阵列替换</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F9B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C055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7F0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F301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872BE">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369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87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C96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1EA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CAF0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安全启动</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727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FEA8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F39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149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5332">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D7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88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FC8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84B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F8A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syslog 双向鉴别</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8A4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195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94C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1B4A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D9D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C2B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89</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18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E3E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430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弱口令字典检查</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2F8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4EE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支持弱口令字典检查功能，出现在弱口令字典中的字符串不能被设置为用户口令</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AFC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9D6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83C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C36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56F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990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B1E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白名单访问控制</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94D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614C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支持基于时间、IP 或 MAC 白名单访问控制</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CDE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302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0FCE1">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29A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91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33C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868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E14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双因素鉴别</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E1A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73C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2EB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1C90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25A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F6B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C5E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DF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6190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二次鉴别</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9A2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5FF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支持二次鉴别功能。对于用户配置、权限配置、公钥导入等重要的管理操作，已登录用户应通过二次鉴别后，才能执行操作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357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6BA9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A6252">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BD1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93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2C6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4B2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DAB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匿名化用户告警接收邮箱</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E9E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BD13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A77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EB68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9AA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578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AC8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B84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195C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密码证书安全加密存储</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66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D96F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支持对带外管理系统中的用户口令和证书等敏感信息进行加密存储，禁止使用私有的和业界已知不安全的密码算法</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58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FBF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C50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541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95</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568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CCC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89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敏感信息安全加密传输</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AB6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AB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支持使用安全的传输加密协议（如SSH 或 HTTPS 等）传输用户的敏感信息</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A15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2E48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FBE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9AF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96</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F44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16A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FC45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研发过程安全要求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7BC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2BD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1AE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E46E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D2B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F4D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3BF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508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6BB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漏洞管理</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49D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A49C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供应商承诺，生产商已建立漏洞全量视图，保证产品版本涉及到的所有漏洞(如驱动程序、BMC 软件等)都可以查看</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6C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2CC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3B8D0">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FCC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98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AA0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E41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86C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网络关键设备服务器要求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305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A7DF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F0D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3C4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23AC1">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A58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99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321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AFE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F59F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增强要求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672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29E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16B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998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56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579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1FF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155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01BE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8A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A511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安全要求应符合 GB 4943.1 的规定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EEA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A51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186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800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CFD1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C06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EF2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693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7438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限用物质的限量应符合GB/T 26572的要求</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78E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30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629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26A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F537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CC7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DC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主频</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B3F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AF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≥2.7GHz</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050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832B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8B6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973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103</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1DA8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9E7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F62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核数</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501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07A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02B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8FC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82A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27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8B9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635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D821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末级缓存容量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E3C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C6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≥64MB</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3EB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456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3F9E4">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C10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105</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8ABC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E90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A3AE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单内存模块容量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63D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3C51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≥32GB</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03A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80F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00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8A4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106</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01A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222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A33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内存速率</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CFC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27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≥3200MT/s</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B94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AA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9664D">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B79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107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385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F0F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B60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硬盘转速</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3F4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EB13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EB0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D33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231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38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6C6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B46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0E9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RAID卡缓存容量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A99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5D6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RAID 卡且 RAID 卡有缓存容量，容量不少于 4GB</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D25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33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6E4B9">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80B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109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565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A52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HBA卡性能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B9D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卡速率</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BA5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7C4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A6F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292D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590AF">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034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110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67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F26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FF2D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独立网卡速率</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053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2E8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627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79A8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3AE54">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DE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111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EF2D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16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BF8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板载网卡速率</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7C0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8F6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6BE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76CE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29B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66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53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1B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3EFC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B3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E900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7B2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100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1DA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A72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113</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41CD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76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3A4B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内存兼容性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D82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644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种及以上厂商的内存产品，且均不低于产品支持的内存规格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76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37FC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556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EE2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169E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DA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B8C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固态存储兼容性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A67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DA3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种或以上厂商的固态存储产品，且均不低于产品支持的固态存储设备规格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90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1F2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22C7">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51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115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8748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71B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260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卡兼容性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ED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657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CC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3A8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4A37E">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9BA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116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392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62E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AA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卡兼容性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D19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FA2E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67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B64A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22F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3C9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F49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ADC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A58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网卡兼容性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9F4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4511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网卡应适配两种或以上厂商产品</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431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AD51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39D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088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93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131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568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功能卡兼容性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C30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93D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内置或适配符合 PCIe 的功能卡，如：网络功能卡、存储功能卡及图形显示功能卡</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083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66EC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59A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168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119</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E7F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9D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D4F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E5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3CA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兼容多种主流生产商的外部设备，包括显示器、键盘、鼠标、闪存盘、移动硬盘、USB 光驱及 KVM 等，要求使用不同厂商的外部设备时，系统均能正常识别和安装驱动</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52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8FE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2DD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12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70A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E9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46F1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数据库兼容</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C7B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AC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个及以上厂商的数据库产品</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B31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E15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EB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7B2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809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249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1F6C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中间件兼容</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30D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7F8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个及以上厂商的中间件产品</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046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518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814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415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6D6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931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1F0C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平台软件兼容</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90D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CE4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个及以上厂商的大数据平台</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9F1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EC6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E901D">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DEC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123</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6BD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4DC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055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虚拟化软件兼容</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A9F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6161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A1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89E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2C6AF">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15F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C017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DF2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存储可靠性要求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424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SSD可靠性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FC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02F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E97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6C0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27D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339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125</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116D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F6D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849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232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59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m1 值（MTBF 的不可接受值）不得低于 30000h</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525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06F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202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E35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126</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36FD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96F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9CB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风扇可靠性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AE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850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风扇寿命应不低于40000h</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AE7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2CD4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747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B8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127</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26B6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0CC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290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部件可靠性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9E3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7B8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支持硬盘、电源、风扇热插拔(内置风扇除外)</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F5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2593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C68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374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C23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3C8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C93E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标志、包装、运输和贮存</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E6C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722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符合GB/T 9813.3 和商品包装政府采购需求标准的相关规定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D37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F278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8E9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7D0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129</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5B4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BE2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98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E49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185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提供电话、电子邮件、远程连接等多种形式服务；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提供同城 4h、异地 12h 技术响应服务，2 个工作日解决问题，对于未能解决的问题和故障应提供可行的升级方案，并提供周转设备；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建立全国技术服务体系和服务团体，符合专业服务体系标准要求，提供原厂中文服务；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服务周期内提供产品的维修、换件和升级服务</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81C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0233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8CD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5BB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4ED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6B8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90C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培训服务</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A3C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699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供应商提供培训材料、产品手册、培训视频等培训相关内容</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B58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FBCE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9C8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23C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8C22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0B6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CD0F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266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0570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产品免费服务周期（含换件和维修）应不小于 3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设备停产后继续提供质量保障服务（含备品备件），服务终止时间与最后一批设备交付时间间隔不低于 6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产品停止服务时间应提前 1 年告知客户；</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产品发布日期需在随机文件中明确</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AE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28B2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CD4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E5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08C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E68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A40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工具要求</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3AA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609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供应商提供设置服务器硬件、辅助操作系统安装等功能的辅助工具和管理软件。且随附软件应具有合法授权或版权</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4F2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D87B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A0F39">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AEF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133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57B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5C1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3E4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辅助工具</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A2B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FF2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BB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4E11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B82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BBD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032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3D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433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驱动安装升级指引</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595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87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供应商提供出厂安装的配件所需的驱动程序，形式包括但不限于驱动光盘、驱动下载链接等。其他配件应提供指引</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9F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E1E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DDBA3">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619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135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214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249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280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随机附开盖工具</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243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156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F3A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B6E1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4181B">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CB0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136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DF7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E7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3AF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代码迁移工具</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314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ACE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FD3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1AF7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59D68">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DD3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137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E697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45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A91D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性能分析工具</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019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F4E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CB3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ECF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CF125">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A86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138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ABF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C04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F32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跨架构平台应用兼容</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796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162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251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A63E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1CB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F9D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139</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A5F5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1B3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8BF3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管理软件</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F1F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DDF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具备资源管理、系统管理、性能监控、健康监控、基于网络控制、报警设置功能</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B6B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4032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29D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0ED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04D2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9D8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B27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厂家升级产品软件与扩容服务</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9B6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983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供应商提供原厂级的部件/软件产品升级和扩容能力</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0B5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BB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714FE">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4FE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141</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B53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6BD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9C19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服务保障升级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0FB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496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3E7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D874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B45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8F3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142</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4BB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F3B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49D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提供上门服务</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CE6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BA4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供应商具备提供上门服务的能力(可收费)</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1C0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B78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3BE6E">
            <w:pPr>
              <w:spacing w:line="240" w:lineRule="exact"/>
              <w:jc w:val="center"/>
              <w:rPr>
                <w:rFonts w:hint="eastAsia" w:ascii="仿宋_GB2312" w:hAnsi="仿宋_GB2312" w:eastAsia="仿宋_GB2312" w:cs="仿宋_GB2312"/>
                <w:i w:val="0"/>
                <w:iCs w:val="0"/>
                <w:color w:val="auto"/>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ABA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143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FE8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F27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A90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业务场景性能优化服务及整体架构升级服务</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2CD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AE1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82A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2795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00C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F54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144</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A09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6BE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FD9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抗干扰性</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0EA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9D6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当产品部件出现供应风险时，应通知客户并提供风险应对方案确保产品的服务保障，必要时应停止相关受影响产品的销售</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479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2075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449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4D5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145 </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51D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DEB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EDDD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供应能力证明</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950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DB96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供应商提供供应链稳定承诺书，确保产品的部件在产品服务周期内稳定供货</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F63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bl>
    <w:p w14:paraId="03AF90D8">
      <w:pPr>
        <w:pageBreakBefore/>
        <w:spacing w:line="360" w:lineRule="auto"/>
        <w:ind w:firstLine="0" w:firstLineChars="0"/>
        <w:jc w:val="left"/>
        <w:outlineLvl w:val="2"/>
        <w:rPr>
          <w:rFonts w:hint="eastAsia" w:hAnsi="仿宋" w:cs="Times New Roman"/>
          <w:b/>
          <w:bCs/>
          <w:sz w:val="24"/>
          <w:szCs w:val="24"/>
          <w:lang w:val="en-US" w:eastAsia="zh-CN"/>
        </w:rPr>
      </w:pPr>
      <w:r>
        <w:rPr>
          <w:rFonts w:hint="eastAsia" w:hAnsi="仿宋" w:cs="Times New Roman"/>
          <w:b/>
          <w:bCs/>
          <w:sz w:val="24"/>
          <w:szCs w:val="24"/>
          <w:lang w:val="en-US" w:eastAsia="zh-CN"/>
        </w:rPr>
        <w:t>附表6</w:t>
      </w:r>
    </w:p>
    <w:tbl>
      <w:tblPr>
        <w:tblStyle w:val="59"/>
        <w:tblW w:w="516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0"/>
        <w:gridCol w:w="576"/>
        <w:gridCol w:w="741"/>
        <w:gridCol w:w="824"/>
        <w:gridCol w:w="1654"/>
        <w:gridCol w:w="976"/>
        <w:gridCol w:w="3362"/>
        <w:gridCol w:w="632"/>
      </w:tblGrid>
      <w:tr w14:paraId="02E8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E80787">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b/>
                <w:bCs/>
                <w:i w:val="0"/>
                <w:iCs w:val="0"/>
                <w:color w:val="auto"/>
                <w:kern w:val="0"/>
                <w:sz w:val="28"/>
                <w:szCs w:val="28"/>
                <w:u w:val="none"/>
                <w:lang w:val="en-US" w:eastAsia="zh-CN" w:bidi="ar"/>
              </w:rPr>
              <w:t>计算集群</w:t>
            </w:r>
          </w:p>
        </w:tc>
      </w:tr>
      <w:tr w14:paraId="59736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nil"/>
              <w:left w:val="single" w:color="000000" w:sz="4" w:space="0"/>
              <w:bottom w:val="single" w:color="000000" w:sz="4" w:space="0"/>
              <w:right w:val="single" w:color="000000" w:sz="4" w:space="0"/>
            </w:tcBorders>
            <w:shd w:val="clear" w:color="auto" w:fill="auto"/>
            <w:vAlign w:val="center"/>
          </w:tcPr>
          <w:p w14:paraId="3667A7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重要程度</w:t>
            </w:r>
          </w:p>
        </w:tc>
        <w:tc>
          <w:tcPr>
            <w:tcW w:w="240" w:type="pct"/>
            <w:tcBorders>
              <w:top w:val="nil"/>
              <w:left w:val="single" w:color="000000" w:sz="4" w:space="0"/>
              <w:bottom w:val="single" w:color="000000" w:sz="4" w:space="0"/>
              <w:right w:val="single" w:color="000000" w:sz="4" w:space="0"/>
            </w:tcBorders>
            <w:shd w:val="clear" w:color="auto" w:fill="auto"/>
            <w:vAlign w:val="center"/>
          </w:tcPr>
          <w:p w14:paraId="4518AC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序号</w:t>
            </w:r>
          </w:p>
        </w:tc>
        <w:tc>
          <w:tcPr>
            <w:tcW w:w="410" w:type="pct"/>
            <w:tcBorders>
              <w:top w:val="nil"/>
              <w:left w:val="single" w:color="000000" w:sz="4" w:space="0"/>
              <w:bottom w:val="single" w:color="000000" w:sz="4" w:space="0"/>
              <w:right w:val="single" w:color="000000" w:sz="4" w:space="0"/>
            </w:tcBorders>
            <w:shd w:val="clear" w:color="auto" w:fill="auto"/>
            <w:vAlign w:val="center"/>
          </w:tcPr>
          <w:p w14:paraId="7E7D5F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指标分类</w:t>
            </w:r>
          </w:p>
        </w:tc>
        <w:tc>
          <w:tcPr>
            <w:tcW w:w="455" w:type="pct"/>
            <w:tcBorders>
              <w:top w:val="nil"/>
              <w:left w:val="single" w:color="000000" w:sz="4" w:space="0"/>
              <w:bottom w:val="single" w:color="000000" w:sz="4" w:space="0"/>
              <w:right w:val="single" w:color="000000" w:sz="4" w:space="0"/>
            </w:tcBorders>
            <w:shd w:val="clear" w:color="auto" w:fill="auto"/>
            <w:vAlign w:val="center"/>
          </w:tcPr>
          <w:p w14:paraId="361646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一级指标1</w:t>
            </w:r>
          </w:p>
        </w:tc>
        <w:tc>
          <w:tcPr>
            <w:tcW w:w="903" w:type="pct"/>
            <w:tcBorders>
              <w:top w:val="nil"/>
              <w:left w:val="single" w:color="000000" w:sz="4" w:space="0"/>
              <w:bottom w:val="single" w:color="000000" w:sz="4" w:space="0"/>
              <w:right w:val="single" w:color="000000" w:sz="4" w:space="0"/>
            </w:tcBorders>
            <w:shd w:val="clear" w:color="auto" w:fill="auto"/>
            <w:vAlign w:val="center"/>
          </w:tcPr>
          <w:p w14:paraId="4C3563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二级指标 1</w:t>
            </w:r>
          </w:p>
        </w:tc>
        <w:tc>
          <w:tcPr>
            <w:tcW w:w="537" w:type="pct"/>
            <w:tcBorders>
              <w:top w:val="nil"/>
              <w:left w:val="single" w:color="000000" w:sz="4" w:space="0"/>
              <w:bottom w:val="single" w:color="000000" w:sz="4" w:space="0"/>
              <w:right w:val="single" w:color="000000" w:sz="4" w:space="0"/>
            </w:tcBorders>
            <w:shd w:val="clear" w:color="auto" w:fill="auto"/>
            <w:vAlign w:val="center"/>
          </w:tcPr>
          <w:p w14:paraId="3FDDE1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是否可以作为评分因素2</w:t>
            </w:r>
          </w:p>
        </w:tc>
        <w:tc>
          <w:tcPr>
            <w:tcW w:w="1824" w:type="pct"/>
            <w:tcBorders>
              <w:top w:val="nil"/>
              <w:left w:val="single" w:color="000000" w:sz="4" w:space="0"/>
              <w:bottom w:val="single" w:color="000000" w:sz="4" w:space="0"/>
              <w:right w:val="single" w:color="000000" w:sz="4" w:space="0"/>
            </w:tcBorders>
            <w:shd w:val="clear" w:color="auto" w:fill="auto"/>
            <w:vAlign w:val="center"/>
          </w:tcPr>
          <w:p w14:paraId="6F2576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指标要求</w:t>
            </w:r>
          </w:p>
        </w:tc>
        <w:tc>
          <w:tcPr>
            <w:tcW w:w="347" w:type="pct"/>
            <w:tcBorders>
              <w:top w:val="nil"/>
              <w:left w:val="single" w:color="000000" w:sz="4" w:space="0"/>
              <w:bottom w:val="single" w:color="000000" w:sz="4" w:space="0"/>
              <w:right w:val="single" w:color="000000" w:sz="4" w:space="0"/>
            </w:tcBorders>
            <w:shd w:val="clear" w:color="auto" w:fill="auto"/>
            <w:vAlign w:val="center"/>
          </w:tcPr>
          <w:p w14:paraId="10D6EF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证明材料要求</w:t>
            </w:r>
          </w:p>
        </w:tc>
      </w:tr>
      <w:tr w14:paraId="11AE5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09B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8A5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016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E9B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0C91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信息</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C45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C6A9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实配CPU数量：2颗，C86架构；供应商给出CPU 信息，包含 CPU 型号、物理核心数、主频、末级缓存容量、线程数、热设计功耗及支持内存的最高速率、通道数和位宽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C91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0090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C36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E82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0F7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077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670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主板支持CPU和内存情况</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C95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455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供应商给出主板支持的CPU 和内存的型号数量</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F75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5DD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99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90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8E8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4D6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18FB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主板内存槽数量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59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C8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非板载内存的可扩展插槽数量应不少于 16 个</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D90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39B8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DAD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0E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27F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0AB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EBD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主板存储接口</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DC7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133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至少支持 SATA、SAS、M.2、U.2 等存储接口中的 1 种</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BA7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6DCC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19D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D51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CB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04C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57C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插槽接口</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3B2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AF5E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PCIe3.0 或以上的高速串行计算机扩展总线标准，PCIe 的接口速率与位宽需保证向下兼容</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F2B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32B8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A1E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C06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72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2CA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56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主板PCIe插槽数量及规格</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1C3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905F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 a) 高度大于44.45mm 双路或以上服务器 PCIe 插槽或接口应不少于 5个；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单路服务器 PCIe 插槽或接口应不少于 4 个，可通过扩展卡进行插槽扩展</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7FF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C210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6B47">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D07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1E3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F24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247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特殊孔位及接口</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76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961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F8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B659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B95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790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07E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4DA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71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板载网络接口</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04B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F65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支持板载网络接口不少于 1 个1GE 网口</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E83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3B4A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AE80C">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AD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0DE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06F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1B09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 OCP 插槽数量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41E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203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F0C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6F87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6B5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30D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2E3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0F9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C061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93D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A19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C56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AB59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D0A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56F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204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BAF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999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05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83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≥DDR4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65E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B04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36B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3E4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3BC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335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9E71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内存通道</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460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A5ED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支持多个内存接口通道，每个通道可支持 1DPC 或 2DPC，当支持 2DPC时，印制电路板上应具备插槽的序号标识，具体通道数应在随机文件中明确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983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C56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2CD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763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2E8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16E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789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硬盘规格</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B3C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957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供应商给出服务器支持硬磁盘和固态盘类型及规格</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C19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43E3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DAC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5E4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C7E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252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DA7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硬盘实配容量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510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B04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a)配备硬磁盘，服务器提供的实配硬磁盘单盘可用容量应不小于 2.4TB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b)配备固态盘，实配固态盘单盘可用容量不小于 480GB</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327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2CB9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D8C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EA4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2DE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F3C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C9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硬盘接口类型</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DF1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9A7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a)配备硬磁盘，应提供 SAS 3.0及以上接口；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b)配备固态盘，应提供至少 1 种类型固态盘接口，如 UFS、SATA、PCIe等</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61D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DA0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C11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E08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D79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084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7AED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C72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B7B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a)配备硬磁盘，服务器提供的实配硬磁盘数量应不小于 1 块；</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b)配备固态盘，实配盘数应不小于 4 块</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CE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F9C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EE6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819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E15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8D7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1F6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硬盘插槽数量及规格</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2D7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17C5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供应商应给出配置的硬盘尺寸，如 2.5 英寸、3.5 英寸硬磁盘；</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机箱高度为 88.9mm 的服务器可支持的硬盘数量应不少于 8 块，机箱高度为 44.45mm 的服务器可支持的硬盘数量应不少于 4 块。</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0F7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996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11E0">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1B1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E49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72A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238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硬盘其他参数要求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603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E97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11430</wp:posOffset>
                  </wp:positionH>
                  <wp:positionV relativeFrom="paragraph">
                    <wp:posOffset>471805</wp:posOffset>
                  </wp:positionV>
                  <wp:extent cx="76835" cy="47625"/>
                  <wp:effectExtent l="0" t="0" r="0" b="0"/>
                  <wp:wrapNone/>
                  <wp:docPr id="14" name="textbox1"/>
                  <wp:cNvGraphicFramePr/>
                  <a:graphic xmlns:a="http://schemas.openxmlformats.org/drawingml/2006/main">
                    <a:graphicData uri="http://schemas.openxmlformats.org/drawingml/2006/picture">
                      <pic:pic xmlns:pic="http://schemas.openxmlformats.org/drawingml/2006/picture">
                        <pic:nvPicPr>
                          <pic:cNvPr id="14" name="textbox1"/>
                          <pic:cNvPicPr/>
                        </pic:nvPicPr>
                        <pic:blipFill>
                          <a:blip r:embed="rId17"/>
                          <a:stretch>
                            <a:fillRect/>
                          </a:stretch>
                        </pic:blipFill>
                        <pic:spPr>
                          <a:xfrm>
                            <a:off x="0" y="0"/>
                            <a:ext cx="76835" cy="47625"/>
                          </a:xfrm>
                          <a:prstGeom prst="rect">
                            <a:avLst/>
                          </a:prstGeom>
                          <a:noFill/>
                          <a:ln>
                            <a:noFill/>
                          </a:ln>
                        </pic:spPr>
                      </pic:pic>
                    </a:graphicData>
                  </a:graphic>
                </wp:anchor>
              </w:drawing>
            </w: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575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948A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A496">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B54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19</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437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E9E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7AA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RAID卡支持的SAS接口数量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EBE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C8E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9A7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93B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13704">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94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A49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6D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4BC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 SAS 接口数量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E55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82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29D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F5C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515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624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13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74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HBA 卡规格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65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HBA卡端口数量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56E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7BB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54E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AB91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F80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AC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A8F1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2A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283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网口速率和数量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22F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ECA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配置≥2个千兆以太网RJ45接口；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配置≥2个万兆网口（含万兆多模光模块）</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BB7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645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43C77">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B28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23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148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DBF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D9D9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存储型服务器网口速率和数量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BD6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D69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65C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21B8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02284">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21A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24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CB0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156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280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独立网卡网口数量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536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14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9D1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FDCB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E84FE">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AAF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25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F9B1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F0E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7B3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独立网卡接口类型</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879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91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18E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F7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2D4C7">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9ED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26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57E6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932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7E6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板载网卡接口类型</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702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8BF1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61D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6D8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508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EFD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08F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1F1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818D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C5F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590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显示接口类型应不少于 1 种，如：VGA、DP、HDMI 等</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A5B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96A5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C18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E40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BD5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171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A42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USB接口</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CE7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949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USB 接口，如 USB2.0、USB3.0等</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371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1BDF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56F1C">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33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29</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0B0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C9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C377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特殊接口及孔位</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BFE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B9E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8E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B89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81B7F">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EFC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34CB8E4B">
            <w:pPr>
              <w:spacing w:line="240" w:lineRule="exact"/>
              <w:jc w:val="left"/>
              <w:rPr>
                <w:rFonts w:hint="eastAsia" w:ascii="仿宋_GB2312" w:hAnsi="仿宋_GB2312" w:eastAsia="仿宋_GB2312" w:cs="仿宋_GB2312"/>
                <w:i w:val="0"/>
                <w:iCs w:val="0"/>
                <w:color w:val="auto"/>
                <w:sz w:val="24"/>
                <w:szCs w:val="24"/>
                <w:u w:val="none"/>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BC2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75D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其他接口</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D69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231D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E04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976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843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03D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EA3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47C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CADB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电源冗余模式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21B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F9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整机电源模块按 1+1 冗余或N+1 冗余配置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B28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3762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9A9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CFE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31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C3E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B91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电源模块数量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654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AC58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81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05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12E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5F8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33</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2F0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B89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E0B7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电源功率</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82E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F64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电源模块功率应有一定冗余，满足处理器满载时的需求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2C6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D12F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DCA22">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BB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932E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618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 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5C8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电源指示灯</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9E1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4AB8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022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90D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C7B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94C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F32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6DB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4EB0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外观和结构</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6C4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1260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a)服务器的零部件应紧固无松动，可插拔部件应可靠连接，开关、按钮和其它控制部件应灵活可靠，布局应方便使用；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产品表面不应有明显的凹痕、划伤、裂缝、变形和污染等。表面涂层均匀，不应起泡、龟裂、脱落和磨损，金属零部件无锈蚀及其它机械损伤；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产品表面说明功能的文字、符号和标志应清晰、端正且牢固；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应在服务器的显著位置提供运行状态的指示功能，并在随机文件中明确具体含义；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 机架、机箱的尺寸应符合通用机柜的安装要求，插入总线插座的电路板接口外形尺寸应符合有关总线标准的规定，将机箱固定在机柜上，机箱底面最大下垂变形不得干涉相邻机体；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 高密度服务器应给出 CPU 个数与机柜高度；</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 服务器尺寸具体要求在随机文件中明确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DA7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6742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894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70D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6F0A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B05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64A5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尺寸（高×宽×深）</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B92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7B53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供应商给出产品尺寸；设计应遵循标准化、系列化的要求；机箱的内部结构符合通用部件的安装需要</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522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62FB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466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8B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D280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83A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F6DC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服务器导轨</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EC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DE4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供应商给出导轨尺寸、安装方式等信息</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1B1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E2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65095">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1D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6FD2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FB8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E72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个数与机柜高度单位(U)比</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CEA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2CFA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D7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506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0A7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111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39</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728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186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56D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环境适应性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7C4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0334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气候环境适应性应符合GB/T9813.3 的有关规定，工作温度 10~35℃ , 贮存运输温度-40～55℃ ; 工作相对湿度35%～80%，贮存运输相对湿度 20％～93%（40℃) ; 大气压86～106kPa</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B5F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D5C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9D2E">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762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4FB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402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55F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特殊机型环境适应性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368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DD5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7F3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94A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B1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DB9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D54D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721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DD7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2F1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AA9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机械环境适应性应符合GB/T9813.3 的有关规定</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23A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C817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6ED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6DF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CE1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7A8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E33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噪声</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C8A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446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的有关规定，在产品说明中给出具体测试值</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F3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52C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A6F5">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5AF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43</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930B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6BE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E2E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F81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D13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AAD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D1B5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759E3">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FE5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7C0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FE1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94B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一键式迁移</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C0F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48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302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54AA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7AE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E0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244C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6E4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0A8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机柜尺寸</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3E9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2C0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供应商给出长度、高度和深度</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D43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B68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FC985">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135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923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4C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44B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机柜管理板</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670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C21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9FA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E5F7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8E38E">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19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09A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F9C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D19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机柜电源规格</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926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7B7B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1C4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2570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CBB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2B0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BF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29A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6EF6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主板外部接口</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A8F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163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 USB、显示、管理等接口，如：VGA、DP、HDMI、USB3.0、PS/2 接口、BMC 管理端口</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AD3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EEC2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15A90">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318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49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724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5A7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181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主板防烧板设计</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991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51C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45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7E9A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43855">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4B1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50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45A2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C99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16C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扩展功能</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BAA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A02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C9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02B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909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DF4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73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772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F9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网络功能</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3BF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B7B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支持网络连接、网络访问、数据交换和网络管控功能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FFF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21C9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3E9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82E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CE7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D85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DA97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CPU计算处理功能要求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9C3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895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支持通用计算及虚拟化功能。处理器需集成整型计算单元、浮点计算单元、内存控制器、I/O 模块等，处理器与存储部件、网络部件、I/O部件等组成计算系统，提供数据处理、网络接入等计算相关功能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558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1F51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8C8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3AC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53</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8EF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911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747E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CPU密码算法实现要求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155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9CC3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芯片应符合 GM/T 0008 的相关规定，或芯片密码模块应符合GB/T37092 或 GM/T 0028 的相关规定</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D70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7D78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079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C12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54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9BA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4CF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存储功能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4C3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内存校验</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B11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797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支持内存校验或内存增强型纠错功能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F45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53AB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4851F">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7E4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55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B19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B80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D7AD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SSDNAND 健康状态上报</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7F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04C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A40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4F96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8A043">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9C7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56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CED1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D66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752C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SSD单 die 故障隔离</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C4D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F1E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32F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5AAF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5ED3">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D0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306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AF5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4DB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RAID卡RAID 级别支持</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767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E4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模式支持 RAID 0/1/10/50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88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7DD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574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052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8642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558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9FD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RAID卡BBU单元</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2C5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AEE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卡支持电容掉电保护</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6F7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368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F50EE">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EEF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59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09F526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A19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90C1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光驱类型（是否支持 RW，以及光盘类型CD/DVD）</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272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853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7B1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259F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0BA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FC4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3A7EB2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18D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2BE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电源热插拔</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690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9DE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整机电源模块应具备热插拔功能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98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929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F8C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84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734BF1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C5A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8A7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电源过流保护</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6C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D3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支持过流及短路保护的功能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84A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D47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49C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1D1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5C076AB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53A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269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散热方式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5C7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08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支持风冷或液冷等散热方式</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FF5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F2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F7316">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55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63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524BFA2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7DE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561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其他功能</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CC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183C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078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6C3A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530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914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228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DFC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F8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固件基础功能</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F45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3739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 支持 DHCP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2)支持静态 IP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3)支持设备日志记录，包括但不限于登录日志、操作日志和报警日志等功能；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4)支持日志信息导出和记录删除功能；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5)支持通过管理接口向外输出准确的报警信息功能；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6)设备的BMC 管理软件应能够按报警的严重程度进行区分；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7)支持 IPMI2.0、SNMP 或 Redfish等接口功能；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8)支持键盘、鼠标和视频的重定向、文本控制台的重定向、远程虚拟媒体、高可靠的硬件监控和管理功能；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9)支持基于网络开启、关闭和重启设备的功能，并查询当前设备开机运行状态；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10)支持故障提示功能，并可通过接口读取服务器故障信息；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11)支持基于网络的固件更新功能，包括 BMC 和 BIOS 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12)支持基于网络安装操作系统的功能，并可通过网络控制台访问设备；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13)支持通过本地的硬盘或光驱等存储设备，基于网络完成设备的操作系统安装功能；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14)支持通过浏览器打开管理界面并登录功能；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15)支持设置口令策略功能；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16)支持访问权限设置功能，并通过日志记录访问事件；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17)支持对出厂默认的用户名及口令进行安全保护功能，并提供默认口令修改提示；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18)支持读取设备主板的工作环境温度功能；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19)支持读取服务器 CPU 等核心器件的温度功能；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20)支持通过外部管理工具进行 BMC参数设置的功能，并可基于网络通过外部管理工具对 BMC 进行管理；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21)应支持固件版本查询、固件升级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22)支持基于网络实现开关机和复位控制的功能；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23)BMC 启动时间应不超过 180s，实现功能包括网络、IPMI、散热、传感器服务可用；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24)支持 BMC 固件设置的恢复出厂功能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D26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595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73C6">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6D9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65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A75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DE3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4621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固件增强功能</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4B1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6C2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6ED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E1CC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A53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3A2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EF4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2C6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F5C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BIOS 固件基础功能</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448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9C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a）支持查看固件版本、内存信息、主板信息、处理器信息和系统时间信息功能；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b）支持上电初始化界面显示 CPU 信息、内存信息、固件版本和部分快捷键信息功能；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c）支持设置界面中英文显示切换功能；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d）支持查看 PCIe 设备信息，SATA设备信息功能；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e）支持操作系统安装和引导功能，应并向操作系统提供计算机主板信息和服务接口；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f）支持设置启动顺序，并按照设置的启动顺序启动功能；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g）支持安全启动功能；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h）支持设置口令、修改口令、验证口令功能；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i）支持板载显示控制或独立显卡的显示控制功能；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j）支持 RAID 识别和启动功能；k）支持串口重定向功能；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l）支持固件更新功能；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m）支持BIOS 固件设置的恢复出厂功能；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n）支持网络引导启用和关闭功能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8B0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E91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810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0C5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4A982C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D47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40F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远程控制</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E78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FB4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支持远程关机和重新启动功能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6BE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695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037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5BE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02BB9C5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15F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70C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操作系统及驱动的升级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D39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6599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支持通过网络、闪存盘对操作系统、驱动进行升级</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BDE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743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3CA21">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61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69</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7E16E51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CBD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691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操作系统及驱动的备份还原</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E7D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48D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91C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5D4F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ABD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3F1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1FD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05D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460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操作系统功能</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0C0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9BE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支持访问控制、安全审计、网络接入鉴别等功能；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操作系统其他功能应满足操作系统政府采购需求标准中加*的指标要求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7E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8253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59F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2C7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FF7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89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901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948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0AE8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 18030 的有关规定</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D05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8991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B913">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E68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3BAB0A8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AA9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739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机柜管理功能</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ABF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761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916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2265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FEFD5">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9AA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73</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7AC58E2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B98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EBD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机柜通信方式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8D0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FA6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853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1D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34888">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C64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top"/>
          </w:tcPr>
          <w:p w14:paraId="6CF34A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AA2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745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多集群作业管理</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94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13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13F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13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879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0E1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AE95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9BF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975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9E2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86B7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等关键部件应当符合安全可靠测评要求</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72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AF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570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2B0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CCC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02C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68B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故障检测</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977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5DC6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支持故障检测功能，可以检测到具体的 FRU（内存、硬盘等）的故障并发出告警</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CFD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545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89E9">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F62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77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2D4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AEF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C50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内存故障智能预测和自愈修复</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BB9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57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AC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7D34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8053">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722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78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081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E3D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387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硬盘故障智能预测</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9FB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E4A6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93A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F29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B394A">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460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79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3AE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58F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9F8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链路故障智能诊断</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C6C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28B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C1F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FC3B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BB5B7">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2EA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80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4A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2A3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D7B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内存故障隔离</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E72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294F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DAC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B2D4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8A8C6">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66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81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E5C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64E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838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内存、PCIe卡的故障精准告警功能</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187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C07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BA8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8CE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E8FA9">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47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82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BE3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D48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49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异常下电关键数据保护</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B87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6D1A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B38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290F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10563">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ED8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83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A43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14B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7E9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BMC/BIOS固件双镜像保护</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E80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FC80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B64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1DD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97181">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B56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84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5AF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783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74A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核重启隔离</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E9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F64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4F6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E11B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773CD">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659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85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7A2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D84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EEF6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内存地址隔离</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AEB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230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BBE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6A9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58093">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ED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86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E52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AF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771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内存存储阵列替换</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749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7641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C41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447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8A5B5">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9E0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87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760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665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68D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安全启动</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5D6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3C9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6ED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A7E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7B586">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E5F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88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F6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9DE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E62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syslog 双向鉴别</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81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33C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919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C44B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046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A1D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89</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E4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728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8A7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弱口令字典检查</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AE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ABE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支持弱口令字典检查功能，出现在弱口令字典中的字符串不能被设置为用户口令</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ED0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631B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6F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9C3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CD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B2E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A06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白名单访问控制</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54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587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支持基于时间、IP 或 MAC 白名单访问控制</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D6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28E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AD98C">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54A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91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769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68B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9BB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双因素鉴别</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321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C28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AC9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F9D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D01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C71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B69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3CA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2CC0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二次鉴别</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C54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F6FA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支持二次鉴别功能。对于用户配置、权限配置、公钥导入等重要的管理操作，已登录用户应通过二次鉴别后，才能执行操作</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8F7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B5E7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07A70">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AB7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93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4CC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0BE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2FF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匿名化用户告警接收邮箱</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ABA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323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C2B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61D9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5BE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46D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E3E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E4C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1D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密码证书安全加密存储</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965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7C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支持对带外管理系统中的用户口令和证书等敏感信息进行加密存储，禁止使用私有的和业界已知不安全的密码算法</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C9F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0BEA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E26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7FE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67C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04B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685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敏感信息安全加密传输</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C0E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AA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支持使用安全的传输加密协议（如SSH 或 HTTPS 等）传输用户的敏感信息</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75A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8C0D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E92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5EC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6E9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473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53F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研发过程安全要求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A3D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EB3E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7F3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CB5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B27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F34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0BC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298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030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漏洞管理</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7B3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2C52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供应商承诺，生产商已建立漏洞全量视图，保证产品版本涉及到的所有漏洞(如驱动程序、BMC 软件等)都可以查看</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780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655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1E5C5">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A1D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98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013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324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2C2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网络关键设备服务器要求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75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232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6C7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386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23D12">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4D0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99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2F0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3F3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E9A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增强要求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FB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67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6B7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7E68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D9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8DB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14D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4A7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242A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EA0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04C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安全要求应符合 GB 4943.1 的规定</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558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308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9A3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CA8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0EC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F13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460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A17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790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限用物质的限量应符合GB/T 26572的要求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01C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F3A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5F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B8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35B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56F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F6B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主频</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09A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5F5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≥2.5GHz</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DF5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42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F72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792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103</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18B9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1E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981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核数</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C94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5F67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83D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041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1D2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7CC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25E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871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71D1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末级缓存容量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2C9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A7BB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≥32MB</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D56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481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A4C56">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831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B3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35B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F44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单内存模块容量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8DE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46C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≥16GB</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E0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436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C23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D41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793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F4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818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内存速率</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CEC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2C4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≥3200MT/s</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4D6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AA2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F0C0A">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A89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107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B05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F52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73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硬盘转速</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707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3212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实配SAS硬磁盘转速不低于10000rpm</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0D3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051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02C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413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41C2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B9A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DE55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RAID卡缓存容量</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EFC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C67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RAID 卡且 RAID 卡有缓存容量，容量不少于 2GB</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D6C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5CE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0A7A">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208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109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18D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EA3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HBA卡性能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B2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卡速率</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B0A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760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69D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BFB7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3248E">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5F3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110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FA4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13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0D0D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独立网卡速率</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B7A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C5C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EB5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DD20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0F08E">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DB7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111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471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62F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A1A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板载网卡速率</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DD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B97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68E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65E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D40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DF1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364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266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88D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3FD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6A95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F7B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6AA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15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81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113</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1C4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3AD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700F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内存兼容性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E61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6C0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种及以上厂商的内存产品，且均不低于产品支持的内存规格</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35A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C05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BBD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D59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E9D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5B3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7B8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固态存储兼容性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1A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45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种或以上厂商的固态存储产品，且均不低于产品支持的固态存储设备规格</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263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40C2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43B78">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641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115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33B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583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1CA0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卡兼容性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53E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235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F33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598E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9AFC1">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351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116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5D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D74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E1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卡兼容性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7A5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BC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8FF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5976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213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BB8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36B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9C7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1A7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网卡兼容性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E30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0D00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网卡应适配两种或以上厂商产品</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58B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D5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BFB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F6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0470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14D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C898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功能卡兼容性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7EC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886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内置或适配符合 PCIe 的功能卡，如：网络功能卡、存储功能卡及图形显示功能卡</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8C4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B96B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227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5FF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119</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F6C7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034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4B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186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E02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兼容多种主流生产商的外部设备，包括显示器、键盘、鼠标、闪存盘、移动硬盘、USB 光驱及 KVM 等，要求使用不同厂商的外部设备时，系统均能正常识别和安装驱动</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9A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DD8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314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A19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B478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F07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F15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数据库兼容</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8E9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6D2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个及以上厂商的数据库产品</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CB9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720F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010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85B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350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9B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3E1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中间件兼容</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EAD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002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个及以上厂商的中间件产品</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34F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1639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68F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B01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959D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D30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77B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平台软件兼容</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44D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AFB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个及以上厂商的大数据平台</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C4B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1CC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6A09">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911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123</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DCD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7E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AFF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虚拟化软件兼容</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3D3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E33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40A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F4E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BC86D">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49D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E8B5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D12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存储可靠性要求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162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SSD可靠性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00A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F78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191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6F65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A8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A83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3FF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13B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E7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55D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387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m1 值（MTBF 的不可接受值）不得低于 30000h</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72A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744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A70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417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A9F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253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B27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风扇可靠性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9D4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40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风扇寿命应不低于40000h</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66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8B6F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966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B67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127</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A1E3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D8D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387F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部件可靠性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C97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C40D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支持硬盘、电源、风扇热插拔(内置风扇除外)</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751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DDE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DB7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4AF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128</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846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A6F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A19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标志、包装、运输和贮存</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A8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C0D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符合GB/T 9813.3 和商品包装政府采购需求标准的相关规定</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873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51F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3B4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4AA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129</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FAC7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157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56CB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908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E5A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提供电话、电子邮件、远程连接等多种形式服务；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提供同城 4h、异地 12h 技术响应服务，2 个工作日解决问题，对于未能解决的问题和故障应提供可行的升级方案，并提供周转设备；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建立全国技术服务体系和服务团体，符合专业服务体系标准要求，提供原厂中文服务；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服务周期内提供产品的维修、换件和升级服务</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02D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566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B1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1DE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105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A54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66C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培训服务</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CC5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71BD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供应商提供培训材料、产品手册、培训视频等培训相关内容</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73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0956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6F0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867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B74D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0F3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609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A0B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7D9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产品免费服务周期（含换件和维修）应不小于 3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设备停产后继续提供质量保障服务（含备品备件），服务终止时间与最后一批设备交付时间间隔不低于 6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产品停止服务时间应提前 1 年告知客户；</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产品发布日期需在随机文件中明确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46F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8E7E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D9B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36E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9291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BCF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8CA5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工具要求</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2FC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06A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供应商提供设置服务器硬件、辅助操作系统安装等功能的辅助工具和管理软件。且随附软件应具有合法授权或版权</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EB7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DB4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63694">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576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133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6F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3EB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E08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辅助工具</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7B0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2CA9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F77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5F6E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8A5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AAD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005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0F3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284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驱动安装升级指引</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6B1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7C3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供应商提供出厂安装的配件所需的驱动程序，形式包括但不限于驱动光盘、驱动下载链接等。其他配件应提供指引</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0C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EAC4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9533C">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4DD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135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432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A10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BAD7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随机附开盖工具</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460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3233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E28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18F9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732B2">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2CA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136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CF6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F29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CE8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代码迁移工具</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E68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58E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97C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3F59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C2E14">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162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137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FF5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98E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7058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性能分析工具</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E6C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1AE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04A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1BF4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85A5">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89E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138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21FD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C4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B8D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跨架构平台应用兼容</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66E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4C8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FE1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9FD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59E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BF1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139</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08BD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95A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F2D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管理软件</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3C1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4E4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具备资源管理、系统管理、性能监控、健康监控、基于网络控制、报警设置功能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37C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36A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867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7BC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140</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261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ACA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CCB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厂家升级产品软件与扩容服务</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076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073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供应商提供原厂级的部件/软件产品升级和扩容能力</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DC8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892A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16234">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E9C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141</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673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B85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8B3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服务保障升级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123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9C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F4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F64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A1E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9AD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142</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5AA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E20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C6B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提供上门服务</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F9C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3EC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供应商具备提供上门服务的能力(可收费)</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836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8AEA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37C3B">
            <w:pPr>
              <w:spacing w:line="240" w:lineRule="exact"/>
              <w:jc w:val="center"/>
              <w:rPr>
                <w:rFonts w:hint="eastAsia" w:ascii="仿宋_GB2312" w:hAnsi="仿宋_GB2312" w:eastAsia="仿宋_GB2312" w:cs="仿宋_GB2312"/>
                <w:i w:val="0"/>
                <w:iCs w:val="0"/>
                <w:color w:val="auto"/>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6C8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143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4E7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5CC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CB7F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业务场景性能优化服务及整体架构升级服务</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7CC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462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8FF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9468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C68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5EB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144</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187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698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A545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抗干扰性</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694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9111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当产品部件出现供应风险时，应通知客户并提供风险应对方案确保产品的服务保障，必要时应停止相关受影响产品的销售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3AE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4079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02D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27B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145 </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E20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D52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1784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供应能力证明</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95C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5C1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供应商提供供应链稳定承诺书，确保产品的部件在产品服务周期内稳定供货</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6AD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bl>
    <w:p w14:paraId="61D2A314">
      <w:pPr>
        <w:pageBreakBefore/>
        <w:spacing w:line="360" w:lineRule="auto"/>
        <w:ind w:firstLine="0" w:firstLineChars="0"/>
        <w:jc w:val="left"/>
        <w:outlineLvl w:val="2"/>
        <w:rPr>
          <w:rFonts w:hint="eastAsia" w:hAnsi="仿宋" w:cs="Times New Roman"/>
          <w:b/>
          <w:bCs/>
          <w:sz w:val="24"/>
          <w:szCs w:val="24"/>
          <w:lang w:val="en-US" w:eastAsia="zh-CN"/>
        </w:rPr>
      </w:pPr>
      <w:r>
        <w:rPr>
          <w:rFonts w:hint="eastAsia" w:hAnsi="仿宋" w:cs="Times New Roman"/>
          <w:b/>
          <w:bCs/>
          <w:sz w:val="24"/>
          <w:szCs w:val="24"/>
          <w:lang w:val="en-US" w:eastAsia="zh-CN"/>
        </w:rPr>
        <w:t>附表7</w:t>
      </w:r>
    </w:p>
    <w:tbl>
      <w:tblPr>
        <w:tblStyle w:val="59"/>
        <w:tblW w:w="517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
        <w:gridCol w:w="576"/>
        <w:gridCol w:w="735"/>
        <w:gridCol w:w="786"/>
        <w:gridCol w:w="1749"/>
        <w:gridCol w:w="1148"/>
        <w:gridCol w:w="3141"/>
        <w:gridCol w:w="686"/>
      </w:tblGrid>
      <w:tr w14:paraId="5F99C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5451F2">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b/>
                <w:bCs/>
                <w:i w:val="0"/>
                <w:iCs w:val="0"/>
                <w:color w:val="auto"/>
                <w:kern w:val="0"/>
                <w:sz w:val="28"/>
                <w:szCs w:val="28"/>
                <w:u w:val="none"/>
                <w:lang w:val="en-US" w:eastAsia="zh-CN" w:bidi="ar"/>
              </w:rPr>
              <w:t>高性能服务器</w:t>
            </w:r>
          </w:p>
        </w:tc>
      </w:tr>
      <w:tr w14:paraId="21E41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D75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重要程度</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B9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序号</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C99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指标分类</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20D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一级指标1</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124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二级指标 1</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A7D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是否可以作为评分因素2</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56F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指标要求</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C46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证明材料要求</w:t>
            </w:r>
          </w:p>
        </w:tc>
      </w:tr>
      <w:tr w14:paraId="619A8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2AC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EED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58B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DA0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C5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信息</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58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587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实配CPU数量：4颗，ARM架构；供应商给出CPU 信息，包含 CPU 型号、物理核心数、主频、末级缓存容量、线程数、热设计功耗及支持内存的最高速率、通道数和位宽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E1C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3D1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C17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4F3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8E8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CDD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F39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主板支持CPU和内存情况</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A6B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C7E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供应商给出主板支持的CPU 和内存的型号数量</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BDB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7E94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1D0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1E7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E29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E63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6D1C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主板内存槽数量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85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2AD9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非板载内存的可扩展插槽数量应不少于32个</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6FC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4E3C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B83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D9A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D08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908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E1B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主板存储接口</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9D9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DA4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至少支持 SATA、SAS、M.2、U.2 等存储接口中的 1 种</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1BC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489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069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82D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99E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AEF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A79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插槽接口</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0CA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369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PCIe3.0 或以上的高速串行计算机扩展总线标准，PCIe 的接口速率与位宽需保证向下兼容</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C7D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2B2B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B9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197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E3D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0E6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AB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主板PCIe插槽数量及规格</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B22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11CC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 a) 高度大于44.45mm 双路或以上服务器 PCIe 插槽或接口应不少于 5个；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单路服务器 PCIe 插槽或接口应不少于 4 个，可通过扩展卡进行插槽扩展</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289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6A93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9C09C">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DB6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EBA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881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D0D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特殊孔位及接口</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493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B6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8D7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A27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C69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D47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7C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63D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F856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板载网络接口</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911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B08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支持板载网络接口不少于 1 个1GE 网口</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8EC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50C3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F6330">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D55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654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37F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8EB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 OCP 插槽数量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D87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A9C5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62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869A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137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D8F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D12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129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C0F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3A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11D1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07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9DCF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013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2D5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94B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0CA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3A0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28E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365E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≥DDR4</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8E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B57A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AB3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A76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A24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24E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C391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内存通道</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48F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0717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支持多个内存接口通道，每个通道可支持 1DPC 或 2DPC，当支持 2DPC时，印制电路板上应具备插槽的序号标识，具体通道数应在随机文件中明确</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93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A87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C7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3D5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66D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A2B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0B4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硬盘规格</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3F1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D951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供应商给出服务器支持硬磁盘和固态盘类型及规格</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3B9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ED97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483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A91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971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2DE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C21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硬盘实配容量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A14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24C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配备固态盘</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SATA SSD单盘可用容量不小于 480GB</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NVMe SSD单盘可用容量不小于 3.84TB</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C11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5F7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4A8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E51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885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636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7C5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硬盘接口类型</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455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0756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配备固态盘，应提供至少 1 种类型固态盘接口，如 UFS、SATA、PCIe等</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4F8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6AC5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0CB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3B7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F69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CD9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5670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硬盘实配数量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457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613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SSD≥2块</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NVMe SSD≥2块</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53F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8D38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513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BD5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7EA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278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B5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硬盘插槽数量及规格</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3FD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D81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供应商应给出配置的硬盘尺寸，如 2.5 英寸、3.5 英寸硬磁盘；</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机箱高度为 88.9mm 的服务器可支持的硬盘数量应不少于 8 块，机箱高度为 44.45mm 的服务器可支持的硬盘数量应不少于 4 块。</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4A1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5B1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1069">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BF7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446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8A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3F1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硬盘其他参数要求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FFE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EAE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11430</wp:posOffset>
                  </wp:positionH>
                  <wp:positionV relativeFrom="paragraph">
                    <wp:posOffset>471805</wp:posOffset>
                  </wp:positionV>
                  <wp:extent cx="76835" cy="47625"/>
                  <wp:effectExtent l="0" t="0" r="0" b="0"/>
                  <wp:wrapNone/>
                  <wp:docPr id="15" name="textbox1"/>
                  <wp:cNvGraphicFramePr/>
                  <a:graphic xmlns:a="http://schemas.openxmlformats.org/drawingml/2006/main">
                    <a:graphicData uri="http://schemas.openxmlformats.org/drawingml/2006/picture">
                      <pic:pic xmlns:pic="http://schemas.openxmlformats.org/drawingml/2006/picture">
                        <pic:nvPicPr>
                          <pic:cNvPr id="15" name="textbox1"/>
                          <pic:cNvPicPr/>
                        </pic:nvPicPr>
                        <pic:blipFill>
                          <a:blip r:embed="rId17"/>
                          <a:stretch>
                            <a:fillRect/>
                          </a:stretch>
                        </pic:blipFill>
                        <pic:spPr>
                          <a:xfrm>
                            <a:off x="0" y="0"/>
                            <a:ext cx="76835" cy="47625"/>
                          </a:xfrm>
                          <a:prstGeom prst="rect">
                            <a:avLst/>
                          </a:prstGeom>
                          <a:noFill/>
                          <a:ln>
                            <a:noFill/>
                          </a:ln>
                        </pic:spPr>
                      </pic:pic>
                    </a:graphicData>
                  </a:graphic>
                </wp:anchor>
              </w:drawing>
            </w: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0DA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4A97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6CB8E">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DDF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19</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5D1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5F3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9F5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RAID卡支持的SAS接口数量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8D6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5F7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F54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FB0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0A703">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F69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841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8B3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94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SAS 直通卡 SAS 接口数量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E42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136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CD3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17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21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5BB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A0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D82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 卡规格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6A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HBA卡端口数量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415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A87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DF1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EE9A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F2D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646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729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709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6C1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网口速率和数量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A09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6B8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配置≥4个25Gb光接口（含25Gb多模模块）</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7D5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4CEF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89ED">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B0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23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4E9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29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373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存储型服务器网口速率和数量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2F5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40E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FE6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56F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1D02F">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281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24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200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65A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3647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独立网卡网口数量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08C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F4C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DE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79F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417B6">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7DE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25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3CD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45A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541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独立网卡接口类型</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81B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C03A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A96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DA76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B555">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0BF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26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444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14C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A9D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板载网卡接口类型</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188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9C16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EDB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C3BD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12B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AE4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51A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4CF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045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360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46C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显示接口类型应不少于 1 种，如：VGA、DP、HDMI 等</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7D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1929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825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708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889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FD4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DBD3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USB接口</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8AA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ED3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USB 接口，如 USB2.0、USB3.0等</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AF6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DC2B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84B8F">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8BC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29</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252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C22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A85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特殊接口及孔位</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98F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DF04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19F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422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088F">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DB1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77C23B02">
            <w:pPr>
              <w:spacing w:line="240" w:lineRule="exact"/>
              <w:jc w:val="left"/>
              <w:rPr>
                <w:rFonts w:hint="eastAsia" w:ascii="仿宋_GB2312" w:hAnsi="仿宋_GB2312" w:eastAsia="仿宋_GB2312" w:cs="仿宋_GB2312"/>
                <w:i w:val="0"/>
                <w:iCs w:val="0"/>
                <w:color w:val="auto"/>
                <w:sz w:val="24"/>
                <w:szCs w:val="24"/>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64F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外部接口规格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BA7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其他接口</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A72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115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259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2E4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BE6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3BD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F3F0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BE8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EAD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电源冗余模式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184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091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整机电源模块按 2+2 冗余配置</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4FE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5961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C14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97D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C874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E00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0391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DDF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263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66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254C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90C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CE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1A26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E38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107E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电源功率</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F5A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7C2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电源模块功率应有一定冗余，满足处理器满载时的需求</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E45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0386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BF60D">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7C4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71E3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C5B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 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ED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电源指示灯</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39C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3CD8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287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02E8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096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93C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1E2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EC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11DD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外观和结构</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803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B96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a)服务器的零部件应紧固无松动，可插拔部件应可靠连接，开关、按钮和其它控制部件应灵活可靠，布局应方便使用；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产品表面不应有明显的凹痕、划伤、裂缝、变形和污染等。表面涂层均匀，不应起泡、龟裂、脱落和磨损，金属零部件无锈蚀及其它机械损伤；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产品表面说明功能的文字、符号和标志应清晰、端正且牢固；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应在服务器的显著位置提供运行状态的指示功能，并在随机文件中明确具体含义；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 机架、机箱的尺寸应符合通用机柜的安装要求，插入总线插座的电路板接口外形尺寸应符合有关总线标准的规定，将机箱固定在机柜上，机箱底面最大下垂变形不得干涉相邻机体；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 高密度服务器应给出 CPU 个数与机柜高度；</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 服务器尺寸具体要求在随机文件中明确</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A0E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789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99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C76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72EB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D24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F66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尺寸（高×宽×深）</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96B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108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整机高度≥4U</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供应商给出产品尺寸；设计应遵循标准化、系列化的要求；机箱的内部结构符合通用部件的安装需要</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F2D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6736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6DD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794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C0D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D52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C76A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服务器导轨</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F0B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FED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供应商给出导轨尺寸、安装方式等信息</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91B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C83E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FD78D">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0A3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CF1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9A4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519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个数与机柜高度单位(U)比</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0DB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8BD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36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5BF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D4E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569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39</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6FC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7B6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4001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环境适应性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A2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E8E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气候环境适应性应符合GB/T9813.3 的有关规定，工作温度 10~35℃ , 贮存运输温度-40～55℃ ; 工作相对湿度35%～80%，贮存运输相对湿度 20％～93%（40℃) ; 大气压86～106kPa</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80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6CA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45D59">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0AB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B9C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452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455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特殊机型环境适应性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6F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A3F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D2D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E1F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85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4C7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5E2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46D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12F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7AD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BA6F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机械环境适应性应符合GB/T9813.3 的有关规定</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BEE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C45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6EF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B29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377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791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2C0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噪声</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E46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4CCA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的有关规定，在产品说明中给出具体测试值</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836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3F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D36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2E7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7D99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83F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27D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559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119C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配置OAM模组，不低于8块AI加速卡，单卡显存容量不低于64GB，支持多卡高速互联，提供总FP16 AI算力不低于2.0 PFLOPS</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4D6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73A3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B2FB5">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728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199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6E9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I 计算单元规格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616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一键式迁移</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6BE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985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B79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DF95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27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DE4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B01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A0C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5F7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机柜尺寸</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8E6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6A06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供应商给出长度、高度和深度</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566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7097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8A915">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123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D34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137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36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机柜管理板</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769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7B7B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E15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238C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F5028">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AF8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125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产品规格</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1D8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机柜规格</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D23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机柜电源规格</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D5F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2F5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DC4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5CF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203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7F2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2EF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025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CB02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主板外部接口</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F1C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4593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 USB、显示、管理等接口，如：VGA、DP、HDMI、USB3.0、PS/2 接口、BMC 管理端口</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874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D668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55B3F">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B5A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49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79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EAE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B64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主板防烧板设计</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10D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10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532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B75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51CF8">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8ED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50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1087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B4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主板功能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99DC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扩展功能</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7F3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F238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88E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1C3D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04D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B31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E90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0EB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149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网络功能</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21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A221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支持网络连接、网络访问、数据交换和网络管控功能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1A0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DFFD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5D3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255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49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01E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F2D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CPU计算处理功能要求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310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84C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支持通用计算及虚拟化功能。处理器需集成整型计算单元、浮点计算单元、内存控制器、I/O 模块等，处理器与存储部件、网络部件、I/O部件等组成计算系统，提供数据处理、网络接入等计算相关功能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595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BF33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5F8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2F3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4A0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D12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AB7F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CPU密码算法实现要求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D2A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185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芯片应符合 GM/T 0008 的相关规定，或芯片密码模块应符合GB/T37092 或 GM/T 0028 的相关规定</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E64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C20A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B6E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D58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54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9B1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12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FC8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内存校验</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F6E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442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支持内存校验或内存增强型纠错功能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DFB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EA06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272A8">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BB5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55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D25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9FA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014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SSDNAND 健康状态上报</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E19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FE1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CD8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6E3F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B6DB5">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458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56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EE7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026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7778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SSD单 die 故障隔离</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DC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29C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B02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5F2F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7838C">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017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764F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1F8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04D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RAID卡RAID 级别支持</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0CF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3C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模式支持 RAID 0/1/10/50</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54C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1FDB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24C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A3E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853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35C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卡功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D5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RAID卡BBU单元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B0C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919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卡支持电容掉电保护</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481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37CC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9070B">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A51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59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1950625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7D3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5941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光驱类型（是否支持 RW，以及光盘类型CD/DVD）</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B91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C06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B22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C28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510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A59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3C802AB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068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C5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电源热插拔</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EDC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EB9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整机电源模块应具备热插拔功能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786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91C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9D9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6C6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07D9828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178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8F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电源过流保护</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3B3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02F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支持过流及短路保护的功能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D2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157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542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D40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22F3CD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6E4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0F4A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散热方式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B02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61F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支持风冷或液冷等散热方式</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7C4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68C8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78F9B">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30C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63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7D6CCE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456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E715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其他功能</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1BB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B28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68F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50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8B5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102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A6E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73B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8148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固件基础功能</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EB07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E88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 支持 DHCP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2)支持静态 IP 设置网络功能；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3)支持设备日志记录，包括但不限于登录日志、操作日志和报警日志等功能；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4)支持日志信息导出和记录删除功能；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5)支持通过管理接口向外输出准确的报警信息功能；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6)设备的BMC 管理软件应能够按报警的严重程度进行区分；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7)支持 IPMI2.0、SNMP 或 Redfish等接口功能；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8)支持键盘、鼠标和视频的重定向、文本控制台的重定向、远程虚拟媒体、高可靠的硬件监控和管理功能；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9)支持基于网络开启、关闭和重启设备的功能，并查询当前设备开机运行状态；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10)支持故障提示功能，并可通过接口读取服务器故障信息；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11)支持基于网络的固件更新功能，包括 BMC 和 BIOS 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12)支持基于网络安装操作系统的功能，并可通过网络控制台访问设备；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13)支持通过本地的硬盘或光驱等存储设备，基于网络完成设备的操作系统安装功能；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14)支持通过浏览器打开管理界面并登录功能；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15)支持设置口令策略功能；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16)支持访问权限设置功能，并通过日志记录访问事件；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17)支持对出厂默认的用户名及口令进行安全保护功能，并提供默认口令修改提示；</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18)支持读取设备主板的工作环境温度功能；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19)支持读取服务器 CPU 等核心器件的温度功能；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20)支持通过外部管理工具进行 BMC参数设置的功能，并可基于网络通过外部管理工具对 BMC 进行管理；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21)应支持固件版本查询、固件升级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22)支持基于网络实现开关机和复位控制的功能；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23)BMC 启动时间应不超过 180s，实现功能包括网络、IPMI、散热、传感器服务可用；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24)支持 BMC 固件设置的恢复出厂功能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8E7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FBE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DF9A9">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D3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65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89F9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589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3271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 固件增强功能</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B2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B8A7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CC8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A8A2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565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00B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BB1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AB1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6EF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BIOS 固件基础功能</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561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D64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a）支持查看固件版本、内存信息、主板信息、处理器信息和系统时间信息功能；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b）支持上电初始化界面显示 CPU 信息、内存信息、固件版本和部分快捷键信息功能；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c）支持设置界面中英文显示切换功能；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d）支持查看 PCIe 设备信息，SATA设备信息功能；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e）支持操作系统安装和引导功能，应并向操作系统提供计算机主板信息和服务接口；</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f）支持设置启动顺序，并按照设置的启动顺序启动功能；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g）支持安全启动功能；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h）支持设置口令、修改口令、验证口令功能；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i）支持板载显示控制或独立显卡的显示控制功能；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j）支持 RAID 识别和启动功能；k）支持串口重定向功能；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l）支持固件更新功能；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m）支持BIOS 固件设置的恢复出厂功能；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n）支持网络引导启用和关闭功能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F9A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E957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736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7D9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344F74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BD4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管理系统功能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C8D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远程控制</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784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1DA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支持远程关机和重新启动功能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D47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38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A4E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C97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16B963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007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EF41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操作系统及驱动的升级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76F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F47B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支持通过网络、闪存盘对操作系统、驱动进行升级</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420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DD33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65798">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9E5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69</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1C5AB9E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F99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700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操作系统及驱动的备份还原</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164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C0A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F00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0C7C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D75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4F4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657F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19D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操作系统及驱动功能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2E6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操作系统功能</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5AF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F47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支持访问控制、安全审计、网络接入鉴别等功能；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操作系统其他功能应满足操作系统政府采购需求标准中加*的指标要求</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F0A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4EAC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D98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F3F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049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A4B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739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中文信息处理</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7BB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83C5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 18030 的有关规定</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A62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C248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72F31">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0A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62BC75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17F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D90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机柜管理功能</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D9D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8BAC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83E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2E9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B5523">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367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00658C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AB4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8E6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机柜通信方式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778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70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9ED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305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3BC2E">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427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09E348D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kern w:val="0"/>
                <w:sz w:val="24"/>
                <w:szCs w:val="24"/>
                <w:u w:val="none"/>
                <w:lang w:bidi="ar"/>
              </w:rPr>
            </w:pPr>
            <w:r>
              <w:rPr>
                <w:rFonts w:hint="eastAsia" w:ascii="仿宋_GB2312" w:hAnsi="仿宋_GB2312" w:eastAsia="仿宋_GB2312" w:cs="仿宋_GB2312"/>
                <w:i w:val="0"/>
                <w:iCs w:val="0"/>
                <w:color w:val="auto"/>
                <w:kern w:val="0"/>
                <w:sz w:val="24"/>
                <w:szCs w:val="24"/>
                <w:u w:val="none"/>
                <w:lang w:val="en-US" w:eastAsia="zh-CN" w:bidi="ar"/>
              </w:rPr>
              <w:t>功能要求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4A8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机柜功能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F30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多集群作业管理</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96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3A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49B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5EDF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608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A38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805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0E8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4CF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关键部件安全要求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56A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45D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等关键部件应当符合安全可靠测评要求</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F0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BB2B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B71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63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1B0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A78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99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故障检测</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DA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789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支持故障检测功能，可以检测到具体的 FRU（内存、硬盘等）的故障并发出告警</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A65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18DD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A21FA">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516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77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F0E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B69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D68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内存故障智能预测和自愈修复</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6CA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266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457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B9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DC7FB">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94A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78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58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9EE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7693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硬盘故障智能预测</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992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BC0F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5B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F0AC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C9021">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FA8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79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A3A5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339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F31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PCIe 链路故障智能诊断</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937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0DBE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D7F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58E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75F91">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C22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80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36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8A4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D8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内存故障隔离</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2F7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0D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E7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50E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AAF5C">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BCA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81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A818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A7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5AC5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内存、PCIe卡的故障精准告警功能</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401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33C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986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FB32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C921">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B31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82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26B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F3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25C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异常下电关键数据保护</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5AA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DFCE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103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C320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20B56">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96C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83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EA8F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101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6AF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BMC/BIOS固件双镜像保护</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EF1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CC0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971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621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FDE5F">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0E3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84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DC8D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48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8AA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核重启隔离</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173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3034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DA8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355A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5C2D9">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6BB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85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5721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528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F35A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内存地址隔离</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A43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3C4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A5D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B0CC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BCFF4">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E23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86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807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0F6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B93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内存存储阵列替换</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D6F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330F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D30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8D36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83D62">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836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87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B98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1A4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固件安全要求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EF4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安全启动</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BAF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5081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868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750C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05F7A">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BB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88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B4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E80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DE4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syslog 双向鉴别</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23C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FB5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A6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DE1D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346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B7C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89</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BA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FF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1AE8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弱口令字典检查</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587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DFE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支持弱口令字典检查功能，出现在弱口令字典中的字符串不能被设置为用户口令</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F16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5030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F5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885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15E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D9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7509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白名单访问控制</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D3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8BA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支持基于时间、IP 或 MAC 白名单访问控制</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94E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9FE7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FB7F9">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483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91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4FF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591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8A5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双因素鉴别</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C3C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9F7A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2AD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476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B63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B30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DC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BE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4CE0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二次鉴别</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492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282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支持二次鉴别功能。对于用户配置、权限配置、公钥导入等重要的管理操作，已登录用户应通过二次鉴别后，才能执行操作</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D39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3884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1F13C">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0A7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93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0D3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28F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20C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匿名化用户告警接收邮箱</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B4D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937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5E4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35E9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735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AF3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037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EF8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A72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密码证书安全加密存储</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BBD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EB0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支持对带外管理系统中的用户口令和证书等敏感信息进行加密存储，禁止使用私有的和业界已知不安全的密码算法</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4FF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9B88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0AC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AB9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11B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216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系统安全要求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49EB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敏感信息安全加密传输</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555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F5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支持使用安全的传输加密协议（如SSH 或 HTTPS 等）传输用户的敏感信息</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CE0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39E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3FF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3DC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43F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804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6C6D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研发过程安全要求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035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5A0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FC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34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C54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C80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1BB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0C1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2A09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漏洞管理</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A22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7CC8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供应商承诺，生产商已建立漏洞全量视图，保证产品版本涉及到的所有漏洞(如驱动程序、BMC 软件等)都可以查看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BD8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101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CB6B8">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3E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98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20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BC3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68DD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网络关键设备服务器要求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340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4C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A92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4DA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CAEC4">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358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99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B91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B3C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信息安全要求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1E1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增强要求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DF0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99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146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9D5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D93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842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549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07F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905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物理安全</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E3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A670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安全要求应符合 GB 4943.1 的规定</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0D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0C6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3B8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A43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639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安全要求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A0B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3D17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F26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D51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限用物质的限量应符合GB/T 26572的要求</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AAF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A5CB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9FF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540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774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F96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AFBB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 主频</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010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70C8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≥2.6GHz</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0A2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B743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A4C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F0A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DA5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AD3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8EC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核数</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6C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79EC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≥48</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3F9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0A19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7F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0D9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7F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B44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CPU性能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EE2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 CPU 末级缓存容量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595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7BB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≥48MB</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CF6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F1C5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7127C">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956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FD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DBF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526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单内存模块容量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8CF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478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≥32GB</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E6F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2A01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E5A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5C6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3D66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F79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F838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内存速率</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642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805A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≥3200MT/s</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8FE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838E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51ADC">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150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107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0B3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896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6373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硬盘转速</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2C7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5D8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706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9A61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959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1B1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C96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95A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F24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RAID卡缓存容量</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C7D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AB7B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配备 RAID 卡且 RAID 卡有缓存容量，容量不少于 4GB</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0C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6D4A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C93E6">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DED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109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4140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0EC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HBA卡性能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1A75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卡速率</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5E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29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774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BF45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3B201">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9B7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110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6BC4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2E4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479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独立网卡速率</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38A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D655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F53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C541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7B2F7">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FCB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111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901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134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网络性能</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A9A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板载网卡速率</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3DE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A92A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191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E548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58D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AAA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977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746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0EE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电源能耗</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A68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B0A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 GB/T 9813.3 的有关规定</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8C4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507C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E44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979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20A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599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1A5F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内存兼容性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786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22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种及以上厂商的内存产品，且均不低于产品支持的内存规格</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BF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70E9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8F4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9E0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485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7F9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FF4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固态存储兼容性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B8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5F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适配 3 种或以上厂商的固态存储产品，且均不低于产品支持的固态存储设备规格</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97B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99A1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34F79">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CA4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115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574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0FA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4276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FC HBA 卡兼容性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0C4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2E7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369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45EA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7B3F1">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562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116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4368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5E5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F8F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RAID 卡兼容性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554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FC95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732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670A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13D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D0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A0B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03C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378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网卡兼容性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697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ABB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网卡应适配两种或以上厂商产品</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0BF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4F89A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1E7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9F0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69E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AC1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部件兼容性要求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24D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功能卡兼容性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122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122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内置或适配符合 PCIe 的功能卡，如：网络功能卡、存储功能卡及图形显示功能卡</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413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EEBE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8BD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5EF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119</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6F0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67D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E00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外设兼容性要求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927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226A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兼容多种主流生产商的外部设备，包括显示器、键盘、鼠标、闪存盘、移动硬盘、USB 光驱及 KVM 等，要求使用不同厂商的外部设备时，系统均能正常识别和安装驱动</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6AB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0EA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61A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46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8F9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A76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B8FD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数据库兼容</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86C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BF4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个及以上厂商的数据库产品</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ECC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675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1DE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538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67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BA3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C1C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中间件兼容</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9D0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DDC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个及以上厂商的中间件产品</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7BC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28FE2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EA4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120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AAA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A2C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123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平台软件兼容</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97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6F02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 3 个及以上厂商的大数据平台</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C95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32BB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DD563">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495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1ED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兼容要求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EBC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软件兼容性</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445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虚拟化软件兼容</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54E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FB65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B86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ABC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68392">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83E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06D1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9B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存储可靠性要求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77E8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SATA SSD可靠性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5B0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0B2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FDB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1373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C61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281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BED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D5C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739D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013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FFC1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m1 值（MTBF 的不可接受值）不得低于 30000h</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20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A1B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134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3C6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126</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E7F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8CC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F2B3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风扇可靠性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399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491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风扇寿命应不低于40000h</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EA4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A64B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A9F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C64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127</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B0C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可靠性要求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5B6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整机可靠性要求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177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部件可靠性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DDB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340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支持硬盘、电源、风扇热插拔(内置风扇除外)</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3ED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0BA2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DD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F52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128</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2BD3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1B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包装及运输要求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89A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标志、包装、运输和贮存</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C9C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093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符合GB/T 9813.3 和商品包装政府采购需求标准的相关规定</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3CF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02F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A22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CCD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129</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47E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5C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87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FEF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EEA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提供电话、电子邮件、远程连接等多种形式服务；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提供同城 4h、异地 12h 技术响应服务，2 个工作日解决问题，对于未能解决的问题和故障应提供可行的升级方案，并提供周转设备；</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建立全国技术服务体系和服务团体，符合专业服务体系标准要求，提供原厂中文服务；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服务周期内提供产品的维修、换件和升级服务</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30D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6DB2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9D0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F8A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163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35B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服务响应</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BFF5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培训服务</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B65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6E8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供应商提供培训材料、产品手册、培训视频等培训相关内容</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997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8A5E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DC1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D43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ADAB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C4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7B9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服务周期</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189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27D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a) 产品免费服务周期（含换件和维修）应不小于 3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b) 设备停产后继续提供质量保障服务（含备品备件），服务终止时间与最后一批设备交付时间间隔不低于 6 年；</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c) 产品停止服务时间应提前 1 年告知客户；</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d) 产品发布日期需在随机文件中明确</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477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2FB0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E9F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0C3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E756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78E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A69B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工具要求</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6D4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C6F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供应商提供设置服务器硬件、辅助操作系统安装等功能的辅助工具和管理软件。且随附软件应具有合法授权或版权</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DA4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625E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6696F">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72B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133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022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F59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B3A2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辅助工具</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F4B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2F4B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22B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376D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677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573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9E1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08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A283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驱动安装升级指引</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DF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B12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供应商提供出厂安装的配件所需的驱动程序，形式包括但不限于驱动光盘、驱动下载链接等。其他配件应提供指引</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C8A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C277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BC80A">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D04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135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A739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607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A023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随机附开盖工具</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DEC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8BE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267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4F2B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D5405">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E91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136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0F3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1C7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093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代码迁移工具</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EC4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45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C6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685F3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FB3C4">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67F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137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CEB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EA0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E3D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性能分析工具</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38C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08F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166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F1C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FF403">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757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138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AC7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0A2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B72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跨架构平台应用兼容</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DC5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FF07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9DC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8D4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B60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F1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139</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7E76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235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服务工具要求</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FCDC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管理软件</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393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2F94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具备资源管理、系统管理、性能监控、健康监控、基于网络控制、报警设置功能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550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E7B6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4F5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E3C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493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491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626B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厂家升级产品软件与扩容服务</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1A1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23C2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供应商提供原厂级的部件/软件产品升级和扩容能力</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BBE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00C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19FA4">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B2E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6B1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3FD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09AE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服务保障升级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ED4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0097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ABE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7BE2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5B0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6A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97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B7C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96FC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提供上门服务</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954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是</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6D8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供应商具备提供上门服务的能力(可收费)</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C34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7346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7A055">
            <w:pPr>
              <w:spacing w:line="240" w:lineRule="exact"/>
              <w:jc w:val="center"/>
              <w:rPr>
                <w:rFonts w:hint="eastAsia" w:ascii="仿宋_GB2312" w:hAnsi="仿宋_GB2312" w:eastAsia="仿宋_GB2312" w:cs="仿宋_GB2312"/>
                <w:i w:val="0"/>
                <w:iCs w:val="0"/>
                <w:color w:val="auto"/>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AF9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143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2A8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服务要求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F53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增值服务</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3DD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业务场景性能优化服务及整体架构升级服务</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6AC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FE7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B05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5A6A9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FC0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7E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5A1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06F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57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抗干扰性</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A54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2F08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当产品部件出现供应风险时，应通知客户并提供风险应对方案确保产品的服务保障，必要时应停止相关受影响产品的销售</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F9E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r w14:paraId="15F96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7AD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79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 xml:space="preserve">145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90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供保要求</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D99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供应链质量</w:t>
            </w:r>
          </w:p>
        </w:tc>
        <w:tc>
          <w:tcPr>
            <w:tcW w:w="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0AA3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供应能力证明</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D65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否</w:t>
            </w:r>
          </w:p>
        </w:tc>
        <w:tc>
          <w:tcPr>
            <w:tcW w:w="1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6C6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供应商提供供应链稳定承诺书，确保产品的部件在产品服务周期内稳定供货</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7F7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r>
    </w:tbl>
    <w:p w14:paraId="5AB5D302">
      <w:pPr>
        <w:spacing w:line="240" w:lineRule="auto"/>
        <w:ind w:firstLine="0" w:firstLineChars="0"/>
        <w:jc w:val="left"/>
        <w:rPr>
          <w:rFonts w:hint="default"/>
          <w:lang w:val="en-US" w:eastAsia="zh-CN"/>
        </w:rPr>
      </w:pPr>
      <w:r>
        <w:rPr>
          <w:rFonts w:hint="default"/>
          <w:lang w:val="en-US" w:eastAsia="zh-CN"/>
        </w:rPr>
        <w:br w:type="page"/>
      </w:r>
    </w:p>
    <w:p w14:paraId="7BBCEA28">
      <w:pPr>
        <w:pageBreakBefore/>
        <w:spacing w:line="360" w:lineRule="auto"/>
        <w:ind w:firstLine="0" w:firstLineChars="0"/>
        <w:jc w:val="left"/>
        <w:outlineLvl w:val="2"/>
        <w:rPr>
          <w:rFonts w:hint="eastAsia" w:hAnsi="仿宋" w:cs="Times New Roman"/>
          <w:b/>
          <w:bCs/>
          <w:sz w:val="24"/>
          <w:szCs w:val="24"/>
          <w:lang w:val="en-US" w:eastAsia="zh-CN"/>
        </w:rPr>
      </w:pPr>
      <w:r>
        <w:rPr>
          <w:rFonts w:hint="eastAsia" w:hAnsi="仿宋" w:cs="Times New Roman"/>
          <w:b/>
          <w:bCs/>
          <w:sz w:val="24"/>
          <w:szCs w:val="24"/>
          <w:lang w:val="en-US" w:eastAsia="zh-CN"/>
        </w:rPr>
        <w:t>附表8</w:t>
      </w:r>
    </w:p>
    <w:tbl>
      <w:tblPr>
        <w:tblStyle w:val="59"/>
        <w:tblW w:w="518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457"/>
        <w:gridCol w:w="501"/>
        <w:gridCol w:w="893"/>
        <w:gridCol w:w="1032"/>
        <w:gridCol w:w="770"/>
        <w:gridCol w:w="4527"/>
        <w:gridCol w:w="646"/>
      </w:tblGrid>
      <w:tr w14:paraId="6CD1E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9D39">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8"/>
                <w:szCs w:val="28"/>
                <w:u w:val="none"/>
                <w:lang w:val="en-US" w:eastAsia="zh-CN" w:bidi="ar"/>
              </w:rPr>
              <w:t>数据库系统</w:t>
            </w:r>
          </w:p>
        </w:tc>
      </w:tr>
      <w:tr w14:paraId="0D603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C97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重要程度</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453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C2D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指标分类</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429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一级指标</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1A6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二级指标</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2E8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标准是否允许作为评分因素</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313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指标要求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2AD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证明材料要求</w:t>
            </w:r>
          </w:p>
        </w:tc>
      </w:tr>
      <w:tr w14:paraId="226E9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34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A3A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5FE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A92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安装与升级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EAA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数据库安装</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089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00D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支持命令行或图形化的安装；</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支持命令行或图形化的可配置安装能力；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依据安装环境提供相应的初始化参数配置值；</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提供图形化软件组件管理向导工具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4C5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A8E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485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2D1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DA7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D3F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安装与升级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AA3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数据库重启</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164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E65D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支持命令行或图形化的方式关闭和启动服务；</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关闭服务后，再启动服务，服务正常</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D3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EDCE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190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23A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9E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B68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安装与升级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233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安装配置日志</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B42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A00E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提供软件安装的日志记录功能；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记录的软件安装信息完整正确；</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提供安装配置操作的日志记录功能；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记录的配置操作信息完整正确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34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3D5A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27B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486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463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33A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安装与升级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A56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升级维护</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B25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BA82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支持版本升级，保证版本间功能和数据的兼容性；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厂商提供当前版本与历史版本的差异说明文档，包含新版本对软件和硬件的支持情况</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463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91EF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69FA0">
            <w:pPr>
              <w:spacing w:line="240" w:lineRule="exact"/>
              <w:jc w:val="center"/>
              <w:rPr>
                <w:rFonts w:hint="eastAsia" w:ascii="仿宋_GB2312" w:hAnsi="仿宋_GB2312" w:eastAsia="仿宋_GB2312" w:cs="仿宋_GB2312"/>
                <w:b/>
                <w:bCs/>
                <w:i w:val="0"/>
                <w:iCs w:val="0"/>
                <w:color w:val="000000"/>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C78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D24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0A6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安装与升级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D15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安装和升级的兼容性</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B1E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130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支持在不同CPU架构的节点上安装配置、升级，且安装配置、升级数据库的命令行或图形界面相同或相似</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E8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FFCE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8C3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CE6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51B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949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安装与升级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371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节点部署</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29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3F0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支持节点安装配置；</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支持通过单一节点发起并将数据库部署在多个节点上</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8A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D938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81A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52C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C8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09D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数据配置</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70D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参数配置</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6F7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AF21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依据工作负载和运行环境，提供配置参数修改的能力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修改数据库配置参数后，配置参数立即生效或数据库重新启动生效，立即生效的配置参数和需要数据库重新启动方可生效的配置参数在相关文档中明确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847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3DF9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F52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726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8C0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DBB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数据配置</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C2F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存储配置</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2E0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065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提供数据库级物理存储位置、逻辑存储参数配置功能；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在数据库初始化阶段，提供数据库物理读写块大小的配置功能；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提供数据库存储对象空间使用参数的配置功能；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提供索引数据存储参数管理功能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45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D0FA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F00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A40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B24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E4E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数据配置</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D47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内存配置</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3E7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888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提供数据库内存规划和配置建议；</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依据物理内存规划数据库可用内存；</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依据可用内存或负载情况，自动设置或向用户建议不同数据缓存区大小</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4A2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AFE7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302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10E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8D1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9CA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12D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基础数据类型</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B61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7119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支持数值类型；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支持字符类型；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支持二进制类型；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支持日期和时间类型；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支持布尔类型；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f) 支持（大）文本类型；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g) 支持大对象类型</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0F4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9692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C7B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36C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3C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358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51E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扩展数据类型</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8AF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EBB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支持间隔、XML、JSON等数据类型</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279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4909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748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BFD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5CF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5CF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4EF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自定义数据类型</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8C1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58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具备用户自定义数据类型的能力，可支持不同应用场景的数据类型需求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439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E2EB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131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06B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D25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AF7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B60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数据存储基础功能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FCB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A8D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支持基础数据类型</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459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2534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F38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156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349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98C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68D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数据存储增强功能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1AA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0C20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支持扩展数据类型；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支持自定义数据类型</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890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B2D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38E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204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14B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16D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A4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数据检索基础功能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17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ED8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支持基础数据类型</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4A5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67A0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F76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93C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032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B58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3ED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数据检索增强功能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C3B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8564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支持扩展数据类型；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支持自定义数据类型；</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支持中文检索功能，如使用中国纪年历法进行检索</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830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8B79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3CE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D4F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29D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AA0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A12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核心SQL能力</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87F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0EA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支持左外连接；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支持右外连接；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支持内连接；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支持全连接</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F50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6F9D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70E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11D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32C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D1C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B5C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字符集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5B0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D23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中文字符集符合GB 18030的要求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D0B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6CD1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6DE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E52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E4D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704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D9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常用操作符</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0DF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051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支持逻辑操作符及相关运算；</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支持比较操作符及相关运算；</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支持算术运算符及相关运算</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1AB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95C2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D7D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B1B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2EA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EEA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11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条件表达式</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5BC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FE43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支持对比条件表达式；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支持逻辑条件表达式；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支持空值条件表达式；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支持等于条件表达式；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支持模式匹配条件表达式；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f) 支持区间条件表达式；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g) 支持IN条件表达式；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h) 支持存在条件表达式；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i) 支持以上条件表达式的复合表达式</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B64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8690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361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38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0F1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67B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SQL功能</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D32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SQL执行计划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4CB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8D7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支持SQL计划，使SQL按照指定的语句执行，并实现预期结果</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A34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D542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719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C05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346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B19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F31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基础对象类型</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392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DDED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支持用户的创建、删除、修改；</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支持角色的创建、删除、修改；</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支持存储过程的创建、删除、修改；</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支持表操作功能；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支持自增序列；</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f) 支持主键约束、外键约束、唯一性约束、检查约束和联合主键约束；</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g) 支持游标功能；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h) 支持视图的创建、删除、修改；</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i) 支持数值计算函数、字符处理函数、日期时间值函数、间隔函数、类型转换函数、位运算函数、聚合函数、格式化、系统信息等常用函数</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92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0AD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318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0E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A0A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C6A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A7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扩展对象类型</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540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BD33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支持包的创建、删除、修改；</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支持触发器的创建、删除、修改；</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支持外部链接的创建、删除，并可以通过外部链接进行外部访问；</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支持作业的创建、删除、修改；</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支持全局唯一的自增序列；</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f) 支持创建函数索引；</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g) 支持定义同义词</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3C6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927B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95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7EC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82F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BC2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DAD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基础表分区管理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A2C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E69F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哈希分区方式；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范围分区方式；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列表分区方式</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4F3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4C3F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668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16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82D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211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ED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扩展表分区管理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873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FDC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支持数据库表分区及二级分区能力；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支持建立分区索引</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B1F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9C08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9A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1EA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E6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CA3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C26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查看对象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156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CCC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支持查看数据库信息；</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支持查看表对象信息；</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支持查看索引对象信息；</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支持查看字段对象信息；</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e）支持查看约束对象信息；</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f）支持查看数据库实例信息；</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g）支持查看表空间信息</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4CA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F37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25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3C7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697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25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779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查看日志、系统信息</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34A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AE02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支持查看日志文件的能力；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b）厂商提供查看实例数据缓存的视图或图形化管理工具；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c）厂商提供查看日志缓存的视图或图形化管理工具；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d）厂商提供查看数据字典的视图或图形化管理工具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408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2230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084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6E5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7BC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72A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AA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对象变更</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B0F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E1C4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a)支持数据库的创建、删除、更新以及数据库属性的查询；</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b)支持在线变更表结构、索引；</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c)支持数据的增加、删除、修改和查询</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16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3488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200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24D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FD4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66A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D4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查看会话系统表/视图</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C06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2C2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提供查看会话标识的视图或图形化管理工具；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提供查看进程/线程标识的视图或图形化管理工具；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提供查看用户标识的视图或图形化管理工具；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提供查看最近的用户请求命令的视图或图形化管理工具；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提供查看缺省模式的视图或图形化管理工具；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f) 提供查看登录时间/会话状态的视图或图形化管理工具；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g) 提供查看会话状态的视图或图形化管理工具；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h) 提供查看等待会话的锁信息的视图或图形化管理工具；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i) 提供查看等待时间统计信息的视图或图形化管理工具；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j) 提供查看使用时间统计信息的视图或图形化管理工具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54C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C7D6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A79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2C1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E8F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09A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8D5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查看监控连接系统表/视图</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CE0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680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提供查看连接标识的视图或图形化管理工具；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提供查看连接状态的视图或图形化管理工具；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提供查看连接用户的视图或图形化管理工具；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提供查看连接类型的视图或图形化管理工具；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提供查看当前事务信息的视图或图形化管理工具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EA5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6147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549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022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089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FD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9AA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异构数据库联机访问</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5AC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A98A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提供异构数据库数据联机访问功能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D70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8FAB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336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B2C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9D0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DB0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544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完整性管理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DF5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37F6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支持验证表存储完整性；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支持验证索引存储完整性；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支持验证数据库存储结构完整性；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支持查看视图定义完整性；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支持查看存储过程/函数定义完整性</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EC6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3E62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05D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B08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012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D8E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事务能力</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98B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事务基础特性</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061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A46D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支持事务的ACID</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927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B98A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001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FC7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F2B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EF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事务能力</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87A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死锁检测与处理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789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EFC5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在并发执行过程中，能检测到死锁；</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提供解决全局死锁的机制；</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具备死锁处理能力；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具备死锁超时回滚的能力；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具备死锁检测与处理记录功能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292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8265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AF2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FB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570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76C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运维</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011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运行时统计信息基础功能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54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8B2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a）数据库慢SQL统计：</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1）支持统计SQL语句；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2）支持统计用户名；</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3）支持统计数据库名；</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4）支持统计执行时长；</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b）数据库性能状态统计：</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1）支持统计每秒事务数和查询数；</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2）支持统计SQL平均响应时间；</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3）支持统计高频SQL</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98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F9F2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B76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38D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A38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66F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运维</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2E5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运行时统计信息增强功能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999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5C6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a)支持统计集群节点CPU使用情况；</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b)支持统计集群节点内存使用情况；</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c)支持统计集群节点磁盘使用情况；</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d)支持统计集群节点网络使用情况</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15D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E460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F9C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AFB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49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007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运维</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A27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日志</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043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B15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具备对各类事件进行日志记录的功能，可通过日志查看操作内容、执行过程和结果；</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具备提示和警告功能，提示或警告数据库结构修改、数据库运行配置修改等重要操作；</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日志完整正确，并且提供可读文本的形式；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支持中文日志</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21E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AE72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85A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8D2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EBC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8E8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运维</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D9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远程运维</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C1C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2A70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具备远程维护功能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710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0C0C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1E0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939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520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5F5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运维</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96C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报警</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EEE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C28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厂商提供通知管理员的方法或工具；</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支持设置报警基线，数据库运行中遇到重要事件、异常事件和状态、超过报警阈值等情况时，通知管理员；</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提供报警API；</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报警发生时，支持报警信息的实时展示</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4D0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008F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63F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581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2BA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D37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运维</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A2F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SQL监测与优化建议</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6E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FF03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实时监测SQL执行过程中资源使用情况；</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提供查询计划的缓存管理功能；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提供SQL改写的优化建议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1C4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F170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6A1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652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F2F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35F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迁移</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3F2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应用迁移</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C1F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3C8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提供SQL、存储过程等价语法转换，并将转换后的语法在目标库进行校验，转换后语法可编译可执行；</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对转换出错或校验出错的语法进行定位，引导用户进行错误校正后再次编译校验；</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尽量减少应用的修改，从源数据库迁移到目标数据库，并可运行</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E87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B790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86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3C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9D1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AB3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迁移</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1E6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数据迁移</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E70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A08C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提供元数据、数据库、数据库对象、表数据快速迁移的功能；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支持数据迁移工具实现同构或异构数据库之间的数据迁移；</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支持全量数据迁移、增量数据持续同步等迁移模式；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在数据迁移过程中具备应对传输异常的能力，保障数据迁移的稳定性、连续性和一致性；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支持存量数据的一次性迁移和增量数据库的持续同步；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f) 支持多种不同类型的源数据库和目标数据库之间的数据迁移</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F3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45FE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4E0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6A0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834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2D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迁移</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E65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数据比对基础功能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43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CB5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对源数据库和目标数据库之间的数据进行比对，支持数据一致性，并提供一致性比对报告</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A30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ABBE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52A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F03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04B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AA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迁移</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0C3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数据比对增强功能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5C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115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数据比对规模是可配置的，用户可根据业务需求，进行库级、表级等级别的比对，提供数据修复功能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B49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BD4F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EFA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83F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0EB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F53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备份恢复</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289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数据备份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198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B008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运行状态下支持对数据库进行全库备份；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运行状态下支持对数据库进行部分备份；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运行状态下支持对数据库进行增量备份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39F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5F9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677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D0E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494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ED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备份恢复</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AA1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备份数据管理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BE9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021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支持备份数据的加密；</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支持备份数据的压缩；</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支持备份数据的存储</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487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AF82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D2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7CA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4A0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02B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备份恢复</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EA6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用户/模式备份、恢复</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470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89A1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支持对数据库的所有或指定用户/模式下的数据进行备份；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支持对数据库的所有或指定用户/模式下的数据备份进行恢复</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631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E12A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DCB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115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DF5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261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备份恢复</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5A7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多种存储媒体备份、还原</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47E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1FD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支持多种备份存储媒体，支持多种存储媒体的部分、完整数据库数据还原处理能力</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71E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4F38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83A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508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52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29E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备份恢复</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B17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备份还原的一致性校验</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BD1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A70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提供数据库备份数据一致性校验的命令或工具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8D9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DE7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5D5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DB9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172A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2C9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集群管理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91D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集群构建与管理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A02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360B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支持集群的运行环境；</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支持创建并配置数据库集群；</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配置信息至少包括日常运维管理、容灾管理、日志管理、备份管理、监控等</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135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87CF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F36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B44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07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36C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集群管理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DD3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集群构建与管理扩展要求</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711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AC7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在读写操作负载差距较大时，提供读写分离能力</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FF7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7E61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DB7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F91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531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CAD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集群管理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FB3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共享存储架构下的集群要求</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3DA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C157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在共享存储集群架构的基础上：</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a) 支持管理硬件存储资源，包括为共享存储扩展存储容量；</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支持集群多个节点同时写入或一写多读，事务支持ACID特性；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支持节点间的缓存一致性</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597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BA24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144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582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72B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0D4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D32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数据库开发调试工具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10D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719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具备图形化功能，提高易用性；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具备导入、编辑、保存、执行SQL语句和SQL脚本功能；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具备复制、编辑现有数据库对象功能；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具备关键词显示标记、动态语法提示的SQL编辑器功能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4FA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CBA5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2DF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5D1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455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4C1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203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数据库预编译工具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C46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499C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厂商提供预编译工具，支持嵌入式SQL编程</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E2B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E957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B61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B6D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4C0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55A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8DC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网络配置工具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7B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EBC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提供客户端、服务器端网络配置向导；</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支持配置网络连接参数、主机、端口、协议等内容</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480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3D7F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164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D11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F22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3F1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2EB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创建、修改、删除工具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3D5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9939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支持数据库的创建、修改和删除；</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支持配置数据库数据文件、日志文件、归档文件的存储位置、逻辑空间（如表空间）等参数；</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支持配置数据库属性相关参数（如最大连接数等）</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89D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0B7D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E8C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919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9B9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5B1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7B3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用户、角色管理工具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759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9D98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支持创建、修改、删除用户的功能；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b）提供定义用户的功能；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支持创建、修改、删除角色的功能，且提供用户自定义角色的功能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3E4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D7E9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6D1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39B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CEF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4EB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578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SQL执行计划查看工具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F46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37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提供与数据库管理系统进行SQL交互的工具，方便运维工作；</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支持查看SQL语句查询执行计划与统计信息</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86D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E8BE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8A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97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62E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1E6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1E6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数据库对象工具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A3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0B5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支持创建、修改、删除表的功能，支持定义表结构、约束、存储配置管理的功能；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支持创建、修改、删除索引的功能，支持定义索引结构、类型、存储配置管理的功能；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支持创建、修改、删除视图的功能，支持视图定义的功能；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支持创建、修改、删除约束的功能，支持约束定义的功能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D7D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B11D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512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C53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0F1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8E6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C08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导入导出工具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85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27F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支持导出不同格式，可以将不同格式数据导入到数据库中；</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支持不同级别和不同数据库对象的导入/导出功能；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支持从文本文件或者其他上游数据源将数据导入；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支持SQL脚本进行导入导出</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461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4BE7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889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C15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F08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0A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A3C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触发器、存储过程/函数工具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009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F20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支持创建、修改、删除触发器的功能，支持触发条件、事件的设置；</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支持创建、修改、删除存储过程/函数的功能，提供定义存储过程/函数的工具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E38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EEEF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23B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7FD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AAB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F6D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1EB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数据库运维工具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E7D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C1C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支持数据库、数据库存储对象结构、数据、统计信息更新维护；</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支持数据库创建、数据库修改、数据库删除、数据库模板维护；</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支持数据库任务自动化调度作业管理；</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支持图形化展示数据库管理的各种元数据界面，展示的内容具有层次性，包括模式、非模式数据字典信息</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CB7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93FA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13B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048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DAF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016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工具</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602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监控跟踪工具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2B5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90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收集和统计数据库某时间段的运行状态及性能信息，判断该时间的数据库运行性能瓶颈；</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支持系统状态监控能力，包括对集群、服务器和数据库状态的监控等；</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支持性能瓶颈跟踪、运行过程监测与调优；</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提供数据库实例、网络通信、数据库对象的跟踪日志，日志数据准确、完整；</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支持特定事件或事务发生时收集监控数据库活动事务数据；</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f) 支持跟踪数据库等待事件；</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g) 提供捕获并记录实例、数据库在特定时间点的状态</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D7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0C1F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D64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4B4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FAF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6CB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513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图形化远程启动、关闭数据库</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852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AD8E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提供数据库资源配置向导；</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提供远程数据库服务启动、关闭功能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61B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D355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A1B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695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B3C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2C7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45A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图形化的开发工具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335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40A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厂商提供图形化的开发工具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7A4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54FF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D1F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C0D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083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BB8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6B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图形化运维工具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274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363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厂商提供图形化的运维工具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1F4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DAAF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67F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2B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1ED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BAD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288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图形化展示工具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1FE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F747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厂商提供图形化数据展示工具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86A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4A81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004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85C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2B1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A41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87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图形界面配置参数基础功能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6F1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1B7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a）基本配置参数：</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1）配置资源使用限额；</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2）配置连接数；</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3）配置白名单；</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b）逻辑存储配置：</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1）图形界面支持逻辑存储配置；</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2）提供图形化界面管理数据库对象逻辑空间分配功能；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c）提供图形界面配置参数功能，支持图形界面配置用户口令；</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d）配置审计：</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1）支持图形化界面配置审计策略；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2）支持查看审计数据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FF0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4E48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96C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953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20D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216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FC9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图形化管理数据库对象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C82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A980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图形化管理统一的数据库实例、数据库日志文件、数据库运行模式、表对象、表数据存储空间、索引定义类型、视图、触发器、存储过程/函数、角色/用户权限、同义词、序列、外部表、物化视图、作业调度、数据库链接、分区表数据、服务器资源分配、自增列</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702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7674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B8C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F27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15E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10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98A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图形化监控</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06E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121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a）支持多实例集成监控与管理；</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b）支持操作系统和网络资源集成监控与管理</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FCE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150B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A5E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44F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B81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735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D68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图形化管理归档</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753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43D0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支持对归档模式、归档文件位置、归档启用/停用进行管理</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DAA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ECE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E1C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D53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7F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EA5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74D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图形化管理数据的备份、还原/恢复</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4A2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9D1C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提供图形化管理数据的备份、还原/恢复的功能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00F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26CE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BE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C5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3AB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A97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图形化管理</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63A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图形化界面易用性</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690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6C80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支持浏览器图形界面管理；</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图形化管理工具界面窗口、选单、图标、文字、快捷键统一并易于理解</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19B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5FC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16B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D90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833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FB4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稳定运行</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9FB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稳定运行</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376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5780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支持连续稳定运行；</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支持数据库管理系统运行风险的报警能力</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F10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777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62C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43E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6DC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E6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故障切换</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4BD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快速切换</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6AB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A603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支持快速切换，在主数据库出现故障时，能够快速切换到备用数据库，保障业务正常运行</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BB1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6792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A86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25E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CBB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EBD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故障切换</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A4A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恢复无断点</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C6D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D317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支持无断点恢复能力</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9B2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15FB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9EC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BD5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29B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F39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容灾能力</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F11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主备备份</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A64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8225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支持多副本，支持主副本与从副本之间的数据同步，最低时延由生产厂商提供；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提供基于主机的数据库复制技术，包括基于日志的备用数据库远程数据库备份技术，并具备数据副本间的复制能力</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00B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6B72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999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389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BD8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D48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容灾能力</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B3F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实例容灾</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1A9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813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在任意数据库实例出现故障时，集群内服务正常运行，数据不丢失，集群整体业务可用；</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在实例故障、节点故障等单数据库实例故障时，RPO时间等于0，RTO时间小于30s</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E54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CEE7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4F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26B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28D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673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容灾能力</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3E9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容灾部署</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BBE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6231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a)提供远程容灾部署与管理功能；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b)提供生产中心与备份中心之间的容灾部署与管理功能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521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D272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7CF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1A7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9E3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7A0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容灾能力</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FA7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同城容灾</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E7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540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支持同城双中心部署，当主中心故障时，业务切换到备中心；</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由于网络、供电等原因造成的可用区级故障，触发集群计划外停机，在同城多可用区场景下，RPO时间等于0，RTO时间小于1分钟</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69F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3017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20512">
            <w:pPr>
              <w:spacing w:line="240" w:lineRule="exact"/>
              <w:jc w:val="center"/>
              <w:rPr>
                <w:rFonts w:hint="eastAsia" w:ascii="仿宋_GB2312" w:hAnsi="仿宋_GB2312" w:eastAsia="仿宋_GB2312" w:cs="仿宋_GB2312"/>
                <w:b/>
                <w:bCs/>
                <w:i w:val="0"/>
                <w:iCs w:val="0"/>
                <w:color w:val="000000"/>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E72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861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DC8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容灾能力</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B21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异地容灾</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BED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895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城市级故障，比如地震，业务可以切换到异地；</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异地灾备场景支持两地三中心部署架构，在本地建立同城灾备中心，在异地建立异地灾备中心，RPO时间小于1分钟，RTO时间小于10分钟</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616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EFC7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06B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AA8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C1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E1E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容错性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4D3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服务端编程稳定性</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90F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C2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支持当用户自定义的存储过程、函数运行异常时，数据库稳定运行</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1C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5865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DB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78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8A2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DC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容错性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903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网络容错</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F8E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22B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支持网络中断时，保障事务一致性</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BF8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F0C1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061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6B6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1F9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340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容错性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B9D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检测报警</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37C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6CF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支持数据库实例启动时错误检测能力；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支持加载不同文件格式、不同大小数据出现错误时的故障检测和处理能力；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支持数据库备份执行过程中发生故障时报错或者报警能力；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支持数据库恢复发生故障时报错或者报警能力</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18B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4942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8C7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6DF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130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AB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容错性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69B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故障恢复</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E5C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175E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系统故障重启后能正常运行且支持数据一致性；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支持完全媒体故障恢复的能力；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提供基于时间点故障恢复功能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814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B936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6C2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CD9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36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866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容错性</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384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不同级别故障可恢复</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689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0B5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支持数据库事务故障、系统故障、存储媒体故障不同级别的可恢复能力</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199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F4E1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72E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A46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7F3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739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94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云化部署</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A4C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179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持虚拟化部署或容器化部署等云化部署方式</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764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3A24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90D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B7C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C6B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E01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硬件兼容</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021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硬件平台兼容</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AAE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20D0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同源支持以下至少三种CPU平台架构：</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1) ARM；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 LoongArch；</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3) MIPS；</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4) SW64；</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5) x86；</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支持SMP和NUMA的运行环境</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A67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1D8B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18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E7A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1CD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DC3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标准兼容</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A19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ODBC</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DBF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2B2E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支持ODBC</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C39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77B0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B98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F60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DA0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396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标准兼容</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5A1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JDBC</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729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1D95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支持JDBC</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C8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03AB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1D4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B83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CD6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C6A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交付方式</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4F6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交付方式</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44A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8E48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以光盘、便携式移动设备、镜像文件、在线下载等交付方式提供产品交付物</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CC6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D316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19E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AEA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2B0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93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服务周期</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E7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产品维护周期</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CF1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D22F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产品自发布之日起至产品停止功能升级（包含不限于新特性、新硬件支持、问题修复、安全补丁等）之日止≥5年</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BAC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1405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33F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A50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4EB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099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服务周期</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D5B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产品延伸服务周期</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9B9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EC33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产品停止功能升级之日起至产品停止功能维护（包括问题修复、安全补丁等）之日止≥4年</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F6A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E3D2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95D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CF1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57E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1A0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服务周期</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59F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产品延伸安全服务周期</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9DD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6112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产品功能维护停止之日起至产品停止安全维护（包括中高风险漏洞修复）之日止≥2年</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ADB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6147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52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17E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CBD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294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服务周期</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29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售后服务最小保障期</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80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ACB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自销售之日起，产品售后服务周期≥6年</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86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088D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562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AAA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DAD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CB1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供应链与服务保障</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7F4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供应链与服务保障基础要求</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AA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BAC8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提供多种形式支持服务，包含电话、电子邮件、远程连接等；</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提供技术支持服务，支持同城4h、异地12h响应要求，两个工作日解决问题，对于未能解决的问题和故障提供可行的升级方案；</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c) 提供培训材料、产品手册、培训视频等培训相关内容；</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d) 建立全国技术服务体系和服务团队，符合专业服务体系标准要求，提供原厂中文服务；</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e) 服务周期内支持版本免费升级；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f) 开源产品对获得的社区源代码进行安全性和知识产权审查与管理；</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g) 提供数据库参数、慢SQL语句的性能优化指南，包含性能优化的具体措施、技巧、案例及建议等</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681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8221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5BF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9D5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B4B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2E2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供应链与服务保障</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3C0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定制服务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6E5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D4A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针对关键客户提供代码级定制优化服务</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7D3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C0B3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D1F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F5C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973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EE9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供应链与服务保障</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46E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驻场服务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D86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6090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提供原厂团队驻场服务</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EC8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8867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D3E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EA1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DE7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C0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供应链与服务保障</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610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在线反馈</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710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BB6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支持在线问题反馈</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25A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7004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A63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B30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847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373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基本要求</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7B8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基本要求（见注6）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354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0A89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数据库应当符合安全可靠测评要求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F82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C742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163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E26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006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07D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基础安全</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1F4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安全架构</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96C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389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将系统管理员分为数据库管理员、数据库安全员和数据库审计员三种类型</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44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306A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FB9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4DD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479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E0D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基础安全</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703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漏洞管理</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453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ED3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建立漏洞管理机制，及时通过邮件、网站等方式将安全漏洞告知用户，并提供安全补丁对漏洞进行修复</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A8D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2522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7F5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291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340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F82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基础安全</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FB2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身份鉴别及访问控制</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6F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D08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提供身份鉴别及访问控制，加解密的密码要求符合GM/T0028的相关规定</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0EC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76A1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32A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027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30E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F14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增强安全</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01A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防篡改</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0F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856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 支持对指定的表开启防篡改能力，开启后，对重要数据的增、删、改操作，记录篡改校验信息，并提供篡改校验能力；</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 支持对指定的表开启追溯能力，开启后，对数据的变更具有全向追溯能力，能够记录数据变更的历史信息以及相应的操作记录</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15B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D43D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D8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255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79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8EA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增强安全</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F7F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全密态</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1B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7FAA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支持全密态的等值、非等值查询能力</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AEE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D9F3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F1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BEA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1A4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9D6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增强安全</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22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安全扩展要求</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724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A395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支持自身数据的动态脱敏和透明加密</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BD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9BBE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1F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1F5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7F7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2D7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增强安全</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C15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闪回查询</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0F0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F88C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支持数据库闪回查询</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FAD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81F4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87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387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C11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D5C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增强安全</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6B1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闪回恢复</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713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8AF8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支持闪回查询实时恢复数据，支持不同级别（如库级、表级等）的闪回恢复</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29E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bl>
    <w:p w14:paraId="6056A295">
      <w:pPr>
        <w:spacing w:line="240" w:lineRule="auto"/>
        <w:ind w:firstLine="0" w:firstLineChars="0"/>
        <w:jc w:val="left"/>
        <w:rPr>
          <w:rFonts w:hint="eastAsia"/>
          <w:lang w:val="en-US" w:eastAsia="zh-CN"/>
        </w:rPr>
      </w:pPr>
      <w:r>
        <w:rPr>
          <w:rFonts w:hint="eastAsia"/>
          <w:lang w:val="en-US" w:eastAsia="zh-CN"/>
        </w:rPr>
        <w:br w:type="page"/>
      </w:r>
    </w:p>
    <w:p w14:paraId="7CBEB42D">
      <w:pPr>
        <w:pageBreakBefore/>
        <w:spacing w:line="360" w:lineRule="auto"/>
        <w:ind w:firstLine="0" w:firstLineChars="0"/>
        <w:jc w:val="left"/>
        <w:outlineLvl w:val="2"/>
        <w:rPr>
          <w:rFonts w:hint="eastAsia" w:hAnsi="仿宋" w:cs="Times New Roman"/>
          <w:b/>
          <w:bCs/>
          <w:sz w:val="24"/>
          <w:szCs w:val="24"/>
          <w:lang w:val="en-US" w:eastAsia="zh-CN"/>
        </w:rPr>
      </w:pPr>
      <w:r>
        <w:rPr>
          <w:rFonts w:hint="eastAsia" w:hAnsi="仿宋" w:cs="Times New Roman"/>
          <w:b/>
          <w:bCs/>
          <w:sz w:val="24"/>
          <w:szCs w:val="24"/>
          <w:lang w:val="en-US" w:eastAsia="zh-CN"/>
        </w:rPr>
        <w:t>附表9</w:t>
      </w:r>
    </w:p>
    <w:tbl>
      <w:tblPr>
        <w:tblStyle w:val="59"/>
        <w:tblW w:w="514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
        <w:gridCol w:w="576"/>
        <w:gridCol w:w="464"/>
        <w:gridCol w:w="861"/>
        <w:gridCol w:w="1131"/>
        <w:gridCol w:w="633"/>
        <w:gridCol w:w="4523"/>
        <w:gridCol w:w="589"/>
      </w:tblGrid>
      <w:tr w14:paraId="68073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2D27">
            <w:pPr>
              <w:keepNext w:val="0"/>
              <w:keepLines w:val="0"/>
              <w:widowControl/>
              <w:suppressLineNumbers w:val="0"/>
              <w:spacing w:line="240" w:lineRule="auto"/>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8"/>
                <w:szCs w:val="28"/>
                <w:u w:val="none"/>
                <w:lang w:val="en-US" w:eastAsia="zh-CN" w:bidi="ar"/>
              </w:rPr>
              <w:t>操作系统</w:t>
            </w:r>
          </w:p>
        </w:tc>
      </w:tr>
      <w:tr w14:paraId="371F6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638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重要程度</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463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BE6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指标分类</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1A9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一级指标</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8B0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二级指标</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25D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标准是否允许作为评分因素</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13B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指标要求</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43E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证明材料要求</w:t>
            </w:r>
          </w:p>
        </w:tc>
      </w:tr>
      <w:tr w14:paraId="4B186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A16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FE5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9E3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71A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操作系统支持多CPU架构</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DBC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同源兼容多CPU平台架构</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8B3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E65D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操作系统支持同源兼容ARM、LoongArch、MIPS、SW64、x86架构的CPU</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209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13F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AFF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8CE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4F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15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操作系统支持CPU内置功能</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0AE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多核支持</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1F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DADD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操作系统支持双核及多核处理器，包括核间负载均衡、线程绑定等，并提供接口，通过访问接口获取运行状态和控制多核调度</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738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E4B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07A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D5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99D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D26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操作系统支持CPU内置功能</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D37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CPU虚拟化支持</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F86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ACA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操作系统支持CPU虚拟化技术</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1B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4388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C4F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19E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10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AC6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操作系统支持CPU内置功能</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E70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动态调节CPU运行频率</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DB7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265F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操作系统根据负载情况，自动调节CPU的运行频率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83F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AC3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D62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2EB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9CF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851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操作系统支持CPU内置功能</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CE2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支持多CPU</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130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244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支持跨路内存访问，支持CPU间负载均衡，支持并优化NUMA体系架构</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D0F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BFF5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7AB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08B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91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9CD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操作系统支持CPU内置功能</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E2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支持CPU内置安全功能</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F9B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121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操作系统支持CPU硬件密码运算与随机数生成等功能；提供编程接口供应用程序调用；支持通过硬件指令判别临界区冲突；支持调用CPU指令，实现自旋锁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FEB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ACCF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75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906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2BF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8E5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安装部署</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F9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安装方式</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64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0D7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操作系统支持光盘安装、USB闪存盘安装、网络安装和无人值守安装</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CD8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B9E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75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283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705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1F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安装部署</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A5A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安装模式</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2D3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1DB6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操作系统支持图形或文本安装模式</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BE4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A309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DEA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3BF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04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DD1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安装部署</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298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安装过程配置</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084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376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安装界面文种设置、逻辑分区配置（如LVM）、自定义分区设置、安装组件设置、时区设置、键盘布局设置、初始用户设置、计算机名设置和网络设置，支持通过USB闪存盘等方式加载硬件驱动、支持设置加密文件系统</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B4C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575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56E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006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2D4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8D5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安装部署</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42C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系统引导</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56B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0CC2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a)操作系统应支持UEFI2.0及以上规范固件引导，当计算机以UEFI模式启动安装时，安装程序应分配ESP，并在ESP中放置启动引导文件，使系统能以UEFI模式引导；</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b)支持bootloader引导，支持MBR及GPT</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7C7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86EA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D64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BA4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DB4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4EF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安装部署</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D72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引导修复</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216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CA4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操作系统安装媒体提供系统引导修复功能，当已安装的系统引导被破坏时，可重建系统引导</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C92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6688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B48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A5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F97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4B0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安装部署</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0BC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引导参数编辑</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2FE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97F0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操作系统支持用户编辑引导参数，支持GRUB口令保护</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0B3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A3A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818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592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6E7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634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安装部署</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B64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数据保护</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3C6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479F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安装程序在安装执行前明确提示用户可能会删除已有数据，并提供退出/取消功能，当用户取消安装时，不改变硬盘上已有数据</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6E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BC9B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62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3B8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ACF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5E5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安装部署</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094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分辨率自适应</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F30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ABC8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操作系统安装完成后应自动适配显示器最佳分辨率(文本模式除外)</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7DB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4612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F34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A3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212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71F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安装部署</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D10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安装配置正确性校验</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014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8732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操作系统安装和配置过程中，如用户自定义的某些配置可能会影响系统启动或正常使用，予以明确提示</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9C1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547D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1B4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C88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46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68B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系统内核</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51F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内核要求</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041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6828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a)若操作系统是基于Linux内核的服务器操作系统应兼容4.19版内核</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b)若操作系统属于其他类型内核不做要求</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A0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B85E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657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1DF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9E4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F13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进程、线程调度</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9B5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NUMA</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438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426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操作系统支持基于NUMA的亲和调度</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396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A0DB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5D2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26E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4F2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C1D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进程、线程调度</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DB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多核轮询</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BD0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4E4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操作系统支持CPU多核轮询调度</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398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8A4D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BB2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3EA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A56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DD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进程、线程调度</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F4E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进程调度</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2BB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10BA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操作系统具备进程优先级动态调整能力，允许在进程运行时对优先级进行调整；区分实时进程与非实时进程，分别进行调度；支持进程运行状态检查</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148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9DEC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13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32A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D99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6BC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211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内存容量</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158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1A0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操作系统支持最大内存不小于4TB</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28D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1172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F46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699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54E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2EA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FC3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内存大页管理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EF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2E75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操作系统允许应用申请内存大页降低页表转换</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3F0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6AD0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F06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26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587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3FA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390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NUMA</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453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73A2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操作系统支持NUMA近节点优化</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5D8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CA6B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0A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0CA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66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8A3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032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内存超分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BF9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B8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操作系统支持虚拟内存超分，提升内存的使用率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F09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3B24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370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A7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658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95D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94E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RAID支持</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C2C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051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操作系统支持硬RAID和软RAID，支持软RAID级别0、1、5、6、10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2A1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44BD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E0E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362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504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078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2AF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虚拟文件系统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E99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C48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操作系统支持将不同功能的外部设备抽象为统一的文件操作接口，包括存储、输入输出设备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B81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8FBE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51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F9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650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991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030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文件管理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235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04C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操作系统支持文件存储、检索和共享</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B76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AB2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3DD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64A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93D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0C2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B4C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可移动存储</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9D6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D12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操作系统支持对可移动外部存储的管理，包括启停、禁用、恢复等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E33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CD26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7B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7A2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10A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2E79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7E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外部独立存储</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F9F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733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操作系统支持使用外部独立存储设备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86F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8F2C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9C7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A3A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F0C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EBA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996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多路径聚合</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22C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9E7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操作系统支持存储多路径聚合及I/O动态负载均衡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362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F9B0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A02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FA9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98A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EA7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64C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故障检测</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C48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24AB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操作系统支持硬盘损坏或老化检测及信息收集</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BB3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1F6C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E66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764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60D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B46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367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虚拟内存</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F13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3D0B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操作系统支持将硬盘的特定分区或文件作为虚拟扩展内存用于存放内存数据，支持虚拟内存压缩</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A17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75DE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0AB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E07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5A5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3F7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E48C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网络块设备挂载</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B31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BEE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操作系统支持FCoE、iSCSI，支持将Ceph块设备视为常规存储设备挂载到某个目录并作为标准文件系统使用</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540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9DA2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E8E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FF6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2D49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30A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946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存储缓存</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FDB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AC1C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操作系统支持快速块设备作为慢速块设备缓存以加速I/O</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C74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17DB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BE6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128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EA9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FD7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024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网络链路检测</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EEF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F61B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操作系统支持网络链路故障检测、链路事件通知和链路状态查询</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430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0324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306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AD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2B2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45F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D88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TCP卸载引擎</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D77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720C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操作系统支持运行TCP协议卸载引擎的网卡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CC6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B104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250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2AA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09E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7F3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8CE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网络协议</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4C2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2755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操作系统支持IPv4、IPv6</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AE3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A88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762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C7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ECE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4EE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22B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多网卡绑定</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B68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20BA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操作系统支持多网卡绑定</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0E5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FAF8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45A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7BF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B81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0BA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4E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用户态TCP/IP协议栈</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DA6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391F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操作系统支持用户态TCP/IP协议栈</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B7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4DB2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24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F49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344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854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文件系统</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F05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文件系统支持</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FCE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AA8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操作系统支持XFS、EXT3、EXT4、NTFS、FAT32等文件系统，支持相应格式分区创建、删除、格式化等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D3F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4253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0EC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C08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62E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FF9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文件系统</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4EB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日志式文件系统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63C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3B95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操作系统支持日志式文件系统</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B47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0A63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6CB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C8F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F7D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B7F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文件系统</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EA7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文件处理能力</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1D6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033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操作系统支持最大文件不小于4TB，最大分区与文件系统不小于10PB，最大文件名长度不小于255字节</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89B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1CED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D8C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13C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963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12E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文件系统</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BDF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分区大小调整</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BA6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29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操作系统支持动态调整分区大小，对系统分区容量进行改变</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84D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09C4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177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2D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3F5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8E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授权激活</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DBDC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产品许可机制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A3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B0F3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a)操作系统支持序列号授权、批量激活服务、场地授权等方式；未激活期间，系统不得频繁提示干扰用户正常使用；未激活系统不得影响用户数据安全与完整性；</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b)免激活的系统不适用</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3C6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22E9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80A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8BC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2DD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9FD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应用开发运行环境</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656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集成开发环境/开发框架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F85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E289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操作系统通过内置、软件仓库或附加光盘等方式提供开发环境，包括Qt、Eclipse、VSCode等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1F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D900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BE7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C9E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6C4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4AD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应用开发运行环境</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273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开发工具库</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973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A6E4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操作系统通过内置、软件仓库或附加光盘等方式提供开发库，包括GNUC、GNUC++、Java、Qt 、Gtk+、Cairo、OpenGL、Perl、Python、Ruby、Rust、Golang、JS等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D6C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723B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5D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09C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E9C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4AC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应用开发运行环境</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883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编译器开发工具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DCE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14E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操作系统通过内置、软件仓库或附加光盘等方式提供编译开发工具，包括GCC、G++、Binutils、GDB、Make、CMake等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C2B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9B27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33E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63A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98C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2B2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应用开发运行环境</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526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文本编辑工具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54C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6738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操作系统通过内置、软件仓库或附加光盘等方式提供文本编辑工具，包括Emacs、Vim等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BBA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5D4D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6A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153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522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C0A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应用开发运行环境</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E0B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软件包管理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8840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AAB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操作系统支持查询软件包描述和包含文件，以及软件包依赖；支持在安装时自动提示并下载安装缺失的依赖软件包</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833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63E2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CCF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FB3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604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0C2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应用开发运行环境</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9DE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开发文档</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11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1776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供应商应提供软件开发参考文档、驱动开发参考文档、应用移植开发文档、API文档</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E61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05FC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3BD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764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80F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360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CB7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787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083D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操作系统支持TCP/UDP</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A9B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8B50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3C76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9C4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AD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938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A1C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网络共享</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F52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9F69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操作系统支持基于NFS、SMB、FTP、CIFS等协议的数据网络共享服务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346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F5D8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ADF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6CD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89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D9D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E90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WEB服务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02E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AF26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操作系统支持基于HTTP、HTTPS、FastCGI等协议WEB服务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069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46A1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06E9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BC3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FD2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82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493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加密传输服务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B93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CE8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操作系统支持基于IPSec和SSL协议的隧道加密传输服务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A2B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BFDB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6F3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AAA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52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578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D2E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数字证书服务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7EE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60F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操作系统支持基于PKI体系的数字证书服务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33B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ACF6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4235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D4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1A8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D61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7ED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访问控制服务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F62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1C2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操作系统支持基于RBAC(基于角色的访问控制)机制的访问控制服务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1E5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8864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63C7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B3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6A8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9ED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814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网络管理服务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8ED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474C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操作系统支持基于SNMP、NETCONF、RESTCONF等协议的网络管理服务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8C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5BF5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AC2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2E1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20D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141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B96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时间同步服务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38E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DEC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操作系统支持基于NTP协议网络时间同步服务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B0B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181B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2B2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2D4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534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2E8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81D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远程连接服务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5A3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1B58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操作系统支持RPC、rsync、SSH等远程服务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274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C107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BB6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B25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2DC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869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9BF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邮件服务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C4A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02C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操作系统支持基于SMTP、POP3、IMAP等的邮件服务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212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C67C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882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454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699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790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F37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身份鉴别服务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C476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709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操作系统支持基于轻量级目录访问协议的统一身份鉴别服务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B99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120C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AE4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F6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A97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FC2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144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数据存储和查询服务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4F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96CF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操作系统支持结构化和非结构化格式数据的存储和查询服务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CF6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E8F9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F5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24A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292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1CF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626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数据存储和查询服务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4E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112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操作系统支持块、文件、对象等类型的数据存储服务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E4C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7FE2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D13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E30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C8E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89B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2CF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数据存储和查询服务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955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E784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操作系统支持SQL、NoSQL、键值等类型的数据库</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D0D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0363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C9B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634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33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320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D56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A00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4F87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操作系统支持多种传输速率和存储协议的SAN和NAS存储</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D8B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8C34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6B0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E1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972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906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C8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集群支持</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B5B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1F7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操作系统支持服务基于主备机制的分布式集群、高可用集群的部署模式</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D46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63ED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AF8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064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943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716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441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集群支持</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2E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9846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操作系统支持服务基于分布式通信协议的分布式集群、高可用集群的部署模式</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FC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3DC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A45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CFF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B67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275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6E4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集群支持</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B8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59B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操作系统支持基于虚拟路由器冗余协议的高可用集群部署模式</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AC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1E12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CD3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B9B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D56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DF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549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分布式服务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A24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8F41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操作系统支持基于同步、异步请求处理机制的分布式服务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8D3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5EF9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142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767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ECD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0C4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D23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负载均衡模式</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800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E739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操作系统支持基于OSI模型的4/7层和链路层的负载均衡模式</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24A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641C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06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D19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DBF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35E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0CE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负载均衡模式</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DBE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F1DE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操作系统支持基于不同调度算法的负载均衡模式</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6C36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A660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211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A75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2AB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DF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3D6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高可用服务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AAC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4A8D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操作系统提供对HA的支持，支持多种集群配置模式，包括主主模式、主备模式、N+1模式和N+M模式，支持资源及节点故障检测</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439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8599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5A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84B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B52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BB4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开源组件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C7E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开源数据库</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FBB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43F5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供应商可通过安装镜像内置、软件仓库或附加光盘等方式提供开源数据库，并对提供的开源组件进行签名认证，确保组件的安全性、稳定性、可靠性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21B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1A7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0C0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AF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62C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C9D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开源组件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B9E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开源中间件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6AD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5CC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供应商可通过安装镜像内置、软件仓库或附加光盘等方式提供开源中间件，并对提供的开源组件进行签名认证，确保组件的安全性、稳定性、可靠性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954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696C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758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9D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330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12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开源组件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DB8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单机虚拟化管理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FA0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2E82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供应商可通过安装镜像内置、软件仓库或附加光盘等方式提供开源单机虚拟化管理软件，并对提供的开源组件进行签名认证，确保组件的安全性、稳定性、可靠性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A86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7378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B47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A0D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9AB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01C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开源组件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750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容器虚拟化软件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636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D5EF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供应商可通过安装镜像内置、软件仓库或附加光盘等方式提供开源容器虚拟化软件，并对提供的开源组件进行签名认证，确保组件的安全性、稳定性、可靠性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03C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EA39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FBB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7DF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580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E1E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开源组件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192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容器管理工具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199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D22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供应商可通过安装镜像内置、软件仓库或附加光盘等方式提供开源容器管理工具，并对提供的开源组件进行签名认证，确保组件的安全性、稳定性、可靠性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EF7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D79B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752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4B3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DB3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77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开源组件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DDA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分布式存储软件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16A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F53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供应商可通过安装镜像内置、软件仓库或附加光盘等方式提供开源分布式存储软件，并对提供的开源组件进行签名认证，确保组件的安全性、稳定性、可靠性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83F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3C21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E84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68E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592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52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开源组件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95D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云计算管理平台</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EE9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BA9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供应商可通过安装镜像内置、软件仓库或附加光盘等方式提供开源云计算管理平台，并对提供的开源组件进行签名认证，确保组件的安全性、稳定性、可靠性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5F8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1AAC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7B4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944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A1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4C1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虚拟化</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C56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虚拟化部署</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1E1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D587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操作系统支持在KVM、Xen、Hyper-V虚拟机上安装部署操作系统</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A608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A26B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E94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21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FB2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11B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虚拟化</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346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内核虚拟化(KVM)</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1D3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4766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操作系统支持KVM虚拟化：对虚拟机进行启、停等管理操作；对虚拟机硬盘做快照并从快照恢复；兼容qemu、libvirt标准接口；支持UEFI或legacy BIOS方式启动；支持虚拟时钟arch-timer；支持虚拟鼠标、键盘、触控板、声卡、显卡、硬盘、CDROM、串口pty/pipe/file等设备；支持Virtio协议下的虚拟设备，包括串口、blk驱动硬盘、SCSI驱动硬盘、不同后端控制器类型的Virtio网卡(包括内核态、用户态、qemu)、GPU、vsock设备等；支持硬盘和网卡选择类型VFIO设备；支持虚拟机CPU、内存、网卡、硬盘等离线调整；支持虚拟机网卡、硬盘、USB设备热插拔；支持PCI/PCIE设备直通；支持虚拟机热迁移和加密传输；支持虚拟机远程访问；支持虚拟机CPU和I/O线程绑定</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74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F7C4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E9B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D52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061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649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虚拟化</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F0EB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KVM虚拟机管理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0BB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390A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虚拟机对主机的访问控制；虚拟机可以拥有独立的物理资源，且各个虚拟机之间严格隔离；支持大页内存运行虚拟机；支持三种CPU型号模拟模式，包括直通、宿主模型、自定义；支持虚拟机资源调配控制，包括Numa、CPU、内存、I/O、网卡；支持CPU拓扑模拟和透传</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1F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D785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C53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AFC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FE5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4F3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容器</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3E9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容器虚拟化</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3D4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B9AE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OCI；支持进程命名空间隔离技术包括不限于mnt、pid、ipc、uts、user、network等；支持在同CPU指令架构下的不同规格硬件上无缝分发，保障运行兼容性；支持沙箱扩展；支持面向容器的独立逻辑文件管理，具备在容器创建时指定专用根文件夹，容器内进程文件访问重定向等功能；支持日志查询功能；支持通过控制终端对容器内主进程的标准输入输出对接交互；支持通过控制终端对容器内新建进程的标准输入输出对接交互；支持容器存储卷管理（新增、删除、卷容量配置、自动回收）、卷共享；支持面向容器的网络设备资源分配和使用；支持CNI；支持容器获取物理节点资源信息</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C1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AD39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18A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61D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3AA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4D6B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容器</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82F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容器镜像和存储管理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21E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9B5C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操作系统支持容器镜像导入、导出；支持容器镜像分层保存、导入</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FF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E691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259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BEF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B94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功能要求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6C4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容器</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DBA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容器资源隔离和调配</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FB7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40E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容器资源在线调整，包括CPU资源、内存资源、I/O资源等；支持文件配额分配、存储带宽资源使用量监控等机制，实现容器级I/O控制能力；支持面向容器的网络带宽调度策略，实现容器级网络带宽分配、使用量监控等机制；支持面向容器的存储空间使用监控、分配机制；支持容器CPU核独占；支持面向容器的CPU时间片资源按需划分机制；支持面向容器的内存分配和回收机制，实现内存使用量跟踪和管理；支持同一集群在线、离线业务混合部署；支持对容器的编排、负载均衡、调度等能力；支持根据容器在线与离线混合部署状态进行资源优先调度，提高计算机资源利用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0B6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E943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3E7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84A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917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241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中文支持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08C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字符编码集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CF60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5970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操作系统应符合GB 18030的要求</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86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D383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BF1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C9A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A6E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0AF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中文支持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61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中文帮助文档</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14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469C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操作系统内置中文帮助文档</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6F0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4711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520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D7B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C09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C10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中文支持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6E8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多语言图形界面</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EEE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E2D1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操作系统的多文种图形用户界面应支持GB 18030规定</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C7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465A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4EF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62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C6F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9DA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中文支持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AA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中文图形界面</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7AE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CD97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操作系统支持中文图形操作界面</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C09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1669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7B4D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40A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D40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A835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137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系统信息查看工具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E88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17DE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操作系统支持查看系统版本、内核版本、内存容量、CPU型号等信息</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8E0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7B12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AE7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425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E170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0D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724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网络管理工具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6CB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0D6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操作系统支持多网口自动连接、网络地址（常被称为“IP地址”）设置、DNS设置、路由设置；支持多网卡链路聚合，模式类型包括但不仅限于轮询、主备、802.3AD动态链路聚合</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62E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64BF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29B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ECD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E9BE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576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D69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日期和时间管理工具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0D7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FD98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操作系统可设置时间同步服务器地址，支持局域网和广域网的同步设置</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FF6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6382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933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F1D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251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3CB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6EE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日志服务管理工具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E45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C12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操作系统支持收集系统日志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281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58BF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483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E31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61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DE6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19E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帐户管理工具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A9B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CAB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操作系统支持帐户添加、删除、属性修改等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EC9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3BA4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A5F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C22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1DC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EDD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E10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用户操作审计工具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3CC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A85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操作系统支持用户操作痕迹查询</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074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5384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AB4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CD2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1DB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06D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B8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存储管理工具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857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E06F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操作系统支持EXT、XFS、NTFS、FAT、SWAP等多种格式的分区管理</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84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3302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84A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C5C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B62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1A1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93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SNMP协议工具包</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CCA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266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操作系统支持SNMP设备和操作信息检索</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06F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D500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09D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F74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A4E6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D31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1B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文本终端连接工具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BCB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CEA1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操作系统支持多终端协同管理</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0D62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AB93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08B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7AD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7EC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C2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EE7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服务管理工具集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131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453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操作系统支持服务启动与停止，查看服务状态及日志，查询服务启动顺序及依赖关系</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43F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1C35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D12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4FF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50F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75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53C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配置管理工具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711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6F0D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操作系统提供配置管理工具，可以简化任务配置及服务管理</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D8A1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2D40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D36E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18F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725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CD3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AB2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监控管理工具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8E2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DF51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操作系统支持监控系统资源使用情况，包含CPU、内存、存储I/O、网络I/O等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46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4791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5E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518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C300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易用性要求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5EC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管理工具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1E5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守护进程</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0E7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74BB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操作系统支持按需启动守护进程，用户可自定义设定需求守护的进程，如遇异常可重新加载，实现应用持续运行</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331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9C5C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F41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782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5C0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240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基础组件兼容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B09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版本兼容</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E55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C112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操作系统基础运行库或开发环境向后（向下）兼容，即系统版本升级后，能兼容上一版本所运行的软件与设备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EA4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B54B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593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FA2F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773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1BB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基础组件兼容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CFE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兼容周期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D6B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F20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操作系统主版本兼容维护时间自发布之日起不低于5年，包括但不限于安全修复、功能升级、新硬件支持等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80B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1D00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B39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EF3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046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0D3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基础组件兼容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BA5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兼容方式</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8B6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B485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操作系统支持以增量升级包的方式实现版本更新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94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D837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5479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F2FA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32E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A78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运行环境</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0C2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文件系统层次结构</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B5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6FB5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供应商应给出长期兼容支持的文件系统层次结构</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C29D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9059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6EE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B46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69A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0B9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运行环境</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B1D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运行库</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296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86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供应商应给出长期兼容支持的运行库</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B20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9AEA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192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151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1478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955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运行环境</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78F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命令</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E15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E8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供应商应给出长期兼容支持的常用命令</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4C6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241F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DBC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354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FD4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717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软件包格式</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03E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软件包格式转换</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576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95A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操作系统支持RPM或DEB格式的软件包，当系统不支持RPM或DEB格式的软件包时，提供工具对软件包格式进行转换</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7C6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6DDC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0974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A5B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94F6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BD7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91F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集群软件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2E9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D294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供应商提供兼容的集群软件清单，且至少兼容一款产品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7E9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B6D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5AE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B458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533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EAA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17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虚拟化云平台</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50A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3394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供应商提供兼容的虚拟化平台软件清单，且至少兼容三款产品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FE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C7B3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206C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9844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13D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8D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3FB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容器云</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CB4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00F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供应商提供兼容的容器云软件清单，且至少兼容三款产品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E6D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3813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DD4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C997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780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41BC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5EA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存储软件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41C2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74C2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供应商提供兼容的存储软件清单，且至少兼容一款产品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AFF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C0E8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F8C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62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3FD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8A4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4E5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数据库管理系统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853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5419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供应商提供兼容的数据库软件清单，且至少兼容三款产品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4F4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396A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88C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DFB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E6E5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36A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8F64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中间件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FE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9ABD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供应商提供兼容的中间件软件清单，且至少兼容三款产品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028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E285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F2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DD1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302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10A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DFE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运维平台</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2F17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017D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供应商提供兼容的运维平台软件清单，且至少兼容一款产品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66E4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7400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D0B0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C8A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57A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10C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49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备份软件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A08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98BE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供应商提供兼容的备份恢复软件清单，且至少兼容一款产品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D63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840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DFE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0F1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470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C79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EF9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大数据平台</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B56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7D27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供应商提供兼容的大数据平台软件清单，且至少兼容一款产品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7C3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F865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0A1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F35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B3F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8DF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D6E9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终端防护及杀毒</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652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128D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供应商提供兼容的终端防护及杀毒软件清单，且至少兼容一款产品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B80D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26A5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BCD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706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F2E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37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5A0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网络防护</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818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F44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供应商提供兼容的网络防护软件清单，且至少兼容一款产品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3A3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5A87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1FB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04B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801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484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软件兼容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F27B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身份认证</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97E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2444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供应商提供兼容的身份认证软件清单，且至少兼容一款产品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6CC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99A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40B4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184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D46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1E1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FA7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服务器整机</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EB6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C71D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供应商提供兼容的服务器整机品牌及型号清单，且至少兼容一款产品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ED0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3C6E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B64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7E8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D49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99B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D9B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AI服务器</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D26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A8709">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供应商提供兼容的AI服务器整机品牌及型号清单，且至少兼容一款产品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44B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C4A5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A1C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F5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55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C88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796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存储</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8AE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C20E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供应商提供兼容的存储服务器整机品牌及型号清单，且至少兼容一款产品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3A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57A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7D3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8D7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17F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123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硬件兼容</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FDE3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部件兼容</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25D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AF36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供应商提供兼容的系统总线、HBA卡、RAID卡、网卡、光纤卡、AI加速卡、GPU、NPU等品牌及型号清单</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E9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CDED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5ED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7574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33D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0FE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稳定性</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6756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操作系统连续运行168小时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B23F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FEF7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操作系统高负载下连续常态运行168小时无故障</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2A47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1CE8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CD7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753B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317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DD2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备份还原</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B59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备份还原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977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CFC0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操作系统提供备份还原功能，支持生成系统状态快照及恢复系统状态</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6B7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9221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CD0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77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8259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63B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内存纠错</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F20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内存纠错</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FB1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0351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操作系统支持DDR3、DDR4等内存上的ECC查错、纠错</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B5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16DD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E5C2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9B0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C14B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7B4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热插拔</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A2D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CPU热插拔</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C5AD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40D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硬件支持时，操作系统支持CPU热插拔</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15F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DD70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1A4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857F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4C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4CB1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热插拔</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0F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内存热插拔</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922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F263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硬件支持时，操作系统支持内存热插拔</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8F1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B9D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641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B8CB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7E4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可靠性要求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315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热插拔</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E91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硬盘热插拔</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C51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B04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硬件支持时，操作系统支持硬盘热插拔</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58F0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023A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CE8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7B1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C7C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8C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维护工具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F55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远程维护</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23A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9C42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操作系统提供远程控制管理工具，支持RDP、SSH、SPICE、VNC等协议，方便用户进行文本或图形化形式的远程连接及维护</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C3C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EC4D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29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49D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C20A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5D3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维护工具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C409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文件完整检查</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BD1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59D4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操作系统提供文件系统检查工具，对文件系统完整性进行检测和修复</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EE8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66C8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BF2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7B88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D30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7F1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维护工具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60F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内核分析</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7D8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2909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操作系统提供内核性能分析工具，提供性能分析框架，支持对内核函数层面进行分析；提供内核探测工具，支持对内核及用户态程序动态追踪</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014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38CD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E78E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FA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D79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1A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维护工具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D61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集中管可控</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9C9C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6115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操作系统提供集中管控工具，支持对区域内服务器操作系统进行集中管理维护</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4C2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F681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575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7B6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CE81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566E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维护工具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E3A3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兼容性评价</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D6F2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355B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操作系统提供软硬件兼容性检查工具，自动分析应用软件、硬件兼容性，定位兼容性问题；提供操作系统跨版本兼容性分析工具，在迁移前检查分析软硬件，定位兼容性问题。</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5F1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BA29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5FB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A58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A65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D7C8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维护工具</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7C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性能调优</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E2F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8E34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操作系统提供性能测试调优工具，按系统工作特点（如计算为主、存储为主等）自动优化系统配置</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909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81CE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22D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62FD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2E9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D57F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日志管理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ED79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日志记录与存储</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1AD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FC1D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对安全事件的日志记录，包括帐户增删改、成功登录、失败登录、敏感服务开启关闭、配置修改等，日志信息详实，包括所属用户、访问时间、访问地址等；支持内核异常日志信息的记录和存储；支持内核崩溃转储机制，系统崩溃时可收集整个内存信息；支持配置远程日志功能，可将指定日志内容归档到日志服务器；支持对日志功能进行访问控制，防止未经授权的访问</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99A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78EA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52E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491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633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A2B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日志管理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2E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日志处理与分析</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0E1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2804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操作系统提供系统错误问题回溯分析工具，对系统崩溃问题及错误问题进行回溯；支持日志切分、一键收集、转储、同步机制</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AAC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C59E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419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CB7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704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814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脆弱性管理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11D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脆弱性管理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1EE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559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故障管理框架，内置故障分析专家系统，可与外部同类型系统互联；具备故障响应、故障警告功能，提供用户接口，支持故障响应、警告信息分发；支持故障管理守护进程，使用统一的传输信道或机制上报故障信息；具备硬件故障信息捕获、紧急处理功能，包括CPU、内存及PCIe设备等硬件的故障；支持诊断/响应组件动态加载机制；提供或支持第三方远程诊断框架及调测工具集，实现远程诊断及调试断点功能；支持物理机、虚拟机中操作系统的故障恢复</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55D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737B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EA4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15B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FE0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BEEA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热补丁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189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热补丁</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705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3B96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对内核热补丁进行编号，每个热补丁拥有独立编号；支持增量修复以及回滚机制；提供热补丁合法性和一致性校验功能；提供热补丁管理机制和工具，功能至少覆盖补丁查询、安装、移除；提供热补丁升级和回滚系统日志，便于查询或回溯</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321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22F0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C52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3B0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BD1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A59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系统升级</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A387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升级内容</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1611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A241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操作系统支持系统增量升级功能，对系统部件、安全补丁等升级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637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9EB7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0AAB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CE4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F82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1E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系统升级</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AA1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升级方式</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38BA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065B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操作系统支持在线升级和离线升级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3D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53F4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52C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4F9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ECD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0DA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系统升级</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CC0F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数据保护</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939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62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操作系统升级不得修改破坏用户数据</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93F7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27C0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86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85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3220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9CB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系统升级</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504D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兼容性</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35F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4E7D4">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操作系统升级不得影响原有软硬件兼容性，如有影响应显式的提示告知用户</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9A08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3780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532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7948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B9BF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可维护性要求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5F1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系统升级</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9273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回退</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85A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6AC4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操作系统提供升级回退机制，能卸载已升级的软件包，恢复系统原有状态，如升级为不可回退，则系统升级前以显式的提示告知用户</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B01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4B90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392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2E36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48BA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15A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交付方式</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72D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交付方式</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DEC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46A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供应商提供光盘、USB闪存盘、镜像文件（下载）等交付方式</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906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B4AF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970C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75D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EAB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E2B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服务周期</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45D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产品维护周期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2F7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5F78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产品自发布之日起至产品停止功能升级（包含不限于新特性、新硬件支持、问题修复、安全补丁等）之日止≥5年</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ED2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CCE2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AC42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DAF3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7E08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2FA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服务周期</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C9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产品延伸服务周期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1C4A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11D6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产品停止功能升级之日起至产品停止功能维护（包括问题修复、安全补丁等）之日止≥5年</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028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103E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F7E4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4BE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EB99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790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服务周期</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044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产品延伸安全服务周期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27E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EE690">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≥3年</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E5CA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6C3B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68E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532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433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E01A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服务周期</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CA9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售后服务最小保障期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5C4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2D3A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≥8年</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634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C513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108D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A7A4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057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61F1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售后服务</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40D9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原厂服务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0B91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ABB2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服务由操作系统厂商的正式员工提供，不由代理商提供</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E575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3C26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54D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018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FF48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CE6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售后服务</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817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服务热线电话</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C4E1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F4AA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操作系统厂商为最终用户提供工作日每日不少于8h（覆盖一般工作时间，具体时间由企业标准给出）中文技术服务热线</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FE8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0A99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6C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1B2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4DF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A29F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售后服务</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364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技术服务标准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C4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93EF">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操作系统厂商提供工作日每日不少于8h技术支持服务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F31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3ED1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79F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578F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C05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3430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售后服务</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7EC5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定制优化增值服务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5C0A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FD3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操作系统厂商提供代码级定制优化服务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10A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3816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A60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8F4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07A6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044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售后服务</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2F3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技术服务时效</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301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589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应提供满足本项目同城4小时、异地12小时响应要求的服务保障方案；不得以供应商注册地或是否设立本地分支机构作为资格条件。</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DA2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是</w:t>
            </w:r>
          </w:p>
        </w:tc>
      </w:tr>
      <w:tr w14:paraId="41835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F0D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5A7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FD57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2D74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售后服务</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C2C6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技术服务保障</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B5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FC7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发生非人为因素故障，在七日内由操作系统厂商原厂人员免费对产品进行补充或更换</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1C73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004F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B50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C7E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0282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6B42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现场交付与安装调试</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BFB2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现场安装调试</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767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81DA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操作系统厂商提供产品安装与现场调试，并提供安装与调试所需的工具和设备</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80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B577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8E0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E5A7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3A37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97E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现场交付与安装调试</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6D6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配套资料</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6F5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F5F1">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交付产品时操作系统厂商提供配套的技术资料，包括但不限于系统说明文件、用户手册（用户安装、操作、维护、故障排除）等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355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8A60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AD7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B81A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E90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534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系统更换</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026D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系统更换</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0F5E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A54F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服务期内，操作系统厂商支持版本免费更换（注：更换后不延长服务期）</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298B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675D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9CBC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6007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BC50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095A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厂商能力要求</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E02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服务团队</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DAF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75793">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操作系统厂商建立全国技术服务体系和服务团队，为客户提供专业的原厂中文服务</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910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AB35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DF71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98B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B0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供应保障要求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792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数据安全保障</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9916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数据收集安全保障</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CC2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B31E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除用户授权采集的信息外不采集其他数据，相关信息采集无安全风险，相关数据存储在大陆境内</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DD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DC0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98C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086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48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供应保障要求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4E3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数据安全保障</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BD4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数据供给安全保障</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4BE8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6FD2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涉及数据下载的线上服务物理服务器不出境，包括代码仓库、系统补丁、安全补丁、服务网站等</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8CBB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8153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9FB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13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005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供应保障要求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E577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代码无风险</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1F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代码无风险</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CD16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359FE">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操作系统厂商提供源代码，源代码可供第三方机构审查，开源许可合规，代码知识产权无风险，无恶意安全漏洞或后门，代码可追溯、可重构</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5D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11B3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61B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27E3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881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供应保障要求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C1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工程构建体系</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76C3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工程构建体系</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5F5A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13BF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操作系统厂商具备统一的工程构建体系，能用一套操作系统源码构建用于云侧计算、边侧计算场景中部署运行的操作系统，降低部署后系统维护、使用复杂度</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78D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C2EF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23D0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96E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E63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5687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基本要求</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4DDF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基本要求（见注6）</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937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C1EB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操作系统应当符合安全可靠测评要求</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B05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E0BD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9F39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89E8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EDAE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B665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密码算法支持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2A9E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密码算法实现</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1D9C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103C2">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操作系统支持GM/T 0002、GM/T 0003和GM/T 0004规定的密码算法运算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D315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50C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D9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2B2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9528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3C14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密码算法支持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2FF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随机数生成</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01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D8F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操作系统随机数质量符合GM/T0005《随机性检测规范》或GB/T32915《信息安全技术二元序列随机性检测方法》</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5828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C2F3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1BF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EB2D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1C45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2801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密码算法支持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1E3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内置数字证书</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A7C7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6DFA">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操作系统内置国家电子认证根CA的根证书</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74B5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23692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7E76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F3CE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FDE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EB89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密码算法支持</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338B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密码协议实现</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44E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35808">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操作系统支持符合GB/T 38636—2020的TLCP</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C9EE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BFDC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F90E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60A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A211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E53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00AC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防火墙</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04D5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C8FE6">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操作系统提供防火墙配置管理工具，支持基于协议、网络地址、端口的访问控制规则配置，规则修改后立即生效；支持关闭指定服务和端口，包括但不限于关闭远程访问、共享访问等；支持防止ARP欺骗攻击</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DEB1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18BD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8E3D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5A62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171</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0C52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7C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F4CE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安全框架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72F3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131E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操作系统提供统一访问控制安全框架</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1C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FE89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98C5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FF5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172</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C04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E0BC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0A2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三员管理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473E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F3675">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操作系统支持系统管理员、安全管理员、审计管理员分权管理</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321C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368F3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6C6C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95591">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E883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F89C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929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文件完整性</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CC7D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263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操作系统支持静态文件度量（如IMA）和动态内存度量，保障特定文件及内存中运行程序的完整性</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E224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5CD8C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DD06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762F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E72B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F4035">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05C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可信计算</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AD58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448ED">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操作系统支持机密计算框架，提供机密计算SDK，能接入1种以上可信执行环境</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C114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4ACE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09BD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AD31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175</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380F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B39B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7D559">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内核保护</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CFF3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E7A3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操作系统支持内核完整性保护，保障内核不被非授权改变；提供内核模块加载黑名单机制</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5A13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04CC8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95F3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5609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176</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FEAB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C1FA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身份鉴别</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E255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身份鉴别服务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DB80E">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F00D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用户标识使用帐户名和帐户ID，在操作系统的整个生存周期内用户标识具有唯一性；支持用户口令复杂度校验及强口令管理；支持用户口令有效期配置；支持口令鉴别失败控制；支持口令加密算法配置，用户口令进行加密后以不可逆的密文形式保存；支持禁止根帐户（root）远程登录设置</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F56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63F0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D1C0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DBFF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177</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086E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8A16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访问控制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164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自主访问控制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7AD7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D0C2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允许客体拥有者以普通帐户决定并控制对客体的访问，并阻止非授权用户对客体的访问；普通用户缺省拥有新建、读写和删除私有目录下文件的权限；支持细粒度的自主访问控制，将访问控制的粒度控制在单个用户，对系统中的每一个客体，实现由客体拥有者以指定用户方式确定其对该客体的访问权限，而其他同组用户或非同组的用户和用户组对该客体的访问权则由客体拥有者授予</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5CE6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45E8B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68F0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E92DA">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178</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F3C1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D85C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访问控制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7F80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强制访问控制</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8262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EA8A7">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操作系统支持对应用程序的访问控制与资源限制，包括对文件、网络等客体的访问控制；支持应用安装控制、应用执行控制</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9E88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6FC77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616ED">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DEAE8">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179</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4930C">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D4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访问控制</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CB3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安全审计</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0E6E0">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DE94C">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能对身份鉴别的使用、自主访问控制、标记和强制访问控制策略的修改等生成审计日志；审计记录包括：事件类型、事件发生的日期、触发事件的用户、事件成功或失败等字段；支持审计日志查询和导出功能</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A4AA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r w14:paraId="7B896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1E97">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F2AF6">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180</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17CB2">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49514">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漏洞管理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3397B">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漏洞管理</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473FF">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w:t>
            </w:r>
          </w:p>
        </w:tc>
        <w:tc>
          <w:tcPr>
            <w:tcW w:w="2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65CFB">
            <w:pPr>
              <w:keepNext w:val="0"/>
              <w:keepLines w:val="0"/>
              <w:widowControl/>
              <w:suppressLineNumbers w:val="0"/>
              <w:spacing w:line="240" w:lineRule="exact"/>
              <w:ind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操作系统支持漏洞编号，每个漏洞独立编号，可直接使用NVDB、CNVD或CVE编号；漏洞提醒，发现或获悉漏洞信息时，通过系统推送、电子邮件或官方网站等方式通知用户；漏洞修复，对已发现的安全漏洞通过补丁等方式对系统漏洞进行修复；漏洞列表，提供每个版本已修复的漏洞列表，提供命令或网页等方式方便用户查询漏洞及其修复情况</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B2D23">
            <w:pPr>
              <w:keepNext w:val="0"/>
              <w:keepLines w:val="0"/>
              <w:widowControl/>
              <w:suppressLineNumbers w:val="0"/>
              <w:spacing w:line="240" w:lineRule="exact"/>
              <w:ind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r>
    </w:tbl>
    <w:p w14:paraId="13E90D46">
      <w:pPr>
        <w:spacing w:line="240" w:lineRule="auto"/>
        <w:ind w:firstLine="0" w:firstLineChars="0"/>
        <w:jc w:val="left"/>
        <w:rPr>
          <w:rFonts w:hint="default"/>
          <w:lang w:val="en-US" w:eastAsia="zh-CN"/>
        </w:rPr>
      </w:pPr>
    </w:p>
    <w:p w14:paraId="4D6C8C45">
      <w:pPr>
        <w:rPr>
          <w:rFonts w:hint="default"/>
          <w:lang w:val="en-US" w:eastAsia="zh-CN"/>
        </w:rPr>
      </w:pPr>
    </w:p>
    <w:p w14:paraId="0C70788F">
      <w:pPr>
        <w:rPr>
          <w:rFonts w:hint="default"/>
          <w:lang w:val="en-US" w:eastAsia="zh-CN"/>
        </w:rPr>
      </w:pPr>
    </w:p>
    <w:bookmarkEnd w:id="469"/>
    <w:p w14:paraId="363A1BFA">
      <w:pPr>
        <w:widowControl w:val="0"/>
        <w:spacing w:after="0" w:line="240" w:lineRule="auto"/>
        <w:jc w:val="left"/>
        <w:rPr>
          <w:rFonts w:hint="default" w:ascii="Times New Roman" w:hAnsi="Times New Roman" w:eastAsia="仿宋_GB2312" w:cs="Times New Roman"/>
          <w:bCs/>
          <w:color w:val="auto"/>
          <w:sz w:val="28"/>
          <w:szCs w:val="28"/>
          <w:u w:val="single"/>
          <w:lang w:val="en-US" w:eastAsia="zh-CN"/>
        </w:rPr>
      </w:pPr>
    </w:p>
    <w:p w14:paraId="145D4C13">
      <w:pPr>
        <w:keepNext/>
        <w:keepLines/>
        <w:widowControl w:val="0"/>
        <w:adjustRightInd w:val="0"/>
        <w:spacing w:before="160" w:after="0" w:line="240" w:lineRule="auto"/>
        <w:ind w:left="271"/>
        <w:jc w:val="left"/>
        <w:textAlignment w:val="bottom"/>
        <w:outlineLvl w:val="2"/>
        <w:rPr>
          <w:rFonts w:hint="default" w:ascii="Times New Roman" w:hAnsi="Times New Roman" w:eastAsia="黑体" w:cs="Times New Roman"/>
          <w:bCs/>
          <w:color w:val="auto"/>
          <w:kern w:val="21"/>
          <w:sz w:val="28"/>
          <w:szCs w:val="28"/>
          <w:lang w:val="en-US" w:eastAsia="zh-CN"/>
        </w:rPr>
      </w:pPr>
      <w:r>
        <w:rPr>
          <w:rFonts w:hint="default" w:ascii="Times New Roman" w:hAnsi="Times New Roman" w:eastAsia="黑体" w:cs="Times New Roman"/>
          <w:bCs/>
          <w:color w:val="auto"/>
          <w:kern w:val="21"/>
          <w:sz w:val="28"/>
          <w:szCs w:val="28"/>
          <w:lang w:val="en-US" w:eastAsia="zh-CN"/>
        </w:rPr>
        <w:t>三、其他项目相关要求</w:t>
      </w:r>
    </w:p>
    <w:p w14:paraId="443DA257">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 投标人可提供品质和功能相同的或优于同类产品的货物或方案。</w:t>
      </w:r>
    </w:p>
    <w:p w14:paraId="7ABFB7E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2. 检测的标准依据国家有关规定执行。 </w:t>
      </w:r>
    </w:p>
    <w:p w14:paraId="708FBDE2">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3．除招标文件要求提供的货物备件、专用工具和消耗品外，所有备件必须符合国家标准及行业要求。</w:t>
      </w:r>
    </w:p>
    <w:p w14:paraId="171C9A15">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4.本次采购货物中如果某些技术标准与国家所要求的标准不统一或有不兼容的地方，均以国家强制性标准或最新出台的标准为准。</w:t>
      </w:r>
    </w:p>
    <w:p w14:paraId="49770015">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5.如果未在招标文件中要求提供其相关行业标准或国家强制性标准的，则投标人可给予补充说明。</w:t>
      </w:r>
    </w:p>
    <w:p w14:paraId="7911BD9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6.质量保证期为3年，从验收合格之日起开始计算。</w:t>
      </w:r>
    </w:p>
    <w:p w14:paraId="2A81CB7F">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7.售后服务及保修</w:t>
      </w:r>
    </w:p>
    <w:p w14:paraId="2426C7A3">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（1）对本次招标的技术服务提供至少3年免费的技术支持和服务。投标人应承诺向采购人免费提供软件的使用及后续处理技术支持服务，包括以现场指导、电话、传真以及电子邮件等多种方式进行的技术支持。</w:t>
      </w:r>
    </w:p>
    <w:p w14:paraId="66CF1709">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（2）在采购人提出售后服务24小时内，给予服务响应。</w:t>
      </w:r>
    </w:p>
    <w:p w14:paraId="1941C3D8">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（3）承诺安排售后服务专员为本项目提供售后技术支持，承诺如人员需要调整及时通知采购人，确保本项目有效使用。</w:t>
      </w:r>
    </w:p>
    <w:p w14:paraId="51A0E87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4）质保期外，如需更换零部件，以最优惠的价格收取人工费和材料费；其它无法迅速解决的问题应在一周内解决或提出明确解决方案。提供售后服务机构信息，包括服务机构名称、地点、联系人、联系电话等。</w:t>
      </w:r>
    </w:p>
    <w:p w14:paraId="6571D020">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（5）供应商需具备提供终身维修的能力，能够及时提供维修配件、消耗件等。</w:t>
      </w:r>
    </w:p>
    <w:p w14:paraId="2E5A7E34">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8.本次采购项目为交钥匙工程，所需的一切货物、材料、安装、税金等相关费用，应全部包含在投标报价之中。</w:t>
      </w:r>
    </w:p>
    <w:p w14:paraId="5D3AD25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9.采购内容及技术规格要求中，所描述的技术参数，如有与某产品的指标或参数描述相同，并非特指，仅为产品质量、档次、水平的参照。投标人所投产品应等同或相当于或高于采购文件所描述的技术要求。</w:t>
      </w:r>
    </w:p>
    <w:p w14:paraId="7C69C79E">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10.本项目为助力打好污染防治攻坚战，推广使用绿色包装，所有商品包装符合《商品包装政府采购需求标准（试行）》、快递包装符合《快递包装政府采购需求标准（试行）》要求的，投标人应提供相关承诺函予以响应。</w:t>
      </w:r>
    </w:p>
    <w:p w14:paraId="11E0335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11.根据选择产品的节能环保情况，投标人应在投标文件中提供节能环保产品证明文件。</w:t>
      </w:r>
    </w:p>
    <w:p w14:paraId="7FD178BD">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12.投标人应在投标文件中提供类似项目业绩证明材料。</w:t>
      </w:r>
    </w:p>
    <w:p w14:paraId="60AD19F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13.投标人根据本项目特点及采购人实际情况，制定完善的项目实施方案。项目实施方案应包括但不限于：安装计划、组织机构、安全保障措施、安装调试规划、安装人员组成、质量保证措施等。</w:t>
      </w:r>
    </w:p>
    <w:p w14:paraId="02A96B3D">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14.投标人针对本项目提供详细的培训方案，包含但不限于：培训目标、培训对象、培训方式、培训时间、培训内容、预期成效等。</w:t>
      </w:r>
    </w:p>
    <w:p w14:paraId="317B1C2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15.投标人针对本项目需求提供提供售后服务方案，方案应包括但不限于：售后服务内容、形式、含免费维修响应时间、解决质量或操作问题的响应时间、解决问题时间、售后服务地点等。</w:t>
      </w:r>
    </w:p>
    <w:p w14:paraId="1C61B8A9">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16.投标人还可在文件中提供其他与本项目相关的内容。</w:t>
      </w:r>
    </w:p>
    <w:p w14:paraId="2C8A83D3">
      <w:pPr>
        <w:keepNext/>
        <w:keepLines/>
        <w:widowControl w:val="0"/>
        <w:adjustRightInd w:val="0"/>
        <w:spacing w:before="160" w:after="0" w:line="240" w:lineRule="auto"/>
        <w:ind w:left="271"/>
        <w:jc w:val="left"/>
        <w:textAlignment w:val="bottom"/>
        <w:outlineLvl w:val="2"/>
        <w:rPr>
          <w:rFonts w:hint="default" w:ascii="Times New Roman" w:hAnsi="Times New Roman" w:eastAsia="黑体" w:cs="Times New Roman"/>
          <w:bCs/>
          <w:color w:val="auto"/>
          <w:kern w:val="21"/>
          <w:sz w:val="28"/>
          <w:szCs w:val="28"/>
          <w:lang w:val="en-US" w:eastAsia="zh-CN"/>
        </w:rPr>
      </w:pPr>
      <w:r>
        <w:rPr>
          <w:rFonts w:hint="default" w:ascii="Times New Roman" w:hAnsi="Times New Roman" w:eastAsia="黑体" w:cs="Times New Roman"/>
          <w:bCs/>
          <w:color w:val="auto"/>
          <w:kern w:val="21"/>
          <w:sz w:val="28"/>
          <w:szCs w:val="28"/>
          <w:lang w:val="en-US" w:eastAsia="zh-CN"/>
        </w:rPr>
        <w:t>四、验收方式及标准</w:t>
      </w:r>
    </w:p>
    <w:p w14:paraId="1A10A9CE">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1.验收组织方式：</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自行组织</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委托第三方组织</w:t>
      </w:r>
    </w:p>
    <w:p w14:paraId="66B0429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         验收主体：</w:t>
      </w:r>
      <w:r>
        <w:rPr>
          <w:rFonts w:hint="default" w:ascii="Times New Roman" w:hAnsi="Times New Roman" w:eastAsia="仿宋_GB2312" w:cs="Times New Roman"/>
          <w:bCs/>
          <w:color w:val="auto"/>
          <w:sz w:val="28"/>
          <w:szCs w:val="28"/>
          <w:u w:val="single"/>
          <w:lang w:val="en-US" w:eastAsia="zh-CN"/>
        </w:rPr>
        <w:t xml:space="preserve">    河南省测绘地理信息技术中心  </w:t>
      </w:r>
      <w:r>
        <w:rPr>
          <w:rFonts w:hint="default" w:ascii="Times New Roman" w:hAnsi="Times New Roman" w:eastAsia="仿宋_GB2312" w:cs="Times New Roman"/>
          <w:bCs/>
          <w:color w:val="auto"/>
          <w:sz w:val="28"/>
          <w:szCs w:val="28"/>
          <w:lang w:val="en-US" w:eastAsia="zh-CN"/>
        </w:rPr>
        <w:t xml:space="preserve">       </w:t>
      </w:r>
    </w:p>
    <w:p w14:paraId="1EC42569">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        是否邀请本项目的其他供应商参加验收：</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3AB28B75">
      <w:pPr>
        <w:widowControl w:val="0"/>
        <w:spacing w:after="0" w:line="240" w:lineRule="auto"/>
        <w:ind w:firstLine="56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是否邀请专家参加验收：</w:t>
      </w:r>
      <w:r>
        <w:rPr>
          <w:rFonts w:hint="default" w:ascii="Times New Roman" w:hAnsi="Times New Roman" w:eastAsia="仿宋_GB2312" w:cs="Times New Roman"/>
          <w:bCs/>
          <w:color w:val="auto"/>
          <w:sz w:val="28"/>
          <w:szCs w:val="28"/>
          <w:highlight w:val="none"/>
          <w:lang w:val="en-US" w:eastAsia="zh-CN"/>
        </w:rPr>
        <w:sym w:font="Wingdings" w:char="00FE"/>
      </w:r>
      <w:r>
        <w:rPr>
          <w:rFonts w:hint="default" w:ascii="Times New Roman" w:hAnsi="Times New Roman" w:eastAsia="仿宋_GB2312" w:cs="Times New Roman"/>
          <w:bCs/>
          <w:color w:val="auto"/>
          <w:sz w:val="28"/>
          <w:szCs w:val="28"/>
          <w:highlight w:val="none"/>
          <w:lang w:val="en-US" w:eastAsia="zh-CN"/>
        </w:rPr>
        <w:t xml:space="preserve">是  </w:t>
      </w:r>
      <w:r>
        <w:rPr>
          <w:rFonts w:hint="default" w:ascii="Times New Roman" w:hAnsi="Times New Roman" w:eastAsia="仿宋_GB2312" w:cs="Times New Roman"/>
          <w:bCs/>
          <w:color w:val="auto"/>
          <w:sz w:val="28"/>
          <w:szCs w:val="28"/>
          <w:highlight w:val="none"/>
          <w:lang w:val="en-US" w:eastAsia="zh-CN"/>
        </w:rPr>
        <w:sym w:font="Wingdings" w:char="00A8"/>
      </w:r>
      <w:r>
        <w:rPr>
          <w:rFonts w:hint="default" w:ascii="Times New Roman" w:hAnsi="Times New Roman" w:eastAsia="仿宋_GB2312" w:cs="Times New Roman"/>
          <w:bCs/>
          <w:color w:val="auto"/>
          <w:sz w:val="28"/>
          <w:szCs w:val="28"/>
          <w:highlight w:val="none"/>
          <w:lang w:val="en-US" w:eastAsia="zh-CN"/>
        </w:rPr>
        <w:t>否</w:t>
      </w:r>
    </w:p>
    <w:p w14:paraId="03148CD0">
      <w:pPr>
        <w:widowControl w:val="0"/>
        <w:spacing w:after="0" w:line="240" w:lineRule="auto"/>
        <w:ind w:firstLine="560"/>
        <w:jc w:val="left"/>
        <w:rPr>
          <w:rFonts w:hint="default" w:ascii="Times New Roman" w:hAnsi="Times New Roman" w:eastAsia="仿宋_GB2312" w:cs="Times New Roman"/>
          <w:bCs/>
          <w:color w:val="auto"/>
          <w:sz w:val="28"/>
          <w:szCs w:val="28"/>
          <w:highlight w:val="none"/>
          <w:lang w:val="en-US" w:eastAsia="zh-CN"/>
        </w:rPr>
      </w:pPr>
      <w:r>
        <w:rPr>
          <w:rFonts w:hint="default" w:ascii="Times New Roman" w:hAnsi="Times New Roman" w:eastAsia="仿宋_GB2312" w:cs="Times New Roman"/>
          <w:bCs/>
          <w:color w:val="auto"/>
          <w:sz w:val="28"/>
          <w:szCs w:val="28"/>
          <w:highlight w:val="none"/>
          <w:lang w:val="en-US" w:eastAsia="zh-CN"/>
        </w:rPr>
        <w:t>是否邀请服务对象参加验收：</w:t>
      </w:r>
      <w:r>
        <w:rPr>
          <w:rFonts w:hint="default" w:ascii="Times New Roman" w:hAnsi="Times New Roman" w:eastAsia="仿宋_GB2312" w:cs="Times New Roman"/>
          <w:bCs/>
          <w:color w:val="auto"/>
          <w:sz w:val="28"/>
          <w:szCs w:val="28"/>
          <w:highlight w:val="none"/>
          <w:lang w:val="en-US" w:eastAsia="zh-CN"/>
        </w:rPr>
        <w:sym w:font="Wingdings" w:char="00A8"/>
      </w:r>
      <w:r>
        <w:rPr>
          <w:rFonts w:hint="default" w:ascii="Times New Roman" w:hAnsi="Times New Roman" w:eastAsia="仿宋_GB2312" w:cs="Times New Roman"/>
          <w:bCs/>
          <w:color w:val="auto"/>
          <w:sz w:val="28"/>
          <w:szCs w:val="28"/>
          <w:highlight w:val="none"/>
          <w:lang w:val="en-US" w:eastAsia="zh-CN"/>
        </w:rPr>
        <w:t xml:space="preserve">是  </w:t>
      </w:r>
      <w:r>
        <w:rPr>
          <w:rFonts w:hint="default" w:ascii="Times New Roman" w:hAnsi="Times New Roman" w:eastAsia="仿宋_GB2312" w:cs="Times New Roman"/>
          <w:bCs/>
          <w:color w:val="auto"/>
          <w:sz w:val="28"/>
          <w:szCs w:val="28"/>
          <w:highlight w:val="none"/>
          <w:lang w:val="en-US" w:eastAsia="zh-CN"/>
        </w:rPr>
        <w:sym w:font="Wingdings" w:char="00FE"/>
      </w:r>
      <w:r>
        <w:rPr>
          <w:rFonts w:hint="default" w:ascii="Times New Roman" w:hAnsi="Times New Roman" w:eastAsia="仿宋_GB2312" w:cs="Times New Roman"/>
          <w:bCs/>
          <w:color w:val="auto"/>
          <w:sz w:val="28"/>
          <w:szCs w:val="28"/>
          <w:highlight w:val="none"/>
          <w:lang w:val="en-US" w:eastAsia="zh-CN"/>
        </w:rPr>
        <w:t>否</w:t>
      </w:r>
    </w:p>
    <w:p w14:paraId="77CD57E1">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是否邀请第三方检测机构参加验收：</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649F8CD3">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是否进行抽查检测：</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是，抽查比例：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1C5D8D2A">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是否存在破坏性检测：</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是，（应明确对被破坏的检测产品的处理方式）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01BFABC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验收组织的其他事项：                </w:t>
      </w:r>
    </w:p>
    <w:p w14:paraId="25D61DBC">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2.履约验收时间：  供应商提出验收申请之日起 </w:t>
      </w:r>
      <w:r>
        <w:rPr>
          <w:rFonts w:hint="eastAsia" w:ascii="Times New Roman" w:hAnsi="Times New Roman" w:eastAsia="仿宋_GB2312" w:cs="Times New Roman"/>
          <w:bCs/>
          <w:color w:val="auto"/>
          <w:sz w:val="28"/>
          <w:szCs w:val="28"/>
          <w:lang w:val="en-US" w:eastAsia="zh-CN"/>
        </w:rPr>
        <w:t>10</w:t>
      </w:r>
      <w:r>
        <w:rPr>
          <w:rFonts w:hint="default" w:ascii="Times New Roman" w:hAnsi="Times New Roman" w:eastAsia="仿宋_GB2312" w:cs="Times New Roman"/>
          <w:bCs/>
          <w:color w:val="auto"/>
          <w:sz w:val="28"/>
          <w:szCs w:val="28"/>
          <w:lang w:val="en-US" w:eastAsia="zh-CN"/>
        </w:rPr>
        <w:t xml:space="preserve">个工作日内组织验收  </w:t>
      </w:r>
    </w:p>
    <w:p w14:paraId="08CCE74A">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3.履约验收方式：</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 xml:space="preserve">一次性验收         </w:t>
      </w:r>
    </w:p>
    <w:p w14:paraId="694A850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分期/分项验收：           </w:t>
      </w:r>
    </w:p>
    <w:p w14:paraId="718FA661">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4.履约验收程序： </w:t>
      </w:r>
      <w:r>
        <w:rPr>
          <w:rFonts w:hint="default" w:ascii="Times New Roman" w:hAnsi="Times New Roman" w:eastAsia="仿宋_GB2312" w:cs="Times New Roman"/>
          <w:bCs/>
          <w:color w:val="auto"/>
          <w:sz w:val="28"/>
          <w:szCs w:val="28"/>
          <w:u w:val="single"/>
          <w:lang w:val="en-US" w:eastAsia="zh-CN"/>
        </w:rPr>
        <w:t>履约验收程序详见【政府采购合同专用条款】</w:t>
      </w:r>
      <w:r>
        <w:rPr>
          <w:rFonts w:hint="default" w:ascii="Times New Roman" w:hAnsi="Times New Roman" w:eastAsia="仿宋_GB2312" w:cs="Times New Roman"/>
          <w:bCs/>
          <w:color w:val="auto"/>
          <w:sz w:val="28"/>
          <w:szCs w:val="28"/>
          <w:lang w:val="en-US" w:eastAsia="zh-CN"/>
        </w:rPr>
        <w:t xml:space="preserve">     </w:t>
      </w:r>
    </w:p>
    <w:p w14:paraId="3E7A6470">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5.履约验收的内容：</w:t>
      </w:r>
      <w:r>
        <w:rPr>
          <w:rFonts w:hint="default" w:ascii="Times New Roman" w:hAnsi="Times New Roman" w:eastAsia="仿宋_GB2312" w:cs="Times New Roman"/>
          <w:bCs/>
          <w:color w:val="auto"/>
          <w:sz w:val="28"/>
          <w:szCs w:val="28"/>
          <w:u w:val="single"/>
          <w:lang w:val="en-US" w:eastAsia="zh-CN"/>
        </w:rPr>
        <w:t xml:space="preserve"> 履约验收的内容详见【政府采购合同专用条款】 </w:t>
      </w:r>
      <w:r>
        <w:rPr>
          <w:rFonts w:hint="default" w:ascii="Times New Roman" w:hAnsi="Times New Roman" w:eastAsia="仿宋_GB2312" w:cs="Times New Roman"/>
          <w:bCs/>
          <w:color w:val="auto"/>
          <w:sz w:val="28"/>
          <w:szCs w:val="28"/>
          <w:lang w:val="en-US" w:eastAsia="zh-CN"/>
        </w:rPr>
        <w:t xml:space="preserve">        </w:t>
      </w:r>
    </w:p>
    <w:p w14:paraId="44F97FD1">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6.履约验收标准：</w:t>
      </w:r>
      <w:r>
        <w:rPr>
          <w:rFonts w:hint="default" w:ascii="Times New Roman" w:hAnsi="Times New Roman" w:eastAsia="仿宋_GB2312" w:cs="Times New Roman"/>
          <w:bCs/>
          <w:color w:val="auto"/>
          <w:sz w:val="28"/>
          <w:szCs w:val="28"/>
          <w:u w:val="single"/>
          <w:lang w:val="en-US" w:eastAsia="zh-CN"/>
        </w:rPr>
        <w:t xml:space="preserve">履约验收标准详见【政府采购合同专用条款】 </w:t>
      </w:r>
      <w:r>
        <w:rPr>
          <w:rFonts w:hint="default" w:ascii="Times New Roman" w:hAnsi="Times New Roman" w:eastAsia="仿宋_GB2312" w:cs="Times New Roman"/>
          <w:bCs/>
          <w:color w:val="auto"/>
          <w:sz w:val="28"/>
          <w:szCs w:val="28"/>
          <w:lang w:val="en-US" w:eastAsia="zh-CN"/>
        </w:rPr>
        <w:t xml:space="preserve">            </w:t>
      </w:r>
    </w:p>
    <w:p w14:paraId="2C9383AD">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7.是否以采购活动中供应商提供的样品作为参考：</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180FAB02">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8.履约验收其他事项：</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lang w:val="en-US" w:eastAsia="zh-CN"/>
        </w:rPr>
        <w:t xml:space="preserve">                      </w:t>
      </w:r>
    </w:p>
    <w:p w14:paraId="63E78F32">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aps/>
          <w:color w:val="auto"/>
          <w:kern w:val="0"/>
          <w:sz w:val="28"/>
          <w:szCs w:val="28"/>
          <w:lang w:val="en-US" w:eastAsia="zh-CN"/>
        </w:rPr>
        <w:t>9</w:t>
      </w:r>
      <w:r>
        <w:rPr>
          <w:rFonts w:hint="default" w:ascii="Times New Roman" w:hAnsi="Times New Roman" w:eastAsia="仿宋_GB2312" w:cs="Times New Roman"/>
          <w:bCs/>
          <w:color w:val="auto"/>
          <w:sz w:val="28"/>
          <w:szCs w:val="28"/>
          <w:lang w:val="en-US" w:eastAsia="zh-CN"/>
        </w:rPr>
        <w:t>.履约验收程序：</w:t>
      </w:r>
    </w:p>
    <w:p w14:paraId="721BF9B8">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（1）到货验收。到货后，检查仪器设备内外包装是否完好，有无破损、碰伤、浸湿、受潮、变形等情况。确认所验收货物件数与运输单据填写的件数一致。如发现上述问题，应做详细记录，并拍照留据。</w:t>
      </w:r>
    </w:p>
    <w:p w14:paraId="3FFFF547">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2）开箱（实物及数量参数）验收。到货后开箱检查仪器设备及附件外表有无残损、锈蚀、碰伤等，检查随机资料是否齐全，如仪器说明书、操作规程、检修手册、产品检验合格证书等。以装箱单为依据，逐件核对检查主机、附件的规格、型号、配置及数量。以供货合同为依据与装箱单进行核对，做好货物（设备）验收清单记录。</w:t>
      </w:r>
    </w:p>
    <w:p w14:paraId="553EC997">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（3） 质量验收。按照合同条款、货物（设备） 使用说明书及操作手册的规定和程序进行安装、调试后进行质量验收，乙方技术人员参加。验收时对照货物（设备）使用说明书，进行各种技术参数测试，检查仪器的技术指标和性能是否达到要求，做好质量验收记录，验收结束出具验收报告。若仪器出现质量问题，应将详细情况书面通知中标人。 </w:t>
      </w:r>
    </w:p>
    <w:p w14:paraId="6A0F38B9">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5.履约验收的内容：</w:t>
      </w:r>
      <w:r>
        <w:rPr>
          <w:rFonts w:hint="default" w:ascii="Times New Roman" w:hAnsi="Times New Roman" w:eastAsia="仿宋_GB2312" w:cs="Times New Roman"/>
          <w:bCs/>
          <w:color w:val="auto"/>
          <w:sz w:val="28"/>
          <w:szCs w:val="28"/>
          <w:u w:val="single"/>
          <w:lang w:val="en-US" w:eastAsia="zh-CN"/>
        </w:rPr>
        <w:t>按照招标文件及合同约定内容进行验收。</w:t>
      </w:r>
      <w:r>
        <w:rPr>
          <w:rFonts w:hint="default" w:ascii="Times New Roman" w:hAnsi="Times New Roman" w:eastAsia="仿宋_GB2312" w:cs="Times New Roman"/>
          <w:bCs/>
          <w:color w:val="auto"/>
          <w:sz w:val="28"/>
          <w:szCs w:val="28"/>
          <w:lang w:val="en-US" w:eastAsia="zh-CN"/>
        </w:rPr>
        <w:t xml:space="preserve">                                     </w:t>
      </w:r>
    </w:p>
    <w:p w14:paraId="207ACFB4">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6.履约验收标准：</w:t>
      </w:r>
      <w:r>
        <w:rPr>
          <w:rFonts w:hint="default" w:ascii="Times New Roman" w:hAnsi="Times New Roman" w:eastAsia="仿宋_GB2312" w:cs="Times New Roman"/>
          <w:bCs/>
          <w:color w:val="auto"/>
          <w:sz w:val="28"/>
          <w:szCs w:val="28"/>
          <w:u w:val="single"/>
          <w:lang w:val="en-US" w:eastAsia="zh-CN"/>
        </w:rPr>
        <w:t>符合国家相关行业合格标准且满足采购人需求。</w:t>
      </w:r>
      <w:r>
        <w:rPr>
          <w:rFonts w:hint="default" w:ascii="Times New Roman" w:hAnsi="Times New Roman" w:eastAsia="仿宋_GB2312" w:cs="Times New Roman"/>
          <w:bCs/>
          <w:color w:val="auto"/>
          <w:sz w:val="28"/>
          <w:szCs w:val="28"/>
          <w:lang w:val="en-US" w:eastAsia="zh-CN"/>
        </w:rPr>
        <w:t xml:space="preserve"> </w:t>
      </w:r>
    </w:p>
    <w:p w14:paraId="3620EBAB">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7.是否以采购活动中投标人提供的样品作为参考：</w:t>
      </w:r>
      <w:r>
        <w:rPr>
          <w:rFonts w:hint="default" w:ascii="Times New Roman" w:hAnsi="Times New Roman" w:eastAsia="仿宋_GB2312" w:cs="Times New Roman"/>
          <w:bCs/>
          <w:color w:val="auto"/>
          <w:sz w:val="28"/>
          <w:szCs w:val="28"/>
          <w:lang w:val="en-US" w:eastAsia="zh-CN"/>
        </w:rPr>
        <w:sym w:font="Wingdings" w:char="00A8"/>
      </w:r>
      <w:r>
        <w:rPr>
          <w:rFonts w:hint="default" w:ascii="Times New Roman" w:hAnsi="Times New Roman" w:eastAsia="仿宋_GB2312" w:cs="Times New Roman"/>
          <w:bCs/>
          <w:color w:val="auto"/>
          <w:sz w:val="28"/>
          <w:szCs w:val="28"/>
          <w:lang w:val="en-US" w:eastAsia="zh-CN"/>
        </w:rPr>
        <w:t xml:space="preserve">是  </w:t>
      </w:r>
      <w:r>
        <w:rPr>
          <w:rFonts w:hint="default" w:ascii="Times New Roman" w:hAnsi="Times New Roman" w:eastAsia="仿宋_GB2312" w:cs="Times New Roman"/>
          <w:bCs/>
          <w:color w:val="auto"/>
          <w:sz w:val="28"/>
          <w:szCs w:val="28"/>
          <w:lang w:val="en-US" w:eastAsia="zh-CN"/>
        </w:rPr>
        <w:sym w:font="Wingdings" w:char="00FE"/>
      </w:r>
      <w:r>
        <w:rPr>
          <w:rFonts w:hint="default" w:ascii="Times New Roman" w:hAnsi="Times New Roman" w:eastAsia="仿宋_GB2312" w:cs="Times New Roman"/>
          <w:bCs/>
          <w:color w:val="auto"/>
          <w:sz w:val="28"/>
          <w:szCs w:val="28"/>
          <w:lang w:val="en-US" w:eastAsia="zh-CN"/>
        </w:rPr>
        <w:t>否</w:t>
      </w:r>
    </w:p>
    <w:p w14:paraId="26DDA780">
      <w:pPr>
        <w:widowControl w:val="0"/>
        <w:spacing w:after="0" w:line="240" w:lineRule="auto"/>
        <w:ind w:firstLine="560"/>
        <w:jc w:val="lef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8.履约验收其他事项：</w:t>
      </w:r>
      <w:r>
        <w:rPr>
          <w:rFonts w:hint="default" w:ascii="Times New Roman" w:hAnsi="Times New Roman" w:eastAsia="仿宋_GB2312" w:cs="Times New Roman"/>
          <w:bCs/>
          <w:color w:val="auto"/>
          <w:sz w:val="28"/>
          <w:szCs w:val="28"/>
          <w:u w:val="single"/>
          <w:lang w:val="en-US" w:eastAsia="zh-CN"/>
        </w:rPr>
        <w:t xml:space="preserve">  无  </w:t>
      </w:r>
      <w:r>
        <w:rPr>
          <w:rFonts w:hint="default" w:ascii="Times New Roman" w:hAnsi="Times New Roman" w:eastAsia="仿宋_GB2312" w:cs="Times New Roman"/>
          <w:bCs/>
          <w:color w:val="auto"/>
          <w:sz w:val="28"/>
          <w:szCs w:val="28"/>
          <w:lang w:val="en-US" w:eastAsia="zh-CN"/>
        </w:rPr>
        <w:t xml:space="preserve"> </w:t>
      </w:r>
      <w:r>
        <w:rPr>
          <w:rFonts w:hint="eastAsia" w:ascii="Times New Roman" w:hAnsi="Times New Roman"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lang w:val="en-US" w:eastAsia="zh-CN"/>
        </w:rPr>
        <w:t xml:space="preserve">   </w:t>
      </w:r>
    </w:p>
    <w:p w14:paraId="4F0F473F">
      <w:pPr>
        <w:jc w:val="left"/>
        <w:rPr>
          <w:rFonts w:hint="default" w:ascii="Times New Roman" w:hAnsi="Times New Roman" w:eastAsia="仿宋_GB2312" w:cs="Times New Roman"/>
          <w:bCs/>
          <w:caps/>
          <w:color w:val="auto"/>
          <w:kern w:val="0"/>
          <w:sz w:val="32"/>
          <w:szCs w:val="32"/>
          <w:lang w:eastAsia="zh-CN"/>
        </w:rPr>
      </w:pPr>
      <w:r>
        <w:rPr>
          <w:rFonts w:hint="default" w:ascii="Times New Roman" w:hAnsi="Times New Roman" w:eastAsia="仿宋_GB2312" w:cs="Times New Roman"/>
          <w:bCs/>
          <w:caps/>
          <w:color w:val="auto"/>
          <w:kern w:val="0"/>
          <w:sz w:val="28"/>
          <w:szCs w:val="28"/>
          <w:lang w:eastAsia="zh-CN"/>
        </w:rPr>
        <w:br w:type="page"/>
      </w:r>
    </w:p>
    <w:p w14:paraId="28D9CA09">
      <w:pPr>
        <w:spacing w:line="360" w:lineRule="auto"/>
        <w:jc w:val="center"/>
        <w:outlineLvl w:val="0"/>
        <w:rPr>
          <w:rFonts w:hint="default" w:ascii="Times New Roman" w:hAnsi="Times New Roman" w:eastAsia="宋体" w:cs="Times New Roman"/>
          <w:bCs/>
          <w:color w:val="auto"/>
          <w:kern w:val="44"/>
          <w:sz w:val="36"/>
          <w:szCs w:val="36"/>
          <w:lang w:val="en-US" w:eastAsia="zh-CN"/>
        </w:rPr>
      </w:pPr>
      <w:bookmarkStart w:id="490" w:name="_Toc358334306"/>
      <w:r>
        <w:rPr>
          <w:rFonts w:hint="default" w:ascii="Times New Roman" w:hAnsi="Times New Roman" w:eastAsia="宋体" w:cs="Times New Roman"/>
          <w:bCs/>
          <w:color w:val="auto"/>
          <w:kern w:val="44"/>
          <w:sz w:val="36"/>
          <w:szCs w:val="36"/>
          <w:lang w:val="en-US" w:eastAsia="zh-CN"/>
        </w:rPr>
        <w:t>第七章 评标方法和标准</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90"/>
    </w:p>
    <w:p w14:paraId="32E90677">
      <w:pPr>
        <w:spacing w:line="360" w:lineRule="auto"/>
        <w:rPr>
          <w:rFonts w:hint="default" w:ascii="Times New Roman" w:hAnsi="Times New Roman" w:eastAsia="仿宋_GB2312" w:cs="Times New Roman"/>
          <w:bCs/>
          <w:color w:val="auto"/>
          <w:sz w:val="28"/>
          <w:szCs w:val="28"/>
          <w:lang w:eastAsia="zh-CN"/>
        </w:rPr>
      </w:pPr>
      <w:bookmarkStart w:id="491" w:name="_Toc1595179162_WPSOffice_Level2"/>
      <w:bookmarkStart w:id="492" w:name="_Toc421828923_WPSOffice_Level2"/>
      <w:bookmarkStart w:id="493" w:name="_Toc1270934164_WPSOffice_Level2"/>
      <w:bookmarkStart w:id="494" w:name="_Toc682913791_WPSOffice_Level2"/>
    </w:p>
    <w:p w14:paraId="481D136B">
      <w:pPr>
        <w:pStyle w:val="77"/>
        <w:outlineLvl w:val="2"/>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t>一、评标方法</w:t>
      </w:r>
      <w:bookmarkEnd w:id="491"/>
      <w:bookmarkEnd w:id="492"/>
      <w:bookmarkEnd w:id="493"/>
      <w:bookmarkEnd w:id="494"/>
    </w:p>
    <w:p w14:paraId="3181ED54">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采用综合评分法，总分值</w:t>
      </w:r>
      <w:r>
        <w:rPr>
          <w:rFonts w:hint="default" w:ascii="Times New Roman" w:hAnsi="Times New Roman" w:eastAsia="仿宋_GB2312" w:cs="Times New Roman"/>
          <w:bCs/>
          <w:color w:val="auto"/>
          <w:sz w:val="28"/>
          <w:szCs w:val="28"/>
          <w:lang w:val="en-US" w:eastAsia="zh-CN"/>
        </w:rPr>
        <w:t>100</w:t>
      </w:r>
      <w:r>
        <w:rPr>
          <w:rFonts w:hint="default" w:ascii="Times New Roman" w:hAnsi="Times New Roman" w:eastAsia="仿宋_GB2312" w:cs="Times New Roman"/>
          <w:bCs/>
          <w:color w:val="auto"/>
          <w:sz w:val="28"/>
          <w:szCs w:val="28"/>
          <w:lang w:eastAsia="zh-CN"/>
        </w:rPr>
        <w:t>分。</w:t>
      </w:r>
      <w:bookmarkStart w:id="495" w:name="_Toc35230229_WPSOffice_Level2"/>
      <w:r>
        <w:rPr>
          <w:rFonts w:hint="default" w:ascii="Times New Roman" w:hAnsi="Times New Roman" w:eastAsia="仿宋_GB2312" w:cs="Times New Roman"/>
          <w:bCs/>
          <w:color w:val="auto"/>
          <w:sz w:val="28"/>
          <w:szCs w:val="28"/>
          <w:lang w:eastAsia="zh-CN"/>
        </w:rPr>
        <w:t>评标委员会对各投标人的投标文件进行符合性审查、详细评审后，按评审得分由高到低顺序推荐排名。如评审得分相同的，按投标报价由低到高顺序推荐排列；评审得分且投标报价相同的并列。</w:t>
      </w:r>
    </w:p>
    <w:bookmarkEnd w:id="495"/>
    <w:p w14:paraId="2AE7295D">
      <w:pPr>
        <w:pStyle w:val="77"/>
        <w:outlineLvl w:val="2"/>
        <w:rPr>
          <w:rFonts w:hint="default" w:ascii="Times New Roman" w:hAnsi="Times New Roman" w:eastAsia="仿宋_GB2312" w:cs="Times New Roman"/>
          <w:bCs/>
          <w:color w:val="auto"/>
          <w:sz w:val="28"/>
          <w:szCs w:val="28"/>
        </w:rPr>
      </w:pPr>
      <w:bookmarkStart w:id="496" w:name="_Toc1410113626_WPSOffice_Level3"/>
      <w:bookmarkStart w:id="497" w:name="_Toc333611415_WPSOffice_Level3"/>
      <w:r>
        <w:rPr>
          <w:rFonts w:hint="default" w:ascii="Times New Roman" w:hAnsi="Times New Roman" w:eastAsia="仿宋_GB2312" w:cs="Times New Roman"/>
          <w:bCs/>
          <w:color w:val="auto"/>
          <w:sz w:val="28"/>
          <w:szCs w:val="28"/>
        </w:rPr>
        <w:t>二、符合性审查</w:t>
      </w:r>
      <w:bookmarkEnd w:id="496"/>
      <w:bookmarkEnd w:id="497"/>
    </w:p>
    <w:p w14:paraId="2C683F4E">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评标委员会对符合资格的投标人的投标文件进行符合性审查，以确定其是否满足招标文件的实质性要求。</w:t>
      </w:r>
    </w:p>
    <w:p w14:paraId="47E0B827">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投标文件不存在雷同性（评标系统内投标文件雷同性分析，包括文件制作机器码或文件创建标识码）；</w:t>
      </w:r>
    </w:p>
    <w:p w14:paraId="42F88B92">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lang w:eastAsia="zh-CN"/>
        </w:rPr>
        <w:t>签字盖章签章符合招标文件要求；</w:t>
      </w:r>
    </w:p>
    <w:p w14:paraId="506B74A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3.投标有效期符合招标文件要求；</w:t>
      </w:r>
    </w:p>
    <w:p w14:paraId="44D32AFD">
      <w:pPr>
        <w:spacing w:line="360" w:lineRule="auto"/>
        <w:ind w:firstLine="480"/>
        <w:rPr>
          <w:rFonts w:hint="default" w:ascii="Times New Roman" w:hAnsi="Times New Roman" w:eastAsia="仿宋_GB2312" w:cs="Times New Roman"/>
          <w:bCs/>
          <w:strike/>
          <w:color w:val="auto"/>
          <w:sz w:val="28"/>
          <w:szCs w:val="28"/>
          <w:highlight w:val="yellow"/>
          <w:lang w:eastAsia="zh-CN"/>
        </w:rPr>
      </w:pPr>
      <w:r>
        <w:rPr>
          <w:rFonts w:hint="default" w:ascii="Times New Roman" w:hAnsi="Times New Roman" w:eastAsia="仿宋_GB2312" w:cs="Times New Roman"/>
          <w:bCs/>
          <w:color w:val="auto"/>
          <w:sz w:val="28"/>
          <w:szCs w:val="28"/>
          <w:lang w:eastAsia="zh-CN"/>
        </w:rPr>
        <w:t>4.投标报价未超出</w:t>
      </w:r>
      <w:r>
        <w:rPr>
          <w:rFonts w:hint="default" w:ascii="Times New Roman" w:hAnsi="Times New Roman" w:eastAsia="仿宋_GB2312" w:cs="Times New Roman"/>
          <w:bCs/>
          <w:color w:val="auto"/>
          <w:sz w:val="28"/>
          <w:szCs w:val="28"/>
          <w:lang w:val="en-US" w:eastAsia="zh-CN"/>
        </w:rPr>
        <w:t>最高限价</w:t>
      </w:r>
      <w:r>
        <w:rPr>
          <w:rFonts w:hint="default" w:ascii="Times New Roman" w:hAnsi="Times New Roman" w:eastAsia="仿宋_GB2312" w:cs="Times New Roman"/>
          <w:bCs/>
          <w:color w:val="auto"/>
          <w:sz w:val="28"/>
          <w:szCs w:val="28"/>
          <w:lang w:eastAsia="zh-CN"/>
        </w:rPr>
        <w:t>；</w:t>
      </w:r>
    </w:p>
    <w:p w14:paraId="547907E0">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5.投标文件无重大或不可接受的偏差；</w:t>
      </w:r>
    </w:p>
    <w:p w14:paraId="1489C5EC">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6.</w:t>
      </w:r>
      <w:r>
        <w:rPr>
          <w:rFonts w:hint="default" w:ascii="Times New Roman" w:hAnsi="Times New Roman" w:eastAsia="仿宋_GB2312" w:cs="Times New Roman"/>
          <w:bCs/>
          <w:color w:val="auto"/>
          <w:sz w:val="28"/>
          <w:szCs w:val="28"/>
          <w:lang w:eastAsia="zh-CN"/>
        </w:rPr>
        <w:t>投标文件未附有采购人不能接受的条件；</w:t>
      </w:r>
    </w:p>
    <w:p w14:paraId="1E362058">
      <w:pPr>
        <w:spacing w:line="360" w:lineRule="auto"/>
        <w:ind w:firstLine="480"/>
        <w:rPr>
          <w:rFonts w:hint="default" w:ascii="Times New Roman" w:hAnsi="Times New Roman" w:eastAsia="仿宋_GB2312" w:cs="Times New Roman"/>
          <w:bCs/>
          <w:color w:val="auto"/>
          <w:sz w:val="28"/>
          <w:szCs w:val="28"/>
          <w:lang w:val="en-US" w:eastAsia="zh-CN"/>
        </w:rPr>
      </w:pPr>
      <w:bookmarkStart w:id="498" w:name="_Hlk142994671"/>
      <w:r>
        <w:rPr>
          <w:rFonts w:hint="default" w:ascii="Times New Roman" w:hAnsi="Times New Roman" w:eastAsia="仿宋_GB2312" w:cs="Times New Roman"/>
          <w:bCs/>
          <w:color w:val="auto"/>
          <w:sz w:val="28"/>
          <w:szCs w:val="28"/>
          <w:lang w:val="en-US" w:eastAsia="zh-CN"/>
        </w:rPr>
        <w:t>7.</w:t>
      </w:r>
      <w:bookmarkEnd w:id="498"/>
      <w:r>
        <w:rPr>
          <w:rFonts w:hint="default" w:ascii="Times New Roman" w:hAnsi="Times New Roman" w:eastAsia="仿宋_GB2312" w:cs="Times New Roman"/>
          <w:bCs/>
          <w:color w:val="auto"/>
          <w:sz w:val="28"/>
          <w:szCs w:val="28"/>
          <w:lang w:val="en-US" w:eastAsia="zh-CN"/>
        </w:rPr>
        <w:t>★代表实质性指标，不满足或未响应该指标项将导致投标被拒绝；</w:t>
      </w:r>
    </w:p>
    <w:p w14:paraId="743FFD84">
      <w:pPr>
        <w:spacing w:line="360" w:lineRule="auto"/>
        <w:ind w:firstLine="48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8.招标文件及法律法规规定的其他情形</w:t>
      </w:r>
      <w:r>
        <w:rPr>
          <w:rFonts w:hint="default" w:ascii="Times New Roman" w:hAnsi="Times New Roman" w:eastAsia="仿宋_GB2312" w:cs="Times New Roman"/>
          <w:bCs/>
          <w:color w:val="auto"/>
          <w:sz w:val="28"/>
          <w:szCs w:val="28"/>
          <w:lang w:eastAsia="zh-CN"/>
        </w:rPr>
        <w:t>。</w:t>
      </w:r>
    </w:p>
    <w:p w14:paraId="6DFAA483">
      <w:pPr>
        <w:pStyle w:val="77"/>
        <w:outlineLvl w:val="2"/>
        <w:rPr>
          <w:rFonts w:hint="default" w:ascii="Times New Roman" w:hAnsi="Times New Roman" w:eastAsia="仿宋_GB2312" w:cs="Times New Roman"/>
          <w:bCs/>
          <w:color w:val="auto"/>
          <w:sz w:val="28"/>
          <w:szCs w:val="28"/>
        </w:rPr>
      </w:pPr>
      <w:bookmarkStart w:id="499" w:name="_Toc278923003_WPSOffice_Level3"/>
      <w:bookmarkStart w:id="500" w:name="_Toc1716909242_WPSOffice_Level3"/>
      <w:r>
        <w:rPr>
          <w:rFonts w:hint="default" w:ascii="Times New Roman" w:hAnsi="Times New Roman" w:eastAsia="仿宋_GB2312" w:cs="Times New Roman"/>
          <w:bCs/>
          <w:color w:val="auto"/>
          <w:sz w:val="28"/>
          <w:szCs w:val="28"/>
        </w:rPr>
        <w:t>三、详细评审</w:t>
      </w:r>
    </w:p>
    <w:bookmarkEnd w:id="499"/>
    <w:bookmarkEnd w:id="500"/>
    <w:p w14:paraId="263FEDD1">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w:t>
      </w:r>
      <w:r>
        <w:rPr>
          <w:rFonts w:hint="default" w:ascii="Times New Roman" w:hAnsi="Times New Roman" w:eastAsia="仿宋_GB2312" w:cs="Times New Roman"/>
          <w:bCs/>
          <w:color w:val="auto"/>
          <w:sz w:val="28"/>
          <w:szCs w:val="28"/>
          <w:lang w:eastAsia="zh-CN"/>
        </w:rPr>
        <w:t>．澄清有关问题</w:t>
      </w:r>
    </w:p>
    <w:p w14:paraId="01408258">
      <w:pPr>
        <w:spacing w:line="360" w:lineRule="auto"/>
        <w:ind w:firstLine="560" w:firstLineChars="200"/>
        <w:rPr>
          <w:rFonts w:hint="default" w:ascii="Times New Roman" w:hAnsi="Times New Roman" w:eastAsia="仿宋_GB2312" w:cs="Times New Roman"/>
          <w:bCs/>
          <w:color w:val="auto"/>
          <w:sz w:val="28"/>
          <w:szCs w:val="28"/>
          <w:lang w:eastAsia="zh-CN"/>
        </w:rPr>
      </w:pPr>
      <w:bookmarkStart w:id="501" w:name="_Toc577657209_WPSOffice_Level3"/>
      <w:bookmarkStart w:id="502" w:name="_Toc2074264070_WPSOffice_Level3"/>
      <w:r>
        <w:rPr>
          <w:rFonts w:hint="default" w:ascii="Times New Roman" w:hAnsi="Times New Roman" w:eastAsia="仿宋_GB2312" w:cs="Times New Roman"/>
          <w:bCs/>
          <w:color w:val="auto"/>
          <w:sz w:val="28"/>
          <w:szCs w:val="28"/>
          <w:lang w:val="en-US" w:eastAsia="zh-CN"/>
        </w:rPr>
        <w:t>1.1</w:t>
      </w:r>
      <w:r>
        <w:rPr>
          <w:rFonts w:hint="default" w:ascii="Times New Roman" w:hAnsi="Times New Roman" w:eastAsia="仿宋_GB2312" w:cs="Times New Roman"/>
          <w:bCs/>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1C733502">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1.2</w:t>
      </w:r>
      <w:r>
        <w:rPr>
          <w:rFonts w:hint="default" w:ascii="Times New Roman" w:hAnsi="Times New Roman" w:eastAsia="仿宋_GB2312" w:cs="Times New Roman"/>
          <w:bCs/>
          <w:color w:val="auto"/>
          <w:sz w:val="28"/>
          <w:szCs w:val="28"/>
          <w:lang w:eastAsia="zh-CN"/>
        </w:rPr>
        <w:t>投标人的澄清、说明或者补正不得超出投标文件的范围或者改变投标文件的实质性内容。</w:t>
      </w:r>
    </w:p>
    <w:p w14:paraId="4F628CE9">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1.3</w:t>
      </w:r>
      <w:r>
        <w:rPr>
          <w:rFonts w:hint="default" w:ascii="Times New Roman" w:hAnsi="Times New Roman" w:eastAsia="仿宋_GB2312" w:cs="Times New Roman"/>
          <w:bCs/>
          <w:color w:val="auto"/>
          <w:sz w:val="28"/>
          <w:szCs w:val="28"/>
          <w:lang w:eastAsia="zh-CN"/>
        </w:rPr>
        <w:t>允许修正投标文件中不构成重大偏离的、微小的、非正规的、不一致或不规则的地方。</w:t>
      </w:r>
    </w:p>
    <w:bookmarkEnd w:id="501"/>
    <w:bookmarkEnd w:id="502"/>
    <w:p w14:paraId="06B3BE0B">
      <w:pPr>
        <w:spacing w:line="360" w:lineRule="auto"/>
        <w:ind w:firstLine="560" w:firstLineChars="200"/>
        <w:rPr>
          <w:rFonts w:hint="default" w:ascii="Times New Roman" w:hAnsi="Times New Roman" w:eastAsia="仿宋_GB2312" w:cs="Times New Roman"/>
          <w:bCs/>
          <w:color w:val="auto"/>
          <w:sz w:val="28"/>
          <w:szCs w:val="28"/>
          <w:lang w:eastAsia="zh-CN"/>
        </w:rPr>
      </w:pPr>
      <w:bookmarkStart w:id="503" w:name="_Toc1647555423_WPSOffice_Level3"/>
      <w:bookmarkStart w:id="504" w:name="_Toc75126242_WPSOffice_Level3"/>
      <w:r>
        <w:rPr>
          <w:rFonts w:hint="default" w:ascii="Times New Roman" w:hAnsi="Times New Roman" w:eastAsia="仿宋_GB2312" w:cs="Times New Roman"/>
          <w:bCs/>
          <w:color w:val="auto"/>
          <w:sz w:val="28"/>
          <w:szCs w:val="28"/>
          <w:lang w:val="en-US" w:eastAsia="zh-CN"/>
        </w:rPr>
        <w:t>2.政府采购异常低价审查</w:t>
      </w:r>
    </w:p>
    <w:p w14:paraId="3EA45395">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2.1政府采购评审中出现下列情形之一的，评审委员会应当启动异常低价投标（响应）审查程序：</w:t>
      </w:r>
    </w:p>
    <w:p w14:paraId="4D67EE93">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（1）投标（响应）报价低于全部通过符合性审查供应商投标（响应）报价平均值65%的，即投标（响应）报价&lt;全部通过符合性审查供应商投标（响应）报价平均值×65%；</w:t>
      </w:r>
    </w:p>
    <w:p w14:paraId="103838A5">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（2）投标（响应）报价低于通过符合性审查的次低报价供应商投标（响应）报价65%的，即投标（响应）报价&lt;通过符合性审查的次低报价供应商投标（响应）报价×65%；</w:t>
      </w:r>
    </w:p>
    <w:p w14:paraId="14CE937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（3）投标（响应）报价低于采购项目最高限价65%的，即投标（响应）报价&lt;采购项目最高限价×65%；</w:t>
      </w:r>
    </w:p>
    <w:p w14:paraId="78FE2D7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（4）评审委员会基于专业判断，认为供应商报价过低，有可能影响产品质量或者不能诚信履约的其他情形。</w:t>
      </w:r>
    </w:p>
    <w:p w14:paraId="3E15DDBD">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2.2评审委员会启动异常低价投标（响应）审查后，属于前述（1）至（4）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3）情形的，供应商已随投标（响应）文件一并提交相关书面说明及必要的证明材料的，在评审现场可不再重复提交。</w:t>
      </w:r>
    </w:p>
    <w:p w14:paraId="51D6B56E">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2.3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18DBBB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w:t>
      </w:r>
      <w:r>
        <w:rPr>
          <w:rFonts w:hint="default" w:ascii="Times New Roman" w:hAnsi="Times New Roman" w:eastAsia="仿宋_GB2312" w:cs="Times New Roman"/>
          <w:bCs/>
          <w:color w:val="auto"/>
          <w:sz w:val="28"/>
          <w:szCs w:val="28"/>
          <w:lang w:eastAsia="zh-CN"/>
        </w:rPr>
        <w:t>．综合比较与评价</w:t>
      </w:r>
    </w:p>
    <w:p w14:paraId="52CD4E30">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3.1</w:t>
      </w:r>
      <w:r>
        <w:rPr>
          <w:rFonts w:hint="default" w:ascii="Times New Roman" w:hAnsi="Times New Roman" w:eastAsia="仿宋_GB2312" w:cs="Times New Roman"/>
          <w:bCs/>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bCs/>
          <w:color w:val="auto"/>
          <w:sz w:val="28"/>
          <w:szCs w:val="28"/>
          <w:lang w:val="en-US" w:eastAsia="zh-CN"/>
        </w:rPr>
        <w:t>审</w:t>
      </w:r>
      <w:r>
        <w:rPr>
          <w:rFonts w:hint="default" w:ascii="Times New Roman" w:hAnsi="Times New Roman" w:eastAsia="仿宋_GB2312" w:cs="Times New Roman"/>
          <w:bCs/>
          <w:color w:val="auto"/>
          <w:sz w:val="28"/>
          <w:szCs w:val="28"/>
          <w:lang w:eastAsia="zh-CN"/>
        </w:rPr>
        <w:t>，综合比较与评价。</w:t>
      </w:r>
    </w:p>
    <w:p w14:paraId="4E4DAD1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3.2</w:t>
      </w:r>
      <w:r>
        <w:rPr>
          <w:rFonts w:hint="default" w:ascii="Times New Roman" w:hAnsi="Times New Roman" w:eastAsia="仿宋_GB2312" w:cs="Times New Roman"/>
          <w:bCs/>
          <w:color w:val="auto"/>
          <w:sz w:val="28"/>
          <w:szCs w:val="28"/>
          <w:lang w:eastAsia="zh-CN"/>
        </w:rPr>
        <w:t>评标时，评标委员会各成员应当独立对每个投标人的投标文件进行评价，并汇总每个投标人的得分，由评标委员会推荐3名中标候选人。</w:t>
      </w:r>
    </w:p>
    <w:p w14:paraId="2406C763">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3.3</w:t>
      </w:r>
      <w:r>
        <w:rPr>
          <w:rFonts w:hint="default" w:ascii="Times New Roman" w:hAnsi="Times New Roman" w:eastAsia="仿宋_GB2312" w:cs="Times New Roman"/>
          <w:bCs/>
          <w:color w:val="auto"/>
          <w:sz w:val="28"/>
          <w:szCs w:val="28"/>
          <w:lang w:eastAsia="zh-CN"/>
        </w:rPr>
        <w:t>投标人的评审得分为所有评委评审得分的算术平均值，评审得分取至小数点后两位（第三位四舍五入）。</w:t>
      </w:r>
    </w:p>
    <w:p w14:paraId="0723CC18">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3.4</w:t>
      </w:r>
      <w:r>
        <w:rPr>
          <w:rFonts w:hint="default" w:ascii="Times New Roman" w:hAnsi="Times New Roman" w:eastAsia="仿宋_GB2312" w:cs="Times New Roman"/>
          <w:bCs/>
          <w:color w:val="auto"/>
          <w:sz w:val="28"/>
          <w:szCs w:val="28"/>
          <w:lang w:eastAsia="zh-CN"/>
        </w:rPr>
        <w:t>评标委员会完成评标后，应当出具书面评标报告。</w:t>
      </w:r>
    </w:p>
    <w:p w14:paraId="4AE5A3B3">
      <w:pPr>
        <w:spacing w:line="360" w:lineRule="auto"/>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3.5</w:t>
      </w:r>
      <w:r>
        <w:rPr>
          <w:rFonts w:hint="default" w:ascii="Times New Roman" w:hAnsi="Times New Roman" w:eastAsia="仿宋_GB2312" w:cs="Times New Roman"/>
          <w:bCs/>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7103D78B">
      <w:pPr>
        <w:pStyle w:val="77"/>
        <w:numPr>
          <w:ilvl w:val="0"/>
          <w:numId w:val="10"/>
        </w:numPr>
        <w:outlineLvl w:val="2"/>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rPr>
        <w:br w:type="page"/>
      </w:r>
      <w:bookmarkEnd w:id="503"/>
      <w:bookmarkEnd w:id="504"/>
      <w:bookmarkStart w:id="505" w:name="_Toc648016321_WPSOffice_Level3"/>
      <w:bookmarkStart w:id="506" w:name="_Toc131500600_WPSOffice_Level3"/>
      <w:bookmarkStart w:id="507" w:name="_Hlk225773629"/>
      <w:r>
        <w:rPr>
          <w:rFonts w:hint="default" w:ascii="Times New Roman" w:hAnsi="Times New Roman" w:eastAsia="仿宋_GB2312" w:cs="Times New Roman"/>
          <w:bCs/>
          <w:color w:val="auto"/>
          <w:sz w:val="28"/>
          <w:szCs w:val="28"/>
        </w:rPr>
        <w:t>评分标准（满分100分）</w:t>
      </w:r>
      <w:bookmarkEnd w:id="505"/>
      <w:bookmarkEnd w:id="506"/>
    </w:p>
    <w:tbl>
      <w:tblPr>
        <w:tblStyle w:val="59"/>
        <w:tblW w:w="9807" w:type="dxa"/>
        <w:tblInd w:w="-5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1340"/>
        <w:gridCol w:w="6959"/>
      </w:tblGrid>
      <w:tr w14:paraId="7590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8" w:type="dxa"/>
            <w:vAlign w:val="center"/>
          </w:tcPr>
          <w:p w14:paraId="5ED5880F">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评分分值</w:t>
            </w:r>
          </w:p>
        </w:tc>
        <w:tc>
          <w:tcPr>
            <w:tcW w:w="1340" w:type="dxa"/>
            <w:vAlign w:val="center"/>
          </w:tcPr>
          <w:p w14:paraId="2E769137">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评分因素</w:t>
            </w:r>
          </w:p>
        </w:tc>
        <w:tc>
          <w:tcPr>
            <w:tcW w:w="6959" w:type="dxa"/>
            <w:vAlign w:val="center"/>
          </w:tcPr>
          <w:p w14:paraId="1E926DDE">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kern w:val="0"/>
                <w:sz w:val="28"/>
                <w:szCs w:val="28"/>
              </w:rPr>
              <w:t>评分标准</w:t>
            </w:r>
          </w:p>
        </w:tc>
      </w:tr>
      <w:tr w14:paraId="1706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508" w:type="dxa"/>
            <w:vAlign w:val="center"/>
          </w:tcPr>
          <w:p w14:paraId="742D8BF5">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w:t>
            </w:r>
            <w:r>
              <w:rPr>
                <w:rFonts w:hint="eastAsia" w:ascii="仿宋_GB2312" w:hAnsi="仿宋_GB2312" w:eastAsia="仿宋_GB2312" w:cs="仿宋_GB2312"/>
                <w:sz w:val="28"/>
                <w:szCs w:val="28"/>
                <w:lang w:val="en-US" w:eastAsia="zh-CN"/>
              </w:rPr>
              <w:t>部分</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35</w:t>
            </w:r>
            <w:r>
              <w:rPr>
                <w:rFonts w:hint="eastAsia" w:ascii="仿宋_GB2312" w:hAnsi="仿宋_GB2312" w:eastAsia="仿宋_GB2312" w:cs="仿宋_GB2312"/>
                <w:sz w:val="28"/>
                <w:szCs w:val="28"/>
              </w:rPr>
              <w:t>分）</w:t>
            </w:r>
          </w:p>
        </w:tc>
        <w:tc>
          <w:tcPr>
            <w:tcW w:w="1340" w:type="dxa"/>
            <w:vAlign w:val="center"/>
          </w:tcPr>
          <w:p w14:paraId="734EE099">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投标报价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35</w:t>
            </w:r>
            <w:r>
              <w:rPr>
                <w:rFonts w:hint="eastAsia" w:ascii="仿宋_GB2312" w:hAnsi="仿宋_GB2312" w:eastAsia="仿宋_GB2312" w:cs="仿宋_GB2312"/>
                <w:sz w:val="28"/>
                <w:szCs w:val="28"/>
                <w:lang w:eastAsia="zh-CN"/>
              </w:rPr>
              <w:t>）</w:t>
            </w:r>
          </w:p>
          <w:p w14:paraId="2C861111">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p>
        </w:tc>
        <w:tc>
          <w:tcPr>
            <w:tcW w:w="6959" w:type="dxa"/>
            <w:vAlign w:val="center"/>
          </w:tcPr>
          <w:p w14:paraId="6EEADABD">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实质性满足招标文件要求且投标价格最低的投标报价为评标基准价，其价格分为满分。</w:t>
            </w:r>
          </w:p>
          <w:p w14:paraId="1C7CB56A">
            <w:pPr>
              <w:keepNext w:val="0"/>
              <w:keepLines w:val="0"/>
              <w:pageBreakBefore w:val="0"/>
              <w:widowControl/>
              <w:numPr>
                <w:ilvl w:val="255"/>
                <w:numId w:val="0"/>
              </w:numPr>
              <w:kinsoku/>
              <w:wordWrap/>
              <w:overflowPunct/>
              <w:topLinePunct w:val="0"/>
              <w:bidi w:val="0"/>
              <w:snapToGrid/>
              <w:spacing w:after="0" w:line="240" w:lineRule="auto"/>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其他投标人的价格分统一按照下列公式计算：投标报价得分=（评标基准价/投标报价）×3</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zh-CN"/>
              </w:rPr>
              <w:t>，因落实政府采购政策进行价格调整的，以调整后的价格计算评标基准价和投标报价得分。（当涉及政府采购政策叠加时，统一在原投标报价的基础上进行价格扣除）。对于仅有本国产品参与竞争的政府采购项目，本国产品不享受价格扣除评审优惠。</w:t>
            </w:r>
          </w:p>
        </w:tc>
      </w:tr>
      <w:tr w14:paraId="59BB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508" w:type="dxa"/>
            <w:vMerge w:val="restart"/>
            <w:vAlign w:val="center"/>
          </w:tcPr>
          <w:p w14:paraId="268235C3">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技术部分</w:t>
            </w:r>
          </w:p>
          <w:p w14:paraId="66B85D12">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57</w:t>
            </w:r>
            <w:r>
              <w:rPr>
                <w:rFonts w:hint="eastAsia" w:ascii="仿宋_GB2312" w:hAnsi="仿宋_GB2312" w:eastAsia="仿宋_GB2312" w:cs="仿宋_GB2312"/>
                <w:sz w:val="28"/>
                <w:szCs w:val="28"/>
              </w:rPr>
              <w:t>分）</w:t>
            </w:r>
          </w:p>
        </w:tc>
        <w:tc>
          <w:tcPr>
            <w:tcW w:w="1340" w:type="dxa"/>
            <w:vAlign w:val="center"/>
          </w:tcPr>
          <w:p w14:paraId="5A4DC887">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技术参数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32.5</w:t>
            </w:r>
            <w:r>
              <w:rPr>
                <w:rFonts w:hint="eastAsia" w:ascii="仿宋_GB2312" w:hAnsi="仿宋_GB2312" w:eastAsia="仿宋_GB2312" w:cs="仿宋_GB2312"/>
                <w:sz w:val="28"/>
                <w:szCs w:val="28"/>
                <w:lang w:eastAsia="zh-CN"/>
              </w:rPr>
              <w:t>）</w:t>
            </w:r>
          </w:p>
        </w:tc>
        <w:tc>
          <w:tcPr>
            <w:tcW w:w="6959" w:type="dxa"/>
            <w:vAlign w:val="center"/>
          </w:tcPr>
          <w:p w14:paraId="31A04DEF">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评标委员会根据投标文件和要求提供的相关证明材料对招标文件的响应情况，对照判断所投产品是否满足招标文件的要求，投标人可提供技术参数满足或优于招标文件要求的产品：</w:t>
            </w:r>
          </w:p>
          <w:p w14:paraId="6AD978C0">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lang w:val="zh-CN"/>
              </w:rPr>
              <w:t>带★的技术参数为实质技术指标，投标产品应符合或优于该指标要求，不满足的投标文件无效；技术参数指标中“/”表示为该条技术指标不作要求。</w:t>
            </w:r>
          </w:p>
          <w:p w14:paraId="0430FDB0">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val="zh-CN"/>
              </w:rPr>
              <w:t>带▲号的技术参数和功能要求为关键技术指标</w:t>
            </w: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lang w:val="zh-CN"/>
              </w:rPr>
              <w:t>项，共1</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val="zh-CN"/>
              </w:rPr>
              <w:t>分，每有一项不满足的扣2分（如需提供证明文件的，需按照文件要求提供相关证明文件）。超过</w:t>
            </w: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lang w:val="zh-CN"/>
              </w:rPr>
              <w:t>项不满足视为投标文件有重大或不可接受的偏差，投标文件无效。</w:t>
            </w:r>
          </w:p>
          <w:p w14:paraId="725EB716">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非★且非▲号的技术参数及功能要求，共</w:t>
            </w:r>
            <w:r>
              <w:rPr>
                <w:rFonts w:hint="eastAsia" w:ascii="仿宋_GB2312" w:hAnsi="仿宋_GB2312" w:eastAsia="仿宋_GB2312" w:cs="仿宋_GB2312"/>
                <w:sz w:val="28"/>
                <w:szCs w:val="28"/>
                <w:highlight w:val="none"/>
                <w:lang w:eastAsia="zh-CN"/>
              </w:rPr>
              <w:t>1</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分，每有1条不满足扣0.2分，超过</w:t>
            </w:r>
            <w:r>
              <w:rPr>
                <w:rFonts w:hint="eastAsia" w:ascii="仿宋_GB2312" w:hAnsi="仿宋_GB2312" w:eastAsia="仿宋_GB2312" w:cs="仿宋_GB2312"/>
                <w:sz w:val="28"/>
                <w:szCs w:val="28"/>
                <w:highlight w:val="none"/>
                <w:lang w:eastAsia="zh-CN"/>
              </w:rPr>
              <w:t>75</w:t>
            </w:r>
            <w:r>
              <w:rPr>
                <w:rFonts w:hint="eastAsia" w:ascii="仿宋_GB2312" w:hAnsi="仿宋_GB2312" w:eastAsia="仿宋_GB2312" w:cs="仿宋_GB2312"/>
                <w:sz w:val="28"/>
                <w:szCs w:val="28"/>
                <w:highlight w:val="none"/>
              </w:rPr>
              <w:t>条不满足视为投标文件有重大或不可接受的偏差，投标文件无效</w:t>
            </w:r>
            <w:r>
              <w:rPr>
                <w:rFonts w:hint="eastAsia" w:ascii="仿宋_GB2312" w:hAnsi="仿宋_GB2312" w:eastAsia="仿宋_GB2312" w:cs="仿宋_GB2312"/>
                <w:sz w:val="28"/>
                <w:szCs w:val="28"/>
                <w:highlight w:val="none"/>
                <w:lang w:eastAsia="zh-CN"/>
              </w:rPr>
              <w:t>。</w:t>
            </w:r>
          </w:p>
          <w:p w14:paraId="16215A00">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4.加分项（3.5分）</w:t>
            </w:r>
          </w:p>
          <w:p w14:paraId="74CF32CD">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（1）空间数据库集群服务器、图数据库服务器、非关系数据库服务器、高性能服务器整机可靠性（参数 125），上述服务器技术参数中m1 值（MTBF 的不可接受值）应≥400000h，提供承诺函，格式自拟，每有一类服务器满足以上条件，得0.5分，最高得2分；</w:t>
            </w:r>
          </w:p>
          <w:p w14:paraId="1FFC65EA">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（2）空间数据库集群服务器、图数据库服务器、非关系数据库服务器整机，投标产品设备应具备不小于7级烈度抗震能力，提供承诺函，格式自拟，每有一类服务器满足以上条件，得0.5分，最高得1.5分。</w:t>
            </w:r>
          </w:p>
          <w:p w14:paraId="2BCF059C">
            <w:pPr>
              <w:keepNext w:val="0"/>
              <w:keepLines w:val="0"/>
              <w:pageBreakBefore w:val="0"/>
              <w:widowControl/>
              <w:kinsoku/>
              <w:wordWrap/>
              <w:overflowPunct/>
              <w:topLinePunct w:val="0"/>
              <w:bidi w:val="0"/>
              <w:snapToGrid/>
              <w:spacing w:after="0" w:line="240" w:lineRule="auto"/>
              <w:ind w:firstLine="480"/>
              <w:textAlignment w:val="auto"/>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zh-CN"/>
              </w:rPr>
              <w:t>注：投标人应承诺对提供的所有证明材料真实性负责，如发现虚假材料，按废标处理。</w:t>
            </w:r>
          </w:p>
        </w:tc>
      </w:tr>
      <w:tr w14:paraId="3CE9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08" w:type="dxa"/>
            <w:vMerge w:val="continue"/>
            <w:vAlign w:val="center"/>
          </w:tcPr>
          <w:p w14:paraId="048E1AB6">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p>
        </w:tc>
        <w:tc>
          <w:tcPr>
            <w:tcW w:w="1340" w:type="dxa"/>
            <w:vAlign w:val="center"/>
          </w:tcPr>
          <w:p w14:paraId="11287940">
            <w:pPr>
              <w:keepNext w:val="0"/>
              <w:keepLines w:val="0"/>
              <w:pageBreakBefore w:val="0"/>
              <w:widowControl/>
              <w:kinsoku/>
              <w:wordWrap/>
              <w:overflowPunct/>
              <w:topLinePunct w:val="0"/>
              <w:bidi w:val="0"/>
              <w:snapToGrid/>
              <w:spacing w:after="0" w:line="24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节能环保产品（</w:t>
            </w:r>
            <w:r>
              <w:rPr>
                <w:rFonts w:hint="eastAsia" w:ascii="仿宋_GB2312" w:hAnsi="仿宋_GB2312" w:eastAsia="仿宋_GB2312" w:cs="仿宋_GB2312"/>
                <w:sz w:val="28"/>
                <w:szCs w:val="28"/>
                <w:lang w:val="en-US" w:eastAsia="zh-CN"/>
              </w:rPr>
              <w:t>3.5分</w:t>
            </w:r>
            <w:r>
              <w:rPr>
                <w:rFonts w:hint="eastAsia" w:ascii="仿宋_GB2312" w:hAnsi="仿宋_GB2312" w:eastAsia="仿宋_GB2312" w:cs="仿宋_GB2312"/>
                <w:sz w:val="28"/>
                <w:szCs w:val="28"/>
              </w:rPr>
              <w:t>）</w:t>
            </w:r>
          </w:p>
        </w:tc>
        <w:tc>
          <w:tcPr>
            <w:tcW w:w="6959" w:type="dxa"/>
            <w:vAlign w:val="center"/>
          </w:tcPr>
          <w:p w14:paraId="5ED88943">
            <w:pPr>
              <w:keepNext w:val="0"/>
              <w:keepLines w:val="0"/>
              <w:pageBreakBefore w:val="0"/>
              <w:widowControl/>
              <w:numPr>
                <w:ilvl w:val="-1"/>
                <w:numId w:val="0"/>
              </w:numPr>
              <w:kinsoku/>
              <w:wordWrap/>
              <w:overflowPunct/>
              <w:topLinePunct w:val="0"/>
              <w:bidi w:val="0"/>
              <w:snapToGrid/>
              <w:spacing w:after="0" w:line="240" w:lineRule="auto"/>
              <w:ind w:left="0" w:firstLine="0" w:firstLineChars="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项目若含有节能产品、环境标志产品政府采购品目清单内政府优先采购产品，对选用国家公布的认证机构认证的处于有效期之内的政府优先采购节能产品（政府强制采购产品除外）、环境标志产品给予加分，每个证书0.5分，最多得</w:t>
            </w:r>
            <w:r>
              <w:rPr>
                <w:rFonts w:hint="eastAsia" w:ascii="仿宋_GB2312" w:hAnsi="仿宋_GB2312" w:eastAsia="仿宋_GB2312" w:cs="仿宋_GB2312"/>
                <w:sz w:val="28"/>
                <w:szCs w:val="28"/>
                <w:lang w:val="en-US" w:eastAsia="zh-CN"/>
              </w:rPr>
              <w:t>3.5</w:t>
            </w:r>
            <w:r>
              <w:rPr>
                <w:rFonts w:hint="eastAsia" w:ascii="仿宋_GB2312" w:hAnsi="仿宋_GB2312" w:eastAsia="仿宋_GB2312" w:cs="仿宋_GB2312"/>
                <w:sz w:val="28"/>
                <w:szCs w:val="28"/>
                <w:lang w:val="zh-CN"/>
              </w:rPr>
              <w:t>分。</w:t>
            </w:r>
          </w:p>
          <w:p w14:paraId="156D5912">
            <w:pPr>
              <w:keepNext w:val="0"/>
              <w:keepLines w:val="0"/>
              <w:pageBreakBefore w:val="0"/>
              <w:widowControl/>
              <w:numPr>
                <w:ilvl w:val="-1"/>
                <w:numId w:val="0"/>
              </w:numPr>
              <w:kinsoku/>
              <w:wordWrap/>
              <w:overflowPunct/>
              <w:topLinePunct w:val="0"/>
              <w:bidi w:val="0"/>
              <w:snapToGrid/>
              <w:spacing w:after="0" w:line="240" w:lineRule="auto"/>
              <w:ind w:left="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投标人应提供国家确定的认证机构出具的处于有效期之内的节能产品、环境标志产品认证证书。</w:t>
            </w:r>
          </w:p>
        </w:tc>
      </w:tr>
      <w:tr w14:paraId="6BE4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08" w:type="dxa"/>
            <w:vMerge w:val="continue"/>
            <w:vAlign w:val="center"/>
          </w:tcPr>
          <w:p w14:paraId="5F57F236">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p>
        </w:tc>
        <w:tc>
          <w:tcPr>
            <w:tcW w:w="1340" w:type="dxa"/>
            <w:vAlign w:val="center"/>
          </w:tcPr>
          <w:p w14:paraId="20BFFAA2">
            <w:pPr>
              <w:keepNext w:val="0"/>
              <w:keepLines w:val="0"/>
              <w:pageBreakBefore w:val="0"/>
              <w:widowControl/>
              <w:kinsoku/>
              <w:wordWrap/>
              <w:overflowPunct/>
              <w:topLinePunct w:val="0"/>
              <w:bidi w:val="0"/>
              <w:snapToGrid/>
              <w:spacing w:after="0" w:line="240" w:lineRule="auto"/>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商品包装和快递包装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1分</w:t>
            </w:r>
            <w:r>
              <w:rPr>
                <w:rFonts w:hint="eastAsia" w:ascii="仿宋_GB2312" w:hAnsi="仿宋_GB2312" w:eastAsia="仿宋_GB2312" w:cs="仿宋_GB2312"/>
                <w:sz w:val="28"/>
                <w:szCs w:val="28"/>
                <w:lang w:eastAsia="zh-CN"/>
              </w:rPr>
              <w:t>）</w:t>
            </w:r>
          </w:p>
        </w:tc>
        <w:tc>
          <w:tcPr>
            <w:tcW w:w="6959" w:type="dxa"/>
            <w:vAlign w:val="center"/>
          </w:tcPr>
          <w:p w14:paraId="6CC67545">
            <w:pPr>
              <w:keepNext w:val="0"/>
              <w:keepLines w:val="0"/>
              <w:pageBreakBefore w:val="0"/>
              <w:widowControl/>
              <w:numPr>
                <w:ilvl w:val="-1"/>
                <w:numId w:val="0"/>
              </w:numPr>
              <w:kinsoku/>
              <w:wordWrap/>
              <w:overflowPunct/>
              <w:topLinePunct w:val="0"/>
              <w:bidi w:val="0"/>
              <w:snapToGrid/>
              <w:spacing w:after="0" w:line="240" w:lineRule="auto"/>
              <w:ind w:left="0" w:firstLine="0" w:firstLineChars="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投标人承诺商品包装符合《商品包装政府采购需求标准（试行）》且快递包装符合《快递包装政府采购需求标准（试行）》，得</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rPr>
              <w:t>分。</w:t>
            </w:r>
          </w:p>
        </w:tc>
      </w:tr>
      <w:tr w14:paraId="7751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508" w:type="dxa"/>
            <w:vMerge w:val="continue"/>
            <w:vAlign w:val="center"/>
          </w:tcPr>
          <w:p w14:paraId="60884739">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p>
        </w:tc>
        <w:tc>
          <w:tcPr>
            <w:tcW w:w="1340" w:type="dxa"/>
            <w:vAlign w:val="center"/>
          </w:tcPr>
          <w:p w14:paraId="0524A0F7">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实施</w:t>
            </w:r>
            <w:r>
              <w:rPr>
                <w:rFonts w:hint="eastAsia" w:ascii="仿宋_GB2312" w:hAnsi="仿宋_GB2312" w:eastAsia="仿宋_GB2312" w:cs="仿宋_GB2312"/>
                <w:sz w:val="28"/>
                <w:szCs w:val="28"/>
              </w:rPr>
              <w:t>方案</w:t>
            </w:r>
          </w:p>
          <w:p w14:paraId="025840BD">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分）</w:t>
            </w:r>
          </w:p>
        </w:tc>
        <w:tc>
          <w:tcPr>
            <w:tcW w:w="6959" w:type="dxa"/>
            <w:vAlign w:val="center"/>
          </w:tcPr>
          <w:p w14:paraId="21E1CE57">
            <w:pPr>
              <w:keepNext w:val="0"/>
              <w:keepLines w:val="0"/>
              <w:pageBreakBefore w:val="0"/>
              <w:widowControl/>
              <w:numPr>
                <w:ilvl w:val="-1"/>
                <w:numId w:val="0"/>
              </w:numPr>
              <w:kinsoku/>
              <w:wordWrap/>
              <w:overflowPunct/>
              <w:topLinePunct w:val="0"/>
              <w:bidi w:val="0"/>
              <w:snapToGrid/>
              <w:spacing w:after="0" w:line="240" w:lineRule="auto"/>
              <w:ind w:left="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投标人根据本项目特点及采购人实际情况，制定完善的项目实施方案。项目实施方案应包括但不限于：安装计划、组织机构、安全保障措施、安装调试规划、安装人员组成、质量保证措施等。</w:t>
            </w:r>
          </w:p>
          <w:p w14:paraId="326BC866">
            <w:pPr>
              <w:keepNext w:val="0"/>
              <w:keepLines w:val="0"/>
              <w:pageBreakBefore w:val="0"/>
              <w:widowControl/>
              <w:numPr>
                <w:ilvl w:val="-1"/>
                <w:numId w:val="0"/>
              </w:numPr>
              <w:kinsoku/>
              <w:wordWrap/>
              <w:overflowPunct/>
              <w:topLinePunct w:val="0"/>
              <w:bidi w:val="0"/>
              <w:snapToGrid/>
              <w:spacing w:after="0" w:line="240" w:lineRule="auto"/>
              <w:ind w:left="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投标人对每项内容论述详细，完全贴合采购需求的得</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分；投标人对每项内容虽阐述但未贴合采购需求进行论述，或内容未包括具体细节的得</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分；投标人提供的内容不完整或存在影响本项目目标实现的明显错误得2分；未提供相关内容的得0分。</w:t>
            </w:r>
          </w:p>
        </w:tc>
      </w:tr>
      <w:tr w14:paraId="25ED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508" w:type="dxa"/>
            <w:vMerge w:val="continue"/>
            <w:vAlign w:val="center"/>
          </w:tcPr>
          <w:p w14:paraId="02097376">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p>
        </w:tc>
        <w:tc>
          <w:tcPr>
            <w:tcW w:w="1340" w:type="dxa"/>
            <w:vAlign w:val="center"/>
          </w:tcPr>
          <w:p w14:paraId="0696539E">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培训方案</w:t>
            </w:r>
          </w:p>
          <w:p w14:paraId="3DA96D9A">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分）</w:t>
            </w:r>
          </w:p>
        </w:tc>
        <w:tc>
          <w:tcPr>
            <w:tcW w:w="6959" w:type="dxa"/>
            <w:vAlign w:val="center"/>
          </w:tcPr>
          <w:p w14:paraId="2BA29CE1">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投标人针对本项目提供详细的培训方案，包含但不限于：培训目标、培训对象、培训方式、培训时间、培训内容、预期成效等。</w:t>
            </w:r>
          </w:p>
          <w:p w14:paraId="74FCE10E">
            <w:pPr>
              <w:keepNext w:val="0"/>
              <w:keepLines w:val="0"/>
              <w:pageBreakBefore w:val="0"/>
              <w:widowControl/>
              <w:numPr>
                <w:ilvl w:val="-1"/>
                <w:numId w:val="0"/>
              </w:numPr>
              <w:kinsoku/>
              <w:wordWrap/>
              <w:overflowPunct/>
              <w:topLinePunct w:val="0"/>
              <w:bidi w:val="0"/>
              <w:snapToGrid/>
              <w:spacing w:after="0" w:line="240" w:lineRule="auto"/>
              <w:ind w:left="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对每项内容论述详细，完全贴合采购需求的得6分；投标人对每项内容虽阐述但未贴合采购需求进行论述，或内容未包括具体细节的得4分；投标人提供的内容不完整或存在影响本项目目标实现的明显错误得2分；未提供相关内容的得0分。</w:t>
            </w:r>
          </w:p>
        </w:tc>
      </w:tr>
      <w:tr w14:paraId="06EC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508" w:type="dxa"/>
            <w:vMerge w:val="continue"/>
            <w:vAlign w:val="center"/>
          </w:tcPr>
          <w:p w14:paraId="7D38C281">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p>
        </w:tc>
        <w:tc>
          <w:tcPr>
            <w:tcW w:w="1340" w:type="dxa"/>
            <w:vAlign w:val="center"/>
          </w:tcPr>
          <w:p w14:paraId="71F1824D">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售后服务</w:t>
            </w:r>
          </w:p>
          <w:p w14:paraId="78CF10E8">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分）</w:t>
            </w:r>
          </w:p>
        </w:tc>
        <w:tc>
          <w:tcPr>
            <w:tcW w:w="6959" w:type="dxa"/>
            <w:vAlign w:val="center"/>
          </w:tcPr>
          <w:p w14:paraId="7AAB576A">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根据投标人提供售后服务的内容、形式、含免费维修响应时间、解决质量或操作问题的响应时间、解决问题时间、售后服务地点等</w:t>
            </w:r>
            <w:r>
              <w:rPr>
                <w:rFonts w:hint="eastAsia" w:ascii="仿宋_GB2312" w:hAnsi="仿宋_GB2312" w:eastAsia="仿宋_GB2312" w:cs="仿宋_GB2312"/>
                <w:sz w:val="28"/>
                <w:szCs w:val="28"/>
                <w:lang w:val="en-US" w:eastAsia="zh-CN"/>
              </w:rPr>
              <w:t>评分</w:t>
            </w:r>
            <w:r>
              <w:rPr>
                <w:rFonts w:hint="eastAsia" w:ascii="仿宋_GB2312" w:hAnsi="仿宋_GB2312" w:eastAsia="仿宋_GB2312" w:cs="仿宋_GB2312"/>
                <w:sz w:val="28"/>
                <w:szCs w:val="28"/>
                <w:lang w:val="zh-CN"/>
              </w:rPr>
              <w:t>。</w:t>
            </w:r>
          </w:p>
          <w:p w14:paraId="3FFD52C6">
            <w:pPr>
              <w:keepNext w:val="0"/>
              <w:keepLines w:val="0"/>
              <w:pageBreakBefore w:val="0"/>
              <w:widowControl/>
              <w:numPr>
                <w:ilvl w:val="-1"/>
                <w:numId w:val="0"/>
              </w:numPr>
              <w:kinsoku/>
              <w:wordWrap/>
              <w:overflowPunct/>
              <w:topLinePunct w:val="0"/>
              <w:bidi w:val="0"/>
              <w:snapToGrid/>
              <w:spacing w:after="0" w:line="240" w:lineRule="auto"/>
              <w:ind w:left="0" w:firstLine="0" w:firstLineChars="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投标人对每项内容论述详细，完全贴合采购需求的得</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zh-CN"/>
              </w:rPr>
              <w:t>分；投标人对</w:t>
            </w:r>
            <w:bookmarkStart w:id="564" w:name="_GoBack"/>
            <w:bookmarkEnd w:id="564"/>
            <w:r>
              <w:rPr>
                <w:rFonts w:hint="eastAsia" w:ascii="仿宋_GB2312" w:hAnsi="仿宋_GB2312" w:eastAsia="仿宋_GB2312" w:cs="仿宋_GB2312"/>
                <w:sz w:val="28"/>
                <w:szCs w:val="28"/>
                <w:lang w:val="zh-CN"/>
              </w:rPr>
              <w:t>每项内容虽阐述但未贴合采购需求进行论述，或内容未包括具体细节的得4分；投标人提供的内容不完整或存在影响本项目目标实现的明显错误得</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rPr>
              <w:t>分；未提供相关内容的得0分。</w:t>
            </w:r>
          </w:p>
        </w:tc>
      </w:tr>
      <w:tr w14:paraId="296A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508" w:type="dxa"/>
            <w:vAlign w:val="center"/>
          </w:tcPr>
          <w:p w14:paraId="50A727FB">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综合</w:t>
            </w:r>
            <w:r>
              <w:rPr>
                <w:rFonts w:hint="eastAsia" w:ascii="仿宋_GB2312" w:hAnsi="仿宋_GB2312" w:eastAsia="仿宋_GB2312" w:cs="仿宋_GB2312"/>
                <w:sz w:val="28"/>
                <w:szCs w:val="28"/>
              </w:rPr>
              <w:t>部分（</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分）</w:t>
            </w:r>
          </w:p>
        </w:tc>
        <w:tc>
          <w:tcPr>
            <w:tcW w:w="1340" w:type="dxa"/>
            <w:vAlign w:val="center"/>
          </w:tcPr>
          <w:p w14:paraId="48BD5728">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项目业绩</w:t>
            </w:r>
          </w:p>
          <w:p w14:paraId="237CF981">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分）</w:t>
            </w:r>
          </w:p>
        </w:tc>
        <w:tc>
          <w:tcPr>
            <w:tcW w:w="6959" w:type="dxa"/>
            <w:vAlign w:val="center"/>
          </w:tcPr>
          <w:p w14:paraId="75B0D5DA">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提供投标人自 2023年1月1日以来签订的类似项目业绩，每提供一项得2分，最多得</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分。</w:t>
            </w:r>
          </w:p>
          <w:p w14:paraId="380120CE">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证明材料要求：</w:t>
            </w:r>
          </w:p>
          <w:p w14:paraId="655395AF">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1.业绩合同：需提供完整合同的扫描件。</w:t>
            </w:r>
          </w:p>
          <w:p w14:paraId="3B5DD3B7">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2.发票：提供发票扫描件。</w:t>
            </w:r>
          </w:p>
          <w:p w14:paraId="0F5B765B">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3.用户签字并盖章的验收合格证明材料扫描件。</w:t>
            </w:r>
          </w:p>
          <w:p w14:paraId="62EC9340">
            <w:pPr>
              <w:keepNext w:val="0"/>
              <w:keepLines w:val="0"/>
              <w:pageBreakBefore w:val="0"/>
              <w:widowControl/>
              <w:kinsoku/>
              <w:wordWrap/>
              <w:overflowPunct/>
              <w:topLinePunct w:val="0"/>
              <w:bidi w:val="0"/>
              <w:snapToGrid/>
              <w:spacing w:after="0" w:line="240" w:lineRule="auto"/>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业绩扫描不清楚、不完整或无法辨认的不予认可，虚假材料将自行承担相关责任，时间以合同签订时间为准。</w:t>
            </w:r>
          </w:p>
        </w:tc>
      </w:tr>
    </w:tbl>
    <w:p w14:paraId="3043E3F5">
      <w:pPr>
        <w:rPr>
          <w:rFonts w:hint="default" w:ascii="Times New Roman" w:hAnsi="Times New Roman" w:eastAsia="仿宋_GB2312" w:cs="Times New Roman"/>
          <w:bCs/>
          <w:color w:val="auto"/>
          <w:sz w:val="28"/>
          <w:szCs w:val="28"/>
        </w:rPr>
      </w:pPr>
    </w:p>
    <w:p w14:paraId="1A3BEBAD">
      <w:pPr>
        <w:pStyle w:val="58"/>
        <w:rPr>
          <w:rFonts w:hint="default" w:ascii="Times New Roman" w:hAnsi="Times New Roman" w:cs="Times New Roman"/>
        </w:rPr>
      </w:pPr>
    </w:p>
    <w:p w14:paraId="1F2AA13D">
      <w:pPr>
        <w:numPr>
          <w:ilvl w:val="0"/>
          <w:numId w:val="0"/>
        </w:numPr>
        <w:rPr>
          <w:rFonts w:hint="default" w:ascii="Times New Roman" w:hAnsi="Times New Roman" w:cs="Times New Roman"/>
        </w:rPr>
      </w:pPr>
    </w:p>
    <w:p w14:paraId="35736ABB">
      <w:pPr>
        <w:spacing w:line="360" w:lineRule="auto"/>
        <w:rPr>
          <w:rFonts w:hint="default" w:ascii="Times New Roman" w:hAnsi="Times New Roman" w:eastAsia="仿宋_GB2312" w:cs="Times New Roman"/>
          <w:bCs/>
          <w:color w:val="auto"/>
          <w:sz w:val="28"/>
          <w:szCs w:val="28"/>
          <w:lang w:eastAsia="zh-CN"/>
        </w:rPr>
        <w:sectPr>
          <w:headerReference r:id="rId11" w:type="default"/>
          <w:footerReference r:id="rId12" w:type="default"/>
          <w:pgSz w:w="11900" w:h="16840"/>
          <w:pgMar w:top="1440" w:right="1134" w:bottom="1440" w:left="1797" w:header="851" w:footer="992" w:gutter="0"/>
          <w:cols w:space="720" w:num="1"/>
          <w:docGrid w:linePitch="286" w:charSpace="0"/>
        </w:sectPr>
      </w:pPr>
    </w:p>
    <w:bookmarkEnd w:id="507"/>
    <w:p w14:paraId="6DF338D7">
      <w:pPr>
        <w:jc w:val="center"/>
        <w:outlineLvl w:val="0"/>
        <w:rPr>
          <w:rFonts w:hint="default" w:ascii="Times New Roman" w:hAnsi="Times New Roman" w:eastAsia="宋体" w:cs="Times New Roman"/>
          <w:bCs/>
          <w:color w:val="auto"/>
          <w:kern w:val="44"/>
          <w:sz w:val="36"/>
          <w:szCs w:val="36"/>
        </w:rPr>
      </w:pPr>
      <w:bookmarkStart w:id="508" w:name="_Toc1424279934_WPSOffice_Level1"/>
      <w:bookmarkStart w:id="509" w:name="_Toc1252040209_WPSOffice_Level1"/>
      <w:bookmarkStart w:id="510" w:name="_Toc555660728_WPSOffice_Level1"/>
      <w:bookmarkStart w:id="511" w:name="_Toc368094096_WPSOffice_Level1"/>
      <w:bookmarkStart w:id="512" w:name="_Toc1027165614"/>
      <w:bookmarkStart w:id="513" w:name="_Toc1871798156"/>
      <w:bookmarkStart w:id="514" w:name="_Toc937079805"/>
      <w:bookmarkStart w:id="515" w:name="_Toc2046937450_WPSOffice_Level1"/>
      <w:bookmarkStart w:id="516" w:name="_Toc816670296"/>
      <w:bookmarkStart w:id="517" w:name="_Toc1357609763"/>
      <w:bookmarkStart w:id="518" w:name="_Toc120110768"/>
      <w:bookmarkStart w:id="519" w:name="_Toc170276657"/>
      <w:bookmarkStart w:id="520" w:name="_Toc1076969064"/>
      <w:r>
        <w:rPr>
          <w:rFonts w:hint="default" w:ascii="Times New Roman" w:hAnsi="Times New Roman" w:eastAsia="宋体" w:cs="Times New Roman"/>
          <w:bCs/>
          <w:color w:val="auto"/>
          <w:kern w:val="44"/>
          <w:sz w:val="36"/>
          <w:szCs w:val="36"/>
          <w:lang w:val="en-US" w:eastAsia="zh-CN"/>
        </w:rPr>
        <w:t xml:space="preserve">第八章 </w:t>
      </w:r>
      <w:r>
        <w:rPr>
          <w:rFonts w:hint="default" w:ascii="Times New Roman" w:hAnsi="Times New Roman" w:eastAsia="宋体" w:cs="Times New Roman"/>
          <w:bCs/>
          <w:color w:val="auto"/>
          <w:kern w:val="44"/>
          <w:sz w:val="36"/>
          <w:szCs w:val="36"/>
        </w:rPr>
        <w:t>政府采购合同</w:t>
      </w:r>
      <w:bookmarkEnd w:id="508"/>
      <w:bookmarkEnd w:id="509"/>
      <w:bookmarkEnd w:id="510"/>
      <w:bookmarkEnd w:id="511"/>
      <w:bookmarkEnd w:id="512"/>
      <w:bookmarkEnd w:id="513"/>
      <w:bookmarkEnd w:id="514"/>
      <w:bookmarkEnd w:id="515"/>
      <w:bookmarkEnd w:id="516"/>
      <w:bookmarkEnd w:id="517"/>
      <w:bookmarkEnd w:id="518"/>
      <w:bookmarkEnd w:id="519"/>
      <w:bookmarkEnd w:id="520"/>
    </w:p>
    <w:p w14:paraId="194DE849">
      <w:pPr>
        <w:pStyle w:val="21"/>
        <w:jc w:val="center"/>
        <w:rPr>
          <w:rFonts w:hint="default" w:ascii="Times New Roman" w:hAnsi="Times New Roman" w:cs="Times New Roman"/>
          <w:bCs/>
          <w:spacing w:val="-20"/>
          <w:kern w:val="44"/>
          <w:sz w:val="48"/>
          <w:szCs w:val="48"/>
        </w:rPr>
      </w:pPr>
    </w:p>
    <w:p w14:paraId="452D8051">
      <w:pPr>
        <w:pStyle w:val="21"/>
        <w:jc w:val="center"/>
        <w:rPr>
          <w:rFonts w:hint="default" w:ascii="Times New Roman" w:hAnsi="Times New Roman" w:cs="Times New Roman"/>
          <w:bCs/>
          <w:spacing w:val="-20"/>
          <w:kern w:val="44"/>
          <w:sz w:val="48"/>
          <w:szCs w:val="48"/>
        </w:rPr>
      </w:pPr>
      <w:r>
        <w:rPr>
          <w:rFonts w:hint="default" w:ascii="Times New Roman" w:hAnsi="Times New Roman" w:cs="Times New Roman"/>
          <w:bCs/>
          <w:spacing w:val="-20"/>
          <w:kern w:val="44"/>
          <w:sz w:val="48"/>
          <w:szCs w:val="48"/>
        </w:rPr>
        <w:t>政府采购</w:t>
      </w:r>
      <w:r>
        <w:rPr>
          <w:rFonts w:hint="default" w:ascii="Times New Roman" w:hAnsi="Times New Roman" w:cs="Times New Roman"/>
          <w:bCs/>
          <w:spacing w:val="-20"/>
          <w:kern w:val="44"/>
          <w:sz w:val="48"/>
          <w:szCs w:val="48"/>
          <w:lang w:eastAsia="zh-CN"/>
        </w:rPr>
        <w:t>货物买卖</w:t>
      </w:r>
      <w:r>
        <w:rPr>
          <w:rFonts w:hint="default" w:ascii="Times New Roman" w:hAnsi="Times New Roman" w:cs="Times New Roman"/>
          <w:bCs/>
          <w:spacing w:val="-20"/>
          <w:kern w:val="44"/>
          <w:sz w:val="48"/>
          <w:szCs w:val="48"/>
        </w:rPr>
        <w:t>合同</w:t>
      </w:r>
    </w:p>
    <w:p w14:paraId="732DB872">
      <w:pPr>
        <w:rPr>
          <w:rFonts w:hint="default" w:ascii="Times New Roman" w:hAnsi="Times New Roman" w:cs="Times New Roman"/>
          <w:bCs/>
          <w:spacing w:val="-20"/>
          <w:kern w:val="44"/>
          <w:sz w:val="40"/>
          <w:szCs w:val="40"/>
        </w:rPr>
      </w:pPr>
    </w:p>
    <w:p w14:paraId="22B46BFC">
      <w:pPr>
        <w:rPr>
          <w:rFonts w:hint="default" w:ascii="Times New Roman" w:hAnsi="Times New Roman" w:cs="Times New Roman"/>
          <w:bCs/>
          <w:spacing w:val="-20"/>
          <w:kern w:val="44"/>
          <w:sz w:val="40"/>
          <w:szCs w:val="40"/>
        </w:rPr>
      </w:pPr>
    </w:p>
    <w:p w14:paraId="206923F9">
      <w:pPr>
        <w:rPr>
          <w:rFonts w:hint="default" w:ascii="Times New Roman" w:hAnsi="Times New Roman" w:cs="Times New Roman"/>
          <w:bCs/>
          <w:spacing w:val="-20"/>
          <w:kern w:val="44"/>
          <w:sz w:val="40"/>
          <w:szCs w:val="40"/>
        </w:rPr>
      </w:pPr>
    </w:p>
    <w:p w14:paraId="26F9F984">
      <w:pPr>
        <w:spacing w:line="360" w:lineRule="auto"/>
        <w:ind w:left="2020" w:leftChars="200" w:hanging="1600" w:hangingChars="500"/>
        <w:rPr>
          <w:rFonts w:hint="default" w:ascii="Times New Roman" w:hAnsi="Times New Roman" w:eastAsia="宋体" w:cs="Times New Roman"/>
          <w:bCs/>
          <w:sz w:val="32"/>
          <w:szCs w:val="32"/>
          <w:lang w:eastAsia="zh-CN"/>
        </w:rPr>
      </w:pPr>
      <w:r>
        <w:rPr>
          <w:rFonts w:hint="default" w:ascii="Times New Roman" w:hAnsi="Times New Roman" w:cs="Times New Roman"/>
          <w:bCs/>
          <w:kern w:val="0"/>
          <w:sz w:val="32"/>
          <w:szCs w:val="32"/>
          <w:lang w:eastAsia="zh-CN"/>
        </w:rPr>
        <w:t>项目名称：</w:t>
      </w:r>
      <w:r>
        <w:rPr>
          <w:rFonts w:hint="eastAsia" w:ascii="Times New Roman" w:hAnsi="Times New Roman" w:eastAsia="宋体" w:cs="Times New Roman"/>
          <w:bCs/>
          <w:color w:val="auto"/>
          <w:sz w:val="32"/>
          <w:szCs w:val="32"/>
          <w:u w:val="single"/>
          <w:lang w:val="en-US" w:eastAsia="zh-CN"/>
        </w:rPr>
        <w:t>河南省测绘地理信息技术中心实景三维河南建设省级项目2025年软硬件采购项目</w:t>
      </w:r>
    </w:p>
    <w:p w14:paraId="14FEA3A0">
      <w:pPr>
        <w:spacing w:line="360" w:lineRule="auto"/>
        <w:ind w:left="420" w:leftChars="200"/>
        <w:rPr>
          <w:rFonts w:hint="default" w:ascii="Times New Roman" w:hAnsi="Times New Roman" w:cs="Times New Roman"/>
          <w:bCs/>
          <w:sz w:val="32"/>
          <w:szCs w:val="32"/>
          <w:u w:val="single"/>
          <w:lang w:eastAsia="zh-CN"/>
        </w:rPr>
      </w:pPr>
      <w:r>
        <w:rPr>
          <w:rFonts w:hint="default" w:ascii="Times New Roman" w:hAnsi="Times New Roman" w:cs="Times New Roman"/>
          <w:bCs/>
          <w:sz w:val="32"/>
          <w:szCs w:val="32"/>
          <w:lang w:eastAsia="zh-CN"/>
        </w:rPr>
        <w:t>合同编号：</w:t>
      </w:r>
      <w:r>
        <w:rPr>
          <w:rFonts w:hint="default" w:ascii="Times New Roman" w:hAnsi="Times New Roman" w:cs="Times New Roman"/>
          <w:bCs/>
          <w:sz w:val="32"/>
          <w:szCs w:val="32"/>
          <w:u w:val="single"/>
          <w:lang w:eastAsia="zh-CN"/>
        </w:rPr>
        <w:t xml:space="preserve">                             </w:t>
      </w:r>
    </w:p>
    <w:p w14:paraId="4184A979">
      <w:pPr>
        <w:spacing w:line="360" w:lineRule="auto"/>
        <w:ind w:left="420" w:leftChars="200"/>
        <w:rPr>
          <w:rFonts w:hint="default" w:ascii="Times New Roman" w:hAnsi="Times New Roman" w:eastAsia="宋体" w:cs="Times New Roman"/>
          <w:bCs/>
          <w:sz w:val="32"/>
          <w:szCs w:val="32"/>
          <w:lang w:val="en-US" w:eastAsia="zh-CN"/>
        </w:rPr>
      </w:pPr>
      <w:r>
        <w:rPr>
          <w:rFonts w:hint="default" w:ascii="Times New Roman" w:hAnsi="Times New Roman" w:cs="Times New Roman"/>
          <w:bCs/>
          <w:sz w:val="32"/>
          <w:szCs w:val="32"/>
          <w:lang w:eastAsia="zh-CN"/>
        </w:rPr>
        <w:t>甲    方：</w:t>
      </w:r>
      <w:r>
        <w:rPr>
          <w:rFonts w:hint="default" w:ascii="Times New Roman" w:hAnsi="Times New Roman" w:cs="Times New Roman"/>
          <w:bCs/>
          <w:sz w:val="32"/>
          <w:szCs w:val="32"/>
          <w:u w:val="single"/>
          <w:lang w:eastAsia="zh-CN"/>
        </w:rPr>
        <w:t xml:space="preserve">       </w:t>
      </w:r>
      <w:r>
        <w:rPr>
          <w:rFonts w:hint="default" w:ascii="Times New Roman" w:hAnsi="Times New Roman" w:eastAsia="宋体" w:cs="Times New Roman"/>
          <w:bCs/>
          <w:sz w:val="32"/>
          <w:szCs w:val="32"/>
          <w:u w:val="single"/>
          <w:lang w:val="en-US" w:eastAsia="zh-CN"/>
        </w:rPr>
        <w:t xml:space="preserve">                      </w:t>
      </w:r>
    </w:p>
    <w:p w14:paraId="407DB014">
      <w:pPr>
        <w:spacing w:line="360" w:lineRule="auto"/>
        <w:ind w:left="420" w:leftChars="200"/>
        <w:rPr>
          <w:rFonts w:hint="default" w:ascii="Times New Roman" w:hAnsi="Times New Roman" w:cs="Times New Roman"/>
          <w:bCs/>
          <w:sz w:val="32"/>
          <w:szCs w:val="32"/>
          <w:u w:val="single"/>
          <w:lang w:eastAsia="zh-CN"/>
        </w:rPr>
      </w:pPr>
      <w:r>
        <w:rPr>
          <w:rFonts w:hint="default" w:ascii="Times New Roman" w:hAnsi="Times New Roman" w:cs="Times New Roman"/>
          <w:bCs/>
          <w:sz w:val="32"/>
          <w:szCs w:val="32"/>
          <w:lang w:eastAsia="zh-CN"/>
        </w:rPr>
        <w:t>乙    方：</w:t>
      </w:r>
      <w:r>
        <w:rPr>
          <w:rFonts w:hint="default" w:ascii="Times New Roman" w:hAnsi="Times New Roman" w:cs="Times New Roman"/>
          <w:bCs/>
          <w:sz w:val="32"/>
          <w:szCs w:val="32"/>
          <w:u w:val="single"/>
          <w:lang w:eastAsia="zh-CN"/>
        </w:rPr>
        <w:t xml:space="preserve">                             </w:t>
      </w:r>
    </w:p>
    <w:p w14:paraId="003BF83B">
      <w:pPr>
        <w:spacing w:line="360" w:lineRule="auto"/>
        <w:ind w:left="420" w:leftChars="200"/>
        <w:rPr>
          <w:rFonts w:hint="default" w:ascii="Times New Roman" w:hAnsi="Times New Roman" w:cs="Times New Roman"/>
          <w:bCs/>
          <w:sz w:val="32"/>
          <w:szCs w:val="32"/>
          <w:lang w:eastAsia="zh-CN"/>
        </w:rPr>
      </w:pPr>
      <w:r>
        <w:rPr>
          <w:rFonts w:hint="default" w:ascii="Times New Roman" w:hAnsi="Times New Roman" w:cs="Times New Roman"/>
          <w:bCs/>
          <w:sz w:val="32"/>
          <w:szCs w:val="32"/>
          <w:lang w:eastAsia="zh-CN"/>
        </w:rPr>
        <w:t>签订时间：</w:t>
      </w:r>
      <w:r>
        <w:rPr>
          <w:rFonts w:hint="default" w:ascii="Times New Roman" w:hAnsi="Times New Roman" w:cs="Times New Roman"/>
          <w:bCs/>
          <w:sz w:val="32"/>
          <w:szCs w:val="32"/>
          <w:u w:val="single"/>
          <w:lang w:eastAsia="zh-CN"/>
        </w:rPr>
        <w:t xml:space="preserve">                             </w:t>
      </w:r>
    </w:p>
    <w:p w14:paraId="5EBFCB3A">
      <w:pPr>
        <w:rPr>
          <w:rFonts w:hint="default" w:ascii="Times New Roman" w:hAnsi="Times New Roman" w:cs="Times New Roman"/>
          <w:bCs/>
          <w:lang w:eastAsia="zh-CN"/>
        </w:rPr>
      </w:pPr>
    </w:p>
    <w:p w14:paraId="099E29D9">
      <w:pPr>
        <w:adjustRightInd w:val="0"/>
        <w:snapToGrid w:val="0"/>
        <w:spacing w:line="400" w:lineRule="exact"/>
        <w:jc w:val="center"/>
        <w:rPr>
          <w:rFonts w:hint="default" w:ascii="Times New Roman" w:hAnsi="Times New Roman" w:eastAsia="黑体" w:cs="Times New Roman"/>
          <w:bCs/>
          <w:sz w:val="28"/>
          <w:szCs w:val="28"/>
          <w:lang w:eastAsia="zh-CN"/>
        </w:rPr>
      </w:pPr>
      <w:r>
        <w:rPr>
          <w:rFonts w:hint="default" w:ascii="Times New Roman" w:hAnsi="Times New Roman" w:eastAsia="黑体" w:cs="Times New Roman"/>
          <w:bCs/>
          <w:sz w:val="44"/>
          <w:szCs w:val="44"/>
          <w:lang w:eastAsia="zh-CN"/>
        </w:rPr>
        <w:br w:type="page"/>
      </w:r>
      <w:bookmarkStart w:id="521" w:name="_Toc22209"/>
    </w:p>
    <w:bookmarkEnd w:id="521"/>
    <w:p w14:paraId="421A8A4B">
      <w:pPr>
        <w:keepNext/>
        <w:keepLines/>
        <w:adjustRightInd w:val="0"/>
        <w:snapToGrid w:val="0"/>
        <w:spacing w:line="400" w:lineRule="exact"/>
        <w:ind w:firstLine="560"/>
        <w:jc w:val="center"/>
        <w:rPr>
          <w:rFonts w:ascii="黑体" w:hAnsi="华文中宋" w:eastAsia="黑体" w:cs="Times New Roman"/>
          <w:sz w:val="28"/>
          <w:szCs w:val="28"/>
        </w:rPr>
      </w:pPr>
      <w:bookmarkStart w:id="522" w:name="_Toc19175"/>
      <w:bookmarkStart w:id="523" w:name="_Toc1535080439"/>
      <w:bookmarkStart w:id="524" w:name="_Toc1770719510_WPSOffice_Level1"/>
      <w:bookmarkStart w:id="525" w:name="_Toc2128211085"/>
      <w:bookmarkStart w:id="526" w:name="_Toc2046461259_WPSOffice_Level1"/>
      <w:bookmarkStart w:id="527" w:name="_Toc694927784"/>
      <w:bookmarkStart w:id="528" w:name="_Toc1351594660_WPSOffice_Level2"/>
      <w:bookmarkStart w:id="529" w:name="_Toc339295120"/>
      <w:bookmarkStart w:id="530" w:name="_Toc1640416698"/>
      <w:bookmarkStart w:id="531" w:name="_Toc2021117886"/>
      <w:bookmarkStart w:id="532" w:name="_Toc1887969822_WPSOffice_Level2"/>
      <w:bookmarkStart w:id="533" w:name="_Toc1331652897_WPSOffice_Level2"/>
      <w:bookmarkStart w:id="534" w:name="_Toc1047604175"/>
      <w:bookmarkStart w:id="535" w:name="_Toc667407289"/>
      <w:bookmarkStart w:id="536" w:name="_Toc1554580408"/>
      <w:bookmarkStart w:id="537" w:name="_Toc2146371347"/>
      <w:bookmarkStart w:id="538" w:name="_Toc505697850"/>
      <w:bookmarkStart w:id="539" w:name="_Toc1216028725_WPSOffice_Level2"/>
      <w:r>
        <w:rPr>
          <w:rFonts w:hint="eastAsia" w:ascii="黑体" w:hAnsi="黑体" w:eastAsia="黑体" w:cs="Times New Roman"/>
          <w:sz w:val="28"/>
          <w:szCs w:val="28"/>
        </w:rPr>
        <w:t xml:space="preserve">第一节 </w:t>
      </w:r>
      <w:r>
        <w:rPr>
          <w:rFonts w:hint="eastAsia" w:ascii="黑体" w:hAnsi="华文中宋" w:eastAsia="黑体" w:cs="Times New Roman"/>
          <w:sz w:val="28"/>
          <w:szCs w:val="28"/>
        </w:rPr>
        <w:t>政府采购合同协议书</w:t>
      </w:r>
      <w:bookmarkEnd w:id="522"/>
    </w:p>
    <w:p w14:paraId="2F169B15"/>
    <w:p w14:paraId="48D07F83">
      <w:pPr>
        <w:adjustRightInd w:val="0"/>
        <w:snapToGrid w:val="0"/>
        <w:spacing w:line="400" w:lineRule="exact"/>
        <w:ind w:firstLine="0" w:firstLineChars="0"/>
        <w:rPr>
          <w:rFonts w:ascii="宋体" w:hAnsi="宋体" w:eastAsia="宋体" w:cs="Times New Roman"/>
          <w:sz w:val="21"/>
          <w:szCs w:val="21"/>
        </w:rPr>
      </w:pPr>
      <w:r>
        <w:rPr>
          <w:rFonts w:hint="eastAsia" w:ascii="宋体" w:hAnsi="宋体" w:eastAsia="宋体" w:cs="Times New Roman"/>
          <w:sz w:val="21"/>
          <w:szCs w:val="21"/>
        </w:rPr>
        <w:t>甲方（全称）：</w:t>
      </w:r>
      <w:r>
        <w:rPr>
          <w:rFonts w:hint="eastAsia" w:ascii="宋体" w:hAnsi="宋体" w:eastAsia="宋体" w:cs="Times New Roman"/>
          <w:sz w:val="21"/>
          <w:szCs w:val="21"/>
          <w:u w:val="single"/>
        </w:rPr>
        <w:t>河南省测绘地理信息技术中心</w:t>
      </w:r>
      <w:r>
        <w:rPr>
          <w:rFonts w:hint="eastAsia" w:ascii="宋体" w:hAnsi="宋体" w:eastAsia="宋体" w:cs="Times New Roman"/>
          <w:sz w:val="21"/>
          <w:szCs w:val="21"/>
        </w:rPr>
        <w:t xml:space="preserve"> </w:t>
      </w:r>
    </w:p>
    <w:p w14:paraId="4BA43AC6">
      <w:pPr>
        <w:adjustRightInd w:val="0"/>
        <w:snapToGrid w:val="0"/>
        <w:spacing w:line="400" w:lineRule="exact"/>
        <w:ind w:firstLine="0" w:firstLineChars="0"/>
        <w:rPr>
          <w:rFonts w:ascii="宋体" w:hAnsi="宋体" w:eastAsia="宋体" w:cs="Times New Roman"/>
          <w:sz w:val="21"/>
          <w:szCs w:val="21"/>
        </w:rPr>
      </w:pPr>
      <w:r>
        <w:rPr>
          <w:rFonts w:hint="eastAsia" w:ascii="宋体" w:hAnsi="宋体" w:eastAsia="宋体" w:cs="Times New Roman"/>
          <w:sz w:val="21"/>
          <w:szCs w:val="21"/>
        </w:rPr>
        <w:t>乙方（全称）：</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（供应商）</w:t>
      </w:r>
    </w:p>
    <w:p w14:paraId="2E9ADF9D">
      <w:pPr>
        <w:spacing w:line="400" w:lineRule="exact"/>
        <w:ind w:firstLine="0" w:firstLineChars="0"/>
        <w:rPr>
          <w:rFonts w:ascii="Times New Roman" w:hAnsi="Times New Roman" w:eastAsia="宋体" w:cs="Times New Roman"/>
          <w:sz w:val="21"/>
          <w:szCs w:val="24"/>
          <w:highlight w:val="cyan"/>
        </w:rPr>
      </w:pPr>
    </w:p>
    <w:p w14:paraId="64D4840A">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17B4743D">
      <w:pPr>
        <w:numPr>
          <w:ilvl w:val="0"/>
          <w:numId w:val="11"/>
        </w:numPr>
        <w:adjustRightInd w:val="0"/>
        <w:snapToGrid w:val="0"/>
        <w:spacing w:line="400" w:lineRule="exact"/>
        <w:ind w:firstLine="422"/>
        <w:rPr>
          <w:rFonts w:ascii="宋体" w:hAnsi="宋体" w:eastAsia="宋体" w:cs="Times New Roman"/>
          <w:b/>
          <w:sz w:val="21"/>
          <w:szCs w:val="21"/>
        </w:rPr>
      </w:pPr>
      <w:r>
        <w:rPr>
          <w:rFonts w:hint="eastAsia" w:ascii="宋体" w:hAnsi="宋体" w:eastAsia="宋体" w:cs="Times New Roman"/>
          <w:b/>
          <w:sz w:val="21"/>
          <w:szCs w:val="21"/>
        </w:rPr>
        <w:t>项目信息</w:t>
      </w:r>
    </w:p>
    <w:p w14:paraId="79DFA7F9">
      <w:pPr>
        <w:numPr>
          <w:ilvl w:val="0"/>
          <w:numId w:val="12"/>
        </w:num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采购项目名称：</w:t>
      </w:r>
      <w:r>
        <w:rPr>
          <w:rFonts w:ascii="宋体" w:hAnsi="宋体" w:eastAsia="宋体" w:cs="Times New Roman"/>
          <w:sz w:val="21"/>
          <w:szCs w:val="21"/>
          <w:u w:val="single"/>
        </w:rPr>
        <w:t xml:space="preserve"> </w:t>
      </w:r>
      <w:r>
        <w:rPr>
          <w:rFonts w:hint="eastAsia" w:ascii="宋体" w:hAnsi="宋体" w:eastAsia="宋体" w:cs="Times New Roman"/>
          <w:sz w:val="21"/>
          <w:szCs w:val="21"/>
          <w:u w:val="single"/>
        </w:rPr>
        <w:t xml:space="preserve">实景三维河南建设省级项目2025年软硬件采购项目 </w:t>
      </w:r>
    </w:p>
    <w:p w14:paraId="68F44A74">
      <w:pPr>
        <w:numPr>
          <w:ilvl w:val="255"/>
          <w:numId w:val="0"/>
        </w:numPr>
        <w:tabs>
          <w:tab w:val="left" w:pos="999"/>
        </w:tabs>
        <w:adjustRightInd w:val="0"/>
        <w:snapToGrid w:val="0"/>
        <w:spacing w:line="400" w:lineRule="exact"/>
        <w:rPr>
          <w:rFonts w:ascii="宋体" w:hAnsi="宋体" w:eastAsia="宋体" w:cs="Times New Roman"/>
          <w:sz w:val="21"/>
          <w:szCs w:val="21"/>
        </w:rPr>
      </w:pPr>
      <w:r>
        <w:rPr>
          <w:rFonts w:hint="eastAsia" w:ascii="宋体" w:hAnsi="宋体" w:eastAsia="宋体" w:cs="Times New Roman"/>
          <w:sz w:val="21"/>
          <w:szCs w:val="21"/>
        </w:rPr>
        <w:t xml:space="preserve">         采购项目编号：</w:t>
      </w:r>
      <w:r>
        <w:rPr>
          <w:rFonts w:ascii="宋体" w:hAnsi="宋体" w:eastAsia="宋体" w:cs="Times New Roman"/>
          <w:sz w:val="21"/>
          <w:szCs w:val="21"/>
          <w:u w:val="single"/>
        </w:rPr>
        <w:t xml:space="preserve">                                          </w:t>
      </w:r>
    </w:p>
    <w:p w14:paraId="6A7E330B">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（2）采购计划编号：</w:t>
      </w:r>
      <w:r>
        <w:rPr>
          <w:rFonts w:ascii="宋体" w:hAnsi="宋体" w:eastAsia="宋体" w:cs="Times New Roman"/>
          <w:sz w:val="21"/>
          <w:szCs w:val="21"/>
          <w:u w:val="single"/>
        </w:rPr>
        <w:t xml:space="preserve">                     </w:t>
      </w:r>
      <w:r>
        <w:rPr>
          <w:rFonts w:hint="eastAsia" w:ascii="宋体" w:hAnsi="宋体" w:eastAsia="宋体" w:cs="Times New Roman"/>
          <w:sz w:val="21"/>
          <w:szCs w:val="21"/>
          <w:u w:val="single"/>
        </w:rPr>
        <w:t xml:space="preserve">                </w:t>
      </w:r>
      <w:r>
        <w:rPr>
          <w:rFonts w:ascii="宋体" w:hAnsi="宋体" w:eastAsia="宋体" w:cs="Times New Roman"/>
          <w:sz w:val="21"/>
          <w:szCs w:val="21"/>
          <w:u w:val="single"/>
        </w:rPr>
        <w:t xml:space="preserve">     </w:t>
      </w:r>
      <w:r>
        <w:rPr>
          <w:rFonts w:ascii="宋体" w:hAnsi="宋体" w:eastAsia="宋体" w:cs="Times New Roman"/>
          <w:sz w:val="21"/>
          <w:szCs w:val="21"/>
        </w:rPr>
        <w:t xml:space="preserve"> </w:t>
      </w:r>
    </w:p>
    <w:p w14:paraId="670CBBD0">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（3）项目内容：</w:t>
      </w:r>
    </w:p>
    <w:p w14:paraId="2FCAB405">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 xml:space="preserve">     采购标的及数量（台/套</w:t>
      </w:r>
      <w:r>
        <w:rPr>
          <w:rFonts w:ascii="宋体" w:hAnsi="宋体" w:eastAsia="宋体" w:cs="Times New Roman"/>
          <w:sz w:val="21"/>
          <w:szCs w:val="21"/>
          <w:lang w:val="en"/>
        </w:rPr>
        <w:t>/</w:t>
      </w:r>
      <w:r>
        <w:rPr>
          <w:rFonts w:hint="eastAsia" w:ascii="宋体" w:hAnsi="宋体" w:eastAsia="宋体" w:cs="Times New Roman"/>
          <w:sz w:val="21"/>
          <w:szCs w:val="21"/>
          <w:lang w:val="en"/>
        </w:rPr>
        <w:t>个</w:t>
      </w:r>
      <w:r>
        <w:rPr>
          <w:rFonts w:ascii="宋体" w:hAnsi="宋体" w:eastAsia="宋体" w:cs="Times New Roman"/>
          <w:sz w:val="21"/>
          <w:szCs w:val="21"/>
          <w:lang w:val="en"/>
        </w:rPr>
        <w:t>/</w:t>
      </w:r>
      <w:r>
        <w:rPr>
          <w:rFonts w:hint="eastAsia" w:ascii="宋体" w:hAnsi="宋体" w:eastAsia="宋体" w:cs="Times New Roman"/>
          <w:sz w:val="21"/>
          <w:szCs w:val="21"/>
          <w:lang w:val="en"/>
        </w:rPr>
        <w:t>架</w:t>
      </w:r>
      <w:r>
        <w:rPr>
          <w:rFonts w:ascii="宋体" w:hAnsi="宋体" w:eastAsia="宋体" w:cs="Times New Roman"/>
          <w:sz w:val="21"/>
          <w:szCs w:val="21"/>
          <w:lang w:val="en"/>
        </w:rPr>
        <w:t>/</w:t>
      </w:r>
      <w:r>
        <w:rPr>
          <w:rFonts w:hint="eastAsia" w:ascii="宋体" w:hAnsi="宋体" w:eastAsia="宋体" w:cs="Times New Roman"/>
          <w:sz w:val="21"/>
          <w:szCs w:val="21"/>
          <w:lang w:val="en"/>
        </w:rPr>
        <w:t>组等</w:t>
      </w:r>
      <w:r>
        <w:rPr>
          <w:rFonts w:hint="eastAsia" w:ascii="宋体" w:hAnsi="宋体" w:eastAsia="宋体" w:cs="Times New Roman"/>
          <w:sz w:val="21"/>
          <w:szCs w:val="21"/>
        </w:rPr>
        <w:t>）：</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 xml:space="preserve"> </w:t>
      </w:r>
    </w:p>
    <w:p w14:paraId="709A6CD9">
      <w:pPr>
        <w:numPr>
          <w:ilvl w:val="255"/>
          <w:numId w:val="0"/>
        </w:numPr>
        <w:adjustRightInd w:val="0"/>
        <w:snapToGrid w:val="0"/>
        <w:spacing w:line="400" w:lineRule="exact"/>
        <w:ind w:firstLine="420" w:firstLineChars="200"/>
        <w:rPr>
          <w:rFonts w:ascii="宋体" w:hAnsi="宋体" w:eastAsia="宋体" w:cs="Times New Roman"/>
          <w:sz w:val="21"/>
          <w:szCs w:val="21"/>
          <w:u w:val="single"/>
        </w:rPr>
      </w:pPr>
      <w:r>
        <w:rPr>
          <w:rFonts w:hint="eastAsia" w:ascii="宋体" w:hAnsi="宋体" w:eastAsia="宋体" w:cs="Times New Roman"/>
          <w:sz w:val="21"/>
          <w:szCs w:val="21"/>
        </w:rPr>
        <w:t xml:space="preserve">     采购标的的技术要求、商务要求具体见附件。</w:t>
      </w:r>
    </w:p>
    <w:p w14:paraId="2293AE13">
      <w:pPr>
        <w:numPr>
          <w:ilvl w:val="255"/>
          <w:numId w:val="0"/>
        </w:numPr>
        <w:autoSpaceDE w:val="0"/>
        <w:autoSpaceDN w:val="0"/>
        <w:adjustRightInd w:val="0"/>
        <w:snapToGrid w:val="0"/>
        <w:spacing w:line="400" w:lineRule="exact"/>
        <w:rPr>
          <w:rFonts w:ascii="宋体" w:hAnsi="宋体" w:eastAsia="宋体" w:cs="宋体"/>
          <w:sz w:val="21"/>
          <w:szCs w:val="21"/>
        </w:rPr>
      </w:pPr>
      <w:r>
        <w:rPr>
          <w:rFonts w:hint="eastAsia" w:ascii="宋体" w:hAnsi="宋体" w:eastAsia="宋体" w:cs="宋体"/>
          <w:sz w:val="21"/>
          <w:szCs w:val="21"/>
        </w:rPr>
        <w:t xml:space="preserve">    （</w:t>
      </w:r>
      <w:r>
        <w:rPr>
          <w:rFonts w:ascii="宋体" w:hAnsi="宋体" w:eastAsia="宋体" w:cs="宋体"/>
          <w:sz w:val="21"/>
          <w:szCs w:val="21"/>
          <w:lang w:val="en"/>
        </w:rPr>
        <w:t>4</w:t>
      </w:r>
      <w:r>
        <w:rPr>
          <w:rFonts w:hint="eastAsia" w:ascii="宋体" w:hAnsi="宋体" w:eastAsia="宋体" w:cs="宋体"/>
          <w:sz w:val="21"/>
          <w:szCs w:val="21"/>
        </w:rPr>
        <w:t>）政府采购组织形式：</w:t>
      </w:r>
      <w:r>
        <w:rPr>
          <w:rFonts w:hint="eastAsia" w:ascii="宋体" w:hAnsi="宋体" w:eastAsia="宋体" w:cs="宋体"/>
          <w:sz w:val="21"/>
          <w:szCs w:val="21"/>
        </w:rPr>
        <w:sym w:font="Wingdings" w:char="00FE"/>
      </w:r>
      <w:r>
        <w:rPr>
          <w:rFonts w:hint="eastAsia" w:ascii="宋体" w:hAnsi="宋体" w:eastAsia="宋体" w:cs="宋体"/>
          <w:sz w:val="21"/>
          <w:szCs w:val="21"/>
        </w:rPr>
        <w:t xml:space="preserve">政府集中采购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部门集中采购  </w:t>
      </w:r>
      <w:r>
        <w:rPr>
          <w:rFonts w:hint="eastAsia" w:ascii="宋体" w:hAnsi="宋体" w:eastAsia="宋体" w:cs="宋体"/>
          <w:sz w:val="21"/>
          <w:szCs w:val="21"/>
        </w:rPr>
        <w:sym w:font="Wingdings" w:char="00A8"/>
      </w:r>
      <w:r>
        <w:rPr>
          <w:rFonts w:hint="eastAsia" w:ascii="宋体" w:hAnsi="宋体" w:eastAsia="宋体" w:cs="宋体"/>
          <w:sz w:val="21"/>
          <w:szCs w:val="21"/>
        </w:rPr>
        <w:t>分散采购</w:t>
      </w:r>
    </w:p>
    <w:p w14:paraId="1B3A57AC">
      <w:pPr>
        <w:numPr>
          <w:ilvl w:val="255"/>
          <w:numId w:val="0"/>
        </w:numPr>
        <w:autoSpaceDE w:val="0"/>
        <w:autoSpaceDN w:val="0"/>
        <w:adjustRightInd w:val="0"/>
        <w:snapToGrid w:val="0"/>
        <w:spacing w:line="400" w:lineRule="exact"/>
        <w:ind w:firstLine="420"/>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lang w:val="en"/>
        </w:rPr>
        <w:t>5</w:t>
      </w:r>
      <w:r>
        <w:rPr>
          <w:rFonts w:hint="eastAsia" w:ascii="宋体" w:hAnsi="宋体" w:eastAsia="宋体" w:cs="宋体"/>
          <w:sz w:val="21"/>
          <w:szCs w:val="21"/>
        </w:rPr>
        <w:t>）政府采购方式：</w:t>
      </w:r>
      <w:r>
        <w:rPr>
          <w:rFonts w:hint="eastAsia" w:ascii="宋体" w:hAnsi="宋体" w:eastAsia="宋体" w:cs="宋体"/>
          <w:sz w:val="21"/>
          <w:szCs w:val="21"/>
        </w:rPr>
        <w:sym w:font="Wingdings" w:char="00FE"/>
      </w:r>
      <w:r>
        <w:rPr>
          <w:rFonts w:hint="eastAsia" w:ascii="宋体" w:hAnsi="宋体" w:eastAsia="宋体" w:cs="宋体"/>
          <w:sz w:val="21"/>
          <w:szCs w:val="21"/>
        </w:rPr>
        <w:t xml:space="preserve">公开招标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邀请招标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竞争性谈判 </w:t>
      </w:r>
      <w:r>
        <w:rPr>
          <w:rFonts w:hint="eastAsia" w:ascii="宋体" w:hAnsi="宋体" w:eastAsia="宋体" w:cs="宋体"/>
          <w:sz w:val="21"/>
          <w:szCs w:val="21"/>
        </w:rPr>
        <w:sym w:font="Wingdings" w:char="00A8"/>
      </w:r>
      <w:r>
        <w:rPr>
          <w:rFonts w:hint="eastAsia" w:ascii="宋体" w:hAnsi="宋体" w:eastAsia="宋体" w:cs="宋体"/>
          <w:sz w:val="21"/>
          <w:szCs w:val="21"/>
        </w:rPr>
        <w:t>竞争性磋商</w:t>
      </w:r>
    </w:p>
    <w:p w14:paraId="1510E63F">
      <w:pPr>
        <w:numPr>
          <w:ilvl w:val="255"/>
          <w:numId w:val="0"/>
        </w:numPr>
        <w:autoSpaceDE w:val="0"/>
        <w:autoSpaceDN w:val="0"/>
        <w:adjustRightInd w:val="0"/>
        <w:snapToGrid w:val="0"/>
        <w:spacing w:line="400" w:lineRule="exact"/>
        <w:ind w:firstLine="420"/>
        <w:rPr>
          <w:rFonts w:ascii="宋体" w:hAnsi="宋体" w:eastAsia="宋体" w:cs="宋体"/>
          <w:sz w:val="21"/>
          <w:szCs w:val="21"/>
          <w:u w:val="single"/>
        </w:rPr>
      </w:pPr>
      <w:r>
        <w:rPr>
          <w:rFonts w:hint="eastAsia" w:ascii="宋体" w:hAnsi="宋体" w:eastAsia="华文楷体" w:cs="宋体"/>
          <w:sz w:val="22"/>
          <w:szCs w:val="21"/>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询价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单一来源 </w:t>
      </w:r>
      <w:r>
        <w:rPr>
          <w:rFonts w:hint="eastAsia" w:ascii="宋体" w:hAnsi="宋体" w:eastAsia="宋体" w:cs="宋体"/>
          <w:sz w:val="21"/>
          <w:szCs w:val="21"/>
        </w:rPr>
        <w:sym w:font="Wingdings" w:char="00A8"/>
      </w:r>
      <w:r>
        <w:rPr>
          <w:rFonts w:hint="eastAsia" w:ascii="宋体" w:hAnsi="宋体" w:eastAsia="宋体" w:cs="宋体"/>
          <w:sz w:val="21"/>
          <w:szCs w:val="21"/>
        </w:rPr>
        <w:t xml:space="preserve">框架协议 </w:t>
      </w:r>
      <w:r>
        <w:rPr>
          <w:rFonts w:hint="eastAsia" w:ascii="宋体" w:hAnsi="宋体" w:eastAsia="宋体" w:cs="宋体"/>
          <w:sz w:val="21"/>
          <w:szCs w:val="21"/>
        </w:rPr>
        <w:sym w:font="Wingdings" w:char="00A8"/>
      </w:r>
      <w:r>
        <w:rPr>
          <w:rFonts w:hint="eastAsia" w:ascii="宋体" w:hAnsi="宋体" w:eastAsia="宋体" w:cs="宋体"/>
          <w:sz w:val="21"/>
          <w:szCs w:val="21"/>
        </w:rPr>
        <w:t>其他：</w:t>
      </w:r>
      <w:r>
        <w:rPr>
          <w:rFonts w:hint="eastAsia" w:ascii="宋体" w:hAnsi="宋体" w:eastAsia="宋体" w:cs="宋体"/>
          <w:sz w:val="21"/>
          <w:szCs w:val="21"/>
          <w:u w:val="single"/>
        </w:rPr>
        <w:t xml:space="preserve">          </w:t>
      </w:r>
    </w:p>
    <w:p w14:paraId="58A268F8">
      <w:pPr>
        <w:numPr>
          <w:ilvl w:val="255"/>
          <w:numId w:val="0"/>
        </w:numPr>
        <w:autoSpaceDE w:val="0"/>
        <w:autoSpaceDN w:val="0"/>
        <w:adjustRightInd w:val="0"/>
        <w:snapToGrid w:val="0"/>
        <w:spacing w:line="400" w:lineRule="exact"/>
        <w:ind w:firstLine="420"/>
        <w:rPr>
          <w:rFonts w:ascii="宋体" w:hAnsi="宋体" w:eastAsia="宋体" w:cs="宋体"/>
          <w:sz w:val="21"/>
          <w:szCs w:val="21"/>
        </w:rPr>
      </w:pPr>
      <w:r>
        <w:rPr>
          <w:rFonts w:hint="eastAsia" w:ascii="宋体" w:hAnsi="宋体" w:eastAsia="宋体" w:cs="宋体"/>
          <w:sz w:val="21"/>
          <w:szCs w:val="21"/>
        </w:rPr>
        <w:t>（注：在框架协议采购的第二阶段，可选择使用该合同文本）</w:t>
      </w:r>
    </w:p>
    <w:p w14:paraId="6C4564CF">
      <w:pPr>
        <w:numPr>
          <w:ilvl w:val="255"/>
          <w:numId w:val="0"/>
        </w:numPr>
        <w:autoSpaceDE w:val="0"/>
        <w:autoSpaceDN w:val="0"/>
        <w:adjustRightInd w:val="0"/>
        <w:snapToGrid w:val="0"/>
        <w:spacing w:line="400" w:lineRule="exact"/>
        <w:ind w:firstLine="220" w:firstLineChars="100"/>
        <w:rPr>
          <w:rFonts w:ascii="宋体" w:hAnsi="宋体" w:eastAsia="宋体" w:cs="Times New Roman"/>
          <w:sz w:val="21"/>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eastAsia="宋体" w:cs="Times New Roman"/>
          <w:sz w:val="21"/>
          <w:szCs w:val="21"/>
        </w:rPr>
        <w:t>中标（成交）采购标的制造商是否为中小企业：</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 xml:space="preserve">是      </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否</w:t>
      </w:r>
    </w:p>
    <w:p w14:paraId="7401A7FF">
      <w:pPr>
        <w:numPr>
          <w:ilvl w:val="255"/>
          <w:numId w:val="0"/>
        </w:numPr>
        <w:adjustRightInd w:val="0"/>
        <w:snapToGrid w:val="0"/>
        <w:spacing w:line="400" w:lineRule="exact"/>
        <w:rPr>
          <w:rFonts w:ascii="宋体" w:hAnsi="宋体" w:eastAsia="宋体" w:cs="Times New Roman"/>
          <w:iCs/>
          <w:sz w:val="21"/>
          <w:szCs w:val="21"/>
        </w:rPr>
      </w:pPr>
      <w:r>
        <w:rPr>
          <w:rFonts w:hint="eastAsia" w:ascii="宋体" w:hAnsi="宋体" w:eastAsia="宋体" w:cs="Times New Roman"/>
          <w:sz w:val="21"/>
          <w:szCs w:val="21"/>
        </w:rPr>
        <w:t xml:space="preserve">         本合同是否为专门面向中小企业的采购合同（中小企业预留合同）：</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是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否</w:t>
      </w:r>
    </w:p>
    <w:p w14:paraId="5CB66185">
      <w:pPr>
        <w:numPr>
          <w:ilvl w:val="255"/>
          <w:numId w:val="0"/>
        </w:numPr>
        <w:adjustRightInd w:val="0"/>
        <w:snapToGrid w:val="0"/>
        <w:spacing w:line="400" w:lineRule="exact"/>
        <w:rPr>
          <w:rFonts w:ascii="宋体" w:hAnsi="宋体" w:eastAsia="宋体" w:cs="Times New Roman"/>
          <w:iCs/>
          <w:sz w:val="21"/>
          <w:szCs w:val="21"/>
        </w:rPr>
      </w:pPr>
      <w:r>
        <w:rPr>
          <w:rFonts w:hint="eastAsia" w:ascii="Times New Roman" w:hAnsi="Times New Roman" w:eastAsia="宋体" w:cs="Times New Roman"/>
          <w:sz w:val="21"/>
          <w:szCs w:val="24"/>
        </w:rPr>
        <w:t xml:space="preserve">         若本项目不专门面向中小企业采购，是否给予小微企业评审优惠：</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是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否</w:t>
      </w:r>
    </w:p>
    <w:p w14:paraId="35602204">
      <w:pPr>
        <w:numPr>
          <w:ilvl w:val="255"/>
          <w:numId w:val="0"/>
        </w:numPr>
        <w:adjustRightInd w:val="0"/>
        <w:snapToGrid w:val="0"/>
        <w:spacing w:line="400" w:lineRule="exact"/>
        <w:rPr>
          <w:rFonts w:ascii="宋体" w:hAnsi="宋体" w:eastAsia="宋体" w:cs="Times New Roman"/>
          <w:iCs/>
          <w:sz w:val="21"/>
          <w:szCs w:val="21"/>
        </w:rPr>
      </w:pPr>
      <w:r>
        <w:rPr>
          <w:rFonts w:hint="eastAsia" w:ascii="Times New Roman" w:hAnsi="Times New Roman" w:eastAsia="宋体" w:cs="Times New Roman"/>
          <w:sz w:val="21"/>
          <w:szCs w:val="24"/>
        </w:rPr>
        <w:t xml:space="preserve">         中标（成交）采购标的制造商是否为残疾人福利性单位：</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是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否</w:t>
      </w:r>
    </w:p>
    <w:p w14:paraId="115203E7">
      <w:pPr>
        <w:snapToGrid w:val="0"/>
        <w:spacing w:line="400" w:lineRule="exact"/>
        <w:ind w:firstLine="0" w:firstLineChars="0"/>
        <w:rPr>
          <w:rFonts w:ascii="Times New Roman" w:hAnsi="Times New Roman" w:eastAsia="宋体" w:cs="Times New Roman"/>
          <w:sz w:val="21"/>
          <w:szCs w:val="24"/>
        </w:rPr>
      </w:pPr>
      <w:r>
        <w:rPr>
          <w:rFonts w:hint="eastAsia" w:ascii="Times New Roman" w:hAnsi="Times New Roman" w:eastAsia="宋体" w:cs="Times New Roman"/>
          <w:sz w:val="21"/>
          <w:szCs w:val="24"/>
        </w:rPr>
        <w:t xml:space="preserve">         中标（成交）采购标的制造商是否为监狱企业：</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是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否</w:t>
      </w:r>
    </w:p>
    <w:p w14:paraId="5C711532">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w:t>
      </w:r>
      <w:r>
        <w:rPr>
          <w:rFonts w:ascii="宋体" w:hAnsi="宋体" w:eastAsia="宋体" w:cs="Times New Roman"/>
          <w:sz w:val="21"/>
          <w:szCs w:val="21"/>
          <w:lang w:val="en"/>
        </w:rPr>
        <w:t>7</w:t>
      </w:r>
      <w:r>
        <w:rPr>
          <w:rFonts w:hint="eastAsia" w:ascii="宋体" w:hAnsi="宋体" w:eastAsia="宋体" w:cs="Times New Roman"/>
          <w:sz w:val="21"/>
          <w:szCs w:val="21"/>
        </w:rPr>
        <w:t>）合同是否分包：</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是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否</w:t>
      </w:r>
    </w:p>
    <w:p w14:paraId="2A932CFC">
      <w:pPr>
        <w:numPr>
          <w:ilvl w:val="255"/>
          <w:numId w:val="0"/>
        </w:numPr>
        <w:adjustRightInd w:val="0"/>
        <w:snapToGrid w:val="0"/>
        <w:spacing w:line="400" w:lineRule="exact"/>
        <w:rPr>
          <w:rFonts w:ascii="宋体" w:hAnsi="宋体" w:eastAsia="宋体" w:cs="宋体"/>
          <w:iCs/>
          <w:sz w:val="21"/>
          <w:szCs w:val="21"/>
        </w:rPr>
      </w:pPr>
      <w:r>
        <w:rPr>
          <w:rFonts w:hint="eastAsia" w:ascii="宋体" w:hAnsi="宋体" w:eastAsia="宋体" w:cs="Times New Roman"/>
          <w:sz w:val="21"/>
          <w:szCs w:val="21"/>
        </w:rPr>
        <w:t xml:space="preserve">    </w:t>
      </w:r>
      <w:r>
        <w:rPr>
          <w:rFonts w:hint="eastAsia" w:ascii="宋体" w:hAnsi="宋体" w:eastAsia="宋体" w:cs="宋体"/>
          <w:sz w:val="21"/>
          <w:szCs w:val="21"/>
        </w:rPr>
        <w:t>（</w:t>
      </w:r>
      <w:r>
        <w:rPr>
          <w:rFonts w:ascii="宋体" w:hAnsi="宋体" w:eastAsia="宋体" w:cs="宋体"/>
          <w:sz w:val="21"/>
          <w:szCs w:val="21"/>
          <w:lang w:val="en"/>
        </w:rPr>
        <w:t>8</w:t>
      </w:r>
      <w:r>
        <w:rPr>
          <w:rFonts w:hint="eastAsia" w:ascii="宋体" w:hAnsi="宋体" w:eastAsia="宋体" w:cs="宋体"/>
          <w:sz w:val="21"/>
          <w:szCs w:val="21"/>
        </w:rPr>
        <w:t>）中标（成交）供应商是否为外商投资企业：</w:t>
      </w:r>
      <w:r>
        <w:rPr>
          <w:rFonts w:hint="eastAsia" w:ascii="宋体" w:hAnsi="宋体" w:eastAsia="宋体" w:cs="宋体"/>
          <w:iCs/>
          <w:sz w:val="21"/>
          <w:szCs w:val="21"/>
        </w:rPr>
        <w:sym w:font="Wingdings" w:char="00A8"/>
      </w:r>
      <w:r>
        <w:rPr>
          <w:rFonts w:hint="eastAsia" w:ascii="宋体" w:hAnsi="宋体" w:eastAsia="宋体" w:cs="宋体"/>
          <w:iCs/>
          <w:sz w:val="21"/>
          <w:szCs w:val="21"/>
        </w:rPr>
        <w:t xml:space="preserve">是       </w:t>
      </w:r>
      <w:r>
        <w:rPr>
          <w:rFonts w:hint="eastAsia" w:ascii="宋体" w:hAnsi="宋体" w:eastAsia="宋体" w:cs="宋体"/>
          <w:iCs/>
          <w:sz w:val="21"/>
          <w:szCs w:val="21"/>
        </w:rPr>
        <w:sym w:font="Wingdings" w:char="00A8"/>
      </w:r>
      <w:r>
        <w:rPr>
          <w:rFonts w:hint="eastAsia" w:ascii="宋体" w:hAnsi="宋体" w:eastAsia="宋体" w:cs="宋体"/>
          <w:iCs/>
          <w:sz w:val="21"/>
          <w:szCs w:val="21"/>
        </w:rPr>
        <w:t>否</w:t>
      </w:r>
    </w:p>
    <w:p w14:paraId="1F28A484">
      <w:pPr>
        <w:tabs>
          <w:tab w:val="left" w:pos="1340"/>
        </w:tabs>
        <w:autoSpaceDE w:val="0"/>
        <w:autoSpaceDN w:val="0"/>
        <w:adjustRightInd w:val="0"/>
        <w:spacing w:line="400" w:lineRule="exact"/>
        <w:ind w:firstLine="420"/>
        <w:rPr>
          <w:rFonts w:ascii="宋体" w:hAnsi="宋体" w:eastAsia="宋体" w:cs="宋体"/>
          <w:sz w:val="21"/>
          <w:szCs w:val="21"/>
          <w:u w:val="single"/>
        </w:rPr>
      </w:pPr>
      <w:r>
        <w:rPr>
          <w:rFonts w:hint="eastAsia" w:ascii="宋体" w:hAnsi="宋体" w:eastAsia="宋体" w:cs="宋体"/>
          <w:sz w:val="21"/>
          <w:szCs w:val="21"/>
        </w:rPr>
        <w:t xml:space="preserve">     外商投资企业类型：</w:t>
      </w:r>
      <w:r>
        <w:rPr>
          <w:rFonts w:hint="eastAsia" w:ascii="宋体" w:hAnsi="宋体" w:eastAsia="宋体" w:cs="宋体"/>
          <w:iCs/>
          <w:sz w:val="21"/>
          <w:szCs w:val="21"/>
        </w:rPr>
        <w:sym w:font="Wingdings" w:char="00A8"/>
      </w:r>
      <w:r>
        <w:rPr>
          <w:rFonts w:hint="eastAsia" w:ascii="宋体" w:hAnsi="宋体" w:eastAsia="宋体" w:cs="宋体"/>
          <w:sz w:val="21"/>
          <w:szCs w:val="21"/>
        </w:rPr>
        <w:t xml:space="preserve">全部由外国投资者投资  </w:t>
      </w:r>
      <w:r>
        <w:rPr>
          <w:rFonts w:hint="eastAsia" w:ascii="宋体" w:hAnsi="宋体" w:eastAsia="宋体" w:cs="宋体"/>
          <w:iCs/>
          <w:sz w:val="21"/>
          <w:szCs w:val="21"/>
        </w:rPr>
        <w:sym w:font="Wingdings" w:char="00A8"/>
      </w:r>
      <w:r>
        <w:rPr>
          <w:rFonts w:hint="eastAsia" w:ascii="宋体" w:hAnsi="宋体" w:eastAsia="宋体" w:cs="宋体"/>
          <w:iCs/>
          <w:sz w:val="21"/>
          <w:szCs w:val="21"/>
        </w:rPr>
        <w:t>部分由外国投资者投资</w:t>
      </w:r>
    </w:p>
    <w:p w14:paraId="2407B72F">
      <w:pPr>
        <w:numPr>
          <w:ilvl w:val="255"/>
          <w:numId w:val="0"/>
        </w:numPr>
        <w:adjustRightInd w:val="0"/>
        <w:snapToGrid w:val="0"/>
        <w:spacing w:line="400" w:lineRule="exact"/>
        <w:ind w:firstLine="420" w:firstLineChars="200"/>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lang w:val="en"/>
        </w:rPr>
        <w:t>9</w:t>
      </w:r>
      <w:r>
        <w:rPr>
          <w:rFonts w:hint="eastAsia" w:ascii="宋体" w:hAnsi="宋体" w:eastAsia="宋体" w:cs="宋体"/>
          <w:sz w:val="21"/>
          <w:szCs w:val="21"/>
        </w:rPr>
        <w:t>）是否涉及进口产品：</w:t>
      </w:r>
    </w:p>
    <w:p w14:paraId="4D6F7702">
      <w:pPr>
        <w:numPr>
          <w:ilvl w:val="255"/>
          <w:numId w:val="0"/>
        </w:numPr>
        <w:adjustRightInd w:val="0"/>
        <w:snapToGrid w:val="0"/>
        <w:spacing w:line="400" w:lineRule="exact"/>
        <w:ind w:firstLine="840" w:firstLineChars="400"/>
        <w:rPr>
          <w:rFonts w:ascii="宋体" w:hAnsi="宋体" w:eastAsia="宋体" w:cs="宋体"/>
          <w:sz w:val="21"/>
          <w:szCs w:val="21"/>
          <w:u w:val="single"/>
        </w:rPr>
      </w:pPr>
      <w:r>
        <w:rPr>
          <w:rFonts w:hint="eastAsia" w:ascii="宋体" w:hAnsi="宋体" w:eastAsia="宋体" w:cs="宋体"/>
          <w:sz w:val="21"/>
          <w:szCs w:val="21"/>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rPr>
        <w:t>是，《政府采购品目分类目录》底级品目名称：</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金额：</w:t>
      </w:r>
      <w:r>
        <w:rPr>
          <w:rFonts w:hint="eastAsia" w:ascii="宋体" w:hAnsi="宋体" w:eastAsia="宋体" w:cs="宋体"/>
          <w:sz w:val="21"/>
          <w:szCs w:val="21"/>
          <w:u w:val="single"/>
        </w:rPr>
        <w:t xml:space="preserve">        </w:t>
      </w:r>
    </w:p>
    <w:p w14:paraId="4EEECF6F">
      <w:pPr>
        <w:numPr>
          <w:ilvl w:val="255"/>
          <w:numId w:val="0"/>
        </w:numPr>
        <w:adjustRightInd w:val="0"/>
        <w:snapToGrid w:val="0"/>
        <w:spacing w:line="400" w:lineRule="exact"/>
        <w:ind w:firstLine="840" w:firstLineChars="400"/>
        <w:rPr>
          <w:rFonts w:ascii="宋体" w:hAnsi="宋体" w:eastAsia="宋体" w:cs="Times New Roman"/>
          <w:sz w:val="21"/>
          <w:szCs w:val="21"/>
        </w:rPr>
      </w:pPr>
      <w:r>
        <w:rPr>
          <w:rFonts w:hint="eastAsia" w:ascii="宋体" w:hAnsi="宋体" w:eastAsia="宋体" w:cs="宋体"/>
          <w:sz w:val="21"/>
          <w:szCs w:val="21"/>
        </w:rPr>
        <w:t xml:space="preserve">        国别：</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品牌：</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规格型号：</w:t>
      </w:r>
      <w:r>
        <w:rPr>
          <w:rFonts w:hint="eastAsia" w:ascii="宋体" w:hAnsi="宋体" w:eastAsia="宋体" w:cs="宋体"/>
          <w:sz w:val="21"/>
          <w:szCs w:val="21"/>
          <w:u w:val="single"/>
        </w:rPr>
        <w:t xml:space="preserve">        </w:t>
      </w:r>
      <w:r>
        <w:rPr>
          <w:rFonts w:hint="eastAsia" w:ascii="宋体" w:hAnsi="宋体" w:eastAsia="宋体" w:cs="Times New Roman"/>
          <w:sz w:val="21"/>
          <w:szCs w:val="21"/>
        </w:rPr>
        <w:t xml:space="preserve">      </w:t>
      </w:r>
    </w:p>
    <w:p w14:paraId="458CE3F0">
      <w:pPr>
        <w:adjustRightInd w:val="0"/>
        <w:snapToGrid w:val="0"/>
        <w:spacing w:line="400" w:lineRule="exact"/>
        <w:ind w:firstLine="840" w:firstLineChars="400"/>
        <w:rPr>
          <w:rFonts w:ascii="宋体" w:hAnsi="宋体" w:eastAsia="宋体" w:cs="Times New Roman"/>
          <w:sz w:val="21"/>
          <w:szCs w:val="21"/>
        </w:rPr>
      </w:pPr>
      <w:r>
        <w:rPr>
          <w:rFonts w:hint="eastAsia" w:ascii="宋体" w:hAnsi="宋体" w:eastAsia="宋体" w:cs="Times New Roman"/>
          <w:sz w:val="21"/>
          <w:szCs w:val="21"/>
        </w:rPr>
        <w:t xml:space="preserve"> </w:t>
      </w:r>
      <w:r>
        <w:rPr>
          <w:rFonts w:hint="eastAsia" w:ascii="宋体" w:hAnsi="宋体" w:eastAsia="宋体" w:cs="Times New Roman"/>
          <w:sz w:val="21"/>
          <w:szCs w:val="21"/>
        </w:rPr>
        <w:sym w:font="Wingdings" w:char="00FE"/>
      </w:r>
      <w:r>
        <w:rPr>
          <w:rFonts w:hint="eastAsia" w:ascii="宋体" w:hAnsi="宋体" w:eastAsia="宋体" w:cs="Times New Roman"/>
          <w:sz w:val="21"/>
          <w:szCs w:val="21"/>
        </w:rPr>
        <w:t>否</w:t>
      </w:r>
    </w:p>
    <w:p w14:paraId="1A70DFF0">
      <w:pPr>
        <w:numPr>
          <w:ilvl w:val="255"/>
          <w:numId w:val="0"/>
        </w:numPr>
        <w:tabs>
          <w:tab w:val="left" w:pos="740"/>
        </w:tabs>
        <w:adjustRightInd w:val="0"/>
        <w:snapToGrid w:val="0"/>
        <w:spacing w:line="400" w:lineRule="exact"/>
        <w:rPr>
          <w:rFonts w:ascii="宋体" w:hAnsi="宋体" w:eastAsia="宋体" w:cs="Times New Roman"/>
          <w:sz w:val="21"/>
          <w:szCs w:val="21"/>
        </w:rPr>
      </w:pPr>
      <w:r>
        <w:rPr>
          <w:rFonts w:hint="eastAsia" w:ascii="宋体" w:hAnsi="宋体" w:eastAsia="宋体" w:cs="Times New Roman"/>
          <w:sz w:val="21"/>
          <w:szCs w:val="21"/>
        </w:rPr>
        <w:t xml:space="preserve">    （1</w:t>
      </w:r>
      <w:r>
        <w:rPr>
          <w:rFonts w:ascii="宋体" w:hAnsi="宋体" w:eastAsia="宋体" w:cs="Times New Roman"/>
          <w:sz w:val="21"/>
          <w:szCs w:val="21"/>
          <w:lang w:val="en"/>
        </w:rPr>
        <w:t>0</w:t>
      </w:r>
      <w:r>
        <w:rPr>
          <w:rFonts w:hint="eastAsia" w:ascii="宋体" w:hAnsi="宋体" w:eastAsia="宋体" w:cs="Times New Roman"/>
          <w:sz w:val="21"/>
          <w:szCs w:val="21"/>
        </w:rPr>
        <w:t>）是否涉及节能产品：</w:t>
      </w:r>
    </w:p>
    <w:p w14:paraId="0F69097F">
      <w:pPr>
        <w:numPr>
          <w:ilvl w:val="255"/>
          <w:numId w:val="0"/>
        </w:numPr>
        <w:tabs>
          <w:tab w:val="left" w:pos="740"/>
        </w:tabs>
        <w:adjustRightInd w:val="0"/>
        <w:snapToGrid w:val="0"/>
        <w:spacing w:line="400" w:lineRule="exact"/>
        <w:rPr>
          <w:rFonts w:ascii="宋体" w:hAnsi="宋体" w:eastAsia="宋体" w:cs="Times New Roman"/>
          <w:iCs/>
          <w:sz w:val="21"/>
          <w:szCs w:val="21"/>
        </w:rPr>
      </w:pPr>
      <w:r>
        <w:rPr>
          <w:rFonts w:hint="eastAsia" w:ascii="宋体" w:hAnsi="宋体" w:eastAsia="宋体" w:cs="Times New Roman"/>
          <w:sz w:val="21"/>
          <w:szCs w:val="21"/>
        </w:rPr>
        <w:t xml:space="preserve">         </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是，《节能产品政府采购品目清单》的底级品目名称：</w:t>
      </w:r>
      <w:r>
        <w:rPr>
          <w:rFonts w:hint="eastAsia" w:ascii="宋体" w:hAnsi="宋体" w:eastAsia="宋体" w:cs="Times New Roman"/>
          <w:sz w:val="21"/>
          <w:szCs w:val="21"/>
          <w:u w:val="single"/>
        </w:rPr>
        <w:t xml:space="preserve">         </w:t>
      </w:r>
      <w:r>
        <w:rPr>
          <w:rFonts w:hint="eastAsia" w:ascii="宋体" w:hAnsi="宋体" w:eastAsia="宋体" w:cs="Times New Roman"/>
          <w:iCs/>
          <w:sz w:val="21"/>
          <w:szCs w:val="21"/>
        </w:rPr>
        <w:t xml:space="preserve">     </w:t>
      </w:r>
    </w:p>
    <w:p w14:paraId="1BC7F10D">
      <w:pPr>
        <w:numPr>
          <w:ilvl w:val="255"/>
          <w:numId w:val="0"/>
        </w:numPr>
        <w:tabs>
          <w:tab w:val="left" w:pos="740"/>
        </w:tabs>
        <w:adjustRightInd w:val="0"/>
        <w:snapToGrid w:val="0"/>
        <w:spacing w:line="400" w:lineRule="exact"/>
        <w:rPr>
          <w:rFonts w:ascii="宋体" w:hAnsi="宋体" w:eastAsia="宋体" w:cs="Times New Roman"/>
          <w:iCs/>
          <w:sz w:val="21"/>
          <w:szCs w:val="21"/>
        </w:rPr>
      </w:pPr>
      <w:r>
        <w:rPr>
          <w:rFonts w:hint="eastAsia" w:ascii="宋体" w:hAnsi="宋体" w:eastAsia="宋体" w:cs="Times New Roman"/>
          <w:iCs/>
          <w:sz w:val="21"/>
          <w:szCs w:val="21"/>
        </w:rPr>
        <w:t xml:space="preserve">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强制采购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优先采购    </w:t>
      </w:r>
    </w:p>
    <w:p w14:paraId="11DB6C6C">
      <w:pPr>
        <w:numPr>
          <w:ilvl w:val="255"/>
          <w:numId w:val="0"/>
        </w:numPr>
        <w:tabs>
          <w:tab w:val="left" w:pos="740"/>
        </w:tabs>
        <w:adjustRightInd w:val="0"/>
        <w:snapToGrid w:val="0"/>
        <w:spacing w:line="400" w:lineRule="exact"/>
        <w:rPr>
          <w:rFonts w:ascii="宋体" w:hAnsi="宋体" w:eastAsia="宋体" w:cs="Times New Roman"/>
          <w:sz w:val="21"/>
          <w:szCs w:val="21"/>
        </w:rPr>
      </w:pPr>
      <w:r>
        <w:rPr>
          <w:rFonts w:hint="eastAsia" w:ascii="宋体" w:hAnsi="宋体" w:eastAsia="宋体" w:cs="Times New Roman"/>
          <w:iCs/>
          <w:sz w:val="21"/>
          <w:szCs w:val="21"/>
        </w:rPr>
        <w:t xml:space="preserve">         </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否</w:t>
      </w:r>
    </w:p>
    <w:p w14:paraId="1178687F">
      <w:pPr>
        <w:numPr>
          <w:ilvl w:val="255"/>
          <w:numId w:val="0"/>
        </w:numPr>
        <w:tabs>
          <w:tab w:val="left" w:pos="740"/>
        </w:tabs>
        <w:adjustRightInd w:val="0"/>
        <w:snapToGrid w:val="0"/>
        <w:spacing w:line="400" w:lineRule="exact"/>
        <w:rPr>
          <w:rFonts w:ascii="宋体" w:hAnsi="宋体" w:eastAsia="宋体" w:cs="Times New Roman"/>
          <w:sz w:val="21"/>
          <w:szCs w:val="21"/>
        </w:rPr>
      </w:pPr>
      <w:r>
        <w:rPr>
          <w:rFonts w:hint="eastAsia" w:ascii="宋体" w:hAnsi="宋体" w:eastAsia="宋体" w:cs="Times New Roman"/>
          <w:sz w:val="21"/>
          <w:szCs w:val="21"/>
        </w:rPr>
        <w:t xml:space="preserve">          是否涉及环境标志产品：</w:t>
      </w:r>
    </w:p>
    <w:p w14:paraId="4D2FCA7C">
      <w:pPr>
        <w:numPr>
          <w:ilvl w:val="255"/>
          <w:numId w:val="0"/>
        </w:numPr>
        <w:tabs>
          <w:tab w:val="left" w:pos="740"/>
        </w:tabs>
        <w:adjustRightInd w:val="0"/>
        <w:snapToGrid w:val="0"/>
        <w:spacing w:line="400" w:lineRule="exact"/>
        <w:rPr>
          <w:rFonts w:ascii="宋体" w:hAnsi="宋体" w:eastAsia="宋体" w:cs="Times New Roman"/>
          <w:sz w:val="21"/>
          <w:szCs w:val="21"/>
        </w:rPr>
      </w:pPr>
      <w:r>
        <w:rPr>
          <w:rFonts w:hint="eastAsia" w:ascii="宋体" w:hAnsi="宋体" w:eastAsia="宋体" w:cs="Times New Roman"/>
          <w:sz w:val="21"/>
          <w:szCs w:val="21"/>
        </w:rPr>
        <w:t xml:space="preserve">         </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是，《环境标志产品政府采购品目清单》的底级品目名称：</w:t>
      </w:r>
      <w:r>
        <w:rPr>
          <w:rFonts w:hint="eastAsia" w:ascii="宋体" w:hAnsi="宋体" w:eastAsia="宋体" w:cs="Times New Roman"/>
          <w:sz w:val="21"/>
          <w:szCs w:val="21"/>
          <w:u w:val="single"/>
        </w:rPr>
        <w:t xml:space="preserve">         </w:t>
      </w:r>
      <w:r>
        <w:rPr>
          <w:rFonts w:hint="eastAsia" w:ascii="宋体" w:hAnsi="宋体" w:eastAsia="宋体" w:cs="Times New Roman"/>
          <w:iCs/>
          <w:sz w:val="21"/>
          <w:szCs w:val="21"/>
        </w:rPr>
        <w:t xml:space="preserve"> </w:t>
      </w:r>
    </w:p>
    <w:p w14:paraId="0C7B4C99">
      <w:pPr>
        <w:numPr>
          <w:ilvl w:val="255"/>
          <w:numId w:val="0"/>
        </w:numPr>
        <w:tabs>
          <w:tab w:val="left" w:pos="740"/>
        </w:tabs>
        <w:adjustRightInd w:val="0"/>
        <w:snapToGrid w:val="0"/>
        <w:spacing w:line="400" w:lineRule="exact"/>
        <w:rPr>
          <w:rFonts w:ascii="宋体" w:hAnsi="宋体" w:eastAsia="宋体" w:cs="Times New Roman"/>
          <w:iCs/>
          <w:sz w:val="21"/>
          <w:szCs w:val="21"/>
        </w:rPr>
      </w:pPr>
      <w:r>
        <w:rPr>
          <w:rFonts w:hint="eastAsia" w:ascii="宋体" w:hAnsi="宋体" w:eastAsia="宋体" w:cs="Times New Roman"/>
          <w:iCs/>
          <w:sz w:val="21"/>
          <w:szCs w:val="21"/>
        </w:rPr>
        <w:t xml:space="preserve">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强制采购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优先采购    </w:t>
      </w:r>
    </w:p>
    <w:p w14:paraId="6D899FB1">
      <w:pPr>
        <w:numPr>
          <w:ilvl w:val="255"/>
          <w:numId w:val="0"/>
        </w:numPr>
        <w:tabs>
          <w:tab w:val="left" w:pos="740"/>
        </w:tabs>
        <w:adjustRightInd w:val="0"/>
        <w:snapToGrid w:val="0"/>
        <w:spacing w:line="400" w:lineRule="exact"/>
        <w:rPr>
          <w:rFonts w:ascii="宋体" w:hAnsi="宋体" w:eastAsia="宋体" w:cs="Times New Roman"/>
          <w:sz w:val="21"/>
          <w:szCs w:val="21"/>
        </w:rPr>
      </w:pPr>
      <w:r>
        <w:rPr>
          <w:rFonts w:hint="eastAsia" w:ascii="宋体" w:hAnsi="宋体" w:eastAsia="宋体" w:cs="Times New Roman"/>
          <w:iCs/>
          <w:sz w:val="21"/>
          <w:szCs w:val="21"/>
        </w:rPr>
        <w:t xml:space="preserve">         </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否</w:t>
      </w:r>
    </w:p>
    <w:p w14:paraId="30A4FF85">
      <w:pPr>
        <w:numPr>
          <w:ilvl w:val="255"/>
          <w:numId w:val="0"/>
        </w:numPr>
        <w:autoSpaceDE w:val="0"/>
        <w:autoSpaceDN w:val="0"/>
        <w:adjustRightInd w:val="0"/>
        <w:snapToGrid w:val="0"/>
        <w:spacing w:line="400" w:lineRule="exact"/>
        <w:rPr>
          <w:rFonts w:ascii="宋体" w:hAnsi="宋体" w:eastAsia="宋体" w:cs="Times New Roman"/>
          <w:sz w:val="21"/>
          <w:szCs w:val="21"/>
        </w:rPr>
      </w:pPr>
      <w:r>
        <w:rPr>
          <w:rFonts w:hint="eastAsia" w:ascii="宋体" w:hAnsi="宋体" w:eastAsia="华文楷体" w:cs="华文楷体"/>
          <w:sz w:val="21"/>
          <w:szCs w:val="21"/>
        </w:rPr>
        <w:t xml:space="preserve">          </w:t>
      </w:r>
      <w:r>
        <w:rPr>
          <w:rFonts w:hint="eastAsia" w:ascii="宋体" w:hAnsi="宋体" w:eastAsia="宋体" w:cs="Times New Roman"/>
          <w:sz w:val="21"/>
          <w:szCs w:val="21"/>
        </w:rPr>
        <w:t xml:space="preserve">是否涉及绿色产品： </w:t>
      </w:r>
    </w:p>
    <w:p w14:paraId="088CCEAB">
      <w:pPr>
        <w:autoSpaceDE w:val="0"/>
        <w:autoSpaceDN w:val="0"/>
        <w:adjustRightInd w:val="0"/>
        <w:spacing w:line="400" w:lineRule="exact"/>
        <w:ind w:firstLine="420" w:firstLineChars="0"/>
        <w:rPr>
          <w:rFonts w:ascii="宋体" w:hAnsi="宋体" w:eastAsia="宋体" w:cs="华文楷体"/>
          <w:sz w:val="22"/>
          <w:szCs w:val="21"/>
          <w:u w:val="single"/>
        </w:rPr>
      </w:pPr>
      <w:r>
        <w:rPr>
          <w:rFonts w:hint="eastAsia" w:ascii="宋体" w:hAnsi="宋体" w:eastAsia="宋体" w:cs="Times New Roman"/>
          <w:sz w:val="21"/>
          <w:szCs w:val="21"/>
        </w:rPr>
        <w:t xml:space="preserve">     </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是，绿色产品政府采购相关政策确定的底级品目名称：</w:t>
      </w:r>
      <w:r>
        <w:rPr>
          <w:rFonts w:hint="eastAsia" w:ascii="宋体" w:hAnsi="宋体" w:eastAsia="宋体" w:cs="华文楷体"/>
          <w:sz w:val="22"/>
          <w:szCs w:val="21"/>
          <w:u w:val="single"/>
        </w:rPr>
        <w:t xml:space="preserve">         </w:t>
      </w:r>
    </w:p>
    <w:p w14:paraId="18801699">
      <w:pPr>
        <w:numPr>
          <w:ilvl w:val="255"/>
          <w:numId w:val="0"/>
        </w:numPr>
        <w:tabs>
          <w:tab w:val="left" w:pos="740"/>
        </w:tabs>
        <w:adjustRightInd w:val="0"/>
        <w:snapToGrid w:val="0"/>
        <w:spacing w:line="400" w:lineRule="exact"/>
        <w:rPr>
          <w:rFonts w:ascii="宋体" w:hAnsi="宋体" w:eastAsia="宋体" w:cs="Times New Roman"/>
          <w:iCs/>
          <w:sz w:val="21"/>
          <w:szCs w:val="21"/>
        </w:rPr>
      </w:pPr>
      <w:r>
        <w:rPr>
          <w:rFonts w:hint="eastAsia" w:ascii="宋体" w:hAnsi="宋体" w:eastAsia="宋体" w:cs="Times New Roman"/>
          <w:iCs/>
          <w:sz w:val="21"/>
          <w:szCs w:val="21"/>
        </w:rPr>
        <w:t xml:space="preserve">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强制采购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优先采购    </w:t>
      </w:r>
    </w:p>
    <w:p w14:paraId="588EB2D8">
      <w:pPr>
        <w:autoSpaceDE w:val="0"/>
        <w:autoSpaceDN w:val="0"/>
        <w:adjustRightInd w:val="0"/>
        <w:spacing w:line="400" w:lineRule="exact"/>
        <w:ind w:firstLine="420" w:firstLineChars="0"/>
        <w:rPr>
          <w:rFonts w:ascii="宋体" w:hAnsi="宋体" w:eastAsia="华文楷体" w:cs="华文楷体"/>
          <w:sz w:val="21"/>
          <w:szCs w:val="21"/>
        </w:rPr>
      </w:pPr>
      <w:r>
        <w:rPr>
          <w:rFonts w:hint="eastAsia" w:ascii="宋体" w:hAnsi="宋体" w:eastAsia="宋体" w:cs="Times New Roman"/>
          <w:sz w:val="21"/>
          <w:szCs w:val="21"/>
        </w:rPr>
        <w:t xml:space="preserve">     </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否</w:t>
      </w:r>
    </w:p>
    <w:p w14:paraId="4F424B76">
      <w:pPr>
        <w:numPr>
          <w:ilvl w:val="255"/>
          <w:numId w:val="0"/>
        </w:numPr>
        <w:adjustRightInd w:val="0"/>
        <w:snapToGrid w:val="0"/>
        <w:spacing w:line="400" w:lineRule="exact"/>
        <w:rPr>
          <w:rFonts w:ascii="宋体" w:hAnsi="宋体" w:eastAsia="宋体" w:cs="Times New Roman"/>
          <w:sz w:val="21"/>
          <w:szCs w:val="21"/>
        </w:rPr>
      </w:pPr>
      <w:r>
        <w:rPr>
          <w:rFonts w:hint="eastAsia" w:ascii="宋体" w:hAnsi="宋体" w:eastAsia="宋体" w:cs="Times New Roman"/>
          <w:sz w:val="21"/>
          <w:szCs w:val="21"/>
        </w:rPr>
        <w:t xml:space="preserve">    （1</w:t>
      </w:r>
      <w:r>
        <w:rPr>
          <w:rFonts w:ascii="宋体" w:hAnsi="宋体" w:eastAsia="宋体" w:cs="Times New Roman"/>
          <w:sz w:val="21"/>
          <w:szCs w:val="21"/>
          <w:lang w:val="en"/>
        </w:rPr>
        <w:t>1</w:t>
      </w:r>
      <w:r>
        <w:rPr>
          <w:rFonts w:hint="eastAsia" w:ascii="宋体" w:hAnsi="宋体" w:eastAsia="宋体" w:cs="Times New Roman"/>
          <w:sz w:val="21"/>
          <w:szCs w:val="21"/>
        </w:rPr>
        <w:t>）涉及商品包装和快递包装的，是否参考《商品包装政府采购需求标准（试行）》、《快递包装政府采购需求标准（试行）》明确产品及相关快递服务的具体包装要求：</w:t>
      </w:r>
    </w:p>
    <w:p w14:paraId="11934315">
      <w:pPr>
        <w:numPr>
          <w:ilvl w:val="255"/>
          <w:numId w:val="0"/>
        </w:numPr>
        <w:adjustRightInd w:val="0"/>
        <w:snapToGrid w:val="0"/>
        <w:spacing w:line="400" w:lineRule="exact"/>
        <w:ind w:firstLine="840" w:firstLineChars="400"/>
        <w:rPr>
          <w:rFonts w:ascii="宋体" w:hAnsi="宋体" w:eastAsia="宋体" w:cs="Times New Roman"/>
          <w:sz w:val="21"/>
          <w:szCs w:val="21"/>
        </w:rPr>
      </w:pPr>
      <w:r>
        <w:rPr>
          <w:rFonts w:hint="eastAsia" w:ascii="宋体" w:hAnsi="宋体" w:eastAsia="宋体" w:cs="Times New Roman"/>
          <w:sz w:val="21"/>
          <w:szCs w:val="21"/>
        </w:rPr>
        <w:sym w:font="Wingdings" w:char="00A8"/>
      </w:r>
      <w:r>
        <w:rPr>
          <w:rFonts w:hint="eastAsia" w:ascii="宋体" w:hAnsi="宋体" w:eastAsia="宋体" w:cs="Times New Roman"/>
          <w:sz w:val="21"/>
          <w:szCs w:val="21"/>
        </w:rPr>
        <w:t xml:space="preserve">是       </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 xml:space="preserve">否      </w:t>
      </w:r>
      <w:r>
        <w:rPr>
          <w:rFonts w:hint="eastAsia" w:ascii="宋体" w:hAnsi="宋体" w:eastAsia="宋体" w:cs="Times New Roman"/>
          <w:sz w:val="21"/>
          <w:szCs w:val="21"/>
        </w:rPr>
        <w:sym w:font="Wingdings" w:char="00A8"/>
      </w:r>
      <w:r>
        <w:rPr>
          <w:rFonts w:hint="eastAsia" w:ascii="宋体" w:hAnsi="宋体" w:eastAsia="宋体" w:cs="Times New Roman"/>
          <w:sz w:val="21"/>
          <w:szCs w:val="21"/>
        </w:rPr>
        <w:t>不涉及</w:t>
      </w:r>
    </w:p>
    <w:p w14:paraId="756852D2">
      <w:pPr>
        <w:numPr>
          <w:ilvl w:val="0"/>
          <w:numId w:val="11"/>
        </w:numPr>
        <w:adjustRightInd w:val="0"/>
        <w:snapToGrid w:val="0"/>
        <w:spacing w:line="400" w:lineRule="exact"/>
        <w:ind w:firstLine="422"/>
        <w:rPr>
          <w:rFonts w:ascii="宋体" w:hAnsi="宋体" w:eastAsia="宋体" w:cs="Times New Roman"/>
          <w:b/>
          <w:sz w:val="21"/>
          <w:szCs w:val="21"/>
        </w:rPr>
      </w:pPr>
      <w:r>
        <w:rPr>
          <w:rFonts w:hint="eastAsia" w:ascii="宋体" w:hAnsi="宋体" w:eastAsia="宋体" w:cs="Times New Roman"/>
          <w:b/>
          <w:sz w:val="21"/>
          <w:szCs w:val="21"/>
        </w:rPr>
        <w:t>合同金额</w:t>
      </w:r>
    </w:p>
    <w:p w14:paraId="51B8F8A4">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（1）合同金额小写：</w:t>
      </w:r>
      <w:r>
        <w:rPr>
          <w:rFonts w:hint="eastAsia" w:ascii="宋体" w:hAnsi="宋体" w:eastAsia="宋体" w:cs="Times New Roman"/>
          <w:sz w:val="21"/>
          <w:szCs w:val="21"/>
          <w:u w:val="single"/>
        </w:rPr>
        <w:t xml:space="preserve">                           </w:t>
      </w:r>
    </w:p>
    <w:p w14:paraId="73D9F1AF">
      <w:pPr>
        <w:adjustRightInd w:val="0"/>
        <w:snapToGrid w:val="0"/>
        <w:spacing w:line="400" w:lineRule="exact"/>
        <w:ind w:firstLine="0" w:firstLineChars="0"/>
        <w:rPr>
          <w:rFonts w:ascii="宋体" w:hAnsi="宋体" w:eastAsia="宋体" w:cs="Times New Roman"/>
          <w:sz w:val="21"/>
          <w:szCs w:val="21"/>
          <w:u w:val="single"/>
        </w:rPr>
      </w:pPr>
      <w:r>
        <w:rPr>
          <w:rFonts w:hint="eastAsia" w:ascii="宋体" w:hAnsi="宋体" w:eastAsia="宋体" w:cs="Times New Roman"/>
          <w:sz w:val="21"/>
          <w:szCs w:val="21"/>
        </w:rPr>
        <w:t xml:space="preserve">                 大写：</w:t>
      </w:r>
      <w:r>
        <w:rPr>
          <w:rFonts w:hint="eastAsia" w:ascii="宋体" w:hAnsi="宋体" w:eastAsia="宋体" w:cs="Times New Roman"/>
          <w:sz w:val="21"/>
          <w:szCs w:val="21"/>
          <w:u w:val="single"/>
        </w:rPr>
        <w:t xml:space="preserve">                           </w:t>
      </w:r>
    </w:p>
    <w:p w14:paraId="18FE9432">
      <w:pPr>
        <w:adjustRightInd w:val="0"/>
        <w:snapToGrid w:val="0"/>
        <w:spacing w:line="400" w:lineRule="exact"/>
        <w:ind w:firstLine="0" w:firstLineChars="0"/>
        <w:rPr>
          <w:rFonts w:ascii="宋体" w:hAnsi="宋体" w:eastAsia="宋体" w:cs="Times New Roman"/>
          <w:sz w:val="21"/>
          <w:szCs w:val="21"/>
        </w:rPr>
      </w:pPr>
      <w:r>
        <w:rPr>
          <w:rFonts w:hint="eastAsia" w:ascii="宋体" w:hAnsi="宋体" w:eastAsia="宋体" w:cs="Times New Roman"/>
          <w:sz w:val="21"/>
          <w:szCs w:val="21"/>
        </w:rPr>
        <w:t xml:space="preserve">         分包金额（如有）小写：</w:t>
      </w:r>
      <w:r>
        <w:rPr>
          <w:rFonts w:hint="eastAsia" w:ascii="宋体" w:hAnsi="宋体" w:eastAsia="宋体" w:cs="Times New Roman"/>
          <w:sz w:val="21"/>
          <w:szCs w:val="21"/>
          <w:u w:val="single"/>
        </w:rPr>
        <w:t xml:space="preserve">                   </w:t>
      </w:r>
    </w:p>
    <w:p w14:paraId="54CC54DD">
      <w:pPr>
        <w:adjustRightInd w:val="0"/>
        <w:snapToGrid w:val="0"/>
        <w:spacing w:line="400" w:lineRule="exact"/>
        <w:ind w:firstLine="0" w:firstLineChars="0"/>
        <w:rPr>
          <w:rFonts w:ascii="宋体" w:hAnsi="宋体" w:eastAsia="宋体" w:cs="Times New Roman"/>
          <w:sz w:val="21"/>
          <w:szCs w:val="21"/>
          <w:u w:val="single"/>
        </w:rPr>
      </w:pPr>
      <w:r>
        <w:rPr>
          <w:rFonts w:hint="eastAsia" w:ascii="宋体" w:hAnsi="宋体" w:eastAsia="宋体" w:cs="Times New Roman"/>
          <w:sz w:val="21"/>
          <w:szCs w:val="21"/>
        </w:rPr>
        <w:t xml:space="preserve">                     大写：</w:t>
      </w:r>
      <w:r>
        <w:rPr>
          <w:rFonts w:hint="eastAsia" w:ascii="宋体" w:hAnsi="宋体" w:eastAsia="宋体" w:cs="Times New Roman"/>
          <w:sz w:val="21"/>
          <w:szCs w:val="21"/>
          <w:u w:val="single"/>
        </w:rPr>
        <w:t xml:space="preserve">                       </w:t>
      </w:r>
    </w:p>
    <w:p w14:paraId="421C9885">
      <w:pPr>
        <w:adjustRightInd w:val="0"/>
        <w:snapToGrid w:val="0"/>
        <w:spacing w:line="400" w:lineRule="exact"/>
        <w:ind w:firstLine="0" w:firstLineChars="0"/>
        <w:rPr>
          <w:rFonts w:ascii="宋体" w:hAnsi="宋体" w:eastAsia="宋体" w:cs="Times New Roman"/>
          <w:sz w:val="21"/>
          <w:szCs w:val="21"/>
        </w:rPr>
      </w:pPr>
      <w:r>
        <w:rPr>
          <w:rFonts w:hint="eastAsia" w:ascii="宋体" w:hAnsi="宋体" w:eastAsia="宋体" w:cs="Times New Roman"/>
          <w:sz w:val="21"/>
          <w:szCs w:val="21"/>
        </w:rPr>
        <w:t xml:space="preserve">    （注：固定单价合同应填写单价和最高限价）</w:t>
      </w:r>
    </w:p>
    <w:p w14:paraId="618548E3">
      <w:pPr>
        <w:numPr>
          <w:ilvl w:val="255"/>
          <w:numId w:val="0"/>
        </w:numPr>
        <w:adjustRightInd w:val="0"/>
        <w:snapToGrid w:val="0"/>
        <w:spacing w:line="400" w:lineRule="exact"/>
        <w:rPr>
          <w:rFonts w:ascii="宋体" w:hAnsi="宋体" w:eastAsia="宋体" w:cs="Times New Roman"/>
          <w:sz w:val="21"/>
          <w:szCs w:val="21"/>
        </w:rPr>
      </w:pPr>
      <w:r>
        <w:rPr>
          <w:rFonts w:hint="eastAsia" w:ascii="宋体" w:hAnsi="宋体" w:eastAsia="宋体" w:cs="Times New Roman"/>
          <w:sz w:val="21"/>
          <w:szCs w:val="21"/>
        </w:rPr>
        <w:t xml:space="preserve">    （2）合同定价方式（采用组合定价方式的，可以勾选多项）：</w:t>
      </w:r>
    </w:p>
    <w:p w14:paraId="03F76AF9">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iCs/>
          <w:sz w:val="21"/>
          <w:szCs w:val="21"/>
        </w:rPr>
        <w:t xml:space="preserve">  </w:t>
      </w:r>
      <w:r>
        <w:rPr>
          <w:rFonts w:hint="eastAsia" w:ascii="宋体" w:hAnsi="宋体" w:eastAsia="宋体" w:cs="Times New Roman"/>
          <w:iCs/>
          <w:sz w:val="21"/>
          <w:szCs w:val="21"/>
        </w:rPr>
        <w:sym w:font="Wingdings" w:char="00FE"/>
      </w:r>
      <w:r>
        <w:rPr>
          <w:rFonts w:hint="eastAsia" w:ascii="宋体" w:hAnsi="宋体" w:eastAsia="宋体" w:cs="Times New Roman"/>
          <w:iCs/>
          <w:sz w:val="21"/>
          <w:szCs w:val="21"/>
        </w:rPr>
        <w:t xml:space="preserve">固定总价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固定单价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固定费率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成本补偿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 xml:space="preserve">绩效激励 </w:t>
      </w:r>
      <w:r>
        <w:rPr>
          <w:rFonts w:hint="eastAsia" w:ascii="宋体" w:hAnsi="宋体" w:eastAsia="宋体" w:cs="Times New Roman"/>
          <w:iCs/>
          <w:sz w:val="21"/>
          <w:szCs w:val="21"/>
        </w:rPr>
        <w:sym w:font="Wingdings" w:char="00A8"/>
      </w:r>
      <w:r>
        <w:rPr>
          <w:rFonts w:hint="eastAsia" w:ascii="宋体" w:hAnsi="宋体" w:eastAsia="宋体" w:cs="Times New Roman"/>
          <w:iCs/>
          <w:sz w:val="21"/>
          <w:szCs w:val="21"/>
        </w:rPr>
        <w:t>其他</w:t>
      </w:r>
      <w:r>
        <w:rPr>
          <w:rFonts w:hint="eastAsia" w:ascii="宋体" w:hAnsi="宋体" w:eastAsia="宋体" w:cs="Times New Roman"/>
          <w:sz w:val="21"/>
          <w:szCs w:val="21"/>
          <w:u w:val="single"/>
        </w:rPr>
        <w:t xml:space="preserve">       </w:t>
      </w:r>
    </w:p>
    <w:p w14:paraId="07A6AD32">
      <w:pPr>
        <w:spacing w:line="400" w:lineRule="exact"/>
        <w:ind w:firstLine="420"/>
        <w:rPr>
          <w:rFonts w:ascii="Times New Roman" w:hAnsi="Times New Roman" w:eastAsia="宋体" w:cs="Times New Roman"/>
          <w:sz w:val="21"/>
          <w:szCs w:val="21"/>
        </w:rPr>
      </w:pPr>
      <w:r>
        <w:rPr>
          <w:rFonts w:hint="eastAsia" w:ascii="宋体" w:hAnsi="宋体" w:eastAsia="宋体" w:cs="Times New Roman"/>
          <w:sz w:val="21"/>
          <w:szCs w:val="21"/>
        </w:rPr>
        <w:t>（3）付款方式（按项目实际勾选填写）：</w:t>
      </w:r>
    </w:p>
    <w:p w14:paraId="0B7CB7E0">
      <w:pPr>
        <w:adjustRightInd w:val="0"/>
        <w:snapToGrid w:val="0"/>
        <w:spacing w:line="400" w:lineRule="exact"/>
        <w:ind w:firstLine="630" w:firstLineChars="300"/>
        <w:rPr>
          <w:rFonts w:ascii="宋体" w:hAnsi="宋体" w:eastAsia="宋体" w:cs="Times New Roman"/>
          <w:sz w:val="21"/>
          <w:szCs w:val="21"/>
          <w:u w:val="single"/>
        </w:rPr>
      </w:pPr>
      <w:r>
        <w:rPr>
          <w:rFonts w:hint="eastAsia" w:ascii="宋体" w:hAnsi="宋体" w:eastAsia="宋体" w:cs="Times New Roman"/>
          <w:sz w:val="21"/>
          <w:szCs w:val="21"/>
        </w:rPr>
        <w:sym w:font="Wingdings" w:char="00A8"/>
      </w:r>
      <w:r>
        <w:rPr>
          <w:rFonts w:hint="eastAsia" w:ascii="宋体" w:hAnsi="宋体" w:eastAsia="宋体" w:cs="Times New Roman"/>
          <w:sz w:val="21"/>
          <w:szCs w:val="21"/>
        </w:rPr>
        <w:t>全额付款：</w:t>
      </w:r>
      <w:r>
        <w:rPr>
          <w:rFonts w:hint="eastAsia" w:ascii="宋体" w:hAnsi="宋体" w:eastAsia="宋体" w:cs="Times New Roman"/>
          <w:sz w:val="21"/>
          <w:szCs w:val="21"/>
          <w:u w:val="single"/>
        </w:rPr>
        <w:t xml:space="preserve">     （应明确一次性支付合同款项的条件）                    </w:t>
      </w:r>
    </w:p>
    <w:p w14:paraId="19FAD69D">
      <w:pPr>
        <w:snapToGrid w:val="0"/>
        <w:spacing w:line="400" w:lineRule="exact"/>
        <w:ind w:firstLine="630" w:firstLineChars="300"/>
        <w:rPr>
          <w:rFonts w:ascii="Times New Roman" w:hAnsi="Times New Roman" w:eastAsia="宋体" w:cs="Times New Roman"/>
          <w:sz w:val="21"/>
          <w:szCs w:val="24"/>
        </w:rPr>
      </w:pPr>
      <w:r>
        <w:rPr>
          <w:rFonts w:hint="eastAsia" w:ascii="宋体" w:hAnsi="宋体" w:eastAsia="宋体" w:cs="Times New Roman"/>
          <w:sz w:val="21"/>
          <w:szCs w:val="21"/>
        </w:rPr>
        <w:sym w:font="Wingdings" w:char="00FE"/>
      </w:r>
      <w:r>
        <w:rPr>
          <w:rFonts w:hint="eastAsia" w:ascii="宋体" w:hAnsi="宋体" w:eastAsia="宋体" w:cs="Times New Roman"/>
          <w:sz w:val="21"/>
          <w:szCs w:val="21"/>
        </w:rPr>
        <w:t>分期付款：</w:t>
      </w:r>
      <w:r>
        <w:rPr>
          <w:rFonts w:hint="eastAsia" w:ascii="宋体" w:hAnsi="宋体" w:eastAsia="宋体" w:cs="Times New Roman"/>
          <w:sz w:val="21"/>
          <w:szCs w:val="21"/>
          <w:u w:val="single"/>
        </w:rPr>
        <w:t>第一期款，合同签订之日起10个工作日内支付</w:t>
      </w:r>
      <w:r>
        <w:rPr>
          <w:rFonts w:hint="eastAsia" w:ascii="宋体" w:hAnsi="宋体" w:eastAsia="宋体" w:cs="Times New Roman"/>
          <w:sz w:val="21"/>
          <w:szCs w:val="21"/>
          <w:u w:val="single"/>
          <w:lang w:val="en-US" w:eastAsia="zh-CN"/>
        </w:rPr>
        <w:t>中标人</w:t>
      </w:r>
      <w:r>
        <w:rPr>
          <w:rFonts w:hint="eastAsia" w:ascii="宋体" w:hAnsi="宋体" w:eastAsia="宋体" w:cs="Times New Roman"/>
          <w:sz w:val="21"/>
          <w:szCs w:val="21"/>
          <w:u w:val="single"/>
        </w:rPr>
        <w:t xml:space="preserve">总合同金额的30%；第二期款，设备安装并投入使用，在设备运行无故障且试运行30日后，经最终验收后，支付剩余的70%作为最终付款。 </w:t>
      </w:r>
    </w:p>
    <w:p w14:paraId="62FD750E">
      <w:pPr>
        <w:adjustRightInd w:val="0"/>
        <w:snapToGrid w:val="0"/>
        <w:spacing w:line="400" w:lineRule="exact"/>
        <w:ind w:firstLine="630" w:firstLineChars="300"/>
        <w:rPr>
          <w:rFonts w:ascii="宋体" w:hAnsi="宋体" w:eastAsia="宋体" w:cs="Times New Roman"/>
          <w:sz w:val="21"/>
          <w:szCs w:val="21"/>
          <w:u w:val="single"/>
        </w:rPr>
      </w:pPr>
      <w:r>
        <w:rPr>
          <w:rFonts w:hint="eastAsia" w:ascii="宋体" w:hAnsi="宋体" w:eastAsia="宋体" w:cs="Times New Roman"/>
          <w:sz w:val="21"/>
          <w:szCs w:val="21"/>
        </w:rPr>
        <w:sym w:font="Wingdings" w:char="00A8"/>
      </w:r>
      <w:r>
        <w:rPr>
          <w:rFonts w:hint="eastAsia" w:ascii="宋体" w:hAnsi="宋体" w:eastAsia="宋体" w:cs="Times New Roman"/>
          <w:sz w:val="21"/>
          <w:szCs w:val="21"/>
        </w:rPr>
        <w:t>成本补偿：</w:t>
      </w:r>
      <w:r>
        <w:rPr>
          <w:rFonts w:hint="eastAsia" w:ascii="宋体" w:hAnsi="宋体" w:eastAsia="宋体" w:cs="Times New Roman"/>
          <w:sz w:val="21"/>
          <w:szCs w:val="21"/>
          <w:u w:val="single"/>
        </w:rPr>
        <w:t xml:space="preserve">      （应明确按照成本补偿方式的支付方式和支付条件）   </w:t>
      </w:r>
    </w:p>
    <w:p w14:paraId="5323F11D">
      <w:pPr>
        <w:adjustRightInd w:val="0"/>
        <w:snapToGrid w:val="0"/>
        <w:spacing w:line="400" w:lineRule="exact"/>
        <w:ind w:firstLine="630" w:firstLineChars="300"/>
        <w:rPr>
          <w:rFonts w:ascii="宋体" w:hAnsi="宋体" w:eastAsia="宋体" w:cs="Times New Roman"/>
          <w:sz w:val="21"/>
          <w:szCs w:val="21"/>
        </w:rPr>
      </w:pPr>
      <w:r>
        <w:rPr>
          <w:rFonts w:hint="eastAsia" w:ascii="宋体" w:hAnsi="宋体" w:eastAsia="宋体" w:cs="Times New Roman"/>
          <w:sz w:val="21"/>
          <w:szCs w:val="21"/>
        </w:rPr>
        <w:sym w:font="Wingdings" w:char="00A8"/>
      </w:r>
      <w:r>
        <w:rPr>
          <w:rFonts w:hint="eastAsia" w:ascii="宋体" w:hAnsi="宋体" w:eastAsia="宋体" w:cs="Times New Roman"/>
          <w:sz w:val="21"/>
          <w:szCs w:val="21"/>
        </w:rPr>
        <w:t>绩效激励：</w:t>
      </w:r>
      <w:r>
        <w:rPr>
          <w:rFonts w:hint="eastAsia" w:ascii="宋体" w:hAnsi="宋体" w:eastAsia="宋体" w:cs="Times New Roman"/>
          <w:sz w:val="21"/>
          <w:szCs w:val="21"/>
          <w:u w:val="single"/>
        </w:rPr>
        <w:t xml:space="preserve">      （应明确按照绩效激励方式的支付方式和支付条件）   </w:t>
      </w:r>
    </w:p>
    <w:p w14:paraId="79158ADB">
      <w:pPr>
        <w:numPr>
          <w:ilvl w:val="0"/>
          <w:numId w:val="11"/>
        </w:numPr>
        <w:adjustRightInd w:val="0"/>
        <w:snapToGrid w:val="0"/>
        <w:spacing w:line="400" w:lineRule="exact"/>
        <w:ind w:firstLine="422"/>
        <w:rPr>
          <w:rFonts w:ascii="宋体" w:hAnsi="宋体" w:eastAsia="宋体" w:cs="Times New Roman"/>
          <w:b/>
          <w:sz w:val="21"/>
          <w:szCs w:val="21"/>
          <w:u w:val="single"/>
        </w:rPr>
      </w:pPr>
      <w:r>
        <w:rPr>
          <w:rFonts w:hint="eastAsia" w:ascii="宋体" w:hAnsi="宋体" w:eastAsia="宋体" w:cs="Times New Roman"/>
          <w:b/>
          <w:sz w:val="21"/>
          <w:szCs w:val="21"/>
        </w:rPr>
        <w:t>合同履行</w:t>
      </w:r>
    </w:p>
    <w:p w14:paraId="595CF1F7">
      <w:pPr>
        <w:adjustRightInd w:val="0"/>
        <w:snapToGrid w:val="0"/>
        <w:spacing w:line="400" w:lineRule="exact"/>
        <w:ind w:firstLine="420"/>
        <w:rPr>
          <w:rFonts w:ascii="宋体" w:hAnsi="宋体" w:eastAsia="宋体" w:cs="宋体"/>
          <w:sz w:val="21"/>
          <w:szCs w:val="21"/>
        </w:rPr>
      </w:pPr>
      <w:r>
        <w:rPr>
          <w:rFonts w:hint="eastAsia" w:ascii="宋体" w:hAnsi="宋体" w:eastAsia="宋体" w:cs="宋体"/>
          <w:sz w:val="21"/>
          <w:szCs w:val="21"/>
        </w:rPr>
        <w:t>（1）起始日期：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日，完成日期：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2680FAB6">
      <w:pPr>
        <w:adjustRightInd w:val="0"/>
        <w:snapToGrid w:val="0"/>
        <w:spacing w:line="400" w:lineRule="exact"/>
        <w:ind w:firstLine="420"/>
        <w:rPr>
          <w:rFonts w:ascii="宋体" w:hAnsi="宋体" w:eastAsia="宋体" w:cs="宋体"/>
          <w:sz w:val="21"/>
          <w:szCs w:val="21"/>
          <w:u w:val="single"/>
        </w:rPr>
      </w:pPr>
      <w:r>
        <w:rPr>
          <w:rFonts w:hint="eastAsia" w:ascii="宋体" w:hAnsi="宋体" w:eastAsia="宋体" w:cs="宋体"/>
          <w:sz w:val="21"/>
          <w:szCs w:val="21"/>
        </w:rPr>
        <w:t>（2）履约地点</w:t>
      </w:r>
      <w:r>
        <w:rPr>
          <w:rFonts w:hint="eastAsia" w:ascii="宋体" w:hAnsi="宋体" w:eastAsia="宋体" w:cs="宋体"/>
          <w:bCs/>
          <w:sz w:val="21"/>
          <w:szCs w:val="21"/>
        </w:rPr>
        <w:t>：</w:t>
      </w:r>
      <w:r>
        <w:rPr>
          <w:rFonts w:hint="eastAsia" w:ascii="宋体" w:hAnsi="宋体" w:eastAsia="宋体" w:cs="宋体"/>
          <w:sz w:val="21"/>
          <w:szCs w:val="21"/>
          <w:u w:val="single"/>
        </w:rPr>
        <w:t xml:space="preserve">   河南省郑州市         </w:t>
      </w:r>
    </w:p>
    <w:p w14:paraId="52797AF3">
      <w:pPr>
        <w:adjustRightInd w:val="0"/>
        <w:snapToGrid w:val="0"/>
        <w:spacing w:line="400" w:lineRule="exact"/>
        <w:ind w:firstLine="420"/>
        <w:rPr>
          <w:rFonts w:ascii="宋体" w:hAnsi="宋体" w:eastAsia="宋体" w:cs="宋体"/>
          <w:sz w:val="21"/>
          <w:szCs w:val="21"/>
        </w:rPr>
      </w:pPr>
      <w:r>
        <w:rPr>
          <w:rFonts w:hint="eastAsia" w:ascii="宋体" w:hAnsi="宋体" w:eastAsia="宋体" w:cs="宋体"/>
          <w:bCs/>
          <w:sz w:val="21"/>
          <w:szCs w:val="21"/>
        </w:rPr>
        <w:t>（3）履约担保：</w:t>
      </w:r>
      <w:r>
        <w:rPr>
          <w:rFonts w:hint="eastAsia" w:ascii="宋体" w:hAnsi="宋体" w:eastAsia="宋体" w:cs="宋体"/>
          <w:sz w:val="21"/>
          <w:szCs w:val="24"/>
        </w:rPr>
        <w:t>是否收取履约保证金：</w:t>
      </w:r>
      <w:r>
        <w:rPr>
          <w:rFonts w:hint="eastAsia" w:ascii="宋体" w:hAnsi="宋体" w:eastAsia="宋体" w:cs="宋体"/>
          <w:sz w:val="21"/>
          <w:szCs w:val="21"/>
        </w:rPr>
        <w:sym w:font="Wingdings" w:char="00FE"/>
      </w:r>
      <w:r>
        <w:rPr>
          <w:rFonts w:hint="eastAsia" w:ascii="宋体" w:hAnsi="宋体" w:eastAsia="宋体" w:cs="宋体"/>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sz w:val="21"/>
          <w:szCs w:val="21"/>
        </w:rPr>
        <w:t>否</w:t>
      </w:r>
    </w:p>
    <w:p w14:paraId="67F075CC">
      <w:pPr>
        <w:autoSpaceDE w:val="0"/>
        <w:autoSpaceDN w:val="0"/>
        <w:adjustRightInd w:val="0"/>
        <w:spacing w:line="400" w:lineRule="exact"/>
        <w:ind w:firstLine="440"/>
        <w:rPr>
          <w:rFonts w:ascii="宋体" w:hAnsi="宋体" w:eastAsia="宋体" w:cs="宋体"/>
          <w:sz w:val="21"/>
          <w:szCs w:val="21"/>
        </w:rPr>
      </w:pPr>
      <w:r>
        <w:rPr>
          <w:rFonts w:hint="eastAsia" w:ascii="宋体" w:hAnsi="宋体" w:eastAsia="华文楷体" w:cs="宋体"/>
          <w:bCs/>
          <w:sz w:val="22"/>
          <w:szCs w:val="21"/>
        </w:rPr>
        <w:t xml:space="preserve">  </w:t>
      </w:r>
      <w:r>
        <w:rPr>
          <w:rFonts w:hint="eastAsia" w:ascii="宋体" w:hAnsi="宋体" w:eastAsia="宋体" w:cs="宋体"/>
          <w:sz w:val="21"/>
          <w:szCs w:val="21"/>
        </w:rPr>
        <w:t xml:space="preserve">  收取履约保证金形式：</w:t>
      </w:r>
      <w:r>
        <w:rPr>
          <w:rFonts w:hint="eastAsia" w:ascii="宋体" w:hAnsi="宋体" w:eastAsia="宋体" w:cs="宋体"/>
          <w:bCs/>
          <w:sz w:val="21"/>
          <w:szCs w:val="21"/>
          <w:u w:val="single"/>
        </w:rPr>
        <w:t>以支票、汇票、本票或者金融机构、担保机构出具的保函等非现金形式</w:t>
      </w:r>
      <w:r>
        <w:rPr>
          <w:rFonts w:hint="eastAsia" w:ascii="宋体" w:hAnsi="宋体" w:eastAsia="宋体" w:cs="宋体"/>
          <w:bCs/>
          <w:sz w:val="21"/>
          <w:szCs w:val="21"/>
          <w:u w:val="single"/>
          <w:lang w:eastAsia="zh-CN"/>
        </w:rPr>
        <w:t>。</w:t>
      </w:r>
    </w:p>
    <w:p w14:paraId="7CE239D2">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sz w:val="21"/>
          <w:szCs w:val="21"/>
        </w:rPr>
        <w:t xml:space="preserve">    收取履约保证金金额：</w:t>
      </w:r>
      <w:r>
        <w:rPr>
          <w:rFonts w:hint="eastAsia" w:ascii="宋体" w:hAnsi="宋体" w:eastAsia="宋体" w:cs="宋体"/>
          <w:bCs/>
          <w:sz w:val="21"/>
          <w:szCs w:val="21"/>
          <w:u w:val="single"/>
        </w:rPr>
        <w:t xml:space="preserve">     合同总金额的</w:t>
      </w:r>
      <w:r>
        <w:rPr>
          <w:rFonts w:hint="eastAsia" w:ascii="宋体" w:hAnsi="宋体" w:eastAsia="宋体" w:cs="宋体"/>
          <w:bCs/>
          <w:sz w:val="21"/>
          <w:szCs w:val="21"/>
          <w:u w:val="single"/>
          <w:lang w:val="en-US" w:eastAsia="zh-CN"/>
        </w:rPr>
        <w:t>5%</w:t>
      </w:r>
      <w:r>
        <w:rPr>
          <w:rFonts w:hint="eastAsia" w:ascii="宋体" w:hAnsi="宋体" w:eastAsia="宋体" w:cs="宋体"/>
          <w:bCs/>
          <w:sz w:val="21"/>
          <w:szCs w:val="21"/>
          <w:u w:val="single"/>
        </w:rPr>
        <w:t xml:space="preserve">        </w:t>
      </w:r>
    </w:p>
    <w:p w14:paraId="58D67C82">
      <w:pPr>
        <w:snapToGrid w:val="0"/>
        <w:spacing w:line="400" w:lineRule="exact"/>
        <w:ind w:firstLine="420"/>
        <w:rPr>
          <w:rFonts w:ascii="宋体" w:hAnsi="宋体" w:eastAsia="宋体" w:cs="宋体"/>
          <w:sz w:val="21"/>
          <w:szCs w:val="24"/>
        </w:rPr>
      </w:pPr>
      <w:r>
        <w:rPr>
          <w:rFonts w:hint="eastAsia" w:ascii="宋体" w:hAnsi="宋体" w:eastAsia="宋体" w:cs="宋体"/>
          <w:bCs/>
          <w:sz w:val="21"/>
          <w:szCs w:val="21"/>
        </w:rPr>
        <w:t xml:space="preserve">    履约担保期限：</w:t>
      </w:r>
      <w:r>
        <w:rPr>
          <w:rFonts w:hint="eastAsia" w:ascii="宋体" w:hAnsi="宋体" w:eastAsia="宋体" w:cs="宋体"/>
          <w:bCs/>
          <w:sz w:val="21"/>
          <w:szCs w:val="21"/>
          <w:u w:val="single"/>
        </w:rPr>
        <w:t xml:space="preserve">    至项目履约完成后止           </w:t>
      </w:r>
    </w:p>
    <w:p w14:paraId="4FF250A0">
      <w:pPr>
        <w:adjustRightInd w:val="0"/>
        <w:snapToGrid w:val="0"/>
        <w:spacing w:line="400" w:lineRule="exact"/>
        <w:ind w:firstLine="420"/>
        <w:rPr>
          <w:rFonts w:ascii="宋体" w:hAnsi="宋体" w:eastAsia="宋体" w:cs="宋体"/>
          <w:bCs/>
          <w:sz w:val="21"/>
          <w:szCs w:val="21"/>
        </w:rPr>
      </w:pPr>
      <w:r>
        <w:rPr>
          <w:rFonts w:hint="eastAsia" w:ascii="宋体" w:hAnsi="宋体" w:eastAsia="宋体" w:cs="宋体"/>
          <w:bCs/>
          <w:sz w:val="21"/>
          <w:szCs w:val="21"/>
        </w:rPr>
        <w:t>（4）分期履行要求：</w:t>
      </w:r>
      <w:r>
        <w:rPr>
          <w:rFonts w:hint="eastAsia" w:ascii="宋体" w:hAnsi="宋体" w:eastAsia="宋体" w:cs="宋体"/>
          <w:bCs/>
          <w:sz w:val="21"/>
          <w:szCs w:val="21"/>
          <w:u w:val="single"/>
        </w:rPr>
        <w:t xml:space="preserve">       无                                               </w:t>
      </w:r>
    </w:p>
    <w:p w14:paraId="48EEC526">
      <w:pPr>
        <w:adjustRightInd w:val="0"/>
        <w:snapToGrid w:val="0"/>
        <w:spacing w:line="400" w:lineRule="exact"/>
        <w:ind w:firstLine="420"/>
        <w:rPr>
          <w:rFonts w:ascii="宋体" w:hAnsi="宋体" w:eastAsia="宋体" w:cs="宋体"/>
          <w:sz w:val="21"/>
          <w:szCs w:val="21"/>
          <w:u w:val="single"/>
        </w:rPr>
      </w:pPr>
      <w:r>
        <w:rPr>
          <w:rFonts w:hint="eastAsia" w:ascii="宋体" w:hAnsi="宋体" w:eastAsia="宋体" w:cs="宋体"/>
          <w:bCs/>
          <w:sz w:val="21"/>
          <w:szCs w:val="21"/>
        </w:rPr>
        <w:t>（5）风险处置措施和替代方案：</w:t>
      </w:r>
      <w:r>
        <w:rPr>
          <w:rFonts w:hint="eastAsia" w:ascii="宋体" w:hAnsi="宋体" w:eastAsia="宋体" w:cs="宋体"/>
          <w:color w:val="0000FF"/>
          <w:sz w:val="21"/>
          <w:szCs w:val="21"/>
          <w:u w:val="single"/>
        </w:rPr>
        <w:t xml:space="preserve"> </w:t>
      </w:r>
      <w:r>
        <w:rPr>
          <w:rFonts w:hint="eastAsia" w:ascii="宋体" w:hAnsi="宋体" w:eastAsia="宋体" w:cs="宋体"/>
          <w:color w:val="000000"/>
          <w:sz w:val="21"/>
          <w:szCs w:val="21"/>
          <w:u w:val="single"/>
        </w:rPr>
        <w:t xml:space="preserve"> 参照《政府采购需求管理办法》第十一条规定拟定    </w:t>
      </w:r>
      <w:r>
        <w:rPr>
          <w:rFonts w:hint="eastAsia" w:ascii="宋体" w:hAnsi="宋体" w:eastAsia="宋体" w:cs="宋体"/>
          <w:sz w:val="21"/>
          <w:szCs w:val="21"/>
          <w:u w:val="single"/>
        </w:rPr>
        <w:t xml:space="preserve">                                          </w:t>
      </w:r>
    </w:p>
    <w:p w14:paraId="4A1BC7D2">
      <w:pPr>
        <w:numPr>
          <w:ilvl w:val="0"/>
          <w:numId w:val="11"/>
        </w:numPr>
        <w:adjustRightInd w:val="0"/>
        <w:snapToGrid w:val="0"/>
        <w:spacing w:line="400" w:lineRule="exact"/>
        <w:ind w:firstLine="422"/>
        <w:rPr>
          <w:rFonts w:ascii="宋体" w:hAnsi="宋体" w:eastAsia="宋体" w:cs="Times New Roman"/>
          <w:b/>
          <w:sz w:val="21"/>
          <w:szCs w:val="21"/>
        </w:rPr>
      </w:pPr>
      <w:r>
        <w:rPr>
          <w:rFonts w:hint="eastAsia" w:ascii="宋体" w:hAnsi="宋体" w:eastAsia="宋体" w:cs="Times New Roman"/>
          <w:b/>
          <w:sz w:val="21"/>
          <w:szCs w:val="21"/>
        </w:rPr>
        <w:t>合同验收</w:t>
      </w:r>
    </w:p>
    <w:p w14:paraId="5D36B81A">
      <w:pPr>
        <w:numPr>
          <w:ilvl w:val="0"/>
          <w:numId w:val="13"/>
        </w:numPr>
        <w:adjustRightInd w:val="0"/>
        <w:snapToGrid w:val="0"/>
        <w:spacing w:line="400" w:lineRule="exact"/>
        <w:ind w:firstLine="420"/>
        <w:rPr>
          <w:rFonts w:ascii="宋体" w:hAnsi="宋体" w:eastAsia="宋体" w:cs="Times New Roman"/>
          <w:bCs/>
          <w:sz w:val="21"/>
          <w:szCs w:val="21"/>
        </w:rPr>
      </w:pPr>
      <w:r>
        <w:rPr>
          <w:rFonts w:hint="eastAsia" w:ascii="宋体" w:hAnsi="宋体" w:eastAsia="宋体" w:cs="Times New Roman"/>
          <w:bCs/>
          <w:sz w:val="21"/>
          <w:szCs w:val="21"/>
        </w:rPr>
        <w:t>验收组织方式：</w:t>
      </w:r>
      <w:r>
        <w:rPr>
          <w:rFonts w:hint="eastAsia" w:ascii="宋体" w:hAnsi="宋体" w:eastAsia="宋体" w:cs="宋体"/>
          <w:sz w:val="21"/>
          <w:szCs w:val="21"/>
        </w:rPr>
        <w:sym w:font="Wingdings" w:char="00FE"/>
      </w:r>
      <w:r>
        <w:rPr>
          <w:rFonts w:hint="eastAsia" w:ascii="宋体" w:hAnsi="宋体" w:eastAsia="宋体" w:cs="Times New Roman"/>
          <w:bCs/>
          <w:sz w:val="21"/>
          <w:szCs w:val="21"/>
        </w:rPr>
        <w:t xml:space="preserve">自行组织 </w:t>
      </w:r>
      <w:r>
        <w:rPr>
          <w:rFonts w:hint="eastAsia" w:ascii="宋体" w:hAnsi="宋体" w:eastAsia="宋体" w:cs="宋体"/>
          <w:sz w:val="21"/>
          <w:szCs w:val="21"/>
        </w:rPr>
        <w:sym w:font="Wingdings" w:char="00A8"/>
      </w:r>
      <w:r>
        <w:rPr>
          <w:rFonts w:hint="eastAsia" w:ascii="宋体" w:hAnsi="宋体" w:eastAsia="宋体" w:cs="Times New Roman"/>
          <w:bCs/>
          <w:sz w:val="21"/>
          <w:szCs w:val="21"/>
        </w:rPr>
        <w:t>委托第三方组织</w:t>
      </w:r>
    </w:p>
    <w:p w14:paraId="6EF7C5F4">
      <w:pPr>
        <w:adjustRightInd w:val="0"/>
        <w:snapToGrid w:val="0"/>
        <w:spacing w:line="400" w:lineRule="exact"/>
        <w:ind w:firstLine="0" w:firstLineChars="0"/>
        <w:rPr>
          <w:rFonts w:ascii="宋体" w:hAnsi="宋体" w:eastAsia="宋体" w:cs="Times New Roman"/>
          <w:bCs/>
          <w:sz w:val="21"/>
          <w:szCs w:val="21"/>
        </w:rPr>
      </w:pPr>
      <w:r>
        <w:rPr>
          <w:rFonts w:hint="eastAsia" w:ascii="宋体" w:hAnsi="宋体" w:eastAsia="宋体" w:cs="Times New Roman"/>
          <w:bCs/>
          <w:sz w:val="21"/>
          <w:szCs w:val="21"/>
        </w:rPr>
        <w:t xml:space="preserve">         验收主体：</w:t>
      </w:r>
      <w:r>
        <w:rPr>
          <w:rFonts w:hint="eastAsia" w:ascii="宋体" w:hAnsi="宋体" w:eastAsia="宋体" w:cs="Times New Roman"/>
          <w:bCs/>
          <w:sz w:val="21"/>
          <w:szCs w:val="21"/>
          <w:u w:val="single"/>
        </w:rPr>
        <w:t xml:space="preserve">                  </w:t>
      </w:r>
    </w:p>
    <w:p w14:paraId="731E21DC">
      <w:pPr>
        <w:adjustRightInd w:val="0"/>
        <w:snapToGrid w:val="0"/>
        <w:spacing w:line="400" w:lineRule="exact"/>
        <w:ind w:firstLine="0" w:firstLineChars="0"/>
        <w:rPr>
          <w:rFonts w:ascii="宋体" w:hAnsi="宋体" w:eastAsia="宋体" w:cs="Times New Roman"/>
          <w:bCs/>
          <w:sz w:val="21"/>
          <w:szCs w:val="21"/>
        </w:rPr>
      </w:pPr>
      <w:r>
        <w:rPr>
          <w:rFonts w:hint="eastAsia" w:ascii="宋体" w:hAnsi="宋体" w:eastAsia="宋体" w:cs="Times New Roman"/>
          <w:bCs/>
          <w:sz w:val="21"/>
          <w:szCs w:val="21"/>
        </w:rPr>
        <w:t xml:space="preserve">        是否邀请本项目的其他供应商参加验收：</w:t>
      </w:r>
      <w:r>
        <w:rPr>
          <w:rFonts w:hint="eastAsia" w:ascii="宋体" w:hAnsi="宋体" w:eastAsia="宋体" w:cs="宋体"/>
          <w:sz w:val="21"/>
          <w:szCs w:val="21"/>
        </w:rPr>
        <w:sym w:font="Wingdings" w:char="00A8"/>
      </w:r>
      <w:r>
        <w:rPr>
          <w:rFonts w:hint="eastAsia" w:ascii="宋体" w:hAnsi="宋体" w:eastAsia="宋体" w:cs="Times New Roman"/>
          <w:bCs/>
          <w:sz w:val="21"/>
          <w:szCs w:val="21"/>
        </w:rPr>
        <w:t xml:space="preserve">是  </w:t>
      </w:r>
      <w:r>
        <w:rPr>
          <w:rFonts w:hint="eastAsia" w:ascii="宋体" w:hAnsi="宋体" w:eastAsia="宋体" w:cs="宋体"/>
          <w:sz w:val="21"/>
          <w:szCs w:val="21"/>
        </w:rPr>
        <w:sym w:font="Wingdings" w:char="00FE"/>
      </w:r>
      <w:r>
        <w:rPr>
          <w:rFonts w:hint="eastAsia" w:ascii="宋体" w:hAnsi="宋体" w:eastAsia="宋体" w:cs="Times New Roman"/>
          <w:bCs/>
          <w:sz w:val="21"/>
          <w:szCs w:val="21"/>
        </w:rPr>
        <w:t>否</w:t>
      </w:r>
    </w:p>
    <w:p w14:paraId="2A140A23">
      <w:pPr>
        <w:adjustRightInd w:val="0"/>
        <w:snapToGrid w:val="0"/>
        <w:spacing w:line="400" w:lineRule="exact"/>
        <w:ind w:firstLine="840" w:firstLineChars="400"/>
        <w:rPr>
          <w:rFonts w:ascii="宋体" w:hAnsi="宋体" w:eastAsia="宋体" w:cs="Times New Roman"/>
          <w:bCs/>
          <w:sz w:val="21"/>
          <w:szCs w:val="21"/>
        </w:rPr>
      </w:pPr>
      <w:r>
        <w:rPr>
          <w:rFonts w:hint="eastAsia" w:ascii="宋体" w:hAnsi="宋体" w:eastAsia="宋体" w:cs="Times New Roman"/>
          <w:bCs/>
          <w:sz w:val="21"/>
          <w:szCs w:val="21"/>
        </w:rPr>
        <w:t>是否邀请专家参加验收：</w:t>
      </w:r>
      <w:r>
        <w:rPr>
          <w:rFonts w:hint="eastAsia" w:ascii="宋体" w:hAnsi="宋体" w:eastAsia="宋体" w:cs="宋体"/>
          <w:sz w:val="21"/>
          <w:szCs w:val="21"/>
        </w:rPr>
        <w:sym w:font="Wingdings" w:char="00FE"/>
      </w:r>
      <w:r>
        <w:rPr>
          <w:rFonts w:hint="eastAsia" w:ascii="宋体" w:hAnsi="宋体" w:eastAsia="宋体" w:cs="Times New Roman"/>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Times New Roman"/>
          <w:bCs/>
          <w:sz w:val="21"/>
          <w:szCs w:val="21"/>
        </w:rPr>
        <w:t>否</w:t>
      </w:r>
    </w:p>
    <w:p w14:paraId="2938C286">
      <w:pPr>
        <w:adjustRightInd w:val="0"/>
        <w:snapToGrid w:val="0"/>
        <w:spacing w:line="400" w:lineRule="exact"/>
        <w:ind w:firstLine="840" w:firstLineChars="400"/>
        <w:rPr>
          <w:rFonts w:ascii="宋体" w:hAnsi="宋体" w:eastAsia="宋体" w:cs="Times New Roman"/>
          <w:bCs/>
          <w:sz w:val="21"/>
          <w:szCs w:val="21"/>
        </w:rPr>
      </w:pPr>
      <w:r>
        <w:rPr>
          <w:rFonts w:hint="eastAsia" w:ascii="宋体" w:hAnsi="宋体" w:eastAsia="宋体" w:cs="Times New Roman"/>
          <w:bCs/>
          <w:sz w:val="21"/>
          <w:szCs w:val="21"/>
        </w:rPr>
        <w:t>是否邀请服务对象参加验收：</w:t>
      </w:r>
      <w:r>
        <w:rPr>
          <w:rFonts w:hint="eastAsia" w:ascii="宋体" w:hAnsi="宋体" w:eastAsia="宋体" w:cs="宋体"/>
          <w:sz w:val="21"/>
          <w:szCs w:val="21"/>
        </w:rPr>
        <w:sym w:font="Wingdings" w:char="00A8"/>
      </w:r>
      <w:r>
        <w:rPr>
          <w:rFonts w:hint="eastAsia" w:ascii="宋体" w:hAnsi="宋体" w:eastAsia="宋体" w:cs="Times New Roman"/>
          <w:bCs/>
          <w:sz w:val="21"/>
          <w:szCs w:val="21"/>
        </w:rPr>
        <w:t xml:space="preserve">是  </w:t>
      </w:r>
      <w:r>
        <w:rPr>
          <w:rFonts w:hint="eastAsia" w:ascii="宋体" w:hAnsi="宋体" w:eastAsia="宋体" w:cs="宋体"/>
          <w:sz w:val="21"/>
          <w:szCs w:val="21"/>
        </w:rPr>
        <w:sym w:font="Wingdings" w:char="00FE"/>
      </w:r>
      <w:r>
        <w:rPr>
          <w:rFonts w:hint="eastAsia" w:ascii="宋体" w:hAnsi="宋体" w:eastAsia="宋体" w:cs="Times New Roman"/>
          <w:bCs/>
          <w:sz w:val="21"/>
          <w:szCs w:val="21"/>
        </w:rPr>
        <w:t>否</w:t>
      </w:r>
    </w:p>
    <w:p w14:paraId="68991607">
      <w:pPr>
        <w:adjustRightInd w:val="0"/>
        <w:snapToGrid w:val="0"/>
        <w:spacing w:line="400" w:lineRule="exact"/>
        <w:ind w:firstLine="840" w:firstLineChars="400"/>
        <w:rPr>
          <w:rFonts w:ascii="宋体" w:hAnsi="宋体" w:eastAsia="宋体" w:cs="Times New Roman"/>
          <w:bCs/>
          <w:sz w:val="21"/>
          <w:szCs w:val="21"/>
        </w:rPr>
      </w:pPr>
      <w:r>
        <w:rPr>
          <w:rFonts w:hint="eastAsia" w:ascii="宋体" w:hAnsi="宋体" w:eastAsia="宋体" w:cs="Times New Roman"/>
          <w:bCs/>
          <w:sz w:val="21"/>
          <w:szCs w:val="21"/>
        </w:rPr>
        <w:t>是否邀请第三方检测机构参加验收：</w:t>
      </w:r>
      <w:r>
        <w:rPr>
          <w:rFonts w:hint="eastAsia" w:ascii="宋体" w:hAnsi="宋体" w:eastAsia="宋体" w:cs="宋体"/>
          <w:sz w:val="21"/>
          <w:szCs w:val="21"/>
        </w:rPr>
        <w:sym w:font="Wingdings" w:char="00A8"/>
      </w:r>
      <w:r>
        <w:rPr>
          <w:rFonts w:hint="eastAsia" w:ascii="宋体" w:hAnsi="宋体" w:eastAsia="宋体" w:cs="Times New Roman"/>
          <w:bCs/>
          <w:sz w:val="21"/>
          <w:szCs w:val="21"/>
        </w:rPr>
        <w:t xml:space="preserve">是  </w:t>
      </w:r>
      <w:r>
        <w:rPr>
          <w:rFonts w:hint="eastAsia" w:ascii="宋体" w:hAnsi="宋体" w:eastAsia="宋体" w:cs="宋体"/>
          <w:sz w:val="21"/>
          <w:szCs w:val="21"/>
        </w:rPr>
        <w:sym w:font="Wingdings" w:char="00FE"/>
      </w:r>
      <w:r>
        <w:rPr>
          <w:rFonts w:hint="eastAsia" w:ascii="宋体" w:hAnsi="宋体" w:eastAsia="宋体" w:cs="Times New Roman"/>
          <w:bCs/>
          <w:sz w:val="21"/>
          <w:szCs w:val="21"/>
        </w:rPr>
        <w:t>否</w:t>
      </w:r>
    </w:p>
    <w:p w14:paraId="7E039098">
      <w:pPr>
        <w:adjustRightInd w:val="0"/>
        <w:snapToGrid w:val="0"/>
        <w:spacing w:line="400" w:lineRule="exact"/>
        <w:ind w:firstLine="840" w:firstLineChars="400"/>
        <w:rPr>
          <w:rFonts w:ascii="宋体" w:hAnsi="宋体" w:eastAsia="宋体" w:cs="Times New Roman"/>
          <w:bCs/>
          <w:sz w:val="21"/>
          <w:szCs w:val="21"/>
        </w:rPr>
      </w:pPr>
      <w:r>
        <w:rPr>
          <w:rFonts w:hint="eastAsia" w:ascii="宋体" w:hAnsi="宋体" w:eastAsia="宋体" w:cs="Times New Roman"/>
          <w:bCs/>
          <w:sz w:val="21"/>
          <w:szCs w:val="21"/>
        </w:rPr>
        <w:t>是否进行抽查检测：</w:t>
      </w:r>
      <w:r>
        <w:rPr>
          <w:rFonts w:hint="eastAsia" w:ascii="宋体" w:hAnsi="宋体" w:eastAsia="宋体" w:cs="宋体"/>
          <w:sz w:val="21"/>
          <w:szCs w:val="21"/>
        </w:rPr>
        <w:sym w:font="Wingdings" w:char="00A8"/>
      </w:r>
      <w:r>
        <w:rPr>
          <w:rFonts w:hint="eastAsia" w:ascii="宋体" w:hAnsi="宋体" w:eastAsia="宋体" w:cs="Times New Roman"/>
          <w:bCs/>
          <w:sz w:val="21"/>
          <w:szCs w:val="21"/>
        </w:rPr>
        <w:t>是，抽查比例：</w:t>
      </w:r>
      <w:r>
        <w:rPr>
          <w:rFonts w:hint="eastAsia" w:ascii="宋体" w:hAnsi="宋体" w:eastAsia="宋体" w:cs="Times New Roman"/>
          <w:bCs/>
          <w:sz w:val="21"/>
          <w:szCs w:val="21"/>
          <w:u w:val="single"/>
        </w:rPr>
        <w:t xml:space="preserve">        </w:t>
      </w:r>
      <w:r>
        <w:rPr>
          <w:rFonts w:hint="eastAsia" w:ascii="宋体" w:hAnsi="宋体" w:eastAsia="宋体" w:cs="Times New Roman"/>
          <w:bCs/>
          <w:sz w:val="21"/>
          <w:szCs w:val="21"/>
        </w:rPr>
        <w:t xml:space="preserve"> </w:t>
      </w:r>
      <w:r>
        <w:rPr>
          <w:rFonts w:hint="eastAsia" w:ascii="宋体" w:hAnsi="宋体" w:eastAsia="宋体" w:cs="宋体"/>
          <w:sz w:val="21"/>
          <w:szCs w:val="21"/>
        </w:rPr>
        <w:sym w:font="Wingdings" w:char="00FE"/>
      </w:r>
      <w:r>
        <w:rPr>
          <w:rFonts w:hint="eastAsia" w:ascii="宋体" w:hAnsi="宋体" w:eastAsia="宋体" w:cs="Times New Roman"/>
          <w:bCs/>
          <w:sz w:val="21"/>
          <w:szCs w:val="21"/>
        </w:rPr>
        <w:t>否</w:t>
      </w:r>
    </w:p>
    <w:p w14:paraId="5D475984">
      <w:pPr>
        <w:adjustRightInd w:val="0"/>
        <w:snapToGrid w:val="0"/>
        <w:spacing w:line="400" w:lineRule="exact"/>
        <w:ind w:firstLine="840" w:firstLineChars="400"/>
        <w:rPr>
          <w:rFonts w:ascii="宋体" w:hAnsi="宋体" w:eastAsia="宋体" w:cs="Times New Roman"/>
          <w:bCs/>
          <w:sz w:val="21"/>
          <w:szCs w:val="21"/>
          <w:u w:val="single"/>
        </w:rPr>
      </w:pPr>
      <w:r>
        <w:rPr>
          <w:rFonts w:hint="eastAsia" w:ascii="宋体" w:hAnsi="宋体" w:eastAsia="宋体" w:cs="Times New Roman"/>
          <w:bCs/>
          <w:sz w:val="21"/>
          <w:szCs w:val="21"/>
        </w:rPr>
        <w:t>是否存在破坏性检测：</w:t>
      </w:r>
      <w:r>
        <w:rPr>
          <w:rFonts w:hint="eastAsia" w:ascii="宋体" w:hAnsi="宋体" w:eastAsia="宋体" w:cs="宋体"/>
          <w:sz w:val="21"/>
          <w:szCs w:val="21"/>
        </w:rPr>
        <w:sym w:font="Wingdings" w:char="00A8"/>
      </w:r>
      <w:r>
        <w:rPr>
          <w:rFonts w:hint="eastAsia" w:ascii="宋体" w:hAnsi="宋体" w:eastAsia="宋体" w:cs="Times New Roman"/>
          <w:bCs/>
          <w:sz w:val="21"/>
          <w:szCs w:val="21"/>
        </w:rPr>
        <w:t>是，</w:t>
      </w:r>
      <w:r>
        <w:rPr>
          <w:rFonts w:hint="eastAsia" w:ascii="宋体" w:hAnsi="宋体" w:eastAsia="宋体" w:cs="Times New Roman"/>
          <w:bCs/>
          <w:sz w:val="21"/>
          <w:szCs w:val="21"/>
          <w:u w:val="single"/>
        </w:rPr>
        <w:t>（应明确对被破坏的检测产品的处理方式）</w:t>
      </w:r>
    </w:p>
    <w:p w14:paraId="4DC36267">
      <w:pPr>
        <w:adjustRightInd w:val="0"/>
        <w:snapToGrid w:val="0"/>
        <w:spacing w:line="400" w:lineRule="exact"/>
        <w:ind w:firstLine="840" w:firstLineChars="400"/>
        <w:rPr>
          <w:rFonts w:ascii="宋体" w:hAnsi="宋体" w:eastAsia="宋体" w:cs="Times New Roman"/>
          <w:bCs/>
          <w:sz w:val="21"/>
          <w:szCs w:val="21"/>
        </w:rPr>
      </w:pPr>
      <w:r>
        <w:rPr>
          <w:rFonts w:hint="eastAsia" w:ascii="宋体" w:hAnsi="宋体" w:eastAsia="宋体" w:cs="Times New Roman"/>
          <w:bCs/>
          <w:sz w:val="21"/>
          <w:szCs w:val="21"/>
        </w:rPr>
        <w:t xml:space="preserve">                    </w:t>
      </w:r>
      <w:r>
        <w:rPr>
          <w:rFonts w:hint="eastAsia" w:ascii="宋体" w:hAnsi="宋体" w:eastAsia="宋体" w:cs="宋体"/>
          <w:sz w:val="21"/>
          <w:szCs w:val="21"/>
        </w:rPr>
        <w:sym w:font="Wingdings" w:char="00FE"/>
      </w:r>
      <w:r>
        <w:rPr>
          <w:rFonts w:hint="eastAsia" w:ascii="宋体" w:hAnsi="宋体" w:eastAsia="宋体" w:cs="Times New Roman"/>
          <w:bCs/>
          <w:sz w:val="21"/>
          <w:szCs w:val="21"/>
        </w:rPr>
        <w:t>否</w:t>
      </w:r>
    </w:p>
    <w:p w14:paraId="48AD2B9D">
      <w:pPr>
        <w:adjustRightInd w:val="0"/>
        <w:snapToGrid w:val="0"/>
        <w:spacing w:line="400" w:lineRule="exact"/>
        <w:ind w:firstLine="840" w:firstLineChars="400"/>
        <w:rPr>
          <w:rFonts w:ascii="宋体" w:hAnsi="宋体" w:eastAsia="宋体" w:cs="Times New Roman"/>
          <w:bCs/>
          <w:sz w:val="21"/>
          <w:szCs w:val="21"/>
          <w:u w:val="single"/>
        </w:rPr>
      </w:pPr>
      <w:r>
        <w:rPr>
          <w:rFonts w:hint="eastAsia" w:ascii="宋体" w:hAnsi="宋体" w:eastAsia="宋体" w:cs="Times New Roman"/>
          <w:bCs/>
          <w:sz w:val="21"/>
          <w:szCs w:val="21"/>
        </w:rPr>
        <w:t>验收组织的其他事项：</w:t>
      </w:r>
      <w:r>
        <w:rPr>
          <w:rFonts w:hint="eastAsia" w:ascii="宋体" w:hAnsi="宋体" w:eastAsia="宋体" w:cs="Times New Roman"/>
          <w:bCs/>
          <w:sz w:val="21"/>
          <w:szCs w:val="21"/>
          <w:u w:val="single"/>
        </w:rPr>
        <w:t xml:space="preserve">    无          </w:t>
      </w:r>
    </w:p>
    <w:p w14:paraId="595864F5">
      <w:pPr>
        <w:adjustRightInd w:val="0"/>
        <w:snapToGrid w:val="0"/>
        <w:spacing w:line="400" w:lineRule="exact"/>
        <w:ind w:firstLine="420"/>
        <w:rPr>
          <w:rFonts w:ascii="宋体" w:hAnsi="宋体" w:eastAsia="宋体" w:cs="Times New Roman"/>
          <w:bCs/>
          <w:sz w:val="21"/>
          <w:szCs w:val="21"/>
          <w:u w:val="single"/>
        </w:rPr>
      </w:pPr>
      <w:r>
        <w:rPr>
          <w:rFonts w:hint="eastAsia" w:ascii="宋体" w:hAnsi="宋体" w:eastAsia="宋体" w:cs="Times New Roman"/>
          <w:bCs/>
          <w:sz w:val="21"/>
          <w:szCs w:val="21"/>
        </w:rPr>
        <w:t>（2）履约验收时间：</w:t>
      </w:r>
      <w:r>
        <w:rPr>
          <w:rFonts w:hint="eastAsia" w:ascii="宋体" w:hAnsi="宋体" w:eastAsia="宋体" w:cs="Times New Roman"/>
          <w:bCs/>
          <w:sz w:val="21"/>
          <w:szCs w:val="21"/>
          <w:u w:val="single"/>
        </w:rPr>
        <w:t>供应商提出验收申请之日起</w:t>
      </w:r>
      <w:r>
        <w:rPr>
          <w:rFonts w:hint="eastAsia" w:ascii="宋体" w:hAnsi="宋体" w:eastAsia="宋体" w:cs="Times New Roman"/>
          <w:bCs/>
          <w:sz w:val="21"/>
          <w:szCs w:val="21"/>
          <w:u w:val="single"/>
          <w:lang w:val="en-US" w:eastAsia="zh-CN"/>
        </w:rPr>
        <w:t>10</w:t>
      </w:r>
      <w:r>
        <w:rPr>
          <w:rFonts w:hint="eastAsia" w:ascii="宋体" w:hAnsi="宋体" w:eastAsia="宋体" w:cs="Times New Roman"/>
          <w:bCs/>
          <w:sz w:val="21"/>
          <w:szCs w:val="21"/>
          <w:u w:val="single"/>
        </w:rPr>
        <w:t xml:space="preserve">个工作日内完成验收 </w:t>
      </w:r>
    </w:p>
    <w:p w14:paraId="2753F0C7">
      <w:pPr>
        <w:adjustRightInd w:val="0"/>
        <w:snapToGrid w:val="0"/>
        <w:spacing w:line="400" w:lineRule="exact"/>
        <w:ind w:firstLine="420"/>
        <w:rPr>
          <w:rFonts w:ascii="宋体" w:hAnsi="宋体" w:eastAsia="宋体" w:cs="Times New Roman"/>
          <w:bCs/>
          <w:sz w:val="21"/>
          <w:szCs w:val="21"/>
        </w:rPr>
      </w:pPr>
      <w:r>
        <w:rPr>
          <w:rFonts w:hint="eastAsia" w:ascii="宋体" w:hAnsi="宋体" w:eastAsia="宋体" w:cs="Times New Roman"/>
          <w:bCs/>
          <w:sz w:val="21"/>
          <w:szCs w:val="21"/>
        </w:rPr>
        <w:t>（3）履约验收方式：</w:t>
      </w:r>
      <w:r>
        <w:rPr>
          <w:rFonts w:hint="eastAsia" w:ascii="宋体" w:hAnsi="宋体" w:eastAsia="宋体" w:cs="宋体"/>
          <w:sz w:val="21"/>
          <w:szCs w:val="21"/>
        </w:rPr>
        <w:sym w:font="Wingdings" w:char="00FE"/>
      </w:r>
      <w:r>
        <w:rPr>
          <w:rFonts w:hint="eastAsia" w:ascii="宋体" w:hAnsi="宋体" w:eastAsia="宋体" w:cs="Times New Roman"/>
          <w:bCs/>
          <w:sz w:val="21"/>
          <w:szCs w:val="21"/>
        </w:rPr>
        <w:t xml:space="preserve">一次性验收         </w:t>
      </w:r>
    </w:p>
    <w:p w14:paraId="5FA6BB41">
      <w:pPr>
        <w:adjustRightInd w:val="0"/>
        <w:snapToGrid w:val="0"/>
        <w:spacing w:line="400" w:lineRule="exact"/>
        <w:ind w:firstLine="0" w:firstLineChars="0"/>
        <w:rPr>
          <w:rFonts w:ascii="宋体" w:hAnsi="宋体" w:eastAsia="宋体" w:cs="Times New Roman"/>
          <w:bCs/>
          <w:sz w:val="21"/>
          <w:szCs w:val="21"/>
        </w:rPr>
      </w:pPr>
      <w:r>
        <w:rPr>
          <w:rFonts w:hint="eastAsia" w:ascii="宋体" w:hAnsi="宋体" w:eastAsia="宋体" w:cs="Times New Roman"/>
          <w:bCs/>
          <w:sz w:val="21"/>
          <w:szCs w:val="21"/>
        </w:rPr>
        <w:t xml:space="preserve">                       </w:t>
      </w:r>
      <w:r>
        <w:rPr>
          <w:rFonts w:hint="eastAsia" w:ascii="宋体" w:hAnsi="宋体" w:eastAsia="宋体" w:cs="宋体"/>
          <w:sz w:val="21"/>
          <w:szCs w:val="21"/>
        </w:rPr>
        <w:sym w:font="Wingdings" w:char="00A8"/>
      </w:r>
      <w:r>
        <w:rPr>
          <w:rFonts w:hint="eastAsia" w:ascii="宋体" w:hAnsi="宋体" w:eastAsia="宋体" w:cs="Times New Roman"/>
          <w:bCs/>
          <w:sz w:val="21"/>
          <w:szCs w:val="21"/>
        </w:rPr>
        <w:t>分期/分项验收：</w:t>
      </w:r>
      <w:r>
        <w:rPr>
          <w:rFonts w:hint="eastAsia" w:ascii="宋体" w:hAnsi="宋体" w:eastAsia="宋体" w:cs="Times New Roman"/>
          <w:bCs/>
          <w:sz w:val="21"/>
          <w:szCs w:val="21"/>
          <w:u w:val="single"/>
        </w:rPr>
        <w:t xml:space="preserve"> （应明确分期</w:t>
      </w:r>
      <w:r>
        <w:rPr>
          <w:rFonts w:ascii="宋体" w:hAnsi="宋体" w:eastAsia="宋体" w:cs="Times New Roman"/>
          <w:bCs/>
          <w:sz w:val="21"/>
          <w:szCs w:val="21"/>
          <w:u w:val="single"/>
          <w:lang w:val="en"/>
        </w:rPr>
        <w:t>/</w:t>
      </w:r>
      <w:r>
        <w:rPr>
          <w:rFonts w:hint="eastAsia" w:ascii="宋体" w:hAnsi="宋体" w:eastAsia="宋体" w:cs="Times New Roman"/>
          <w:bCs/>
          <w:sz w:val="21"/>
          <w:szCs w:val="21"/>
          <w:u w:val="single"/>
          <w:lang w:val="en"/>
        </w:rPr>
        <w:t>分项验收的工作安排</w:t>
      </w:r>
      <w:r>
        <w:rPr>
          <w:rFonts w:hint="eastAsia" w:ascii="宋体" w:hAnsi="宋体" w:eastAsia="宋体" w:cs="Times New Roman"/>
          <w:bCs/>
          <w:sz w:val="21"/>
          <w:szCs w:val="21"/>
          <w:u w:val="single"/>
        </w:rPr>
        <w:t xml:space="preserve">）  </w:t>
      </w:r>
    </w:p>
    <w:p w14:paraId="13FF9C3E">
      <w:pPr>
        <w:adjustRightInd w:val="0"/>
        <w:snapToGrid w:val="0"/>
        <w:spacing w:line="400" w:lineRule="exact"/>
        <w:ind w:firstLine="420"/>
        <w:rPr>
          <w:rFonts w:ascii="宋体" w:hAnsi="宋体" w:eastAsia="宋体" w:cs="Times New Roman"/>
          <w:bCs/>
          <w:sz w:val="21"/>
          <w:szCs w:val="21"/>
        </w:rPr>
      </w:pPr>
      <w:r>
        <w:rPr>
          <w:rFonts w:hint="eastAsia" w:ascii="宋体" w:hAnsi="宋体" w:eastAsia="宋体" w:cs="Times New Roman"/>
          <w:bCs/>
          <w:sz w:val="21"/>
          <w:szCs w:val="21"/>
        </w:rPr>
        <w:t>（4）履约验收程序：</w:t>
      </w:r>
      <w:r>
        <w:rPr>
          <w:rFonts w:hint="eastAsia" w:ascii="宋体" w:hAnsi="宋体" w:eastAsia="宋体" w:cs="Times New Roman"/>
          <w:bCs/>
          <w:sz w:val="21"/>
          <w:szCs w:val="21"/>
          <w:u w:val="single"/>
        </w:rPr>
        <w:t xml:space="preserve">   1、到货初验。2、完成施工后验收会验收。 </w:t>
      </w:r>
    </w:p>
    <w:p w14:paraId="5DB9270F">
      <w:pPr>
        <w:adjustRightInd w:val="0"/>
        <w:snapToGrid w:val="0"/>
        <w:spacing w:line="400" w:lineRule="exact"/>
        <w:ind w:firstLine="420"/>
        <w:rPr>
          <w:rFonts w:ascii="宋体" w:hAnsi="宋体" w:eastAsia="宋体" w:cs="Times New Roman"/>
          <w:bCs/>
          <w:sz w:val="21"/>
          <w:szCs w:val="21"/>
          <w:u w:val="single"/>
        </w:rPr>
      </w:pPr>
      <w:r>
        <w:rPr>
          <w:rFonts w:hint="eastAsia" w:ascii="宋体" w:hAnsi="宋体" w:eastAsia="宋体" w:cs="Times New Roman"/>
          <w:bCs/>
          <w:sz w:val="21"/>
          <w:szCs w:val="21"/>
        </w:rPr>
        <w:t>（5）履约验收的内容：</w:t>
      </w:r>
      <w:r>
        <w:rPr>
          <w:rFonts w:hint="eastAsia" w:ascii="宋体" w:hAnsi="宋体" w:eastAsia="宋体" w:cs="Times New Roman"/>
          <w:bCs/>
          <w:sz w:val="21"/>
          <w:szCs w:val="21"/>
          <w:u w:val="single"/>
        </w:rPr>
        <w:t xml:space="preserve"> 设备软硬件应满足招标时应答硬件参数、软件规格及技术服务条款，项目整体运行30日无重大事故。                                      </w:t>
      </w:r>
    </w:p>
    <w:p w14:paraId="7E100F03">
      <w:pPr>
        <w:adjustRightInd w:val="0"/>
        <w:snapToGrid w:val="0"/>
        <w:spacing w:line="400" w:lineRule="exact"/>
        <w:ind w:firstLine="420"/>
        <w:rPr>
          <w:rFonts w:ascii="宋体" w:hAnsi="宋体" w:eastAsia="宋体" w:cs="Times New Roman"/>
          <w:bCs/>
          <w:sz w:val="21"/>
          <w:szCs w:val="21"/>
          <w:u w:val="single"/>
        </w:rPr>
      </w:pPr>
      <w:r>
        <w:rPr>
          <w:rFonts w:hint="eastAsia" w:ascii="宋体" w:hAnsi="宋体" w:eastAsia="宋体" w:cs="Times New Roman"/>
          <w:bCs/>
          <w:sz w:val="21"/>
          <w:szCs w:val="21"/>
        </w:rPr>
        <w:t>（6）履约验收标准：</w:t>
      </w:r>
      <w:r>
        <w:rPr>
          <w:rFonts w:hint="eastAsia" w:ascii="宋体" w:hAnsi="宋体" w:eastAsia="宋体" w:cs="Times New Roman"/>
          <w:bCs/>
          <w:sz w:val="21"/>
          <w:szCs w:val="21"/>
          <w:u w:val="single"/>
        </w:rPr>
        <w:t xml:space="preserve">  参照招标时投标产品标准及国家相关标准。                  </w:t>
      </w:r>
    </w:p>
    <w:p w14:paraId="3F3CAC55">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bCs/>
          <w:sz w:val="21"/>
          <w:szCs w:val="21"/>
        </w:rPr>
        <w:t>（7）是否以采购活动中供应商提供的样品作为参考：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FE"/>
      </w:r>
      <w:r>
        <w:rPr>
          <w:rFonts w:hint="eastAsia" w:ascii="宋体" w:hAnsi="宋体" w:eastAsia="宋体" w:cs="宋体"/>
          <w:bCs/>
          <w:sz w:val="21"/>
          <w:szCs w:val="21"/>
        </w:rPr>
        <w:t>否</w:t>
      </w:r>
    </w:p>
    <w:p w14:paraId="50C0550E">
      <w:pPr>
        <w:adjustRightInd w:val="0"/>
        <w:snapToGrid w:val="0"/>
        <w:spacing w:line="400" w:lineRule="exact"/>
        <w:ind w:firstLine="420"/>
        <w:rPr>
          <w:rFonts w:ascii="宋体" w:hAnsi="宋体" w:eastAsia="宋体" w:cs="宋体"/>
          <w:bCs/>
          <w:sz w:val="21"/>
          <w:szCs w:val="21"/>
          <w:u w:val="single"/>
        </w:rPr>
      </w:pPr>
      <w:r>
        <w:rPr>
          <w:rFonts w:hint="eastAsia" w:ascii="宋体" w:hAnsi="宋体" w:eastAsia="宋体" w:cs="宋体"/>
          <w:bCs/>
          <w:sz w:val="21"/>
          <w:szCs w:val="21"/>
        </w:rPr>
        <w:t>（8）履约验收其他事项：</w:t>
      </w:r>
      <w:r>
        <w:rPr>
          <w:rFonts w:hint="eastAsia" w:ascii="宋体" w:hAnsi="宋体" w:eastAsia="宋体" w:cs="宋体"/>
          <w:bCs/>
          <w:sz w:val="21"/>
          <w:szCs w:val="21"/>
          <w:u w:val="single"/>
        </w:rPr>
        <w:t xml:space="preserve"> 完成产品交付及技术交付。       </w:t>
      </w:r>
    </w:p>
    <w:p w14:paraId="43B6FE74">
      <w:pPr>
        <w:numPr>
          <w:ilvl w:val="0"/>
          <w:numId w:val="11"/>
        </w:numPr>
        <w:adjustRightInd w:val="0"/>
        <w:snapToGrid w:val="0"/>
        <w:spacing w:line="400" w:lineRule="exact"/>
        <w:ind w:firstLine="422"/>
        <w:rPr>
          <w:rFonts w:ascii="宋体" w:hAnsi="宋体" w:eastAsia="宋体" w:cs="Times New Roman"/>
          <w:b/>
          <w:sz w:val="21"/>
          <w:szCs w:val="21"/>
        </w:rPr>
      </w:pPr>
      <w:r>
        <w:rPr>
          <w:rFonts w:hint="eastAsia" w:ascii="宋体" w:hAnsi="宋体" w:eastAsia="宋体" w:cs="Times New Roman"/>
          <w:b/>
          <w:sz w:val="21"/>
          <w:szCs w:val="21"/>
        </w:rPr>
        <w:t>组成合同的文件</w:t>
      </w:r>
    </w:p>
    <w:p w14:paraId="4A37EC77">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本协议书与下列文件一起构成合同文件，如下述文件之间有任何抵触、矛盾或歧义，应按以下顺序解释：</w:t>
      </w:r>
    </w:p>
    <w:p w14:paraId="223D8DD4">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（1）政府采购合同协议书及其变更、补充协议</w:t>
      </w:r>
    </w:p>
    <w:p w14:paraId="3A5A3340">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（2）政府采购合同专用条款</w:t>
      </w:r>
    </w:p>
    <w:p w14:paraId="6482204D">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（3）政府采购合同通用条款</w:t>
      </w:r>
    </w:p>
    <w:p w14:paraId="24EB8A20">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（4）中标（成交）通知书</w:t>
      </w:r>
    </w:p>
    <w:p w14:paraId="41E8B40F">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（5）投标（响应）文件</w:t>
      </w:r>
    </w:p>
    <w:p w14:paraId="1B2BE95E">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（6）采购文件</w:t>
      </w:r>
    </w:p>
    <w:p w14:paraId="73835152">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（7）有关技术文件，图纸</w:t>
      </w:r>
    </w:p>
    <w:p w14:paraId="5DE74B9A">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color w:val="000000"/>
          <w:sz w:val="21"/>
          <w:szCs w:val="21"/>
        </w:rPr>
        <w:t>国家法律、行政法规和规章制度规定或合同约定的作为合同组成部分的其他文件</w:t>
      </w:r>
    </w:p>
    <w:p w14:paraId="455C602B">
      <w:pPr>
        <w:numPr>
          <w:ilvl w:val="0"/>
          <w:numId w:val="11"/>
        </w:numPr>
        <w:adjustRightInd w:val="0"/>
        <w:snapToGrid w:val="0"/>
        <w:spacing w:line="400" w:lineRule="exact"/>
        <w:ind w:firstLine="422"/>
        <w:rPr>
          <w:rFonts w:ascii="宋体" w:hAnsi="宋体" w:eastAsia="宋体" w:cs="Times New Roman"/>
          <w:b/>
          <w:sz w:val="21"/>
          <w:szCs w:val="21"/>
        </w:rPr>
      </w:pPr>
      <w:r>
        <w:rPr>
          <w:rFonts w:hint="eastAsia" w:ascii="宋体" w:hAnsi="宋体" w:eastAsia="宋体" w:cs="Times New Roman"/>
          <w:b/>
          <w:sz w:val="21"/>
          <w:szCs w:val="21"/>
        </w:rPr>
        <w:t>合同生效</w:t>
      </w:r>
    </w:p>
    <w:p w14:paraId="34F10628">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本合同自</w:t>
      </w:r>
      <w:r>
        <w:rPr>
          <w:rFonts w:hint="eastAsia" w:ascii="宋体" w:hAnsi="宋体" w:eastAsia="宋体" w:cs="Times New Roman"/>
          <w:sz w:val="21"/>
          <w:szCs w:val="21"/>
          <w:u w:val="single"/>
        </w:rPr>
        <w:t xml:space="preserve">  双方签字盖章后  </w:t>
      </w:r>
      <w:r>
        <w:rPr>
          <w:rFonts w:hint="eastAsia" w:ascii="宋体" w:hAnsi="宋体" w:eastAsia="宋体" w:cs="Times New Roman"/>
          <w:sz w:val="21"/>
          <w:szCs w:val="21"/>
        </w:rPr>
        <w:t>生效。</w:t>
      </w:r>
    </w:p>
    <w:p w14:paraId="0E4ADB86">
      <w:pPr>
        <w:numPr>
          <w:ilvl w:val="0"/>
          <w:numId w:val="11"/>
        </w:numPr>
        <w:adjustRightInd w:val="0"/>
        <w:snapToGrid w:val="0"/>
        <w:spacing w:line="400" w:lineRule="exact"/>
        <w:ind w:firstLine="422"/>
        <w:rPr>
          <w:rFonts w:ascii="宋体" w:hAnsi="宋体" w:eastAsia="宋体" w:cs="Times New Roman"/>
          <w:b/>
          <w:sz w:val="21"/>
          <w:szCs w:val="21"/>
        </w:rPr>
      </w:pPr>
      <w:r>
        <w:rPr>
          <w:rFonts w:hint="eastAsia" w:ascii="宋体" w:hAnsi="宋体" w:eastAsia="宋体" w:cs="Times New Roman"/>
          <w:b/>
          <w:sz w:val="21"/>
          <w:szCs w:val="21"/>
        </w:rPr>
        <w:t>合同份数</w:t>
      </w:r>
    </w:p>
    <w:p w14:paraId="7A2ACB71">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本合同一式</w:t>
      </w:r>
      <w:r>
        <w:rPr>
          <w:rFonts w:hint="eastAsia" w:ascii="宋体" w:hAnsi="宋体" w:eastAsia="宋体" w:cs="Times New Roman"/>
          <w:sz w:val="21"/>
          <w:szCs w:val="21"/>
          <w:u w:val="single"/>
        </w:rPr>
        <w:t xml:space="preserve">  肆  </w:t>
      </w:r>
      <w:r>
        <w:rPr>
          <w:rFonts w:hint="eastAsia" w:ascii="宋体" w:hAnsi="宋体" w:eastAsia="宋体" w:cs="Times New Roman"/>
          <w:sz w:val="21"/>
          <w:szCs w:val="21"/>
        </w:rPr>
        <w:t>份，甲方执</w:t>
      </w:r>
      <w:r>
        <w:rPr>
          <w:rFonts w:hint="eastAsia" w:ascii="宋体" w:hAnsi="宋体" w:eastAsia="宋体" w:cs="Times New Roman"/>
          <w:sz w:val="21"/>
          <w:szCs w:val="21"/>
          <w:u w:val="single"/>
        </w:rPr>
        <w:t xml:space="preserve">  贰  </w:t>
      </w:r>
      <w:r>
        <w:rPr>
          <w:rFonts w:hint="eastAsia" w:ascii="宋体" w:hAnsi="宋体" w:eastAsia="宋体" w:cs="Times New Roman"/>
          <w:sz w:val="21"/>
          <w:szCs w:val="21"/>
        </w:rPr>
        <w:t>份，乙方执</w:t>
      </w:r>
      <w:r>
        <w:rPr>
          <w:rFonts w:hint="eastAsia" w:ascii="宋体" w:hAnsi="宋体" w:eastAsia="宋体" w:cs="Times New Roman"/>
          <w:sz w:val="21"/>
          <w:szCs w:val="21"/>
          <w:u w:val="single"/>
        </w:rPr>
        <w:t xml:space="preserve">  贰  </w:t>
      </w:r>
      <w:r>
        <w:rPr>
          <w:rFonts w:hint="eastAsia" w:ascii="宋体" w:hAnsi="宋体" w:eastAsia="宋体" w:cs="Times New Roman"/>
          <w:sz w:val="21"/>
          <w:szCs w:val="21"/>
        </w:rPr>
        <w:t>份，均具有同等法律效力。</w:t>
      </w:r>
    </w:p>
    <w:p w14:paraId="228840CC">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合同订立时间：</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年</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月</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日</w:t>
      </w:r>
    </w:p>
    <w:p w14:paraId="109B8FB9">
      <w:pPr>
        <w:adjustRightInd w:val="0"/>
        <w:snapToGrid w:val="0"/>
        <w:spacing w:line="400" w:lineRule="exact"/>
        <w:ind w:firstLine="420"/>
        <w:rPr>
          <w:rFonts w:ascii="宋体" w:hAnsi="宋体" w:eastAsia="宋体" w:cs="Times New Roman"/>
          <w:sz w:val="21"/>
          <w:szCs w:val="21"/>
        </w:rPr>
      </w:pPr>
      <w:r>
        <w:rPr>
          <w:rFonts w:hint="eastAsia" w:ascii="宋体" w:hAnsi="宋体" w:eastAsia="宋体" w:cs="Times New Roman"/>
          <w:sz w:val="21"/>
          <w:szCs w:val="21"/>
        </w:rPr>
        <w:t>合同订立地点：</w:t>
      </w:r>
      <w:r>
        <w:rPr>
          <w:rFonts w:hint="eastAsia" w:ascii="宋体" w:hAnsi="宋体" w:eastAsia="宋体" w:cs="Times New Roman"/>
          <w:sz w:val="21"/>
          <w:szCs w:val="21"/>
          <w:u w:val="single"/>
        </w:rPr>
        <w:t xml:space="preserve">    河南省郑州市</w:t>
      </w:r>
      <w:r>
        <w:rPr>
          <w:rFonts w:hint="eastAsia" w:ascii="宋体" w:hAnsi="宋体" w:eastAsia="宋体" w:cs="Times New Roman"/>
          <w:sz w:val="21"/>
          <w:szCs w:val="21"/>
          <w:u w:val="single"/>
          <w:lang w:val="en-US" w:eastAsia="zh-CN"/>
        </w:rPr>
        <w:t>金水区黄河路8号</w:t>
      </w:r>
      <w:r>
        <w:rPr>
          <w:rFonts w:hint="eastAsia" w:ascii="宋体" w:hAnsi="宋体" w:eastAsia="宋体" w:cs="Times New Roman"/>
          <w:sz w:val="21"/>
          <w:szCs w:val="21"/>
          <w:u w:val="single"/>
        </w:rPr>
        <w:t xml:space="preserve">                     </w:t>
      </w:r>
    </w:p>
    <w:p w14:paraId="7C5D73CD">
      <w:pPr>
        <w:adjustRightInd w:val="0"/>
        <w:snapToGrid w:val="0"/>
        <w:spacing w:line="400" w:lineRule="exact"/>
        <w:ind w:firstLine="420"/>
        <w:rPr>
          <w:rFonts w:ascii="Times New Roman" w:hAnsi="Times New Roman" w:eastAsia="宋体" w:cs="Times New Roman"/>
          <w:sz w:val="21"/>
          <w:szCs w:val="24"/>
        </w:rPr>
      </w:pPr>
      <w:r>
        <w:rPr>
          <w:rFonts w:hint="eastAsia" w:ascii="宋体" w:hAnsi="宋体" w:eastAsia="宋体" w:cs="Times New Roman"/>
          <w:sz w:val="21"/>
          <w:szCs w:val="21"/>
        </w:rPr>
        <w:t>附件：具体标的及其技术要求和商务要求、联合协议、分包意向协议等。</w:t>
      </w:r>
    </w:p>
    <w:p w14:paraId="4C1F1C75">
      <w:pPr>
        <w:spacing w:line="400" w:lineRule="exact"/>
        <w:ind w:firstLine="420"/>
        <w:rPr>
          <w:rFonts w:ascii="Times New Roman" w:hAnsi="Times New Roman" w:eastAsia="宋体" w:cs="Times New Roman"/>
          <w:sz w:val="21"/>
          <w:szCs w:val="21"/>
        </w:rPr>
      </w:pPr>
    </w:p>
    <w:p w14:paraId="0A76A521">
      <w:pPr>
        <w:ind w:firstLine="420"/>
        <w:rPr>
          <w:rFonts w:ascii="Times New Roman" w:hAnsi="Times New Roman" w:eastAsia="宋体" w:cs="Times New Roman"/>
          <w:sz w:val="21"/>
          <w:szCs w:val="21"/>
        </w:rPr>
      </w:pPr>
    </w:p>
    <w:tbl>
      <w:tblPr>
        <w:tblStyle w:val="59"/>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41"/>
        <w:gridCol w:w="2348"/>
        <w:gridCol w:w="1926"/>
        <w:gridCol w:w="2060"/>
      </w:tblGrid>
      <w:tr w14:paraId="1AC4FB6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7095E62">
            <w:pPr>
              <w:adjustRightInd w:val="0"/>
              <w:snapToGrid w:val="0"/>
              <w:spacing w:line="300" w:lineRule="exact"/>
              <w:ind w:firstLine="0" w:firstLineChars="0"/>
              <w:jc w:val="center"/>
              <w:rPr>
                <w:rFonts w:ascii="Times New Roman" w:hAnsi="Times New Roman" w:eastAsia="宋体" w:cs="Times New Roman"/>
                <w:sz w:val="21"/>
                <w:szCs w:val="24"/>
              </w:rPr>
            </w:pPr>
            <w:r>
              <w:rPr>
                <w:rFonts w:ascii="Times New Roman" w:hAnsi="Times New Roman" w:eastAsia="宋体" w:cs="Times New Roman"/>
                <w:sz w:val="21"/>
                <w:szCs w:val="21"/>
              </w:rPr>
              <w:t>甲方</w:t>
            </w:r>
            <w:r>
              <w:rPr>
                <w:rFonts w:hint="eastAsia" w:ascii="Times New Roman" w:hAnsi="Times New Roman" w:eastAsia="宋体" w:cs="Times New Roman"/>
                <w:sz w:val="21"/>
                <w:szCs w:val="21"/>
              </w:rPr>
              <w:t>（采购人</w:t>
            </w:r>
            <w:r>
              <w:rPr>
                <w:rFonts w:hint="eastAsia" w:ascii="宋体" w:hAnsi="宋体" w:eastAsia="宋体" w:cs="Times New Roman"/>
                <w:sz w:val="21"/>
                <w:szCs w:val="21"/>
              </w:rPr>
              <w:t>、受采购人委托签订合同的单位或</w:t>
            </w:r>
            <w:r>
              <w:rPr>
                <w:rFonts w:hint="eastAsia" w:ascii="Times New Roman" w:hAnsi="Times New Roman" w:eastAsia="宋体" w:cs="Times New Roman"/>
                <w:sz w:val="21"/>
                <w:szCs w:val="21"/>
              </w:rPr>
              <w:t>采购文件约定的合同甲方）</w:t>
            </w:r>
          </w:p>
        </w:tc>
        <w:tc>
          <w:tcPr>
            <w:tcW w:w="2437" w:type="pct"/>
            <w:gridSpan w:val="2"/>
            <w:tcBorders>
              <w:left w:val="single" w:color="auto" w:sz="2" w:space="0"/>
              <w:bottom w:val="single" w:color="auto" w:sz="2" w:space="0"/>
            </w:tcBorders>
            <w:vAlign w:val="center"/>
          </w:tcPr>
          <w:p w14:paraId="5436984B">
            <w:pPr>
              <w:adjustRightInd w:val="0"/>
              <w:snapToGrid w:val="0"/>
              <w:spacing w:line="300" w:lineRule="exact"/>
              <w:ind w:firstLine="0" w:firstLineChars="0"/>
              <w:jc w:val="center"/>
              <w:rPr>
                <w:rFonts w:ascii="Times New Roman" w:hAnsi="Times New Roman" w:eastAsia="宋体" w:cs="Times New Roman"/>
                <w:sz w:val="21"/>
                <w:szCs w:val="24"/>
              </w:rPr>
            </w:pPr>
            <w:r>
              <w:rPr>
                <w:rFonts w:ascii="Times New Roman" w:hAnsi="Times New Roman" w:eastAsia="宋体" w:cs="Times New Roman"/>
                <w:sz w:val="21"/>
                <w:szCs w:val="21"/>
              </w:rPr>
              <w:t>乙方</w:t>
            </w:r>
            <w:r>
              <w:rPr>
                <w:rFonts w:hint="eastAsia" w:ascii="Times New Roman" w:hAnsi="Times New Roman" w:eastAsia="宋体" w:cs="Times New Roman"/>
                <w:sz w:val="21"/>
                <w:szCs w:val="21"/>
              </w:rPr>
              <w:t>（供应商）</w:t>
            </w:r>
          </w:p>
        </w:tc>
      </w:tr>
      <w:tr w14:paraId="3A8B3FA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54160BB1">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单位名称</w:t>
            </w:r>
            <w:r>
              <w:rPr>
                <w:rFonts w:hint="eastAsia" w:ascii="Times New Roman" w:hAnsi="Times New Roman" w:eastAsia="宋体" w:cs="Times New Roman"/>
                <w:sz w:val="21"/>
                <w:szCs w:val="21"/>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0A9A547B">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715FA63">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单位名称</w:t>
            </w:r>
            <w:r>
              <w:rPr>
                <w:rFonts w:hint="eastAsia" w:ascii="Times New Roman" w:hAnsi="Times New Roman" w:eastAsia="宋体" w:cs="Times New Roman"/>
                <w:sz w:val="21"/>
                <w:szCs w:val="21"/>
              </w:rPr>
              <w:t>（公章或合同章）</w:t>
            </w:r>
          </w:p>
        </w:tc>
        <w:tc>
          <w:tcPr>
            <w:tcW w:w="1259" w:type="pct"/>
            <w:tcBorders>
              <w:top w:val="single" w:color="auto" w:sz="2" w:space="0"/>
              <w:left w:val="single" w:color="auto" w:sz="2" w:space="0"/>
              <w:bottom w:val="single" w:color="auto" w:sz="2" w:space="0"/>
            </w:tcBorders>
            <w:vAlign w:val="center"/>
          </w:tcPr>
          <w:p w14:paraId="08AB78E8">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4B11F05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2383738E">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法定代表人</w:t>
            </w:r>
          </w:p>
          <w:p w14:paraId="27D8C5B1">
            <w:pPr>
              <w:adjustRightInd w:val="0"/>
              <w:snapToGrid w:val="0"/>
              <w:spacing w:line="300" w:lineRule="exact"/>
              <w:ind w:firstLine="100" w:firstLineChars="48"/>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或其</w:t>
            </w:r>
            <w:r>
              <w:rPr>
                <w:rFonts w:ascii="Times New Roman" w:hAnsi="Times New Roman" w:eastAsia="宋体" w:cs="Times New Roman"/>
                <w:sz w:val="21"/>
                <w:szCs w:val="21"/>
              </w:rPr>
              <w:t>委托代理人</w:t>
            </w:r>
            <w:r>
              <w:rPr>
                <w:rFonts w:hint="eastAsia" w:ascii="Times New Roman" w:hAnsi="Times New Roman" w:eastAsia="宋体" w:cs="Times New Roman"/>
                <w:sz w:val="21"/>
                <w:szCs w:val="21"/>
              </w:rPr>
              <w:t>（签章）</w:t>
            </w:r>
          </w:p>
        </w:tc>
        <w:tc>
          <w:tcPr>
            <w:tcW w:w="1436" w:type="pct"/>
            <w:vMerge w:val="restart"/>
            <w:tcBorders>
              <w:top w:val="single" w:color="auto" w:sz="2" w:space="0"/>
              <w:left w:val="single" w:color="auto" w:sz="2" w:space="0"/>
              <w:right w:val="single" w:color="auto" w:sz="2" w:space="0"/>
            </w:tcBorders>
            <w:vAlign w:val="center"/>
          </w:tcPr>
          <w:p w14:paraId="1E3DB85F">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right w:val="single" w:color="auto" w:sz="2" w:space="0"/>
            </w:tcBorders>
            <w:vAlign w:val="center"/>
          </w:tcPr>
          <w:p w14:paraId="5EE5288A">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法定代表人</w:t>
            </w:r>
          </w:p>
          <w:p w14:paraId="0AF070F0">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或其</w:t>
            </w:r>
            <w:r>
              <w:rPr>
                <w:rFonts w:ascii="Times New Roman" w:hAnsi="Times New Roman" w:eastAsia="宋体" w:cs="Times New Roman"/>
                <w:sz w:val="21"/>
                <w:szCs w:val="21"/>
              </w:rPr>
              <w:t>委托代理人</w:t>
            </w:r>
            <w:r>
              <w:rPr>
                <w:rFonts w:hint="eastAsia" w:ascii="Times New Roman" w:hAnsi="Times New Roman" w:eastAsia="宋体" w:cs="Times New Roman"/>
                <w:sz w:val="21"/>
                <w:szCs w:val="21"/>
              </w:rPr>
              <w:t>（签章）</w:t>
            </w:r>
          </w:p>
        </w:tc>
        <w:tc>
          <w:tcPr>
            <w:tcW w:w="1259" w:type="pct"/>
            <w:tcBorders>
              <w:top w:val="single" w:color="auto" w:sz="2" w:space="0"/>
              <w:left w:val="single" w:color="auto" w:sz="2" w:space="0"/>
              <w:bottom w:val="single" w:color="auto" w:sz="2" w:space="0"/>
            </w:tcBorders>
            <w:vAlign w:val="center"/>
          </w:tcPr>
          <w:p w14:paraId="18A797DE">
            <w:pPr>
              <w:adjustRightInd w:val="0"/>
              <w:snapToGrid w:val="0"/>
              <w:spacing w:line="300" w:lineRule="exact"/>
              <w:ind w:firstLine="0" w:firstLineChars="0"/>
              <w:jc w:val="center"/>
              <w:rPr>
                <w:rFonts w:ascii="Times New Roman" w:hAnsi="Times New Roman" w:eastAsia="宋体" w:cs="Times New Roman"/>
                <w:sz w:val="21"/>
                <w:szCs w:val="21"/>
              </w:rPr>
            </w:pPr>
          </w:p>
        </w:tc>
      </w:tr>
      <w:tr w14:paraId="37D81D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71E9BCA7">
            <w:pPr>
              <w:adjustRightInd w:val="0"/>
              <w:snapToGrid w:val="0"/>
              <w:spacing w:line="300" w:lineRule="exact"/>
              <w:ind w:firstLine="0" w:firstLineChars="0"/>
              <w:jc w:val="center"/>
              <w:rPr>
                <w:rFonts w:ascii="Times New Roman" w:hAnsi="Times New Roman" w:eastAsia="宋体" w:cs="Times New Roman"/>
                <w:sz w:val="21"/>
                <w:szCs w:val="21"/>
              </w:rPr>
            </w:pPr>
          </w:p>
        </w:tc>
        <w:tc>
          <w:tcPr>
            <w:tcW w:w="1436" w:type="pct"/>
            <w:vMerge w:val="continue"/>
            <w:tcBorders>
              <w:left w:val="single" w:color="auto" w:sz="2" w:space="0"/>
              <w:bottom w:val="single" w:color="auto" w:sz="2" w:space="0"/>
              <w:right w:val="single" w:color="auto" w:sz="2" w:space="0"/>
            </w:tcBorders>
            <w:vAlign w:val="center"/>
          </w:tcPr>
          <w:p w14:paraId="5E99B0CD">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D6796D0">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拥有者性别</w:t>
            </w:r>
          </w:p>
        </w:tc>
        <w:tc>
          <w:tcPr>
            <w:tcW w:w="1259" w:type="pct"/>
            <w:tcBorders>
              <w:top w:val="single" w:color="auto" w:sz="2" w:space="0"/>
              <w:left w:val="single" w:color="auto" w:sz="2" w:space="0"/>
              <w:bottom w:val="single" w:color="auto" w:sz="2" w:space="0"/>
            </w:tcBorders>
            <w:vAlign w:val="center"/>
          </w:tcPr>
          <w:p w14:paraId="74FA900A">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26F923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59848D1">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218C675">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D60D71D">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住  所</w:t>
            </w:r>
          </w:p>
        </w:tc>
        <w:tc>
          <w:tcPr>
            <w:tcW w:w="1259" w:type="pct"/>
            <w:tcBorders>
              <w:top w:val="single" w:color="auto" w:sz="2" w:space="0"/>
              <w:left w:val="single" w:color="auto" w:sz="2" w:space="0"/>
              <w:bottom w:val="single" w:color="auto" w:sz="2" w:space="0"/>
            </w:tcBorders>
            <w:vAlign w:val="center"/>
          </w:tcPr>
          <w:p w14:paraId="7854549B">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42F727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28FF55C">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1BC1B056">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3A90D95">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联 系 人</w:t>
            </w:r>
          </w:p>
        </w:tc>
        <w:tc>
          <w:tcPr>
            <w:tcW w:w="1259" w:type="pct"/>
            <w:tcBorders>
              <w:top w:val="single" w:color="auto" w:sz="2" w:space="0"/>
              <w:left w:val="single" w:color="auto" w:sz="2" w:space="0"/>
              <w:bottom w:val="single" w:color="auto" w:sz="2" w:space="0"/>
            </w:tcBorders>
            <w:vAlign w:val="center"/>
          </w:tcPr>
          <w:p w14:paraId="5BB8EE0F">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37B59B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99EC10C">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AB06912">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3124001">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联系电话</w:t>
            </w:r>
          </w:p>
        </w:tc>
        <w:tc>
          <w:tcPr>
            <w:tcW w:w="1259" w:type="pct"/>
            <w:tcBorders>
              <w:top w:val="single" w:color="auto" w:sz="2" w:space="0"/>
              <w:left w:val="single" w:color="auto" w:sz="2" w:space="0"/>
              <w:bottom w:val="single" w:color="auto" w:sz="2" w:space="0"/>
            </w:tcBorders>
            <w:vAlign w:val="center"/>
          </w:tcPr>
          <w:p w14:paraId="29B2089F">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7E203DF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1F4D6BC">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7C919C1">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16D7085">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通信地址</w:t>
            </w:r>
          </w:p>
        </w:tc>
        <w:tc>
          <w:tcPr>
            <w:tcW w:w="1259" w:type="pct"/>
            <w:tcBorders>
              <w:top w:val="single" w:color="auto" w:sz="2" w:space="0"/>
              <w:left w:val="single" w:color="auto" w:sz="2" w:space="0"/>
              <w:bottom w:val="single" w:color="auto" w:sz="2" w:space="0"/>
            </w:tcBorders>
            <w:vAlign w:val="center"/>
          </w:tcPr>
          <w:p w14:paraId="13FBF148">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7A4709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52B1833">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58FAFB13">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09BB695">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邮政编码</w:t>
            </w:r>
          </w:p>
        </w:tc>
        <w:tc>
          <w:tcPr>
            <w:tcW w:w="1259" w:type="pct"/>
            <w:tcBorders>
              <w:top w:val="single" w:color="auto" w:sz="2" w:space="0"/>
              <w:left w:val="single" w:color="auto" w:sz="2" w:space="0"/>
              <w:bottom w:val="single" w:color="auto" w:sz="2" w:space="0"/>
            </w:tcBorders>
            <w:vAlign w:val="center"/>
          </w:tcPr>
          <w:p w14:paraId="65AC8EB3">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2F37B6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9A517A6">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60BBA08D">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AD6D27A">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电子邮箱</w:t>
            </w:r>
          </w:p>
        </w:tc>
        <w:tc>
          <w:tcPr>
            <w:tcW w:w="1259" w:type="pct"/>
            <w:tcBorders>
              <w:top w:val="single" w:color="auto" w:sz="2" w:space="0"/>
              <w:left w:val="single" w:color="auto" w:sz="2" w:space="0"/>
              <w:bottom w:val="single" w:color="auto" w:sz="2" w:space="0"/>
            </w:tcBorders>
            <w:vAlign w:val="center"/>
          </w:tcPr>
          <w:p w14:paraId="68566781">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6071917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0A4A36">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D5DCD27">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0D88EE8">
            <w:pPr>
              <w:adjustRightInd w:val="0"/>
              <w:snapToGrid w:val="0"/>
              <w:spacing w:line="300" w:lineRule="exact"/>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统一社会信用代码</w:t>
            </w:r>
          </w:p>
        </w:tc>
        <w:tc>
          <w:tcPr>
            <w:tcW w:w="1259" w:type="pct"/>
            <w:tcBorders>
              <w:top w:val="single" w:color="auto" w:sz="2" w:space="0"/>
              <w:left w:val="single" w:color="auto" w:sz="2" w:space="0"/>
              <w:bottom w:val="single" w:color="auto" w:sz="2" w:space="0"/>
            </w:tcBorders>
            <w:vAlign w:val="center"/>
          </w:tcPr>
          <w:p w14:paraId="6A95F3BE">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3F5A22F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089C52">
            <w:pPr>
              <w:adjustRightInd w:val="0"/>
              <w:snapToGrid w:val="0"/>
              <w:spacing w:line="300" w:lineRule="exact"/>
              <w:ind w:firstLine="0" w:firstLineChars="0"/>
              <w:jc w:val="center"/>
              <w:rPr>
                <w:rFonts w:ascii="Times New Roman" w:hAnsi="Times New Roman" w:eastAsia="宋体" w:cs="Times New Roman"/>
                <w:sz w:val="21"/>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09B33A23">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873DBBA">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开户名称</w:t>
            </w:r>
          </w:p>
        </w:tc>
        <w:tc>
          <w:tcPr>
            <w:tcW w:w="1259" w:type="pct"/>
            <w:tcBorders>
              <w:top w:val="single" w:color="auto" w:sz="2" w:space="0"/>
              <w:left w:val="single" w:color="auto" w:sz="2" w:space="0"/>
              <w:bottom w:val="single" w:color="auto" w:sz="2" w:space="0"/>
            </w:tcBorders>
            <w:vAlign w:val="center"/>
          </w:tcPr>
          <w:p w14:paraId="6EC14539">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65F05A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999F5EB">
            <w:pPr>
              <w:adjustRightInd w:val="0"/>
              <w:snapToGrid w:val="0"/>
              <w:spacing w:line="300" w:lineRule="exact"/>
              <w:ind w:firstLine="0" w:firstLineChars="0"/>
              <w:jc w:val="center"/>
              <w:rPr>
                <w:rFonts w:ascii="Times New Roman" w:hAnsi="Times New Roman" w:eastAsia="宋体" w:cs="Times New Roman"/>
                <w:sz w:val="21"/>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D2B1BC7">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473E432">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开户银行</w:t>
            </w:r>
          </w:p>
        </w:tc>
        <w:tc>
          <w:tcPr>
            <w:tcW w:w="1259" w:type="pct"/>
            <w:tcBorders>
              <w:top w:val="single" w:color="auto" w:sz="2" w:space="0"/>
              <w:left w:val="single" w:color="auto" w:sz="2" w:space="0"/>
              <w:bottom w:val="single" w:color="auto" w:sz="2" w:space="0"/>
            </w:tcBorders>
            <w:vAlign w:val="center"/>
          </w:tcPr>
          <w:p w14:paraId="4E2B9F37">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4E05B56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9B007CA">
            <w:pPr>
              <w:adjustRightInd w:val="0"/>
              <w:snapToGrid w:val="0"/>
              <w:spacing w:line="300" w:lineRule="exact"/>
              <w:ind w:firstLine="0" w:firstLineChars="0"/>
              <w:jc w:val="center"/>
              <w:rPr>
                <w:rFonts w:ascii="Times New Roman" w:hAnsi="Times New Roman" w:eastAsia="宋体" w:cs="Times New Roman"/>
                <w:sz w:val="21"/>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477115C">
            <w:pPr>
              <w:adjustRightInd w:val="0"/>
              <w:snapToGrid w:val="0"/>
              <w:spacing w:line="300" w:lineRule="exact"/>
              <w:ind w:firstLine="0" w:firstLineChars="0"/>
              <w:jc w:val="center"/>
              <w:rPr>
                <w:rFonts w:ascii="Times New Roman" w:hAnsi="Times New Roman" w:eastAsia="宋体" w:cs="Times New Roman"/>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3C26F0B">
            <w:pPr>
              <w:adjustRightInd w:val="0"/>
              <w:snapToGrid w:val="0"/>
              <w:spacing w:line="3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银行账号</w:t>
            </w:r>
          </w:p>
        </w:tc>
        <w:tc>
          <w:tcPr>
            <w:tcW w:w="1259" w:type="pct"/>
            <w:tcBorders>
              <w:top w:val="single" w:color="auto" w:sz="2" w:space="0"/>
              <w:left w:val="single" w:color="auto" w:sz="2" w:space="0"/>
              <w:bottom w:val="single" w:color="auto" w:sz="2" w:space="0"/>
            </w:tcBorders>
            <w:vAlign w:val="center"/>
          </w:tcPr>
          <w:p w14:paraId="36B3A971">
            <w:pPr>
              <w:adjustRightInd w:val="0"/>
              <w:snapToGrid w:val="0"/>
              <w:spacing w:line="300" w:lineRule="exact"/>
              <w:ind w:firstLine="0" w:firstLineChars="0"/>
              <w:jc w:val="center"/>
              <w:rPr>
                <w:rFonts w:ascii="Times New Roman" w:hAnsi="Times New Roman" w:eastAsia="宋体" w:cs="Times New Roman"/>
                <w:spacing w:val="20"/>
                <w:sz w:val="21"/>
                <w:szCs w:val="21"/>
              </w:rPr>
            </w:pPr>
          </w:p>
        </w:tc>
      </w:tr>
      <w:tr w14:paraId="5A59D6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3C6E2DCC">
            <w:pPr>
              <w:adjustRightInd w:val="0"/>
              <w:snapToGrid w:val="0"/>
              <w:spacing w:before="217" w:beforeLines="50" w:line="360" w:lineRule="auto"/>
              <w:ind w:firstLine="420"/>
              <w:jc w:val="left"/>
              <w:rPr>
                <w:rFonts w:ascii="Times New Roman" w:hAnsi="Times New Roman" w:eastAsia="宋体" w:cs="Times New Roman"/>
                <w:spacing w:val="20"/>
                <w:sz w:val="21"/>
                <w:szCs w:val="21"/>
              </w:rPr>
            </w:pPr>
            <w:r>
              <w:rPr>
                <w:rFonts w:hint="eastAsia" w:ascii="宋体" w:hAnsi="宋体" w:eastAsia="宋体" w:cs="Times New Roman"/>
                <w:sz w:val="21"/>
                <w:szCs w:val="21"/>
              </w:rPr>
              <w:t>注：涉及联合体或其他合同主体的信息应按上表格式加列。</w:t>
            </w:r>
          </w:p>
        </w:tc>
      </w:tr>
    </w:tbl>
    <w:p w14:paraId="3DEF492A">
      <w:pPr>
        <w:keepNext/>
        <w:keepLines/>
        <w:adjustRightInd w:val="0"/>
        <w:snapToGrid w:val="0"/>
        <w:spacing w:before="217" w:beforeLines="50" w:line="360" w:lineRule="auto"/>
        <w:ind w:firstLine="422"/>
        <w:jc w:val="center"/>
        <w:rPr>
          <w:rFonts w:ascii="黑体" w:hAnsi="黑体" w:eastAsia="黑体" w:cs="Times New Roman"/>
          <w:b/>
          <w:bCs/>
          <w:sz w:val="28"/>
          <w:szCs w:val="28"/>
        </w:rPr>
      </w:pPr>
      <w:r>
        <w:rPr>
          <w:rFonts w:ascii="宋体" w:hAnsi="宋体" w:eastAsia="宋体" w:cs="Times New Roman"/>
          <w:b/>
          <w:bCs/>
          <w:sz w:val="21"/>
          <w:szCs w:val="21"/>
          <w:u w:val="single"/>
        </w:rPr>
        <w:br w:type="page"/>
      </w:r>
      <w:bookmarkStart w:id="540" w:name="_Toc10560"/>
      <w:bookmarkStart w:id="541" w:name="_Toc27624"/>
      <w:r>
        <w:rPr>
          <w:rFonts w:hint="eastAsia" w:ascii="黑体" w:hAnsi="黑体" w:eastAsia="黑体" w:cs="Times New Roman"/>
          <w:sz w:val="28"/>
          <w:szCs w:val="28"/>
        </w:rPr>
        <w:t>第二节 政府采购合同通用条款</w:t>
      </w:r>
      <w:bookmarkEnd w:id="540"/>
      <w:bookmarkEnd w:id="541"/>
    </w:p>
    <w:p w14:paraId="37D5F03F">
      <w:pPr>
        <w:tabs>
          <w:tab w:val="left" w:pos="8820"/>
          <w:tab w:val="left" w:pos="9345"/>
          <w:tab w:val="left" w:pos="9765"/>
        </w:tabs>
        <w:adjustRightInd w:val="0"/>
        <w:snapToGrid w:val="0"/>
        <w:spacing w:line="400" w:lineRule="exact"/>
        <w:ind w:firstLine="0" w:firstLineChars="0"/>
        <w:jc w:val="left"/>
        <w:rPr>
          <w:rFonts w:ascii="宋体" w:hAnsi="宋体" w:eastAsia="宋体" w:cs="Times New Roman"/>
          <w:b/>
          <w:bCs/>
          <w:sz w:val="24"/>
          <w:szCs w:val="24"/>
        </w:rPr>
      </w:pPr>
      <w:r>
        <w:rPr>
          <w:rFonts w:hint="eastAsia" w:ascii="宋体" w:hAnsi="宋体" w:eastAsia="宋体" w:cs="Times New Roman"/>
          <w:b/>
          <w:sz w:val="24"/>
          <w:szCs w:val="24"/>
        </w:rPr>
        <w:t xml:space="preserve">1. </w:t>
      </w:r>
      <w:r>
        <w:rPr>
          <w:rFonts w:hint="eastAsia" w:ascii="宋体" w:hAnsi="宋体" w:eastAsia="宋体" w:cs="Times New Roman"/>
          <w:b/>
          <w:bCs/>
          <w:sz w:val="24"/>
          <w:szCs w:val="24"/>
        </w:rPr>
        <w:t>定义</w:t>
      </w:r>
    </w:p>
    <w:p w14:paraId="348B1984">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1.1合同当事人</w:t>
      </w:r>
    </w:p>
    <w:p w14:paraId="10D5874F">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（1）采购人（以下称甲方）是指使用财政性资金，通过政府采购方式向供应商购买货物及其相关服务的国家机关、事业单位、团体组织。</w:t>
      </w:r>
    </w:p>
    <w:p w14:paraId="2445C0D4">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（2）供应商（以下称乙方）是指参加政府采购活动并且中标（成交），向采购人提供合同约定的货物及其相关服务的法人、非法人组织或者自然人。</w:t>
      </w:r>
    </w:p>
    <w:p w14:paraId="7A530D5E">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（3）其他合同主体是指除采购人和供应商以外，</w:t>
      </w:r>
      <w:r>
        <w:rPr>
          <w:rFonts w:hint="eastAsia" w:ascii="宋体" w:hAnsi="宋体" w:eastAsia="宋体" w:cs="宋体"/>
          <w:bCs/>
          <w:color w:val="000000"/>
          <w:sz w:val="21"/>
          <w:szCs w:val="21"/>
        </w:rPr>
        <w:t>依法参与合同缔结或履行，享有权利、承担义务的合同当事人</w:t>
      </w:r>
      <w:r>
        <w:rPr>
          <w:rFonts w:hint="eastAsia" w:ascii="宋体" w:hAnsi="宋体" w:eastAsia="宋体" w:cs="Times New Roman"/>
          <w:sz w:val="21"/>
          <w:szCs w:val="21"/>
        </w:rPr>
        <w:t>。</w:t>
      </w:r>
    </w:p>
    <w:p w14:paraId="74AD3E5C">
      <w:pPr>
        <w:tabs>
          <w:tab w:val="left" w:pos="570"/>
          <w:tab w:val="left" w:pos="9240"/>
          <w:tab w:val="left" w:pos="9555"/>
        </w:tabs>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1.2本合同下列术语应解释为：</w:t>
      </w:r>
    </w:p>
    <w:p w14:paraId="1EE3F9FB">
      <w:pPr>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（1）“合同”系指</w:t>
      </w:r>
      <w:r>
        <w:rPr>
          <w:rFonts w:hint="eastAsia" w:ascii="宋体" w:hAnsi="宋体" w:eastAsia="宋体" w:cs="宋体"/>
          <w:bCs/>
          <w:color w:val="000000"/>
          <w:sz w:val="21"/>
          <w:szCs w:val="21"/>
        </w:rPr>
        <w:t>合同当事人意思表示达成一致的任何协议，包括签署的</w:t>
      </w:r>
      <w:r>
        <w:rPr>
          <w:rFonts w:hint="eastAsia" w:ascii="宋体" w:hAnsi="宋体" w:eastAsia="宋体" w:cs="Times New Roman"/>
          <w:sz w:val="21"/>
          <w:szCs w:val="21"/>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 w:val="21"/>
          <w:szCs w:val="21"/>
        </w:rPr>
        <w:t>国家法律、行政法规和规章制度规定或合同约定的作为合同组成部分的其他文件</w:t>
      </w:r>
      <w:r>
        <w:rPr>
          <w:rFonts w:hint="eastAsia" w:ascii="宋体" w:hAnsi="宋体" w:eastAsia="宋体" w:cs="Times New Roman"/>
          <w:sz w:val="21"/>
          <w:szCs w:val="21"/>
        </w:rPr>
        <w:t>。</w:t>
      </w:r>
    </w:p>
    <w:p w14:paraId="5E13F079">
      <w:pPr>
        <w:tabs>
          <w:tab w:val="left" w:pos="570"/>
          <w:tab w:val="left" w:pos="9240"/>
          <w:tab w:val="left" w:pos="9555"/>
        </w:tabs>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（2）“合同价款”系指根据本合同规定乙方在全面履行合同义务后甲方应支付给乙方的价款。</w:t>
      </w:r>
    </w:p>
    <w:p w14:paraId="1C00F1F1">
      <w:pPr>
        <w:tabs>
          <w:tab w:val="left" w:pos="570"/>
          <w:tab w:val="left" w:pos="9240"/>
          <w:tab w:val="left" w:pos="9555"/>
        </w:tabs>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sz w:val="21"/>
          <w:szCs w:val="21"/>
        </w:rPr>
        <w:t>（3）“货物”系指乙方根据本合同规定须向甲方提供的各种形态和种类的物品，包括原材料、设备、产品（</w:t>
      </w:r>
      <w:r>
        <w:rPr>
          <w:rFonts w:hint="eastAsia" w:ascii="宋体" w:hAnsi="宋体" w:eastAsia="宋体" w:cs="Times New Roman"/>
          <w:color w:val="000000"/>
          <w:sz w:val="21"/>
          <w:szCs w:val="21"/>
        </w:rPr>
        <w:t>包括软件）及相关的其备品备件、工具、手册及</w:t>
      </w:r>
      <w:r>
        <w:rPr>
          <w:rFonts w:ascii="宋体" w:hAnsi="宋体" w:eastAsia="宋体" w:cs="Times New Roman"/>
          <w:color w:val="000000"/>
          <w:sz w:val="21"/>
          <w:szCs w:val="21"/>
          <w:lang w:val="en"/>
        </w:rPr>
        <w:t>其他</w:t>
      </w:r>
      <w:r>
        <w:rPr>
          <w:rFonts w:hint="eastAsia" w:ascii="宋体" w:hAnsi="宋体" w:eastAsia="宋体" w:cs="Times New Roman"/>
          <w:color w:val="000000"/>
          <w:sz w:val="21"/>
          <w:szCs w:val="21"/>
        </w:rPr>
        <w:t>技术资料和材料等。</w:t>
      </w:r>
    </w:p>
    <w:p w14:paraId="6966E3F5">
      <w:pPr>
        <w:adjustRightInd w:val="0"/>
        <w:snapToGrid w:val="0"/>
        <w:spacing w:line="400" w:lineRule="exact"/>
        <w:ind w:firstLine="420"/>
        <w:jc w:val="left"/>
        <w:rPr>
          <w:rFonts w:ascii="宋体" w:hAnsi="宋体" w:eastAsia="宋体" w:cs="Times New Roman"/>
          <w:color w:val="000000"/>
          <w:sz w:val="21"/>
          <w:szCs w:val="21"/>
          <w:highlight w:val="yellow"/>
        </w:rPr>
      </w:pPr>
      <w:r>
        <w:rPr>
          <w:rFonts w:hint="eastAsia" w:ascii="宋体" w:hAnsi="宋体" w:eastAsia="宋体" w:cs="Times New Roman"/>
          <w:color w:val="000000"/>
          <w:sz w:val="21"/>
          <w:szCs w:val="21"/>
        </w:rPr>
        <w:t>（4）“</w:t>
      </w:r>
      <w:r>
        <w:rPr>
          <w:rFonts w:hint="eastAsia" w:ascii="宋体" w:hAnsi="宋体" w:eastAsia="宋体" w:cs="Times New Roman"/>
          <w:sz w:val="21"/>
          <w:szCs w:val="21"/>
        </w:rPr>
        <w:t>相关</w:t>
      </w:r>
      <w:r>
        <w:rPr>
          <w:rFonts w:hint="eastAsia" w:ascii="宋体" w:hAnsi="宋体" w:eastAsia="宋体" w:cs="Times New Roman"/>
          <w:color w:val="000000"/>
          <w:sz w:val="21"/>
          <w:szCs w:val="21"/>
        </w:rPr>
        <w:t>服务”系指根据合同规定，乙方应提供的与货物有关的技术、管理和</w:t>
      </w:r>
      <w:r>
        <w:rPr>
          <w:rFonts w:ascii="宋体" w:hAnsi="宋体" w:eastAsia="宋体" w:cs="Times New Roman"/>
          <w:color w:val="000000"/>
          <w:sz w:val="21"/>
          <w:szCs w:val="21"/>
          <w:lang w:val="en"/>
        </w:rPr>
        <w:t>其他</w:t>
      </w:r>
      <w:r>
        <w:rPr>
          <w:rFonts w:hint="eastAsia" w:ascii="宋体" w:hAnsi="宋体" w:eastAsia="宋体" w:cs="Times New Roman"/>
          <w:color w:val="000000"/>
          <w:sz w:val="21"/>
          <w:szCs w:val="21"/>
        </w:rPr>
        <w:t>服务，包括但不限于：管理和质量保证、运输、保险、检验、现场准备、安装、集成、调试、培训、维修、废弃处置、技术支持等以及合同中规定乙方应承担的</w:t>
      </w:r>
      <w:r>
        <w:rPr>
          <w:rFonts w:ascii="宋体" w:hAnsi="宋体" w:eastAsia="宋体" w:cs="Times New Roman"/>
          <w:color w:val="000000"/>
          <w:sz w:val="21"/>
          <w:szCs w:val="21"/>
          <w:lang w:val="en"/>
        </w:rPr>
        <w:t>其他</w:t>
      </w:r>
      <w:r>
        <w:rPr>
          <w:rFonts w:hint="eastAsia" w:ascii="宋体" w:hAnsi="宋体" w:eastAsia="宋体" w:cs="Times New Roman"/>
          <w:color w:val="000000"/>
          <w:sz w:val="21"/>
          <w:szCs w:val="21"/>
        </w:rPr>
        <w:t>义务。</w:t>
      </w:r>
    </w:p>
    <w:p w14:paraId="6BA87256">
      <w:pPr>
        <w:adjustRightInd w:val="0"/>
        <w:snapToGrid w:val="0"/>
        <w:spacing w:line="400" w:lineRule="exact"/>
        <w:ind w:firstLine="420"/>
        <w:jc w:val="left"/>
        <w:rPr>
          <w:rFonts w:ascii="宋体" w:hAnsi="宋体" w:eastAsia="宋体" w:cs="Times New Roman"/>
          <w:color w:val="000000"/>
          <w:sz w:val="21"/>
          <w:szCs w:val="21"/>
          <w:highlight w:val="yellow"/>
        </w:rPr>
      </w:pPr>
      <w:r>
        <w:rPr>
          <w:rFonts w:hint="eastAsia" w:ascii="宋体" w:hAnsi="宋体" w:eastAsia="宋体" w:cs="Times New Roman"/>
          <w:color w:val="000000"/>
          <w:sz w:val="21"/>
          <w:szCs w:val="21"/>
        </w:rPr>
        <w:t>（5）“分包”系指中标（成交）供应商按采购文件、投标（响应）文件的规定，根据分包意向协议，将中标（成交）项目中的部分履约内容，分给具有相应资质条件的供应商履行合同的行为。</w:t>
      </w:r>
    </w:p>
    <w:p w14:paraId="4B87411B">
      <w:pPr>
        <w:tabs>
          <w:tab w:val="left" w:pos="570"/>
          <w:tab w:val="left" w:pos="9240"/>
          <w:tab w:val="left" w:pos="9555"/>
        </w:tabs>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（6）</w:t>
      </w:r>
      <w:r>
        <w:rPr>
          <w:rFonts w:hint="eastAsia" w:ascii="宋体" w:hAnsi="宋体" w:eastAsia="宋体" w:cs="Times New Roman"/>
          <w:sz w:val="21"/>
          <w:szCs w:val="21"/>
        </w:rPr>
        <w:t>“联合体”系指由两个以上的自然人、法人或者非法人组织组成，以一个供应商的身份共同参加政府采购的主体</w:t>
      </w:r>
      <w:r>
        <w:rPr>
          <w:rFonts w:hint="eastAsia" w:ascii="宋体" w:hAnsi="宋体" w:eastAsia="宋体" w:cs="Times New Roman"/>
          <w:color w:val="000000"/>
          <w:sz w:val="21"/>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Times New Roman"/>
          <w:b/>
          <w:bCs/>
          <w:color w:val="000000"/>
          <w:sz w:val="21"/>
          <w:szCs w:val="21"/>
        </w:rPr>
        <w:t>政府采购合同专用条款</w:t>
      </w:r>
      <w:r>
        <w:rPr>
          <w:rFonts w:hint="eastAsia" w:ascii="宋体" w:hAnsi="宋体" w:eastAsia="宋体" w:cs="Times New Roman"/>
          <w:color w:val="000000"/>
          <w:sz w:val="21"/>
          <w:szCs w:val="21"/>
        </w:rPr>
        <w:t>】。</w:t>
      </w:r>
    </w:p>
    <w:p w14:paraId="66D02870">
      <w:pPr>
        <w:tabs>
          <w:tab w:val="left" w:pos="570"/>
          <w:tab w:val="left" w:pos="9240"/>
          <w:tab w:val="left" w:pos="9555"/>
        </w:tabs>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（7）其他术语解释，见【</w:t>
      </w:r>
      <w:r>
        <w:rPr>
          <w:rFonts w:hint="eastAsia" w:ascii="宋体" w:hAnsi="宋体" w:eastAsia="宋体" w:cs="Times New Roman"/>
          <w:b/>
          <w:bCs/>
          <w:color w:val="000000"/>
          <w:sz w:val="21"/>
          <w:szCs w:val="21"/>
        </w:rPr>
        <w:t>政府采购合同专用条款</w:t>
      </w:r>
      <w:r>
        <w:rPr>
          <w:rFonts w:hint="eastAsia" w:ascii="宋体" w:hAnsi="宋体" w:eastAsia="宋体" w:cs="Times New Roman"/>
          <w:color w:val="000000"/>
          <w:sz w:val="21"/>
          <w:szCs w:val="21"/>
        </w:rPr>
        <w:t>】。</w:t>
      </w:r>
    </w:p>
    <w:p w14:paraId="7DB052B0">
      <w:pPr>
        <w:numPr>
          <w:ilvl w:val="0"/>
          <w:numId w:val="14"/>
        </w:numPr>
        <w:autoSpaceDE w:val="0"/>
        <w:autoSpaceDN w:val="0"/>
        <w:adjustRightInd w:val="0"/>
        <w:snapToGrid w:val="0"/>
        <w:spacing w:line="400" w:lineRule="exact"/>
        <w:ind w:firstLine="0" w:firstLineChars="0"/>
        <w:jc w:val="left"/>
        <w:rPr>
          <w:rFonts w:ascii="宋体" w:hAnsi="宋体" w:eastAsia="宋体" w:cs="Times New Roman"/>
          <w:b/>
          <w:bCs/>
          <w:color w:val="000000"/>
          <w:sz w:val="24"/>
          <w:szCs w:val="24"/>
        </w:rPr>
      </w:pPr>
      <w:r>
        <w:rPr>
          <w:rFonts w:hint="eastAsia" w:ascii="宋体" w:hAnsi="宋体" w:eastAsia="宋体" w:cs="Times New Roman"/>
          <w:b/>
          <w:color w:val="000000"/>
          <w:sz w:val="24"/>
          <w:szCs w:val="24"/>
        </w:rPr>
        <w:t>合同标的及金额</w:t>
      </w:r>
    </w:p>
    <w:p w14:paraId="500F394F">
      <w:pPr>
        <w:autoSpaceDE w:val="0"/>
        <w:autoSpaceDN w:val="0"/>
        <w:adjustRightInd w:val="0"/>
        <w:snapToGrid w:val="0"/>
        <w:spacing w:line="400" w:lineRule="exact"/>
        <w:ind w:firstLine="420"/>
        <w:jc w:val="left"/>
        <w:rPr>
          <w:rFonts w:ascii="宋体" w:hAnsi="宋体" w:eastAsia="宋体" w:cs="Times New Roman"/>
          <w:b/>
          <w:bCs/>
          <w:i/>
          <w:iCs/>
          <w:color w:val="000000"/>
          <w:sz w:val="21"/>
          <w:szCs w:val="21"/>
        </w:rPr>
      </w:pPr>
      <w:r>
        <w:rPr>
          <w:rFonts w:hint="eastAsia" w:ascii="宋体" w:hAnsi="宋体" w:eastAsia="宋体" w:cs="Times New Roman"/>
          <w:color w:val="000000"/>
          <w:sz w:val="21"/>
          <w:szCs w:val="21"/>
        </w:rPr>
        <w:t>2.1 合同标的及金额应与中标（成交）结果一致。乙方为履行本合同而发生的所有费用均应包含在合同价款中，甲方不再另行支付</w:t>
      </w:r>
      <w:r>
        <w:rPr>
          <w:rFonts w:ascii="宋体" w:hAnsi="宋体" w:eastAsia="宋体" w:cs="Times New Roman"/>
          <w:color w:val="000000"/>
          <w:sz w:val="21"/>
          <w:szCs w:val="21"/>
          <w:lang w:val="en"/>
        </w:rPr>
        <w:t>其他</w:t>
      </w:r>
      <w:r>
        <w:rPr>
          <w:rFonts w:hint="eastAsia" w:ascii="宋体" w:hAnsi="宋体" w:eastAsia="宋体" w:cs="Times New Roman"/>
          <w:color w:val="000000"/>
          <w:sz w:val="21"/>
          <w:szCs w:val="21"/>
        </w:rPr>
        <w:t>任何费用。</w:t>
      </w:r>
    </w:p>
    <w:p w14:paraId="2A29FDF8">
      <w:pPr>
        <w:adjustRightInd w:val="0"/>
        <w:snapToGrid w:val="0"/>
        <w:spacing w:line="400" w:lineRule="exact"/>
        <w:ind w:firstLine="0" w:firstLineChars="0"/>
        <w:jc w:val="left"/>
        <w:rPr>
          <w:rFonts w:ascii="宋体" w:hAnsi="宋体" w:eastAsia="宋体" w:cs="Times New Roman"/>
          <w:b/>
          <w:color w:val="000000"/>
          <w:sz w:val="24"/>
          <w:szCs w:val="24"/>
        </w:rPr>
      </w:pPr>
      <w:r>
        <w:rPr>
          <w:rFonts w:hint="eastAsia" w:ascii="宋体" w:hAnsi="宋体" w:eastAsia="宋体" w:cs="Times New Roman"/>
          <w:b/>
          <w:color w:val="000000"/>
          <w:sz w:val="24"/>
          <w:szCs w:val="24"/>
        </w:rPr>
        <w:t>3. 履行合同的时间、地点和方式</w:t>
      </w:r>
    </w:p>
    <w:p w14:paraId="7ED3BB37">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 xml:space="preserve">3.1 </w:t>
      </w:r>
      <w:r>
        <w:rPr>
          <w:rFonts w:hint="eastAsia" w:ascii="宋体" w:hAnsi="宋体" w:eastAsia="宋体" w:cs="宋体"/>
          <w:sz w:val="21"/>
          <w:szCs w:val="21"/>
        </w:rPr>
        <w:t>乙方应当在约定的时间、地点，按照约定方式履行合同。</w:t>
      </w:r>
    </w:p>
    <w:p w14:paraId="6CBA33AD">
      <w:pPr>
        <w:autoSpaceDE w:val="0"/>
        <w:autoSpaceDN w:val="0"/>
        <w:adjustRightInd w:val="0"/>
        <w:snapToGrid w:val="0"/>
        <w:spacing w:line="400" w:lineRule="exact"/>
        <w:ind w:firstLine="0" w:firstLineChars="0"/>
        <w:jc w:val="left"/>
        <w:rPr>
          <w:rFonts w:ascii="宋体" w:hAnsi="宋体" w:eastAsia="宋体" w:cs="Times New Roman"/>
          <w:b/>
          <w:bCs/>
          <w:color w:val="000000"/>
          <w:sz w:val="24"/>
          <w:szCs w:val="24"/>
        </w:rPr>
      </w:pPr>
      <w:r>
        <w:rPr>
          <w:rFonts w:hint="eastAsia" w:ascii="宋体" w:hAnsi="宋体" w:eastAsia="宋体" w:cs="Times New Roman"/>
          <w:b/>
          <w:bCs/>
          <w:color w:val="000000"/>
          <w:sz w:val="24"/>
          <w:szCs w:val="24"/>
        </w:rPr>
        <w:t>4. 甲方的权利和义务</w:t>
      </w:r>
    </w:p>
    <w:p w14:paraId="016687A4">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4.1</w:t>
      </w:r>
      <w:r>
        <w:rPr>
          <w:rFonts w:ascii="宋体" w:hAnsi="宋体" w:eastAsia="宋体" w:cs="Times New Roman"/>
          <w:color w:val="000000"/>
          <w:sz w:val="21"/>
          <w:szCs w:val="21"/>
        </w:rPr>
        <w:t xml:space="preserve"> 签署合同后，甲方</w:t>
      </w:r>
      <w:r>
        <w:rPr>
          <w:rFonts w:hint="eastAsia" w:ascii="宋体" w:hAnsi="宋体" w:eastAsia="宋体" w:cs="Times New Roman"/>
          <w:color w:val="000000"/>
          <w:sz w:val="21"/>
          <w:szCs w:val="21"/>
        </w:rPr>
        <w:t>应</w:t>
      </w:r>
      <w:r>
        <w:rPr>
          <w:rFonts w:ascii="宋体" w:hAnsi="宋体" w:eastAsia="宋体" w:cs="Times New Roman"/>
          <w:color w:val="000000"/>
          <w:sz w:val="21"/>
          <w:szCs w:val="21"/>
        </w:rPr>
        <w:t>确定</w:t>
      </w:r>
      <w:r>
        <w:rPr>
          <w:rFonts w:hint="eastAsia" w:ascii="宋体" w:hAnsi="宋体" w:eastAsia="宋体" w:cs="Times New Roman"/>
          <w:color w:val="000000"/>
          <w:sz w:val="21"/>
          <w:szCs w:val="21"/>
        </w:rPr>
        <w:t>项目负责人（或项目联系人）</w:t>
      </w:r>
      <w:r>
        <w:rPr>
          <w:rFonts w:ascii="宋体" w:hAnsi="宋体" w:eastAsia="宋体" w:cs="Times New Roman"/>
          <w:color w:val="000000"/>
          <w:sz w:val="21"/>
          <w:szCs w:val="21"/>
        </w:rPr>
        <w:t>，负责与本合同有关的事务。</w:t>
      </w:r>
      <w:r>
        <w:rPr>
          <w:rFonts w:hint="eastAsia" w:ascii="宋体" w:hAnsi="宋体" w:eastAsia="宋体" w:cs="Times New Roman"/>
          <w:color w:val="000000"/>
          <w:sz w:val="21"/>
          <w:szCs w:val="21"/>
        </w:rPr>
        <w:t>甲方有权对乙方的履约行为进行检查，并</w:t>
      </w:r>
      <w:r>
        <w:rPr>
          <w:rFonts w:ascii="宋体" w:hAnsi="宋体" w:eastAsia="宋体" w:cs="Times New Roman"/>
          <w:color w:val="000000"/>
          <w:sz w:val="21"/>
          <w:szCs w:val="21"/>
        </w:rPr>
        <w:t>及时确认乙方提交的事项</w:t>
      </w:r>
      <w:r>
        <w:rPr>
          <w:rFonts w:hint="eastAsia" w:ascii="宋体" w:hAnsi="宋体" w:eastAsia="宋体" w:cs="Times New Roman"/>
          <w:color w:val="000000"/>
          <w:sz w:val="21"/>
          <w:szCs w:val="21"/>
        </w:rPr>
        <w:t>。甲方应当</w:t>
      </w:r>
      <w:r>
        <w:rPr>
          <w:rFonts w:ascii="宋体" w:hAnsi="宋体" w:eastAsia="宋体" w:cs="Times New Roman"/>
          <w:color w:val="000000"/>
          <w:sz w:val="21"/>
          <w:szCs w:val="21"/>
        </w:rPr>
        <w:t>配合乙方完成</w:t>
      </w:r>
      <w:r>
        <w:rPr>
          <w:rFonts w:hint="eastAsia" w:ascii="宋体" w:hAnsi="宋体" w:eastAsia="宋体" w:cs="Times New Roman"/>
          <w:color w:val="000000"/>
          <w:sz w:val="21"/>
          <w:szCs w:val="21"/>
        </w:rPr>
        <w:t>相关项目</w:t>
      </w:r>
      <w:r>
        <w:rPr>
          <w:rFonts w:ascii="宋体" w:hAnsi="宋体" w:eastAsia="宋体" w:cs="Times New Roman"/>
          <w:color w:val="000000"/>
          <w:sz w:val="21"/>
          <w:szCs w:val="21"/>
        </w:rPr>
        <w:t>实施工作。</w:t>
      </w:r>
    </w:p>
    <w:p w14:paraId="6B9A78EA">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 xml:space="preserve">4.2 </w:t>
      </w:r>
      <w:r>
        <w:rPr>
          <w:rFonts w:ascii="宋体" w:hAnsi="宋体" w:eastAsia="宋体" w:cs="Times New Roman"/>
          <w:color w:val="000000"/>
          <w:sz w:val="21"/>
          <w:szCs w:val="21"/>
        </w:rPr>
        <w:t>甲方有权要求乙方按时提交各阶段有关</w:t>
      </w:r>
      <w:r>
        <w:rPr>
          <w:rFonts w:hint="eastAsia" w:ascii="宋体" w:hAnsi="宋体" w:eastAsia="宋体" w:cs="Times New Roman"/>
          <w:color w:val="000000"/>
          <w:sz w:val="21"/>
          <w:szCs w:val="21"/>
        </w:rPr>
        <w:t>安排计划</w:t>
      </w:r>
      <w:r>
        <w:rPr>
          <w:rFonts w:ascii="宋体" w:hAnsi="宋体" w:eastAsia="宋体" w:cs="Times New Roman"/>
          <w:color w:val="000000"/>
          <w:sz w:val="21"/>
          <w:szCs w:val="21"/>
        </w:rPr>
        <w:t>，并有权</w:t>
      </w:r>
      <w:r>
        <w:rPr>
          <w:rFonts w:hint="eastAsia" w:ascii="宋体" w:hAnsi="宋体" w:eastAsia="宋体" w:cs="Times New Roman"/>
          <w:color w:val="000000"/>
          <w:sz w:val="21"/>
          <w:szCs w:val="21"/>
        </w:rPr>
        <w:t>定期核对乙方提供货物数量、规格、质量等内容。甲方</w:t>
      </w:r>
      <w:r>
        <w:rPr>
          <w:rFonts w:ascii="宋体" w:hAnsi="宋体" w:eastAsia="宋体" w:cs="Times New Roman"/>
          <w:color w:val="000000"/>
          <w:sz w:val="21"/>
          <w:szCs w:val="21"/>
        </w:rPr>
        <w:t>有权督促乙方工作并要求乙方</w:t>
      </w:r>
      <w:r>
        <w:rPr>
          <w:rFonts w:hint="eastAsia" w:ascii="宋体" w:hAnsi="宋体" w:eastAsia="宋体" w:cs="Times New Roman"/>
          <w:color w:val="000000"/>
          <w:sz w:val="21"/>
          <w:szCs w:val="21"/>
        </w:rPr>
        <w:t>更</w:t>
      </w:r>
      <w:r>
        <w:rPr>
          <w:rFonts w:ascii="宋体" w:hAnsi="宋体" w:eastAsia="宋体" w:cs="Times New Roman"/>
          <w:color w:val="000000"/>
          <w:sz w:val="21"/>
          <w:szCs w:val="21"/>
        </w:rPr>
        <w:t>换不符合要求的</w:t>
      </w:r>
      <w:r>
        <w:rPr>
          <w:rFonts w:hint="eastAsia" w:ascii="宋体" w:hAnsi="宋体" w:eastAsia="宋体" w:cs="Times New Roman"/>
          <w:color w:val="000000"/>
          <w:sz w:val="21"/>
          <w:szCs w:val="21"/>
        </w:rPr>
        <w:t>货物</w:t>
      </w:r>
      <w:r>
        <w:rPr>
          <w:rFonts w:ascii="宋体" w:hAnsi="宋体" w:eastAsia="宋体" w:cs="Times New Roman"/>
          <w:color w:val="000000"/>
          <w:sz w:val="21"/>
          <w:szCs w:val="21"/>
        </w:rPr>
        <w:t>。</w:t>
      </w:r>
    </w:p>
    <w:p w14:paraId="3A407D10">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4.</w:t>
      </w:r>
      <w:r>
        <w:rPr>
          <w:rFonts w:ascii="宋体" w:hAnsi="宋体" w:eastAsia="宋体" w:cs="Times New Roman"/>
          <w:color w:val="000000"/>
          <w:sz w:val="21"/>
          <w:szCs w:val="21"/>
        </w:rPr>
        <w:t>3</w:t>
      </w:r>
      <w:r>
        <w:rPr>
          <w:rFonts w:hint="eastAsia" w:ascii="宋体" w:hAnsi="宋体" w:eastAsia="宋体" w:cs="Times New Roman"/>
          <w:color w:val="000000"/>
          <w:sz w:val="21"/>
          <w:szCs w:val="21"/>
        </w:rPr>
        <w:t xml:space="preserve"> </w:t>
      </w:r>
      <w:r>
        <w:rPr>
          <w:rFonts w:ascii="宋体" w:hAnsi="宋体" w:eastAsia="宋体" w:cs="Times New Roman"/>
          <w:color w:val="000000"/>
          <w:sz w:val="21"/>
          <w:szCs w:val="21"/>
        </w:rPr>
        <w:t>甲方</w:t>
      </w:r>
      <w:r>
        <w:rPr>
          <w:rFonts w:hint="eastAsia" w:ascii="宋体" w:hAnsi="宋体" w:eastAsia="宋体" w:cs="Times New Roman"/>
          <w:color w:val="000000"/>
          <w:sz w:val="21"/>
          <w:szCs w:val="21"/>
        </w:rPr>
        <w:t>有权要求乙方对缺陷部分予以修复，并按合同约定享有货物保修及其他合同约定的权利。</w:t>
      </w:r>
    </w:p>
    <w:p w14:paraId="76C649E3">
      <w:pPr>
        <w:snapToGrid w:val="0"/>
        <w:spacing w:line="400" w:lineRule="exact"/>
        <w:ind w:firstLine="420"/>
        <w:rPr>
          <w:rFonts w:ascii="Times New Roman" w:hAnsi="Times New Roman" w:eastAsia="华文楷体" w:cs="Times New Roman"/>
          <w:sz w:val="21"/>
          <w:szCs w:val="24"/>
        </w:rPr>
      </w:pPr>
      <w:r>
        <w:rPr>
          <w:rFonts w:ascii="宋体" w:hAnsi="宋体" w:eastAsia="宋体" w:cs="Times New Roman"/>
          <w:color w:val="000000"/>
          <w:sz w:val="21"/>
          <w:szCs w:val="21"/>
        </w:rPr>
        <w:t>4.4 甲方应当按照合同约定及时对交付的货物进行验收</w:t>
      </w:r>
      <w:r>
        <w:rPr>
          <w:rFonts w:hint="eastAsia" w:ascii="宋体" w:hAnsi="宋体" w:eastAsia="宋体" w:cs="Times New Roman"/>
          <w:color w:val="000000"/>
          <w:sz w:val="21"/>
          <w:szCs w:val="21"/>
        </w:rPr>
        <w:t>，</w:t>
      </w:r>
      <w:r>
        <w:rPr>
          <w:rFonts w:hint="eastAsia" w:ascii="宋体" w:hAnsi="宋体" w:eastAsia="宋体" w:cs="宋体"/>
          <w:sz w:val="21"/>
          <w:szCs w:val="21"/>
        </w:rPr>
        <w:t>未</w:t>
      </w:r>
      <w:r>
        <w:rPr>
          <w:rFonts w:hint="eastAsia" w:ascii="宋体" w:hAnsi="宋体" w:eastAsia="宋体" w:cs="Times New Roman"/>
          <w:color w:val="000000"/>
          <w:sz w:val="21"/>
          <w:szCs w:val="21"/>
        </w:rPr>
        <w:t>在</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约定的期限内对乙方履约提出任何异议或者向乙方作出任何说明的，</w:t>
      </w:r>
      <w:r>
        <w:rPr>
          <w:rFonts w:hint="eastAsia" w:ascii="宋体" w:hAnsi="宋体" w:eastAsia="宋体" w:cs="Times New Roman"/>
          <w:color w:val="000000"/>
          <w:sz w:val="21"/>
          <w:szCs w:val="21"/>
        </w:rPr>
        <w:t>视为验收通过。</w:t>
      </w:r>
    </w:p>
    <w:p w14:paraId="66988BB8">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ascii="宋体" w:hAnsi="宋体" w:eastAsia="宋体" w:cs="Times New Roman"/>
          <w:color w:val="000000"/>
          <w:sz w:val="21"/>
          <w:szCs w:val="21"/>
        </w:rPr>
        <w:t>4</w:t>
      </w:r>
      <w:r>
        <w:rPr>
          <w:rFonts w:hint="eastAsia" w:ascii="宋体" w:hAnsi="宋体" w:eastAsia="宋体" w:cs="Times New Roman"/>
          <w:color w:val="000000"/>
          <w:sz w:val="21"/>
          <w:szCs w:val="21"/>
        </w:rPr>
        <w:t>.</w:t>
      </w:r>
      <w:r>
        <w:rPr>
          <w:rFonts w:ascii="宋体" w:hAnsi="宋体" w:eastAsia="宋体" w:cs="Times New Roman"/>
          <w:color w:val="000000"/>
          <w:sz w:val="21"/>
          <w:szCs w:val="21"/>
        </w:rPr>
        <w:t xml:space="preserve">5 </w:t>
      </w:r>
      <w:r>
        <w:rPr>
          <w:rFonts w:hint="eastAsia" w:ascii="宋体" w:hAnsi="宋体" w:eastAsia="宋体" w:cs="Times New Roman"/>
          <w:color w:val="000000"/>
          <w:sz w:val="21"/>
          <w:szCs w:val="21"/>
        </w:rPr>
        <w:t>甲方应当根据合同约定及时向乙方支付合同价款</w:t>
      </w:r>
      <w:r>
        <w:rPr>
          <w:rFonts w:ascii="宋体" w:hAnsi="宋体" w:eastAsia="宋体" w:cs="Times New Roman"/>
          <w:color w:val="000000"/>
          <w:sz w:val="21"/>
          <w:szCs w:val="21"/>
        </w:rPr>
        <w:t>，不得以内部人员变更、履行内部付款流程等为由，拒绝或迟延支付。</w:t>
      </w:r>
    </w:p>
    <w:p w14:paraId="25E9B675">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4.6</w:t>
      </w:r>
      <w:r>
        <w:rPr>
          <w:rFonts w:ascii="宋体" w:hAnsi="宋体" w:eastAsia="宋体" w:cs="Times New Roman"/>
          <w:color w:val="000000"/>
          <w:sz w:val="21"/>
          <w:szCs w:val="21"/>
        </w:rPr>
        <w:t xml:space="preserve"> </w:t>
      </w:r>
      <w:r>
        <w:rPr>
          <w:rFonts w:hint="eastAsia" w:ascii="宋体" w:hAnsi="宋体" w:eastAsia="宋体" w:cs="Times New Roman"/>
          <w:color w:val="000000"/>
          <w:sz w:val="21"/>
          <w:szCs w:val="21"/>
        </w:rPr>
        <w:t>国家法律法规规定及</w:t>
      </w:r>
      <w:r>
        <w:rPr>
          <w:rFonts w:hint="eastAsia" w:ascii="宋体" w:hAnsi="宋体" w:eastAsia="宋体" w:cs="宋体"/>
          <w:b/>
          <w:bCs/>
          <w:sz w:val="21"/>
          <w:szCs w:val="21"/>
        </w:rPr>
        <w:t>【政府采购合同专用条款】</w:t>
      </w:r>
      <w:r>
        <w:rPr>
          <w:rFonts w:hint="eastAsia" w:ascii="宋体" w:hAnsi="宋体" w:eastAsia="宋体" w:cs="Times New Roman"/>
          <w:color w:val="000000"/>
          <w:sz w:val="21"/>
          <w:szCs w:val="21"/>
        </w:rPr>
        <w:t>约定应由甲方承担的其他义务和责任。</w:t>
      </w:r>
    </w:p>
    <w:p w14:paraId="5D35B433">
      <w:pPr>
        <w:autoSpaceDE w:val="0"/>
        <w:autoSpaceDN w:val="0"/>
        <w:adjustRightInd w:val="0"/>
        <w:snapToGrid w:val="0"/>
        <w:spacing w:line="400" w:lineRule="exact"/>
        <w:ind w:firstLine="0" w:firstLineChars="0"/>
        <w:jc w:val="left"/>
        <w:rPr>
          <w:rFonts w:ascii="宋体" w:hAnsi="宋体" w:eastAsia="宋体" w:cs="Times New Roman"/>
          <w:b/>
          <w:bCs/>
          <w:color w:val="000000"/>
          <w:sz w:val="24"/>
          <w:szCs w:val="24"/>
        </w:rPr>
      </w:pPr>
      <w:r>
        <w:rPr>
          <w:rFonts w:hint="eastAsia" w:ascii="宋体" w:hAnsi="宋体" w:eastAsia="宋体" w:cs="Times New Roman"/>
          <w:b/>
          <w:bCs/>
          <w:color w:val="000000"/>
          <w:sz w:val="24"/>
          <w:szCs w:val="24"/>
        </w:rPr>
        <w:t>5. 乙方的权利和义务</w:t>
      </w:r>
    </w:p>
    <w:p w14:paraId="018A4763">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 xml:space="preserve">5.1 </w:t>
      </w:r>
      <w:r>
        <w:rPr>
          <w:rFonts w:ascii="宋体" w:hAnsi="宋体" w:eastAsia="宋体" w:cs="Times New Roman"/>
          <w:color w:val="000000"/>
          <w:sz w:val="21"/>
          <w:szCs w:val="21"/>
        </w:rPr>
        <w:t>签署合同后，乙方</w:t>
      </w:r>
      <w:r>
        <w:rPr>
          <w:rFonts w:hint="eastAsia" w:ascii="宋体" w:hAnsi="宋体" w:eastAsia="宋体" w:cs="Times New Roman"/>
          <w:color w:val="000000"/>
          <w:sz w:val="21"/>
          <w:szCs w:val="21"/>
        </w:rPr>
        <w:t>应</w:t>
      </w:r>
      <w:r>
        <w:rPr>
          <w:rFonts w:ascii="宋体" w:hAnsi="宋体" w:eastAsia="宋体" w:cs="Times New Roman"/>
          <w:color w:val="000000"/>
          <w:sz w:val="21"/>
          <w:szCs w:val="21"/>
        </w:rPr>
        <w:t>确定</w:t>
      </w:r>
      <w:r>
        <w:rPr>
          <w:rFonts w:hint="eastAsia" w:ascii="宋体" w:hAnsi="宋体" w:eastAsia="宋体" w:cs="Times New Roman"/>
          <w:color w:val="000000"/>
          <w:sz w:val="21"/>
          <w:szCs w:val="21"/>
        </w:rPr>
        <w:t>项目负责人（或项目联系人）</w:t>
      </w:r>
      <w:r>
        <w:rPr>
          <w:rFonts w:ascii="宋体" w:hAnsi="宋体" w:eastAsia="宋体" w:cs="Times New Roman"/>
          <w:color w:val="000000"/>
          <w:sz w:val="21"/>
          <w:szCs w:val="21"/>
        </w:rPr>
        <w:t>，负责与本合同有关的事务。</w:t>
      </w:r>
    </w:p>
    <w:p w14:paraId="76CF8E8C">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5.</w:t>
      </w:r>
      <w:r>
        <w:rPr>
          <w:rFonts w:ascii="宋体" w:hAnsi="宋体" w:eastAsia="宋体" w:cs="Times New Roman"/>
          <w:color w:val="000000"/>
          <w:sz w:val="21"/>
          <w:szCs w:val="21"/>
        </w:rPr>
        <w:t>2 乙方应按照合同要求</w:t>
      </w:r>
      <w:r>
        <w:rPr>
          <w:rFonts w:hint="eastAsia" w:ascii="宋体" w:hAnsi="宋体" w:eastAsia="宋体" w:cs="Times New Roman"/>
          <w:color w:val="000000"/>
          <w:sz w:val="21"/>
          <w:szCs w:val="21"/>
        </w:rPr>
        <w:t>履约</w:t>
      </w:r>
      <w:r>
        <w:rPr>
          <w:rFonts w:ascii="宋体" w:hAnsi="宋体" w:eastAsia="宋体" w:cs="Times New Roman"/>
          <w:color w:val="000000"/>
          <w:sz w:val="21"/>
          <w:szCs w:val="21"/>
        </w:rPr>
        <w:t>，充分合理安排，确保</w:t>
      </w:r>
      <w:r>
        <w:rPr>
          <w:rFonts w:hint="eastAsia" w:ascii="宋体" w:hAnsi="宋体" w:eastAsia="宋体" w:cs="Times New Roman"/>
          <w:color w:val="000000"/>
          <w:sz w:val="21"/>
          <w:szCs w:val="21"/>
        </w:rPr>
        <w:t>提供的货物及相关服务符合合同有关</w:t>
      </w:r>
      <w:r>
        <w:rPr>
          <w:rFonts w:ascii="宋体" w:hAnsi="宋体" w:eastAsia="宋体" w:cs="Times New Roman"/>
          <w:color w:val="000000"/>
          <w:sz w:val="21"/>
          <w:szCs w:val="21"/>
        </w:rPr>
        <w:t>要求</w:t>
      </w:r>
      <w:r>
        <w:rPr>
          <w:rFonts w:hint="eastAsia" w:ascii="宋体" w:hAnsi="宋体" w:eastAsia="宋体" w:cs="Times New Roman"/>
          <w:color w:val="000000"/>
          <w:sz w:val="21"/>
          <w:szCs w:val="21"/>
        </w:rPr>
        <w:t>。接受项目行业管理部门及政府有关部门的指导，配合甲方的履约检查及验收，并</w:t>
      </w:r>
      <w:r>
        <w:rPr>
          <w:rFonts w:ascii="宋体" w:hAnsi="宋体" w:eastAsia="宋体" w:cs="Times New Roman"/>
          <w:color w:val="000000"/>
          <w:sz w:val="21"/>
          <w:szCs w:val="21"/>
        </w:rPr>
        <w:t>负责项目实施过程中的所有协调工作。</w:t>
      </w:r>
    </w:p>
    <w:p w14:paraId="196FBBE9">
      <w:pPr>
        <w:spacing w:line="400" w:lineRule="exact"/>
        <w:ind w:firstLine="369" w:firstLineChars="176"/>
        <w:rPr>
          <w:rFonts w:ascii="宋体" w:hAnsi="宋体" w:eastAsia="宋体" w:cs="宋体"/>
          <w:color w:val="000000"/>
          <w:sz w:val="21"/>
          <w:szCs w:val="21"/>
        </w:rPr>
      </w:pPr>
      <w:r>
        <w:rPr>
          <w:rFonts w:hint="eastAsia" w:ascii="宋体" w:hAnsi="宋体" w:eastAsia="宋体" w:cs="Times New Roman"/>
          <w:color w:val="000000"/>
          <w:sz w:val="21"/>
          <w:szCs w:val="21"/>
        </w:rPr>
        <w:t>5.</w:t>
      </w:r>
      <w:r>
        <w:rPr>
          <w:rFonts w:ascii="宋体" w:hAnsi="宋体" w:eastAsia="宋体" w:cs="Times New Roman"/>
          <w:color w:val="000000"/>
          <w:sz w:val="21"/>
          <w:szCs w:val="21"/>
        </w:rPr>
        <w:t>3</w:t>
      </w:r>
      <w:r>
        <w:rPr>
          <w:rFonts w:hint="eastAsia" w:ascii="宋体" w:hAnsi="宋体" w:eastAsia="宋体" w:cs="Times New Roman"/>
          <w:color w:val="000000"/>
          <w:sz w:val="21"/>
          <w:szCs w:val="21"/>
        </w:rPr>
        <w:t>乙方有权</w:t>
      </w:r>
      <w:r>
        <w:rPr>
          <w:rFonts w:hint="eastAsia" w:ascii="宋体" w:hAnsi="宋体" w:eastAsia="宋体" w:cs="宋体"/>
          <w:color w:val="000000"/>
          <w:sz w:val="21"/>
          <w:szCs w:val="21"/>
        </w:rPr>
        <w:t>根据合同约定向甲方收取合同价款。</w:t>
      </w:r>
    </w:p>
    <w:p w14:paraId="1D1DD642">
      <w:pPr>
        <w:spacing w:line="400" w:lineRule="exact"/>
        <w:ind w:firstLine="369" w:firstLineChars="176"/>
        <w:rPr>
          <w:rFonts w:ascii="宋体" w:hAnsi="宋体" w:eastAsia="宋体" w:cs="宋体"/>
          <w:color w:val="000000"/>
          <w:sz w:val="21"/>
          <w:szCs w:val="21"/>
        </w:rPr>
      </w:pPr>
      <w:r>
        <w:rPr>
          <w:rFonts w:hint="eastAsia" w:ascii="宋体" w:hAnsi="宋体" w:eastAsia="宋体" w:cs="Times New Roman"/>
          <w:color w:val="000000"/>
          <w:sz w:val="21"/>
          <w:szCs w:val="21"/>
        </w:rPr>
        <w:t>5.</w:t>
      </w:r>
      <w:r>
        <w:rPr>
          <w:rFonts w:ascii="宋体" w:hAnsi="宋体" w:eastAsia="宋体" w:cs="Times New Roman"/>
          <w:color w:val="000000"/>
          <w:sz w:val="21"/>
          <w:szCs w:val="21"/>
        </w:rPr>
        <w:t>4</w:t>
      </w:r>
      <w:r>
        <w:rPr>
          <w:rFonts w:hint="eastAsia" w:ascii="宋体" w:hAnsi="宋体" w:eastAsia="宋体" w:cs="宋体"/>
          <w:color w:val="000000"/>
          <w:sz w:val="21"/>
          <w:szCs w:val="21"/>
        </w:rPr>
        <w:t>国家法律法规规定</w:t>
      </w:r>
      <w:r>
        <w:rPr>
          <w:rFonts w:hint="eastAsia" w:ascii="宋体" w:hAnsi="宋体" w:eastAsia="宋体" w:cs="Times New Roman"/>
          <w:color w:val="000000"/>
          <w:sz w:val="21"/>
          <w:szCs w:val="21"/>
        </w:rPr>
        <w:t>及</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约定应</w:t>
      </w:r>
      <w:r>
        <w:rPr>
          <w:rFonts w:hint="eastAsia" w:ascii="宋体" w:hAnsi="宋体" w:eastAsia="宋体" w:cs="宋体"/>
          <w:color w:val="000000"/>
          <w:sz w:val="21"/>
          <w:szCs w:val="21"/>
        </w:rPr>
        <w:t>由乙方承担的其他义务和责任。</w:t>
      </w:r>
    </w:p>
    <w:p w14:paraId="09041D25">
      <w:pPr>
        <w:numPr>
          <w:ilvl w:val="0"/>
          <w:numId w:val="15"/>
        </w:numPr>
        <w:autoSpaceDE w:val="0"/>
        <w:autoSpaceDN w:val="0"/>
        <w:adjustRightInd w:val="0"/>
        <w:snapToGrid w:val="0"/>
        <w:spacing w:line="400" w:lineRule="exact"/>
        <w:ind w:firstLine="0" w:firstLineChars="0"/>
        <w:jc w:val="left"/>
        <w:rPr>
          <w:rFonts w:ascii="宋体" w:hAnsi="宋体" w:eastAsia="宋体" w:cs="Times New Roman"/>
          <w:b/>
          <w:bCs/>
          <w:color w:val="000000"/>
          <w:sz w:val="24"/>
          <w:szCs w:val="24"/>
        </w:rPr>
      </w:pPr>
      <w:r>
        <w:rPr>
          <w:rFonts w:hint="eastAsia" w:ascii="宋体" w:hAnsi="宋体" w:eastAsia="宋体" w:cs="Times New Roman"/>
          <w:b/>
          <w:bCs/>
          <w:color w:val="000000"/>
          <w:sz w:val="24"/>
          <w:szCs w:val="24"/>
        </w:rPr>
        <w:t>合同履行</w:t>
      </w:r>
    </w:p>
    <w:p w14:paraId="2441A3AA">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6.1 甲乙双方应当按照</w:t>
      </w:r>
      <w:r>
        <w:rPr>
          <w:rFonts w:hint="eastAsia" w:ascii="宋体" w:hAnsi="宋体" w:eastAsia="宋体" w:cs="宋体"/>
          <w:b/>
          <w:bCs/>
          <w:sz w:val="21"/>
          <w:szCs w:val="21"/>
        </w:rPr>
        <w:t>【政府采购合同专用条款】</w:t>
      </w:r>
      <w:r>
        <w:rPr>
          <w:rFonts w:hint="eastAsia" w:ascii="宋体" w:hAnsi="宋体" w:eastAsia="宋体" w:cs="Times New Roman"/>
          <w:color w:val="000000"/>
          <w:sz w:val="21"/>
          <w:szCs w:val="21"/>
        </w:rPr>
        <w:t>约定顺序履行合同义务；如果没有先后顺序的，应当同时履行。</w:t>
      </w:r>
    </w:p>
    <w:p w14:paraId="5DABB142">
      <w:pPr>
        <w:autoSpaceDE w:val="0"/>
        <w:autoSpaceDN w:val="0"/>
        <w:adjustRightInd w:val="0"/>
        <w:snapToGrid w:val="0"/>
        <w:spacing w:line="400" w:lineRule="exact"/>
        <w:ind w:firstLine="420"/>
        <w:jc w:val="left"/>
        <w:rPr>
          <w:rFonts w:ascii="Times New Roman" w:hAnsi="Times New Roman" w:eastAsia="宋体" w:cs="Times New Roman"/>
          <w:sz w:val="21"/>
          <w:szCs w:val="24"/>
        </w:rPr>
      </w:pPr>
      <w:r>
        <w:rPr>
          <w:rFonts w:hint="eastAsia" w:ascii="宋体" w:hAnsi="宋体" w:eastAsia="宋体" w:cs="Times New Roman"/>
          <w:color w:val="000000"/>
          <w:sz w:val="21"/>
          <w:szCs w:val="21"/>
        </w:rPr>
        <w:t>6.2 甲乙双方按照合同约定顺序履行合同义务时，应当先履行一方未履行的，后履行一方有权拒绝其履行请求。先履行一方履行不符合约定的，后履行一方有权拒绝其相应的履行请求。</w:t>
      </w:r>
    </w:p>
    <w:p w14:paraId="047F856C">
      <w:pPr>
        <w:adjustRightInd w:val="0"/>
        <w:snapToGrid w:val="0"/>
        <w:spacing w:line="400" w:lineRule="exact"/>
        <w:ind w:firstLine="0" w:firstLineChars="0"/>
        <w:jc w:val="left"/>
        <w:rPr>
          <w:rFonts w:ascii="宋体" w:hAnsi="宋体" w:eastAsia="宋体" w:cs="Times New Roman"/>
          <w:b/>
          <w:bCs/>
          <w:color w:val="000000"/>
          <w:sz w:val="24"/>
          <w:szCs w:val="24"/>
        </w:rPr>
      </w:pPr>
      <w:r>
        <w:rPr>
          <w:rFonts w:hint="eastAsia" w:ascii="宋体" w:hAnsi="宋体" w:eastAsia="宋体" w:cs="Times New Roman"/>
          <w:b/>
          <w:bCs/>
          <w:color w:val="000000"/>
          <w:sz w:val="24"/>
          <w:szCs w:val="24"/>
        </w:rPr>
        <w:t>7. 货物包装、运输、保险和交付要求</w:t>
      </w:r>
    </w:p>
    <w:p w14:paraId="7467F648">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7.1 本合同</w:t>
      </w:r>
      <w:r>
        <w:rPr>
          <w:rFonts w:hint="eastAsia" w:ascii="宋体" w:hAnsi="宋体" w:eastAsia="宋体" w:cs="Times New Roman"/>
          <w:bCs/>
          <w:color w:val="000000"/>
          <w:sz w:val="21"/>
          <w:szCs w:val="21"/>
        </w:rPr>
        <w:t>涉及商品包装、快递包装的，</w:t>
      </w:r>
      <w:r>
        <w:rPr>
          <w:rFonts w:hint="eastAsia" w:ascii="宋体" w:hAnsi="宋体" w:eastAsia="宋体" w:cs="Times New Roman"/>
          <w:color w:val="000000"/>
          <w:sz w:val="21"/>
          <w:szCs w:val="21"/>
        </w:rPr>
        <w:t>除</w:t>
      </w:r>
      <w:r>
        <w:rPr>
          <w:rFonts w:hint="eastAsia" w:ascii="宋体" w:hAnsi="宋体" w:eastAsia="宋体" w:cs="Times New Roman"/>
          <w:b/>
          <w:color w:val="000000"/>
          <w:sz w:val="21"/>
          <w:szCs w:val="21"/>
        </w:rPr>
        <w:t>【政府采购合同专用条款】</w:t>
      </w:r>
      <w:r>
        <w:rPr>
          <w:rFonts w:hint="eastAsia" w:ascii="宋体" w:hAnsi="宋体" w:eastAsia="宋体" w:cs="Times New Roman"/>
          <w:bCs/>
          <w:color w:val="000000"/>
          <w:sz w:val="21"/>
          <w:szCs w:val="21"/>
        </w:rPr>
        <w:t>另有约定外，</w:t>
      </w:r>
      <w:r>
        <w:rPr>
          <w:rFonts w:hint="eastAsia" w:ascii="宋体" w:hAnsi="宋体" w:eastAsia="宋体" w:cs="Times New Roman"/>
          <w:color w:val="000000"/>
          <w:sz w:val="21"/>
          <w:szCs w:val="21"/>
        </w:rPr>
        <w:t>包装应适应远距离运输、防潮、防震、防锈和防野蛮装卸等要求，确保货物安全无损地运抵</w:t>
      </w:r>
      <w:r>
        <w:rPr>
          <w:rFonts w:hint="eastAsia" w:ascii="宋体" w:hAnsi="宋体" w:eastAsia="宋体" w:cs="Times New Roman"/>
          <w:b/>
          <w:color w:val="000000"/>
          <w:sz w:val="21"/>
          <w:szCs w:val="21"/>
        </w:rPr>
        <w:t>【政府采购合同专用条款】</w:t>
      </w:r>
      <w:r>
        <w:rPr>
          <w:rFonts w:hint="eastAsia" w:ascii="宋体" w:hAnsi="宋体" w:eastAsia="宋体" w:cs="Times New Roman"/>
          <w:bCs/>
          <w:color w:val="000000"/>
          <w:sz w:val="21"/>
          <w:szCs w:val="21"/>
        </w:rPr>
        <w:t>约定的</w:t>
      </w:r>
      <w:r>
        <w:rPr>
          <w:rFonts w:hint="eastAsia" w:ascii="宋体" w:hAnsi="宋体" w:eastAsia="宋体" w:cs="Times New Roman"/>
          <w:color w:val="000000"/>
          <w:sz w:val="21"/>
          <w:szCs w:val="21"/>
        </w:rPr>
        <w:t>指定现场。</w:t>
      </w:r>
    </w:p>
    <w:p w14:paraId="29B0AF6A">
      <w:pPr>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7.2 除</w:t>
      </w:r>
      <w:r>
        <w:rPr>
          <w:rFonts w:hint="eastAsia" w:ascii="宋体" w:hAnsi="宋体" w:eastAsia="宋体" w:cs="Times New Roman"/>
          <w:b/>
          <w:color w:val="000000"/>
          <w:sz w:val="21"/>
          <w:szCs w:val="21"/>
        </w:rPr>
        <w:t>【政府采购合同专用条款】</w:t>
      </w:r>
      <w:r>
        <w:rPr>
          <w:rFonts w:hint="eastAsia" w:ascii="宋体" w:hAnsi="宋体" w:eastAsia="宋体" w:cs="Times New Roman"/>
          <w:bCs/>
          <w:color w:val="000000"/>
          <w:sz w:val="21"/>
          <w:szCs w:val="21"/>
        </w:rPr>
        <w:t>另有约定外，</w:t>
      </w:r>
      <w:r>
        <w:rPr>
          <w:rFonts w:hint="eastAsia" w:ascii="宋体" w:hAnsi="宋体" w:eastAsia="宋体" w:cs="Times New Roman"/>
          <w:color w:val="000000"/>
          <w:sz w:val="21"/>
          <w:szCs w:val="21"/>
        </w:rPr>
        <w:t>乙方负责办理将货物运抵本合同规定的交货地点，并装卸、交付至甲方的一切运输事项，相关费用应包含在合同价款中。</w:t>
      </w:r>
    </w:p>
    <w:p w14:paraId="0A422D53">
      <w:pPr>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7.3 货物保险要求按</w:t>
      </w:r>
      <w:r>
        <w:rPr>
          <w:rFonts w:hint="eastAsia" w:ascii="宋体" w:hAnsi="宋体" w:eastAsia="宋体" w:cs="Times New Roman"/>
          <w:b/>
          <w:color w:val="000000"/>
          <w:sz w:val="21"/>
          <w:szCs w:val="21"/>
        </w:rPr>
        <w:t>【政府采购合同专用条款】</w:t>
      </w:r>
      <w:r>
        <w:rPr>
          <w:rFonts w:hint="eastAsia" w:ascii="宋体" w:hAnsi="宋体" w:eastAsia="宋体" w:cs="Times New Roman"/>
          <w:bCs/>
          <w:color w:val="000000"/>
          <w:sz w:val="21"/>
          <w:szCs w:val="21"/>
        </w:rPr>
        <w:t>规定执行</w:t>
      </w:r>
      <w:r>
        <w:rPr>
          <w:rFonts w:hint="eastAsia" w:ascii="宋体" w:hAnsi="宋体" w:eastAsia="宋体" w:cs="Times New Roman"/>
          <w:color w:val="000000"/>
          <w:sz w:val="21"/>
          <w:szCs w:val="21"/>
        </w:rPr>
        <w:t>。</w:t>
      </w:r>
    </w:p>
    <w:p w14:paraId="181A55DF">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DD1B8FC">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 xml:space="preserve">7.5 </w:t>
      </w:r>
      <w:r>
        <w:rPr>
          <w:rFonts w:hint="eastAsia" w:ascii="宋体" w:hAnsi="宋体" w:eastAsia="宋体" w:cs="宋体"/>
          <w:color w:val="000000"/>
          <w:sz w:val="21"/>
          <w:szCs w:val="21"/>
        </w:rPr>
        <w:t>乙方在运输到达之前应提前通知甲方，并提示货物运输装卸的注意事项，甲方配合乙方做好货物的接收工作。</w:t>
      </w:r>
    </w:p>
    <w:p w14:paraId="49B325C5">
      <w:pPr>
        <w:autoSpaceDE w:val="0"/>
        <w:autoSpaceDN w:val="0"/>
        <w:adjustRightInd w:val="0"/>
        <w:spacing w:line="400" w:lineRule="exact"/>
        <w:ind w:firstLine="420"/>
        <w:rPr>
          <w:rFonts w:ascii="华文楷体" w:hAnsi="华文楷体" w:eastAsia="华文楷体" w:cs="华文楷体"/>
          <w:sz w:val="21"/>
          <w:szCs w:val="21"/>
        </w:rPr>
      </w:pPr>
      <w:r>
        <w:rPr>
          <w:rFonts w:hint="eastAsia" w:ascii="宋体" w:hAnsi="宋体" w:eastAsia="宋体" w:cs="Times New Roman"/>
          <w:color w:val="000000"/>
          <w:sz w:val="21"/>
          <w:szCs w:val="21"/>
        </w:rPr>
        <w:t>7.6 如因包装、运输问题导致货物损毁、丢失或者品质下降，甲方有权要求降价、换货、拒收部分或整批货物，由此产生的费用和损失，均由乙方承担。</w:t>
      </w:r>
    </w:p>
    <w:p w14:paraId="2C103168">
      <w:pPr>
        <w:adjustRightInd w:val="0"/>
        <w:snapToGrid w:val="0"/>
        <w:spacing w:line="400" w:lineRule="exact"/>
        <w:ind w:firstLine="0" w:firstLineChars="0"/>
        <w:jc w:val="left"/>
        <w:rPr>
          <w:rFonts w:ascii="宋体" w:hAnsi="宋体" w:eastAsia="宋体" w:cs="Times New Roman"/>
          <w:b/>
          <w:sz w:val="24"/>
          <w:szCs w:val="24"/>
        </w:rPr>
      </w:pPr>
      <w:r>
        <w:rPr>
          <w:rFonts w:hint="eastAsia" w:ascii="宋体" w:hAnsi="宋体" w:eastAsia="宋体" w:cs="Times New Roman"/>
          <w:b/>
          <w:color w:val="000000"/>
          <w:sz w:val="24"/>
          <w:szCs w:val="24"/>
        </w:rPr>
        <w:t xml:space="preserve">8. </w:t>
      </w:r>
      <w:r>
        <w:rPr>
          <w:rFonts w:hint="eastAsia" w:ascii="宋体" w:hAnsi="宋体" w:eastAsia="宋体" w:cs="Times New Roman"/>
          <w:b/>
          <w:sz w:val="24"/>
          <w:szCs w:val="24"/>
        </w:rPr>
        <w:t>质量标准和保证</w:t>
      </w:r>
    </w:p>
    <w:p w14:paraId="77A9E5F3">
      <w:pPr>
        <w:adjustRightInd w:val="0"/>
        <w:snapToGrid w:val="0"/>
        <w:spacing w:line="400" w:lineRule="exact"/>
        <w:ind w:firstLine="420"/>
        <w:jc w:val="left"/>
        <w:rPr>
          <w:rFonts w:ascii="宋体" w:hAnsi="宋体" w:eastAsia="宋体" w:cs="Courier New"/>
          <w:b/>
          <w:sz w:val="21"/>
          <w:szCs w:val="21"/>
        </w:rPr>
      </w:pPr>
      <w:r>
        <w:rPr>
          <w:rFonts w:hint="eastAsia" w:ascii="宋体" w:hAnsi="宋体" w:eastAsia="宋体" w:cs="Courier New"/>
          <w:sz w:val="21"/>
          <w:szCs w:val="21"/>
        </w:rPr>
        <w:t>8.1 质量标准</w:t>
      </w:r>
    </w:p>
    <w:p w14:paraId="4D9CAA47">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（1）本合同下提供的货物应符合合同</w:t>
      </w:r>
      <w:r>
        <w:rPr>
          <w:rFonts w:hint="eastAsia" w:ascii="宋体" w:hAnsi="宋体" w:eastAsia="宋体" w:cs="宋体"/>
          <w:color w:val="000000"/>
          <w:sz w:val="21"/>
          <w:szCs w:val="21"/>
        </w:rPr>
        <w:t>约定的</w:t>
      </w:r>
      <w:r>
        <w:rPr>
          <w:rFonts w:hint="eastAsia" w:ascii="宋体" w:hAnsi="宋体" w:eastAsia="宋体" w:cs="宋体"/>
          <w:sz w:val="21"/>
          <w:szCs w:val="21"/>
        </w:rPr>
        <w:t>品牌、规格型号、技术性能、配置、质量、数量等要求。</w:t>
      </w:r>
      <w:r>
        <w:rPr>
          <w:rFonts w:hint="eastAsia" w:ascii="宋体" w:hAnsi="宋体" w:eastAsia="宋体" w:cs="Times New Roman"/>
          <w:sz w:val="21"/>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26B0511">
      <w:pPr>
        <w:adjustRightInd w:val="0"/>
        <w:snapToGrid w:val="0"/>
        <w:spacing w:line="400" w:lineRule="exact"/>
        <w:ind w:firstLine="420"/>
        <w:jc w:val="left"/>
        <w:rPr>
          <w:rFonts w:ascii="宋体" w:hAnsi="宋体" w:eastAsia="宋体" w:cs="Courier New"/>
          <w:sz w:val="21"/>
          <w:szCs w:val="21"/>
        </w:rPr>
      </w:pPr>
      <w:r>
        <w:rPr>
          <w:rFonts w:hint="eastAsia" w:ascii="宋体" w:hAnsi="宋体" w:eastAsia="宋体" w:cs="Courier New"/>
          <w:sz w:val="21"/>
          <w:szCs w:val="21"/>
        </w:rPr>
        <w:t>（2）采用中华人民共和国法定计量单位。</w:t>
      </w:r>
    </w:p>
    <w:p w14:paraId="439FEE49">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（3）乙方所提供的货物应符合国家有关安全、环保、卫生的规定。</w:t>
      </w:r>
    </w:p>
    <w:p w14:paraId="32534BC1">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（4）乙方应向甲方提交所提供货物的技术文件，包括相应的中文技术文件，如：产品目录、图纸、操作手册、使用说明、维护手册或服务指南等。上述文件应包装好随货物一同发运。</w:t>
      </w:r>
    </w:p>
    <w:p w14:paraId="794AEF98">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8.2 保证</w:t>
      </w:r>
    </w:p>
    <w:p w14:paraId="1E2DC6E1">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（1）乙方应保证提供的货物完全符合合同规定的质量、规格和性能要求。乙方应保证货物在正确安装、正常使用和保养条件下，</w:t>
      </w:r>
      <w:r>
        <w:rPr>
          <w:rFonts w:hint="eastAsia" w:ascii="宋体" w:hAnsi="宋体" w:eastAsia="宋体" w:cs="宋体"/>
          <w:sz w:val="21"/>
          <w:szCs w:val="21"/>
        </w:rPr>
        <w:t>在其使用寿命期内具备合同约定的性能</w:t>
      </w:r>
      <w:r>
        <w:rPr>
          <w:rFonts w:hint="eastAsia" w:ascii="宋体" w:hAnsi="宋体" w:eastAsia="宋体" w:cs="Times New Roman"/>
          <w:sz w:val="21"/>
          <w:szCs w:val="21"/>
        </w:rPr>
        <w:t>。存在质量保证期的，货物最终交付验收合格后在</w:t>
      </w:r>
      <w:r>
        <w:rPr>
          <w:rFonts w:hint="eastAsia" w:ascii="宋体" w:hAnsi="宋体" w:eastAsia="宋体" w:cs="Times New Roman"/>
          <w:b/>
          <w:sz w:val="21"/>
          <w:szCs w:val="21"/>
        </w:rPr>
        <w:t>【政府采购合同专用条款】</w:t>
      </w:r>
      <w:r>
        <w:rPr>
          <w:rFonts w:hint="eastAsia" w:ascii="宋体" w:hAnsi="宋体" w:eastAsia="宋体" w:cs="Times New Roman"/>
          <w:sz w:val="21"/>
          <w:szCs w:val="21"/>
        </w:rPr>
        <w:t>规定或乙方书面承诺（两者以较长的为准）的质量保证期内，本保证保持有效。</w:t>
      </w:r>
    </w:p>
    <w:p w14:paraId="3307641B">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（2）在质量保证期内所发现的缺陷，甲方应尽快以书面形式通知乙方。</w:t>
      </w:r>
    </w:p>
    <w:p w14:paraId="103383E0">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（3）乙方收到通知后，应在</w:t>
      </w:r>
      <w:r>
        <w:rPr>
          <w:rFonts w:hint="eastAsia" w:ascii="宋体" w:hAnsi="宋体" w:eastAsia="宋体" w:cs="Times New Roman"/>
          <w:b/>
          <w:sz w:val="21"/>
          <w:szCs w:val="21"/>
        </w:rPr>
        <w:t>【政府采购合同专用条款】</w:t>
      </w:r>
      <w:r>
        <w:rPr>
          <w:rFonts w:hint="eastAsia" w:ascii="宋体" w:hAnsi="宋体" w:eastAsia="宋体" w:cs="Times New Roman"/>
          <w:sz w:val="21"/>
          <w:szCs w:val="21"/>
        </w:rPr>
        <w:t>规定的响应时间内以合理的速度免费维修或更换有缺陷的货物或部件。</w:t>
      </w:r>
    </w:p>
    <w:p w14:paraId="70D4E6C9">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s="Times New Roman"/>
          <w:color w:val="000000"/>
          <w:sz w:val="21"/>
          <w:szCs w:val="21"/>
        </w:rPr>
        <w:t>5</w:t>
      </w:r>
      <w:r>
        <w:rPr>
          <w:rFonts w:hint="eastAsia" w:ascii="宋体" w:hAnsi="宋体" w:eastAsia="宋体" w:cs="Times New Roman"/>
          <w:sz w:val="21"/>
          <w:szCs w:val="21"/>
        </w:rPr>
        <w:t>.1条规定以书面形式</w:t>
      </w:r>
      <w:r>
        <w:rPr>
          <w:rFonts w:hint="eastAsia" w:ascii="宋体" w:hAnsi="宋体" w:eastAsia="宋体" w:cs="Times New Roman"/>
          <w:color w:val="000000"/>
          <w:sz w:val="21"/>
          <w:szCs w:val="21"/>
        </w:rPr>
        <w:t>追究</w:t>
      </w:r>
      <w:r>
        <w:rPr>
          <w:rFonts w:hint="eastAsia" w:ascii="宋体" w:hAnsi="宋体" w:eastAsia="宋体" w:cs="Times New Roman"/>
          <w:sz w:val="21"/>
          <w:szCs w:val="21"/>
        </w:rPr>
        <w:t>乙方</w:t>
      </w:r>
      <w:r>
        <w:rPr>
          <w:rFonts w:hint="eastAsia" w:ascii="宋体" w:hAnsi="宋体" w:eastAsia="宋体" w:cs="Times New Roman"/>
          <w:color w:val="000000"/>
          <w:sz w:val="21"/>
          <w:szCs w:val="21"/>
        </w:rPr>
        <w:t>的违约责任</w:t>
      </w:r>
      <w:r>
        <w:rPr>
          <w:rFonts w:hint="eastAsia" w:ascii="宋体" w:hAnsi="宋体" w:eastAsia="宋体" w:cs="Times New Roman"/>
          <w:sz w:val="21"/>
          <w:szCs w:val="21"/>
        </w:rPr>
        <w:t>。</w:t>
      </w:r>
    </w:p>
    <w:p w14:paraId="521B6188">
      <w:pPr>
        <w:adjustRightInd w:val="0"/>
        <w:snapToGrid w:val="0"/>
        <w:spacing w:line="400" w:lineRule="exact"/>
        <w:ind w:firstLine="420"/>
        <w:jc w:val="left"/>
        <w:rPr>
          <w:rFonts w:ascii="Times New Roman" w:hAnsi="Times New Roman" w:eastAsia="宋体" w:cs="Times New Roman"/>
          <w:sz w:val="21"/>
          <w:szCs w:val="24"/>
        </w:rPr>
      </w:pPr>
      <w:r>
        <w:rPr>
          <w:rFonts w:hint="eastAsia" w:ascii="宋体" w:hAnsi="宋体" w:eastAsia="宋体" w:cs="Times New Roman"/>
          <w:sz w:val="21"/>
          <w:szCs w:val="21"/>
        </w:rPr>
        <w:t>（5）乙方在约定的时间内未能弥补缺陷，甲方可采取必要的补救措施，但其风险和费用将由乙方承担，甲方根据合同约定对乙方行使的其他权利不受影响。</w:t>
      </w:r>
    </w:p>
    <w:p w14:paraId="7E8B7002">
      <w:pPr>
        <w:adjustRightInd w:val="0"/>
        <w:snapToGrid w:val="0"/>
        <w:spacing w:line="400" w:lineRule="exact"/>
        <w:ind w:firstLine="0" w:firstLineChars="0"/>
        <w:jc w:val="left"/>
        <w:rPr>
          <w:rFonts w:ascii="宋体" w:hAnsi="宋体" w:eastAsia="宋体" w:cs="Times New Roman"/>
          <w:b/>
          <w:bCs/>
          <w:sz w:val="24"/>
          <w:szCs w:val="24"/>
        </w:rPr>
      </w:pPr>
      <w:r>
        <w:rPr>
          <w:rFonts w:hint="eastAsia" w:ascii="宋体" w:hAnsi="宋体" w:eastAsia="宋体" w:cs="Times New Roman"/>
          <w:b/>
          <w:bCs/>
          <w:color w:val="000000"/>
          <w:sz w:val="24"/>
          <w:szCs w:val="24"/>
        </w:rPr>
        <w:t>9</w:t>
      </w:r>
      <w:r>
        <w:rPr>
          <w:rFonts w:hint="eastAsia" w:ascii="宋体" w:hAnsi="宋体" w:eastAsia="宋体" w:cs="Times New Roman"/>
          <w:b/>
          <w:bCs/>
          <w:sz w:val="24"/>
          <w:szCs w:val="24"/>
        </w:rPr>
        <w:t>.</w:t>
      </w:r>
      <w:r>
        <w:rPr>
          <w:rFonts w:hint="eastAsia" w:ascii="宋体" w:hAnsi="宋体" w:eastAsia="宋体" w:cs="Times New Roman"/>
          <w:b/>
          <w:bCs/>
          <w:color w:val="000000"/>
          <w:sz w:val="24"/>
          <w:szCs w:val="24"/>
        </w:rPr>
        <w:t xml:space="preserve"> </w:t>
      </w:r>
      <w:r>
        <w:rPr>
          <w:rFonts w:hint="eastAsia" w:ascii="宋体" w:hAnsi="宋体" w:eastAsia="宋体" w:cs="Times New Roman"/>
          <w:b/>
          <w:bCs/>
          <w:sz w:val="24"/>
          <w:szCs w:val="24"/>
        </w:rPr>
        <w:t>权利瑕疵担保</w:t>
      </w:r>
    </w:p>
    <w:p w14:paraId="40641901">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9.1 乙方保证对其出售的货物享有合法的权利。</w:t>
      </w:r>
    </w:p>
    <w:p w14:paraId="76567851">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 xml:space="preserve">9.2 </w:t>
      </w:r>
      <w:r>
        <w:rPr>
          <w:rFonts w:hint="eastAsia" w:ascii="宋体" w:hAnsi="宋体" w:eastAsia="宋体" w:cs="宋体"/>
          <w:sz w:val="21"/>
          <w:szCs w:val="15"/>
        </w:rPr>
        <w:t>乙方保证在交付的货物上不存在抵押权等担保物权。</w:t>
      </w:r>
    </w:p>
    <w:p w14:paraId="301D7B4E">
      <w:pPr>
        <w:autoSpaceDE w:val="0"/>
        <w:autoSpaceDN w:val="0"/>
        <w:adjustRightInd w:val="0"/>
        <w:snapToGrid w:val="0"/>
        <w:spacing w:line="400" w:lineRule="exact"/>
        <w:ind w:firstLine="420"/>
        <w:jc w:val="left"/>
        <w:rPr>
          <w:rFonts w:ascii="宋体" w:hAnsi="宋体" w:eastAsia="宋体" w:cs="Times New Roman"/>
          <w:color w:val="000000"/>
          <w:sz w:val="21"/>
          <w:szCs w:val="21"/>
        </w:rPr>
      </w:pPr>
      <w:r>
        <w:rPr>
          <w:rFonts w:hint="eastAsia" w:ascii="宋体" w:hAnsi="宋体" w:eastAsia="宋体" w:cs="Times New Roman"/>
          <w:color w:val="000000"/>
          <w:sz w:val="21"/>
          <w:szCs w:val="21"/>
        </w:rPr>
        <w:t>9.3 如甲方使用上述货物构成对第三人侵权的，则由乙方承担全部责任。</w:t>
      </w:r>
    </w:p>
    <w:p w14:paraId="142FF79F">
      <w:pPr>
        <w:autoSpaceDE w:val="0"/>
        <w:autoSpaceDN w:val="0"/>
        <w:adjustRightInd w:val="0"/>
        <w:snapToGrid w:val="0"/>
        <w:spacing w:line="400" w:lineRule="exact"/>
        <w:ind w:firstLine="0" w:firstLineChars="0"/>
        <w:jc w:val="left"/>
        <w:rPr>
          <w:rFonts w:ascii="宋体" w:hAnsi="宋体" w:eastAsia="宋体" w:cs="Times New Roman"/>
          <w:b/>
          <w:bCs/>
          <w:color w:val="000000"/>
          <w:sz w:val="24"/>
          <w:szCs w:val="24"/>
        </w:rPr>
      </w:pPr>
      <w:r>
        <w:rPr>
          <w:rFonts w:hint="eastAsia" w:ascii="宋体" w:hAnsi="宋体" w:eastAsia="宋体" w:cs="Times New Roman"/>
          <w:b/>
          <w:bCs/>
          <w:color w:val="000000"/>
          <w:sz w:val="24"/>
          <w:szCs w:val="24"/>
        </w:rPr>
        <w:t>10. 知识产权保护</w:t>
      </w:r>
    </w:p>
    <w:p w14:paraId="28DFB613">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color w:val="000000"/>
          <w:sz w:val="21"/>
          <w:szCs w:val="21"/>
        </w:rPr>
        <w:t>10.1 乙方对其所销售的货物应当享有知识产权或经权利人合法授权，保证没有侵犯任</w:t>
      </w:r>
      <w:r>
        <w:rPr>
          <w:rFonts w:hint="eastAsia" w:ascii="宋体" w:hAnsi="宋体" w:eastAsia="宋体" w:cs="Times New Roman"/>
          <w:sz w:val="21"/>
          <w:szCs w:val="21"/>
        </w:rPr>
        <w:t>何第三人的知识产权等权利。</w:t>
      </w:r>
      <w:bookmarkStart w:id="542" w:name="_Hlk163047038"/>
      <w:r>
        <w:rPr>
          <w:rFonts w:hint="eastAsia" w:ascii="宋体" w:hAnsi="宋体" w:eastAsia="宋体" w:cs="宋体"/>
          <w:sz w:val="21"/>
          <w:szCs w:val="15"/>
        </w:rPr>
        <w:t>因违反前述约定对第三人构成侵权的，应当由乙方向第三人承担法律责任；甲方依法向第三人赔偿后，有权向乙方追偿。甲方有其他损失的，乙方应当赔偿</w:t>
      </w:r>
      <w:bookmarkEnd w:id="542"/>
      <w:r>
        <w:rPr>
          <w:rFonts w:hint="eastAsia" w:ascii="宋体" w:hAnsi="宋体" w:eastAsia="宋体" w:cs="Times New Roman"/>
          <w:sz w:val="21"/>
          <w:szCs w:val="21"/>
        </w:rPr>
        <w:t>。</w:t>
      </w:r>
    </w:p>
    <w:p w14:paraId="0C923E9F">
      <w:pPr>
        <w:autoSpaceDE w:val="0"/>
        <w:autoSpaceDN w:val="0"/>
        <w:adjustRightInd w:val="0"/>
        <w:snapToGrid w:val="0"/>
        <w:spacing w:line="400" w:lineRule="exact"/>
        <w:ind w:firstLine="0" w:firstLineChars="0"/>
        <w:jc w:val="left"/>
        <w:rPr>
          <w:rFonts w:ascii="宋体" w:hAnsi="宋体" w:eastAsia="宋体" w:cs="Times New Roman"/>
          <w:b/>
          <w:bCs/>
          <w:sz w:val="24"/>
          <w:szCs w:val="24"/>
        </w:rPr>
      </w:pPr>
      <w:r>
        <w:rPr>
          <w:rFonts w:hint="eastAsia" w:ascii="宋体" w:hAnsi="宋体" w:eastAsia="宋体" w:cs="Times New Roman"/>
          <w:b/>
          <w:bCs/>
          <w:sz w:val="24"/>
          <w:szCs w:val="24"/>
        </w:rPr>
        <w:t>11. 保密义务</w:t>
      </w:r>
    </w:p>
    <w:p w14:paraId="2E8CA4BE">
      <w:pPr>
        <w:autoSpaceDE w:val="0"/>
        <w:autoSpaceDN w:val="0"/>
        <w:adjustRightInd w:val="0"/>
        <w:snapToGrid w:val="0"/>
        <w:spacing w:line="400" w:lineRule="exact"/>
        <w:ind w:firstLine="420"/>
        <w:jc w:val="left"/>
        <w:rPr>
          <w:rFonts w:ascii="宋体" w:hAnsi="宋体" w:eastAsia="宋体" w:cs="宋体"/>
          <w:sz w:val="21"/>
          <w:szCs w:val="15"/>
        </w:rPr>
      </w:pPr>
      <w:r>
        <w:rPr>
          <w:rFonts w:hint="eastAsia" w:ascii="宋体" w:hAnsi="宋体" w:eastAsia="宋体" w:cs="宋体"/>
          <w:sz w:val="21"/>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 w:val="21"/>
          <w:szCs w:val="15"/>
        </w:rPr>
        <w:t>【政府采购合同专用条款】</w:t>
      </w:r>
      <w:r>
        <w:rPr>
          <w:rFonts w:hint="eastAsia" w:ascii="宋体" w:hAnsi="宋体" w:eastAsia="宋体" w:cs="宋体"/>
          <w:sz w:val="21"/>
          <w:szCs w:val="15"/>
        </w:rPr>
        <w:t>中约定。</w:t>
      </w:r>
    </w:p>
    <w:p w14:paraId="13EC3A54">
      <w:pPr>
        <w:autoSpaceDE w:val="0"/>
        <w:autoSpaceDN w:val="0"/>
        <w:adjustRightInd w:val="0"/>
        <w:snapToGrid w:val="0"/>
        <w:spacing w:line="400" w:lineRule="exact"/>
        <w:ind w:firstLine="0" w:firstLineChars="0"/>
        <w:jc w:val="left"/>
        <w:rPr>
          <w:rFonts w:ascii="宋体" w:hAnsi="宋体" w:eastAsia="宋体" w:cs="Times New Roman"/>
          <w:b/>
          <w:bCs/>
          <w:sz w:val="24"/>
          <w:szCs w:val="24"/>
        </w:rPr>
      </w:pPr>
      <w:r>
        <w:rPr>
          <w:rFonts w:hint="eastAsia" w:ascii="宋体" w:hAnsi="宋体" w:eastAsia="宋体" w:cs="Times New Roman"/>
          <w:b/>
          <w:bCs/>
          <w:sz w:val="24"/>
          <w:szCs w:val="24"/>
        </w:rPr>
        <w:t>12. 合同价款支付</w:t>
      </w:r>
    </w:p>
    <w:p w14:paraId="76511481">
      <w:pPr>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12.1 合同价款支付按照国库集中支付制度及财政管理相关规定执行。</w:t>
      </w:r>
    </w:p>
    <w:p w14:paraId="339E58B5">
      <w:pPr>
        <w:keepNext/>
        <w:keepLines/>
        <w:spacing w:line="400" w:lineRule="exact"/>
        <w:ind w:firstLine="420"/>
        <w:rPr>
          <w:rFonts w:ascii="Arial" w:hAnsi="Arial" w:eastAsia="宋体" w:cs="Times New Roman"/>
          <w:b/>
          <w:bCs/>
          <w:sz w:val="24"/>
          <w:szCs w:val="32"/>
        </w:rPr>
      </w:pPr>
      <w:bookmarkStart w:id="543" w:name="_Toc3037"/>
      <w:r>
        <w:rPr>
          <w:rFonts w:hint="eastAsia" w:ascii="宋体" w:hAnsi="宋体" w:eastAsia="宋体" w:cs="Times New Roman"/>
          <w:sz w:val="2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 w:val="21"/>
          <w:szCs w:val="21"/>
        </w:rPr>
        <w:t>政府采购合同专用条款</w:t>
      </w:r>
      <w:r>
        <w:rPr>
          <w:rFonts w:hint="eastAsia" w:ascii="宋体" w:hAnsi="宋体" w:eastAsia="宋体" w:cs="Times New Roman"/>
          <w:sz w:val="21"/>
          <w:szCs w:val="21"/>
        </w:rPr>
        <w:t>】中约定。</w:t>
      </w:r>
      <w:bookmarkEnd w:id="543"/>
    </w:p>
    <w:p w14:paraId="4B843619">
      <w:pPr>
        <w:spacing w:line="400" w:lineRule="exact"/>
        <w:ind w:firstLine="482"/>
        <w:rPr>
          <w:rFonts w:ascii="宋体" w:hAnsi="宋体" w:eastAsia="宋体" w:cs="Times New Roman"/>
          <w:b/>
          <w:bCs/>
          <w:sz w:val="24"/>
          <w:szCs w:val="24"/>
        </w:rPr>
      </w:pPr>
      <w:r>
        <w:rPr>
          <w:rFonts w:hint="eastAsia" w:ascii="宋体" w:hAnsi="宋体" w:eastAsia="宋体" w:cs="Times New Roman"/>
          <w:b/>
          <w:bCs/>
          <w:sz w:val="24"/>
          <w:szCs w:val="24"/>
        </w:rPr>
        <w:t>13. 履约保证金</w:t>
      </w:r>
    </w:p>
    <w:p w14:paraId="45EB89D8">
      <w:pPr>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 xml:space="preserve">13.1 </w:t>
      </w:r>
      <w:r>
        <w:rPr>
          <w:rFonts w:hint="eastAsia" w:ascii="宋体" w:hAnsi="宋体" w:eastAsia="宋体" w:cs="宋体"/>
          <w:sz w:val="21"/>
          <w:szCs w:val="15"/>
        </w:rPr>
        <w:t>乙方应当以支票、汇票、本票或者金融机构、担保机构出具的保函等非现金形式提交。</w:t>
      </w:r>
    </w:p>
    <w:p w14:paraId="453471B8">
      <w:pPr>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13.2 如果乙方出现</w:t>
      </w:r>
      <w:r>
        <w:rPr>
          <w:rFonts w:hint="eastAsia" w:ascii="宋体" w:hAnsi="宋体" w:eastAsia="宋体" w:cs="宋体"/>
          <w:b/>
          <w:bCs/>
          <w:sz w:val="21"/>
          <w:szCs w:val="15"/>
        </w:rPr>
        <w:t>【政府采购合同专用条款】</w:t>
      </w:r>
      <w:r>
        <w:rPr>
          <w:rFonts w:hint="eastAsia" w:ascii="宋体" w:hAnsi="宋体" w:eastAsia="宋体" w:cs="宋体"/>
          <w:sz w:val="21"/>
          <w:szCs w:val="15"/>
        </w:rPr>
        <w:t>约定情形的</w:t>
      </w:r>
      <w:r>
        <w:rPr>
          <w:rFonts w:hint="eastAsia" w:ascii="宋体" w:hAnsi="宋体" w:eastAsia="宋体" w:cs="Times New Roman"/>
          <w:sz w:val="21"/>
          <w:szCs w:val="21"/>
        </w:rPr>
        <w:t>，履约保证金不予退还；如果乙方未能按合同约定全面履行义务，甲方有权从履约保证金中取得补偿或赔偿，且不影响甲方要求乙方承担合同约定的超过履约保证金的违约责任的权利。</w:t>
      </w:r>
    </w:p>
    <w:p w14:paraId="02B0555A">
      <w:pPr>
        <w:spacing w:line="400" w:lineRule="exact"/>
        <w:ind w:firstLine="420" w:firstLineChars="0"/>
        <w:rPr>
          <w:rFonts w:ascii="Times New Roman" w:hAnsi="Times New Roman" w:eastAsia="宋体" w:cs="Times New Roman"/>
          <w:sz w:val="21"/>
          <w:szCs w:val="24"/>
        </w:rPr>
      </w:pPr>
      <w:r>
        <w:rPr>
          <w:rFonts w:hint="eastAsia" w:ascii="宋体" w:hAnsi="宋体" w:eastAsia="宋体" w:cs="Times New Roman"/>
          <w:sz w:val="21"/>
          <w:szCs w:val="21"/>
        </w:rPr>
        <w:t>13.3 甲方在项目通过验收后按照</w:t>
      </w:r>
      <w:r>
        <w:rPr>
          <w:rFonts w:hint="eastAsia" w:ascii="宋体" w:hAnsi="宋体" w:eastAsia="宋体" w:cs="Times New Roman"/>
          <w:b/>
          <w:sz w:val="21"/>
          <w:szCs w:val="21"/>
        </w:rPr>
        <w:t>【政府采购合同专用条款】</w:t>
      </w:r>
      <w:r>
        <w:rPr>
          <w:rFonts w:hint="eastAsia" w:ascii="宋体" w:hAnsi="宋体" w:eastAsia="宋体" w:cs="Times New Roman"/>
          <w:sz w:val="21"/>
          <w:szCs w:val="21"/>
        </w:rPr>
        <w:t>规定的时间内将履约保证金退还乙方；逾期退还的，乙方可要求甲方支付违约金，违约金按照</w:t>
      </w:r>
      <w:r>
        <w:rPr>
          <w:rFonts w:hint="eastAsia" w:ascii="宋体" w:hAnsi="宋体" w:eastAsia="宋体" w:cs="Times New Roman"/>
          <w:b/>
          <w:sz w:val="21"/>
          <w:szCs w:val="21"/>
        </w:rPr>
        <w:t>【政府采购合同专用条款】</w:t>
      </w:r>
      <w:r>
        <w:rPr>
          <w:rFonts w:hint="eastAsia" w:ascii="宋体" w:hAnsi="宋体" w:eastAsia="宋体" w:cs="Times New Roman"/>
          <w:sz w:val="21"/>
          <w:szCs w:val="21"/>
        </w:rPr>
        <w:t>规定支付。</w:t>
      </w:r>
    </w:p>
    <w:p w14:paraId="5D8160D2">
      <w:pPr>
        <w:autoSpaceDE w:val="0"/>
        <w:autoSpaceDN w:val="0"/>
        <w:adjustRightInd w:val="0"/>
        <w:snapToGrid w:val="0"/>
        <w:spacing w:line="400" w:lineRule="exact"/>
        <w:ind w:firstLine="0" w:firstLineChars="0"/>
        <w:jc w:val="left"/>
        <w:rPr>
          <w:rFonts w:ascii="宋体" w:hAnsi="宋体" w:eastAsia="宋体" w:cs="Times New Roman"/>
          <w:b/>
          <w:sz w:val="24"/>
          <w:szCs w:val="24"/>
        </w:rPr>
      </w:pPr>
      <w:r>
        <w:rPr>
          <w:rFonts w:hint="eastAsia" w:ascii="宋体" w:hAnsi="宋体" w:eastAsia="宋体" w:cs="Times New Roman"/>
          <w:b/>
          <w:bCs/>
          <w:sz w:val="24"/>
          <w:szCs w:val="24"/>
        </w:rPr>
        <w:t xml:space="preserve">14. </w:t>
      </w:r>
      <w:r>
        <w:rPr>
          <w:rFonts w:hint="eastAsia" w:ascii="Times New Roman" w:hAnsi="Times New Roman" w:eastAsia="宋体" w:cs="Times New Roman"/>
          <w:b/>
          <w:sz w:val="24"/>
          <w:szCs w:val="24"/>
        </w:rPr>
        <w:t>售后</w:t>
      </w:r>
      <w:r>
        <w:rPr>
          <w:rFonts w:hint="eastAsia" w:ascii="宋体" w:hAnsi="宋体" w:eastAsia="宋体" w:cs="Times New Roman"/>
          <w:b/>
          <w:sz w:val="24"/>
          <w:szCs w:val="24"/>
        </w:rPr>
        <w:t>服务</w:t>
      </w:r>
    </w:p>
    <w:p w14:paraId="7F1AF2A4">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14.1 除项目不涉及或采购活动中明确约定无须承担外，乙方还应提供下列服务：</w:t>
      </w:r>
    </w:p>
    <w:p w14:paraId="10C97CF2">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（1）货物的现场移动、安装、调试、启动监督及技术支持；</w:t>
      </w:r>
    </w:p>
    <w:p w14:paraId="25AFBFD4">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（2）提供货物组装和维修所需的专用工具和辅助材料；</w:t>
      </w:r>
    </w:p>
    <w:p w14:paraId="2950612A">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（3）在</w:t>
      </w:r>
      <w:r>
        <w:rPr>
          <w:rFonts w:hint="eastAsia" w:ascii="宋体" w:hAnsi="宋体" w:eastAsia="宋体" w:cs="宋体"/>
          <w:b/>
          <w:bCs/>
          <w:sz w:val="21"/>
          <w:szCs w:val="15"/>
        </w:rPr>
        <w:t>【政府采购合同专用条款】</w:t>
      </w:r>
      <w:r>
        <w:rPr>
          <w:rFonts w:hint="eastAsia" w:ascii="宋体" w:hAnsi="宋体" w:eastAsia="宋体" w:cs="Times New Roman"/>
          <w:sz w:val="21"/>
          <w:szCs w:val="21"/>
        </w:rPr>
        <w:t>约定的期限内对所有的货物实施运行监督、维修，但前提条件是该服务并不能免除乙方在质量保证期内所承担的义务；</w:t>
      </w:r>
    </w:p>
    <w:p w14:paraId="5913C071">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（4）在制造商所在地或指定现场就货物的安装、启动、运营、维护、废弃处置等对甲方操作人员进行培训</w:t>
      </w:r>
      <w:r>
        <w:rPr>
          <w:rFonts w:hint="eastAsia" w:ascii="宋体" w:hAnsi="宋体" w:eastAsia="宋体" w:cs="宋体"/>
          <w:sz w:val="21"/>
          <w:szCs w:val="15"/>
        </w:rPr>
        <w:t>；</w:t>
      </w:r>
    </w:p>
    <w:p w14:paraId="42A3F4BC">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1436D62F">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（6）</w:t>
      </w:r>
      <w:r>
        <w:rPr>
          <w:rFonts w:hint="eastAsia" w:ascii="宋体" w:hAnsi="宋体" w:eastAsia="宋体" w:cs="Times New Roman"/>
          <w:b/>
          <w:sz w:val="21"/>
          <w:szCs w:val="21"/>
        </w:rPr>
        <w:t>【政府采购合同专用条款】</w:t>
      </w:r>
      <w:r>
        <w:rPr>
          <w:rFonts w:hint="eastAsia" w:ascii="宋体" w:hAnsi="宋体" w:eastAsia="宋体" w:cs="Times New Roman"/>
          <w:sz w:val="21"/>
          <w:szCs w:val="21"/>
        </w:rPr>
        <w:t>规定由乙方提供的其他服务。</w:t>
      </w:r>
    </w:p>
    <w:p w14:paraId="3B6C1AFE">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14.2 乙方提供的售后服务的费用已包含在合同价款中，甲方不再另行支付。</w:t>
      </w:r>
    </w:p>
    <w:p w14:paraId="23BB7781">
      <w:pPr>
        <w:adjustRightInd w:val="0"/>
        <w:snapToGrid w:val="0"/>
        <w:spacing w:line="400" w:lineRule="exact"/>
        <w:ind w:firstLine="0" w:firstLineChars="0"/>
        <w:jc w:val="left"/>
        <w:rPr>
          <w:rFonts w:ascii="宋体" w:hAnsi="宋体" w:eastAsia="宋体" w:cs="Times New Roman"/>
          <w:b/>
          <w:bCs/>
          <w:sz w:val="24"/>
          <w:szCs w:val="24"/>
        </w:rPr>
      </w:pPr>
      <w:r>
        <w:rPr>
          <w:rFonts w:hint="eastAsia" w:ascii="宋体" w:hAnsi="宋体" w:eastAsia="宋体" w:cs="Times New Roman"/>
          <w:b/>
          <w:bCs/>
          <w:sz w:val="24"/>
          <w:szCs w:val="24"/>
        </w:rPr>
        <w:t>15. 违约责任</w:t>
      </w:r>
    </w:p>
    <w:p w14:paraId="4C4451E4">
      <w:pPr>
        <w:adjustRightInd w:val="0"/>
        <w:snapToGrid w:val="0"/>
        <w:spacing w:line="400" w:lineRule="exact"/>
        <w:ind w:firstLine="420"/>
        <w:jc w:val="left"/>
        <w:rPr>
          <w:rFonts w:ascii="宋体" w:hAnsi="宋体" w:eastAsia="宋体" w:cs="Times New Roman"/>
          <w:bCs/>
          <w:sz w:val="21"/>
          <w:szCs w:val="21"/>
        </w:rPr>
      </w:pPr>
      <w:r>
        <w:rPr>
          <w:rFonts w:hint="eastAsia" w:ascii="宋体" w:hAnsi="宋体" w:eastAsia="宋体" w:cs="Times New Roman"/>
          <w:bCs/>
          <w:sz w:val="21"/>
          <w:szCs w:val="21"/>
        </w:rPr>
        <w:t>15.1质量瑕疵的违约责任</w:t>
      </w:r>
    </w:p>
    <w:p w14:paraId="2711167F">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乙方提供的产品不符合合同约定的质量标准或存在产品质量缺陷，甲方有权要求乙方根据</w:t>
      </w:r>
      <w:r>
        <w:rPr>
          <w:rFonts w:hint="eastAsia" w:ascii="宋体" w:hAnsi="宋体" w:eastAsia="宋体" w:cs="Times New Roman"/>
          <w:b/>
          <w:sz w:val="21"/>
          <w:szCs w:val="21"/>
        </w:rPr>
        <w:t>【政府采购合同专用条款】</w:t>
      </w:r>
      <w:r>
        <w:rPr>
          <w:rFonts w:hint="eastAsia" w:ascii="宋体" w:hAnsi="宋体" w:eastAsia="宋体" w:cs="Times New Roman"/>
          <w:bCs/>
          <w:sz w:val="21"/>
          <w:szCs w:val="21"/>
        </w:rPr>
        <w:t>要求</w:t>
      </w:r>
      <w:r>
        <w:rPr>
          <w:rFonts w:hint="eastAsia" w:ascii="宋体" w:hAnsi="宋体" w:eastAsia="宋体" w:cs="Times New Roman"/>
          <w:sz w:val="21"/>
          <w:szCs w:val="21"/>
        </w:rPr>
        <w:t>及时修理、重作、更换，并承担由此给甲方造成的损失。</w:t>
      </w:r>
    </w:p>
    <w:p w14:paraId="2366D8C9">
      <w:pPr>
        <w:autoSpaceDE w:val="0"/>
        <w:autoSpaceDN w:val="0"/>
        <w:adjustRightInd w:val="0"/>
        <w:snapToGrid w:val="0"/>
        <w:spacing w:line="400" w:lineRule="exact"/>
        <w:ind w:firstLine="420"/>
        <w:jc w:val="left"/>
        <w:rPr>
          <w:rFonts w:ascii="宋体" w:hAnsi="宋体" w:eastAsia="宋体" w:cs="Times New Roman"/>
          <w:bCs/>
          <w:sz w:val="21"/>
          <w:szCs w:val="21"/>
        </w:rPr>
      </w:pPr>
      <w:r>
        <w:rPr>
          <w:rFonts w:hint="eastAsia" w:ascii="宋体" w:hAnsi="宋体" w:eastAsia="宋体" w:cs="Times New Roman"/>
          <w:bCs/>
          <w:sz w:val="21"/>
          <w:szCs w:val="21"/>
        </w:rPr>
        <w:t>15.2 迟延交货的违约责任</w:t>
      </w:r>
    </w:p>
    <w:p w14:paraId="3748042A">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09BA81D">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（2）如果乙方没有按照合同规定的时间交货和提供相关服务，甲方有权从货款中扣除误期赔偿费而不影响合同项下的其他补救方法，赔偿费按</w:t>
      </w:r>
      <w:r>
        <w:rPr>
          <w:rFonts w:hint="eastAsia" w:ascii="宋体" w:hAnsi="宋体" w:eastAsia="宋体" w:cs="Times New Roman"/>
          <w:b/>
          <w:sz w:val="21"/>
          <w:szCs w:val="21"/>
        </w:rPr>
        <w:t>【政府采购合同专用条款】</w:t>
      </w:r>
      <w:r>
        <w:rPr>
          <w:rFonts w:hint="eastAsia" w:ascii="宋体" w:hAnsi="宋体" w:eastAsia="宋体" w:cs="Times New Roman"/>
          <w:sz w:val="21"/>
          <w:szCs w:val="21"/>
        </w:rPr>
        <w:t>规定执行。如果涉及公共利益，且赔偿金额无法弥补公共利益损失，甲方可要求继续履行或者采取其他补救措施。</w:t>
      </w:r>
    </w:p>
    <w:p w14:paraId="74D76BE5">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15.3 迟延支付的违约责任</w:t>
      </w:r>
    </w:p>
    <w:p w14:paraId="716B637D">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甲方存在迟延支付乙方合同款项的，应当承担</w:t>
      </w:r>
      <w:r>
        <w:rPr>
          <w:rFonts w:hint="eastAsia" w:ascii="宋体" w:hAnsi="宋体" w:eastAsia="宋体" w:cs="Times New Roman"/>
          <w:b/>
          <w:bCs/>
          <w:sz w:val="21"/>
          <w:szCs w:val="21"/>
        </w:rPr>
        <w:t>【政府采购合同专用条款】</w:t>
      </w:r>
      <w:r>
        <w:rPr>
          <w:rFonts w:hint="eastAsia" w:ascii="宋体" w:hAnsi="宋体" w:eastAsia="宋体" w:cs="Times New Roman"/>
          <w:sz w:val="21"/>
          <w:szCs w:val="21"/>
        </w:rPr>
        <w:t>规定的逾期付款利息。</w:t>
      </w:r>
    </w:p>
    <w:p w14:paraId="24023101">
      <w:pPr>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bCs/>
          <w:sz w:val="21"/>
          <w:szCs w:val="21"/>
        </w:rPr>
        <w:t>15.4其他违约责任根据项目实际需要按</w:t>
      </w:r>
      <w:r>
        <w:rPr>
          <w:rFonts w:hint="eastAsia" w:ascii="宋体" w:hAnsi="宋体" w:eastAsia="宋体" w:cs="Times New Roman"/>
          <w:b/>
          <w:bCs/>
          <w:sz w:val="21"/>
          <w:szCs w:val="21"/>
        </w:rPr>
        <w:t>【政府采购合同专用条款】</w:t>
      </w:r>
      <w:r>
        <w:rPr>
          <w:rFonts w:hint="eastAsia" w:ascii="宋体" w:hAnsi="宋体" w:eastAsia="宋体" w:cs="Times New Roman"/>
          <w:sz w:val="21"/>
          <w:szCs w:val="21"/>
        </w:rPr>
        <w:t>规定执行。</w:t>
      </w:r>
    </w:p>
    <w:p w14:paraId="798AD7F5">
      <w:pPr>
        <w:numPr>
          <w:ilvl w:val="0"/>
          <w:numId w:val="16"/>
        </w:numPr>
        <w:autoSpaceDE w:val="0"/>
        <w:autoSpaceDN w:val="0"/>
        <w:adjustRightInd w:val="0"/>
        <w:snapToGrid w:val="0"/>
        <w:spacing w:line="400" w:lineRule="exact"/>
        <w:ind w:firstLine="0" w:firstLineChars="0"/>
        <w:jc w:val="left"/>
        <w:rPr>
          <w:rFonts w:ascii="宋体" w:hAnsi="宋体" w:eastAsia="宋体" w:cs="Times New Roman"/>
          <w:b/>
          <w:sz w:val="24"/>
          <w:szCs w:val="24"/>
        </w:rPr>
      </w:pPr>
      <w:r>
        <w:rPr>
          <w:rFonts w:hint="eastAsia" w:ascii="宋体" w:hAnsi="宋体" w:eastAsia="宋体" w:cs="Times New Roman"/>
          <w:b/>
          <w:sz w:val="24"/>
          <w:szCs w:val="24"/>
        </w:rPr>
        <w:t>合同变更、中止与终止</w:t>
      </w:r>
    </w:p>
    <w:p w14:paraId="4C7FA374">
      <w:pPr>
        <w:adjustRightInd w:val="0"/>
        <w:snapToGrid w:val="0"/>
        <w:spacing w:line="400" w:lineRule="exact"/>
        <w:ind w:firstLine="0" w:firstLineChars="0"/>
        <w:jc w:val="left"/>
        <w:rPr>
          <w:rFonts w:ascii="宋体" w:hAnsi="宋体" w:eastAsia="宋体" w:cs="Times New Roman"/>
          <w:sz w:val="21"/>
          <w:szCs w:val="21"/>
        </w:rPr>
      </w:pPr>
      <w:r>
        <w:rPr>
          <w:rFonts w:hint="eastAsia" w:ascii="宋体" w:hAnsi="宋体" w:eastAsia="宋体" w:cs="Times New Roman"/>
          <w:sz w:val="21"/>
          <w:szCs w:val="21"/>
        </w:rPr>
        <w:t xml:space="preserve">    16.1合同的变更</w:t>
      </w:r>
    </w:p>
    <w:p w14:paraId="6C8F0798">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政府采购合同履行中，在不改变合同其他条款的前提下，甲方可以在合同价款10%的范围内追加与合同标的相同的货物，并就此与乙方协商一致后签订补充协议。</w:t>
      </w:r>
    </w:p>
    <w:p w14:paraId="1D6DEE02">
      <w:pPr>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16.2合同的中止</w:t>
      </w:r>
    </w:p>
    <w:p w14:paraId="716F898F">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（1）合同履行过程中因供应商就采购文件、采购过程或结果提起投诉的，甲方认为有必要的，可以中止合同的履行。</w:t>
      </w:r>
    </w:p>
    <w:p w14:paraId="47CFEA34">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6E59623">
      <w:pPr>
        <w:autoSpaceDE w:val="0"/>
        <w:autoSpaceDN w:val="0"/>
        <w:adjustRightInd w:val="0"/>
        <w:spacing w:line="400" w:lineRule="exact"/>
        <w:ind w:firstLine="420"/>
        <w:rPr>
          <w:rFonts w:ascii="华文楷体" w:hAnsi="华文楷体" w:eastAsia="华文楷体" w:cs="华文楷体"/>
          <w:sz w:val="21"/>
          <w:szCs w:val="21"/>
        </w:rPr>
      </w:pPr>
      <w:r>
        <w:rPr>
          <w:rFonts w:hint="eastAsia" w:ascii="宋体" w:hAnsi="宋体" w:eastAsia="宋体" w:cs="宋体"/>
          <w:sz w:val="21"/>
          <w:szCs w:val="21"/>
        </w:rPr>
        <w:t>（3）乙方分立、合并或者变更住所的，应当及时以书面形式告知甲方。乙方没有及时告知甲方，致使合同履行发生困难的，甲方可以中止合同履行并要求乙方承担由此给甲方造成的损失。</w:t>
      </w:r>
    </w:p>
    <w:p w14:paraId="5829BBC8">
      <w:pPr>
        <w:snapToGrid w:val="0"/>
        <w:spacing w:line="400" w:lineRule="exact"/>
        <w:ind w:firstLine="420"/>
        <w:jc w:val="left"/>
        <w:rPr>
          <w:rFonts w:ascii="Times New Roman" w:hAnsi="Times New Roman" w:eastAsia="宋体" w:cs="Times New Roman"/>
          <w:sz w:val="21"/>
          <w:szCs w:val="24"/>
        </w:rPr>
      </w:pPr>
      <w:r>
        <w:rPr>
          <w:rFonts w:hint="eastAsia" w:ascii="宋体" w:hAnsi="宋体" w:eastAsia="宋体" w:cs="Times New Roman"/>
          <w:sz w:val="21"/>
          <w:szCs w:val="21"/>
        </w:rPr>
        <w:t>（4）甲方不得以行政区划调整、政府换届、机构或者职能调整以及相关责任人更替为由中止合同。</w:t>
      </w:r>
    </w:p>
    <w:p w14:paraId="050C1206">
      <w:pPr>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16.3合同的终止</w:t>
      </w:r>
    </w:p>
    <w:p w14:paraId="79D8B936">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（1）合同因有效期限届满而终止；</w:t>
      </w:r>
    </w:p>
    <w:p w14:paraId="2710293F">
      <w:pPr>
        <w:snapToGrid w:val="0"/>
        <w:spacing w:line="400" w:lineRule="exact"/>
        <w:ind w:firstLine="420"/>
        <w:rPr>
          <w:rFonts w:ascii="宋体" w:hAnsi="宋体" w:eastAsia="宋体" w:cs="宋体"/>
          <w:sz w:val="21"/>
          <w:szCs w:val="21"/>
        </w:rPr>
      </w:pPr>
      <w:r>
        <w:rPr>
          <w:rFonts w:hint="eastAsia" w:ascii="宋体" w:hAnsi="宋体" w:eastAsia="宋体" w:cs="Times New Roman"/>
          <w:sz w:val="21"/>
          <w:szCs w:val="21"/>
        </w:rPr>
        <w:t>（2）乙方未按合同约定履行，构成根本性违约的，甲方有权终止合同，</w:t>
      </w:r>
      <w:r>
        <w:rPr>
          <w:rFonts w:hint="eastAsia" w:ascii="宋体" w:hAnsi="宋体" w:eastAsia="宋体" w:cs="宋体"/>
          <w:sz w:val="21"/>
          <w:szCs w:val="21"/>
        </w:rPr>
        <w:t>并追究乙方的违约责任</w:t>
      </w:r>
      <w:r>
        <w:rPr>
          <w:rFonts w:hint="eastAsia" w:ascii="宋体" w:hAnsi="宋体" w:eastAsia="宋体" w:cs="Times New Roman"/>
          <w:sz w:val="21"/>
          <w:szCs w:val="21"/>
        </w:rPr>
        <w:t>。</w:t>
      </w:r>
    </w:p>
    <w:p w14:paraId="3A329C72">
      <w:pPr>
        <w:autoSpaceDE w:val="0"/>
        <w:autoSpaceDN w:val="0"/>
        <w:adjustRightInd w:val="0"/>
        <w:spacing w:line="400" w:lineRule="exact"/>
        <w:ind w:firstLine="440"/>
        <w:rPr>
          <w:rFonts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 w:val="21"/>
          <w:szCs w:val="21"/>
        </w:rPr>
        <w:t>涉及国家利益、社会公共利益的情形</w:t>
      </w:r>
    </w:p>
    <w:p w14:paraId="633DB1AB">
      <w:pPr>
        <w:autoSpaceDE w:val="0"/>
        <w:autoSpaceDN w:val="0"/>
        <w:adjustRightInd w:val="0"/>
        <w:spacing w:line="400" w:lineRule="exact"/>
        <w:ind w:firstLine="420"/>
        <w:rPr>
          <w:rFonts w:ascii="华文楷体" w:hAnsi="华文楷体" w:eastAsia="华文楷体" w:cs="华文楷体"/>
          <w:sz w:val="21"/>
          <w:szCs w:val="21"/>
        </w:rPr>
      </w:pPr>
      <w:r>
        <w:rPr>
          <w:rFonts w:hint="eastAsia" w:ascii="宋体" w:hAnsi="宋体" w:eastAsia="宋体" w:cs="宋体"/>
          <w:sz w:val="21"/>
          <w:szCs w:val="21"/>
        </w:rPr>
        <w:t>政府采购合同继续履行将损害国家利益和社会公共利益的，双方当事人应当变更、中止或者终止合同。有过错的一方应当承担赔偿责任，双方都有过错的，各自承担相应的责任。</w:t>
      </w:r>
    </w:p>
    <w:p w14:paraId="297D8817">
      <w:pPr>
        <w:autoSpaceDE w:val="0"/>
        <w:autoSpaceDN w:val="0"/>
        <w:adjustRightInd w:val="0"/>
        <w:snapToGrid w:val="0"/>
        <w:spacing w:line="400" w:lineRule="exact"/>
        <w:ind w:firstLine="0" w:firstLineChars="0"/>
        <w:jc w:val="left"/>
        <w:rPr>
          <w:rFonts w:ascii="宋体" w:hAnsi="宋体" w:eastAsia="宋体" w:cs="Times New Roman"/>
          <w:b/>
          <w:bCs/>
          <w:sz w:val="24"/>
          <w:szCs w:val="24"/>
        </w:rPr>
      </w:pPr>
      <w:r>
        <w:rPr>
          <w:rFonts w:hint="eastAsia" w:ascii="宋体" w:hAnsi="宋体" w:eastAsia="宋体" w:cs="Times New Roman"/>
          <w:b/>
          <w:bCs/>
          <w:sz w:val="24"/>
          <w:szCs w:val="24"/>
        </w:rPr>
        <w:t>17. 合同分包</w:t>
      </w:r>
    </w:p>
    <w:p w14:paraId="55726511">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17.1 乙方不得将合同转包给其他供应商。涉及合同分包的，乙方应根据采购文件和投标（响应）文件规定进行合同分包。</w:t>
      </w:r>
    </w:p>
    <w:p w14:paraId="6435C00C">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17.2 乙方执行政府采购政策向中小企业依法分包的，乙方应当按采购文件和投标（响应）文件签订分包意向协议，分包意向协议属于本合同组成部分。</w:t>
      </w:r>
    </w:p>
    <w:p w14:paraId="6C707462">
      <w:pPr>
        <w:autoSpaceDE w:val="0"/>
        <w:autoSpaceDN w:val="0"/>
        <w:adjustRightInd w:val="0"/>
        <w:snapToGrid w:val="0"/>
        <w:spacing w:line="400" w:lineRule="exact"/>
        <w:ind w:firstLine="0" w:firstLineChars="0"/>
        <w:jc w:val="left"/>
        <w:rPr>
          <w:rFonts w:ascii="宋体" w:hAnsi="宋体" w:eastAsia="宋体" w:cs="Times New Roman"/>
          <w:b/>
          <w:bCs/>
          <w:sz w:val="24"/>
          <w:szCs w:val="24"/>
        </w:rPr>
      </w:pPr>
      <w:r>
        <w:rPr>
          <w:rFonts w:hint="eastAsia" w:ascii="宋体" w:hAnsi="宋体" w:eastAsia="宋体" w:cs="Times New Roman"/>
          <w:b/>
          <w:bCs/>
          <w:sz w:val="24"/>
          <w:szCs w:val="24"/>
        </w:rPr>
        <w:t>18. 不可抗力</w:t>
      </w:r>
    </w:p>
    <w:p w14:paraId="234A67B6">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18.1 不可抗力是指合同双方不能预见、不能避免且不能克服的客观情况。</w:t>
      </w:r>
    </w:p>
    <w:p w14:paraId="0EF5230B">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18.2 任何一方对由于不可抗力造成的部分或全部不能履行合同不承担违约责任。但迟延履行后发生不可抗力的，不能免除责任。</w:t>
      </w:r>
    </w:p>
    <w:p w14:paraId="3854C0E9">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9978061">
      <w:pPr>
        <w:autoSpaceDE w:val="0"/>
        <w:autoSpaceDN w:val="0"/>
        <w:adjustRightInd w:val="0"/>
        <w:snapToGrid w:val="0"/>
        <w:spacing w:line="400" w:lineRule="exact"/>
        <w:ind w:firstLine="0" w:firstLineChars="0"/>
        <w:jc w:val="left"/>
        <w:rPr>
          <w:rFonts w:ascii="宋体" w:hAnsi="宋体" w:eastAsia="宋体" w:cs="Times New Roman"/>
          <w:b/>
          <w:bCs/>
          <w:sz w:val="24"/>
          <w:szCs w:val="24"/>
        </w:rPr>
      </w:pPr>
      <w:r>
        <w:rPr>
          <w:rFonts w:hint="eastAsia" w:ascii="宋体" w:hAnsi="宋体" w:eastAsia="宋体" w:cs="Times New Roman"/>
          <w:b/>
          <w:bCs/>
          <w:sz w:val="24"/>
          <w:szCs w:val="24"/>
        </w:rPr>
        <w:t>19. 解决争议的方法</w:t>
      </w:r>
    </w:p>
    <w:p w14:paraId="30778F18">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sz w:val="21"/>
          <w:szCs w:val="21"/>
        </w:rPr>
        <w:t>19.1 因本合同及合同有关事项发生的争议，由甲乙双方友好协商解决。协商不成时，可以向有关组织申请调解。合同一方或双方不愿调解或调解不成的，可以通过仲裁或诉讼的方式解决争议。</w:t>
      </w:r>
    </w:p>
    <w:p w14:paraId="75A79F02">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sz w:val="21"/>
          <w:szCs w:val="21"/>
        </w:rPr>
        <w:t>19.2 选择仲裁的，应在</w:t>
      </w:r>
      <w:r>
        <w:rPr>
          <w:rFonts w:hint="eastAsia" w:ascii="宋体" w:hAnsi="宋体" w:eastAsia="宋体" w:cs="宋体"/>
          <w:b/>
          <w:bCs/>
          <w:sz w:val="21"/>
          <w:szCs w:val="21"/>
        </w:rPr>
        <w:t>【政府采购合同专用条款】</w:t>
      </w:r>
      <w:r>
        <w:rPr>
          <w:rFonts w:hint="eastAsia" w:ascii="宋体" w:hAnsi="宋体" w:eastAsia="宋体" w:cs="宋体"/>
          <w:sz w:val="21"/>
          <w:szCs w:val="21"/>
        </w:rPr>
        <w:t>中明确仲裁机构及仲裁地；通过诉讼方式解决的，可以在</w:t>
      </w:r>
      <w:r>
        <w:rPr>
          <w:rFonts w:hint="eastAsia" w:ascii="宋体" w:hAnsi="宋体" w:eastAsia="宋体" w:cs="宋体"/>
          <w:b/>
          <w:bCs/>
          <w:sz w:val="21"/>
          <w:szCs w:val="21"/>
        </w:rPr>
        <w:t>【政府采购合同专用条款】</w:t>
      </w:r>
      <w:r>
        <w:rPr>
          <w:rFonts w:hint="eastAsia" w:ascii="宋体" w:hAnsi="宋体" w:eastAsia="宋体" w:cs="宋体"/>
          <w:sz w:val="21"/>
          <w:szCs w:val="21"/>
        </w:rPr>
        <w:t>中进一步约定选择与争议有实际联系的地点的人民法院管辖，但管辖法院的约定不得违反级别管辖和专属管辖的规定。</w:t>
      </w:r>
    </w:p>
    <w:p w14:paraId="508833B5">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sz w:val="21"/>
          <w:szCs w:val="21"/>
        </w:rPr>
        <w:t>19.3 如甲乙双方有争议的事项不影响合同其他部分的履行，在争议解决期间，合同其他部分应当继续履行。</w:t>
      </w:r>
    </w:p>
    <w:p w14:paraId="6C36E257">
      <w:pPr>
        <w:autoSpaceDE w:val="0"/>
        <w:autoSpaceDN w:val="0"/>
        <w:adjustRightInd w:val="0"/>
        <w:snapToGrid w:val="0"/>
        <w:spacing w:line="400" w:lineRule="exact"/>
        <w:ind w:firstLine="0" w:firstLineChars="0"/>
        <w:jc w:val="left"/>
        <w:rPr>
          <w:rFonts w:ascii="宋体" w:hAnsi="宋体" w:eastAsia="宋体" w:cs="Times New Roman"/>
          <w:sz w:val="24"/>
          <w:szCs w:val="24"/>
        </w:rPr>
      </w:pPr>
      <w:r>
        <w:rPr>
          <w:rFonts w:hint="eastAsia" w:ascii="宋体" w:hAnsi="宋体" w:eastAsia="宋体" w:cs="Times New Roman"/>
          <w:b/>
          <w:sz w:val="24"/>
          <w:szCs w:val="24"/>
        </w:rPr>
        <w:t>20. 政府采购政策</w:t>
      </w:r>
    </w:p>
    <w:p w14:paraId="3EA890A3">
      <w:pPr>
        <w:autoSpaceDE w:val="0"/>
        <w:autoSpaceDN w:val="0"/>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 xml:space="preserve">20.1 </w:t>
      </w:r>
      <w:r>
        <w:rPr>
          <w:rFonts w:hint="eastAsia" w:ascii="宋体" w:hAnsi="宋体" w:eastAsia="宋体" w:cs="宋体"/>
          <w:sz w:val="21"/>
          <w:szCs w:val="24"/>
          <w:lang w:val="en-GB"/>
        </w:rPr>
        <w:t>本合同应当按照规定执行政府采购政策。</w:t>
      </w:r>
    </w:p>
    <w:p w14:paraId="04AEB264">
      <w:pPr>
        <w:autoSpaceDE w:val="0"/>
        <w:autoSpaceDN w:val="0"/>
        <w:adjustRightInd w:val="0"/>
        <w:snapToGrid w:val="0"/>
        <w:spacing w:line="400" w:lineRule="exact"/>
        <w:ind w:firstLine="420"/>
        <w:jc w:val="left"/>
        <w:rPr>
          <w:rFonts w:ascii="宋体" w:hAnsi="宋体" w:eastAsia="宋体" w:cs="Times New Roman"/>
          <w:sz w:val="21"/>
          <w:szCs w:val="21"/>
        </w:rPr>
      </w:pPr>
      <w:r>
        <w:rPr>
          <w:rFonts w:ascii="宋体" w:hAnsi="宋体" w:eastAsia="宋体" w:cs="Times New Roman"/>
          <w:sz w:val="21"/>
          <w:szCs w:val="21"/>
        </w:rPr>
        <w:t>2</w:t>
      </w:r>
      <w:r>
        <w:rPr>
          <w:rFonts w:hint="eastAsia" w:ascii="宋体" w:hAnsi="宋体" w:eastAsia="宋体" w:cs="Times New Roman"/>
          <w:sz w:val="21"/>
          <w:szCs w:val="21"/>
        </w:rPr>
        <w:t>0.2 本合同依法执行政府采购政策的方式和内容，属于合同履约验收的范围。</w:t>
      </w:r>
      <w:r>
        <w:rPr>
          <w:rFonts w:hint="eastAsia" w:ascii="宋体" w:hAnsi="宋体" w:eastAsia="宋体" w:cs="宋体"/>
          <w:sz w:val="21"/>
          <w:szCs w:val="24"/>
        </w:rPr>
        <w:t>甲乙双方</w:t>
      </w:r>
      <w:r>
        <w:rPr>
          <w:rFonts w:hint="eastAsia" w:ascii="宋体" w:hAnsi="宋体" w:eastAsia="宋体" w:cs="宋体"/>
          <w:sz w:val="21"/>
          <w:szCs w:val="24"/>
          <w:lang w:val="en-GB"/>
        </w:rPr>
        <w:t>未按规定要求执行政府采购政策造成损失的</w:t>
      </w:r>
      <w:r>
        <w:rPr>
          <w:rFonts w:hint="eastAsia" w:ascii="宋体" w:hAnsi="宋体" w:eastAsia="宋体" w:cs="Times New Roman"/>
          <w:sz w:val="21"/>
          <w:szCs w:val="21"/>
        </w:rPr>
        <w:t>，有过错的一方应当承担赔偿责任，双方都有过错的，各自承担相应的责任。</w:t>
      </w:r>
    </w:p>
    <w:p w14:paraId="6A9781BD">
      <w:pPr>
        <w:spacing w:line="400" w:lineRule="exact"/>
        <w:ind w:firstLine="420"/>
        <w:rPr>
          <w:rFonts w:ascii="Calibri" w:hAnsi="Calibri" w:eastAsia="宋体" w:cs="Times New Roman"/>
          <w:sz w:val="21"/>
        </w:rPr>
      </w:pPr>
      <w:r>
        <w:rPr>
          <w:rFonts w:ascii="宋体" w:hAnsi="宋体" w:eastAsia="宋体" w:cs="Times New Roman"/>
          <w:sz w:val="21"/>
          <w:szCs w:val="21"/>
        </w:rPr>
        <w:t>2</w:t>
      </w:r>
      <w:r>
        <w:rPr>
          <w:rFonts w:hint="eastAsia" w:ascii="宋体" w:hAnsi="宋体" w:eastAsia="宋体" w:cs="Times New Roman"/>
          <w:sz w:val="21"/>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614CB96">
      <w:pPr>
        <w:autoSpaceDE w:val="0"/>
        <w:autoSpaceDN w:val="0"/>
        <w:adjustRightInd w:val="0"/>
        <w:snapToGrid w:val="0"/>
        <w:spacing w:line="400" w:lineRule="exact"/>
        <w:ind w:firstLine="0" w:firstLineChars="0"/>
        <w:jc w:val="left"/>
        <w:rPr>
          <w:rFonts w:ascii="宋体" w:hAnsi="宋体" w:eastAsia="宋体" w:cs="Times New Roman"/>
          <w:b/>
          <w:sz w:val="24"/>
          <w:szCs w:val="24"/>
        </w:rPr>
      </w:pPr>
      <w:r>
        <w:rPr>
          <w:rFonts w:hint="eastAsia" w:ascii="宋体" w:hAnsi="宋体" w:eastAsia="宋体" w:cs="Times New Roman"/>
          <w:b/>
          <w:sz w:val="24"/>
          <w:szCs w:val="24"/>
        </w:rPr>
        <w:t>21. 法律适用</w:t>
      </w:r>
    </w:p>
    <w:p w14:paraId="3F758155">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sz w:val="21"/>
          <w:szCs w:val="21"/>
        </w:rPr>
        <w:t>21.1 本合同的订立、生效、解释、履行及与本合同有关的争议解决，均适用法律、行政法规。</w:t>
      </w:r>
    </w:p>
    <w:p w14:paraId="768396E1">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sz w:val="21"/>
          <w:szCs w:val="21"/>
        </w:rPr>
        <w:t>21.2 本合同条款与法律、行政法规的强制性规定不一致的，双方当事人应按照法律、行政法规的强制性规定修改本合同的相关条款。</w:t>
      </w:r>
    </w:p>
    <w:p w14:paraId="572E6D4D">
      <w:pPr>
        <w:numPr>
          <w:ilvl w:val="255"/>
          <w:numId w:val="0"/>
        </w:numPr>
        <w:autoSpaceDE w:val="0"/>
        <w:autoSpaceDN w:val="0"/>
        <w:adjustRightInd w:val="0"/>
        <w:snapToGrid w:val="0"/>
        <w:spacing w:line="400" w:lineRule="exact"/>
        <w:jc w:val="left"/>
        <w:rPr>
          <w:rFonts w:ascii="宋体" w:hAnsi="宋体" w:eastAsia="宋体" w:cs="Times New Roman"/>
          <w:b/>
          <w:sz w:val="24"/>
          <w:szCs w:val="24"/>
        </w:rPr>
      </w:pPr>
      <w:r>
        <w:rPr>
          <w:rFonts w:hint="eastAsia" w:ascii="宋体" w:hAnsi="宋体" w:eastAsia="宋体" w:cs="Times New Roman"/>
          <w:b/>
          <w:sz w:val="24"/>
          <w:szCs w:val="24"/>
        </w:rPr>
        <w:t>22. 通知</w:t>
      </w:r>
    </w:p>
    <w:p w14:paraId="27E8C0AB">
      <w:pPr>
        <w:autoSpaceDE w:val="0"/>
        <w:autoSpaceDN w:val="0"/>
        <w:adjustRightInd w:val="0"/>
        <w:spacing w:line="400" w:lineRule="exact"/>
        <w:ind w:firstLine="420"/>
        <w:rPr>
          <w:rFonts w:ascii="宋体" w:hAnsi="宋体" w:eastAsia="宋体" w:cs="宋体"/>
          <w:sz w:val="21"/>
          <w:szCs w:val="21"/>
        </w:rPr>
      </w:pPr>
      <w:r>
        <w:rPr>
          <w:rFonts w:hint="eastAsia" w:ascii="宋体" w:hAnsi="宋体" w:eastAsia="宋体" w:cs="宋体"/>
          <w:sz w:val="21"/>
          <w:szCs w:val="21"/>
        </w:rPr>
        <w:t>22.1 本合同任何一方向对方发出的通知、信件、数据电文等，应当发送至本合同第一部分《政府采购合同协议书》所约定的通讯地址、联系人、联系电话或电子邮箱。</w:t>
      </w:r>
    </w:p>
    <w:p w14:paraId="4E713C33">
      <w:pPr>
        <w:autoSpaceDE w:val="0"/>
        <w:autoSpaceDN w:val="0"/>
        <w:adjustRightInd w:val="0"/>
        <w:spacing w:line="400" w:lineRule="exact"/>
        <w:ind w:firstLine="0" w:firstLineChars="0"/>
        <w:rPr>
          <w:rFonts w:ascii="华文楷体" w:hAnsi="华文楷体" w:eastAsia="华文楷体" w:cs="华文楷体"/>
          <w:sz w:val="21"/>
          <w:szCs w:val="21"/>
        </w:rPr>
      </w:pPr>
      <w:r>
        <w:rPr>
          <w:rFonts w:hint="eastAsia" w:ascii="宋体" w:hAnsi="宋体" w:eastAsia="宋体" w:cs="宋体"/>
          <w:sz w:val="21"/>
          <w:szCs w:val="21"/>
        </w:rPr>
        <w:t xml:space="preserve">    22.2 一方当事人变更名称、住所、联系人、联系电话或电子邮箱等信息的，应当在变更后3日内及时书面通知对方，对方实际收到变更通知前的送达仍为有效送达。</w:t>
      </w:r>
    </w:p>
    <w:p w14:paraId="379EDD97">
      <w:pPr>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22.3本合同一方给另一方的通知均应采用书面形式，传真或快递送到本合同中规定的对方的地址和办理签收手续。</w:t>
      </w:r>
    </w:p>
    <w:p w14:paraId="1D0630B9">
      <w:pPr>
        <w:adjustRightInd w:val="0"/>
        <w:snapToGrid w:val="0"/>
        <w:spacing w:line="400" w:lineRule="exact"/>
        <w:ind w:firstLine="420"/>
        <w:jc w:val="left"/>
        <w:rPr>
          <w:rFonts w:ascii="宋体" w:hAnsi="宋体" w:eastAsia="宋体" w:cs="Times New Roman"/>
          <w:sz w:val="21"/>
          <w:szCs w:val="21"/>
        </w:rPr>
      </w:pPr>
      <w:r>
        <w:rPr>
          <w:rFonts w:hint="eastAsia" w:ascii="宋体" w:hAnsi="宋体" w:eastAsia="宋体" w:cs="Times New Roman"/>
          <w:sz w:val="21"/>
          <w:szCs w:val="21"/>
        </w:rPr>
        <w:t>22.4通知以送达之日或通知书中规定的生效之日起生效，两者中以较迟之日为准。</w:t>
      </w:r>
    </w:p>
    <w:p w14:paraId="33E95C8B">
      <w:pPr>
        <w:numPr>
          <w:ilvl w:val="0"/>
          <w:numId w:val="17"/>
        </w:numPr>
        <w:adjustRightInd w:val="0"/>
        <w:snapToGrid w:val="0"/>
        <w:spacing w:line="400" w:lineRule="exact"/>
        <w:ind w:firstLine="0" w:firstLineChars="0"/>
        <w:jc w:val="left"/>
        <w:rPr>
          <w:rFonts w:ascii="宋体" w:hAnsi="宋体" w:eastAsia="宋体" w:cs="Times New Roman"/>
          <w:b/>
          <w:bCs/>
          <w:sz w:val="24"/>
          <w:szCs w:val="24"/>
        </w:rPr>
      </w:pPr>
      <w:r>
        <w:rPr>
          <w:rFonts w:hint="eastAsia" w:ascii="宋体" w:hAnsi="宋体" w:eastAsia="宋体" w:cs="Times New Roman"/>
          <w:b/>
          <w:bCs/>
          <w:sz w:val="24"/>
          <w:szCs w:val="24"/>
        </w:rPr>
        <w:t>合同未尽事项</w:t>
      </w:r>
    </w:p>
    <w:p w14:paraId="6BCA8BFE">
      <w:pPr>
        <w:adjustRightInd w:val="0"/>
        <w:snapToGrid w:val="0"/>
        <w:spacing w:line="400" w:lineRule="exact"/>
        <w:ind w:firstLine="420"/>
        <w:jc w:val="left"/>
        <w:rPr>
          <w:rFonts w:ascii="宋体" w:hAnsi="宋体" w:eastAsia="宋体" w:cs="Times New Roman"/>
          <w:bCs/>
          <w:sz w:val="21"/>
          <w:szCs w:val="21"/>
        </w:rPr>
      </w:pPr>
      <w:r>
        <w:rPr>
          <w:rFonts w:hint="eastAsia" w:ascii="宋体" w:hAnsi="宋体" w:eastAsia="宋体" w:cs="Times New Roman"/>
          <w:bCs/>
          <w:sz w:val="21"/>
          <w:szCs w:val="21"/>
        </w:rPr>
        <w:t>23.1合同未尽事项见</w:t>
      </w:r>
      <w:r>
        <w:rPr>
          <w:rFonts w:hint="eastAsia" w:ascii="宋体" w:hAnsi="宋体" w:eastAsia="宋体" w:cs="Times New Roman"/>
          <w:b/>
          <w:sz w:val="21"/>
          <w:szCs w:val="21"/>
        </w:rPr>
        <w:t>【政府采购合同专用条款】</w:t>
      </w:r>
      <w:r>
        <w:rPr>
          <w:rFonts w:hint="eastAsia" w:ascii="宋体" w:hAnsi="宋体" w:eastAsia="宋体" w:cs="Times New Roman"/>
          <w:bCs/>
          <w:sz w:val="21"/>
          <w:szCs w:val="21"/>
        </w:rPr>
        <w:t>。</w:t>
      </w:r>
    </w:p>
    <w:p w14:paraId="08371EFE">
      <w:pPr>
        <w:adjustRightInd w:val="0"/>
        <w:snapToGrid w:val="0"/>
        <w:spacing w:line="400" w:lineRule="exact"/>
        <w:ind w:firstLine="0" w:firstLineChars="0"/>
        <w:jc w:val="left"/>
        <w:rPr>
          <w:rFonts w:ascii="黑体" w:hAnsi="华文中宋" w:eastAsia="黑体" w:cs="Times New Roman"/>
          <w:sz w:val="28"/>
          <w:szCs w:val="28"/>
        </w:rPr>
      </w:pPr>
      <w:r>
        <w:rPr>
          <w:rFonts w:hint="eastAsia" w:ascii="宋体" w:hAnsi="宋体" w:eastAsia="宋体" w:cs="Times New Roman"/>
          <w:bCs/>
          <w:sz w:val="21"/>
          <w:szCs w:val="21"/>
        </w:rPr>
        <w:t xml:space="preserve">    23.2 合同附件与合同正文具有同等的法律效力。</w:t>
      </w:r>
      <w:bookmarkStart w:id="544" w:name="_Toc20313"/>
    </w:p>
    <w:p w14:paraId="44AB5926">
      <w:pPr>
        <w:adjustRightInd w:val="0"/>
        <w:snapToGrid w:val="0"/>
        <w:ind w:firstLine="0" w:firstLineChars="0"/>
        <w:jc w:val="center"/>
        <w:rPr>
          <w:rFonts w:ascii="黑体" w:hAnsi="华文中宋" w:eastAsia="黑体" w:cs="Times New Roman"/>
          <w:sz w:val="28"/>
          <w:szCs w:val="28"/>
        </w:rPr>
      </w:pPr>
      <w:r>
        <w:rPr>
          <w:rFonts w:hint="eastAsia" w:ascii="黑体" w:hAnsi="华文中宋" w:eastAsia="黑体" w:cs="Times New Roman"/>
          <w:sz w:val="28"/>
          <w:szCs w:val="28"/>
        </w:rPr>
        <w:br w:type="page"/>
      </w:r>
    </w:p>
    <w:p w14:paraId="260E2A7C">
      <w:pPr>
        <w:keepNext/>
        <w:keepLines/>
        <w:adjustRightInd w:val="0"/>
        <w:snapToGrid w:val="0"/>
        <w:spacing w:line="360" w:lineRule="auto"/>
        <w:ind w:firstLine="560"/>
        <w:jc w:val="center"/>
        <w:rPr>
          <w:rFonts w:ascii="黑体" w:hAnsi="华文中宋" w:eastAsia="黑体" w:cs="Times New Roman"/>
          <w:sz w:val="28"/>
          <w:szCs w:val="28"/>
        </w:rPr>
      </w:pPr>
      <w:bookmarkStart w:id="545" w:name="_Toc31609"/>
      <w:r>
        <w:rPr>
          <w:rFonts w:hint="eastAsia" w:ascii="黑体" w:hAnsi="华文中宋" w:eastAsia="黑体" w:cs="Times New Roman"/>
          <w:sz w:val="28"/>
          <w:szCs w:val="28"/>
        </w:rPr>
        <w:t>第三节 政府采购合同专用条款</w:t>
      </w:r>
      <w:bookmarkEnd w:id="544"/>
      <w:bookmarkEnd w:id="545"/>
    </w:p>
    <w:tbl>
      <w:tblPr>
        <w:tblStyle w:val="59"/>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825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1BDD778">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4F5E8238">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第1.2（6）项</w:t>
            </w:r>
          </w:p>
        </w:tc>
        <w:tc>
          <w:tcPr>
            <w:tcW w:w="1742" w:type="dxa"/>
            <w:vAlign w:val="center"/>
          </w:tcPr>
          <w:p w14:paraId="4CB356AD">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联合体具体要求</w:t>
            </w:r>
          </w:p>
        </w:tc>
        <w:tc>
          <w:tcPr>
            <w:tcW w:w="5170" w:type="dxa"/>
            <w:vAlign w:val="center"/>
          </w:tcPr>
          <w:p w14:paraId="5605B109">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本项目不接受联合体投标</w:t>
            </w:r>
          </w:p>
        </w:tc>
      </w:tr>
      <w:tr w14:paraId="21492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73F59569">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1231C2FF">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第1.2（7）项</w:t>
            </w:r>
          </w:p>
        </w:tc>
        <w:tc>
          <w:tcPr>
            <w:tcW w:w="1742" w:type="dxa"/>
            <w:vAlign w:val="center"/>
          </w:tcPr>
          <w:p w14:paraId="6CF77DB6">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其他术语解释</w:t>
            </w:r>
          </w:p>
        </w:tc>
        <w:tc>
          <w:tcPr>
            <w:tcW w:w="5170" w:type="dxa"/>
            <w:vAlign w:val="center"/>
          </w:tcPr>
          <w:p w14:paraId="719E0295">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本项目不涉及</w:t>
            </w:r>
          </w:p>
        </w:tc>
      </w:tr>
      <w:tr w14:paraId="268B9B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40ABF1B">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2202F41E">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第4.4款</w:t>
            </w:r>
          </w:p>
        </w:tc>
        <w:tc>
          <w:tcPr>
            <w:tcW w:w="1742" w:type="dxa"/>
            <w:vAlign w:val="center"/>
          </w:tcPr>
          <w:p w14:paraId="48C1E876">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履约验收中甲方提出异议或作出说明的期限</w:t>
            </w:r>
          </w:p>
        </w:tc>
        <w:tc>
          <w:tcPr>
            <w:tcW w:w="5170" w:type="dxa"/>
            <w:vAlign w:val="center"/>
          </w:tcPr>
          <w:p w14:paraId="1F9CA700">
            <w:pPr>
              <w:numPr>
                <w:ilvl w:val="0"/>
                <w:numId w:val="18"/>
              </w:numPr>
              <w:adjustRightInd w:val="0"/>
              <w:snapToGrid w:val="0"/>
              <w:ind w:left="5" w:hanging="5" w:firstLineChars="0"/>
              <w:jc w:val="left"/>
              <w:rPr>
                <w:rFonts w:ascii="宋体" w:hAnsi="宋体" w:eastAsia="宋体" w:cs="Times New Roman"/>
                <w:sz w:val="21"/>
                <w:szCs w:val="21"/>
              </w:rPr>
            </w:pPr>
            <w:r>
              <w:rPr>
                <w:rFonts w:hint="eastAsia" w:ascii="宋体" w:hAnsi="宋体" w:eastAsia="宋体" w:cs="Times New Roman"/>
                <w:sz w:val="21"/>
                <w:szCs w:val="21"/>
              </w:rPr>
              <w:t>甲方应在货物交付之日起30日内对乙方所提供的货物进行验收。验收程序应根据本合同的规定执行，包括但不限于对货物的数量、质量、性能等方面进行检查。</w:t>
            </w:r>
          </w:p>
          <w:p w14:paraId="49F49247">
            <w:pPr>
              <w:numPr>
                <w:ilvl w:val="0"/>
                <w:numId w:val="18"/>
              </w:numPr>
              <w:adjustRightInd w:val="0"/>
              <w:snapToGrid w:val="0"/>
              <w:ind w:left="5" w:hanging="5" w:firstLineChars="0"/>
              <w:jc w:val="left"/>
              <w:rPr>
                <w:rFonts w:ascii="宋体" w:hAnsi="宋体" w:eastAsia="宋体" w:cs="Times New Roman"/>
                <w:sz w:val="21"/>
                <w:szCs w:val="21"/>
              </w:rPr>
            </w:pPr>
            <w:r>
              <w:rPr>
                <w:rFonts w:hint="eastAsia" w:ascii="宋体" w:hAnsi="宋体" w:eastAsia="宋体" w:cs="Times New Roman"/>
                <w:sz w:val="21"/>
                <w:szCs w:val="21"/>
              </w:rPr>
              <w:t>如甲方在验收过程中发现货物存在不符合合同规定的情形，甲方应在验收之日起15日内向乙方书面提出异议。异议应详细说明货物不符合项及其相关证据。</w:t>
            </w:r>
          </w:p>
          <w:p w14:paraId="5BDCE450">
            <w:pPr>
              <w:numPr>
                <w:ilvl w:val="0"/>
                <w:numId w:val="18"/>
              </w:numPr>
              <w:adjustRightInd w:val="0"/>
              <w:snapToGrid w:val="0"/>
              <w:ind w:left="5" w:hanging="5" w:firstLineChars="0"/>
              <w:jc w:val="left"/>
              <w:rPr>
                <w:rFonts w:ascii="Times New Roman" w:hAnsi="Times New Roman" w:eastAsia="宋体" w:cs="Times New Roman"/>
                <w:sz w:val="21"/>
                <w:szCs w:val="24"/>
              </w:rPr>
            </w:pPr>
            <w:r>
              <w:rPr>
                <w:rFonts w:hint="eastAsia" w:ascii="宋体" w:hAnsi="宋体" w:eastAsia="宋体" w:cs="Times New Roman"/>
                <w:sz w:val="21"/>
                <w:szCs w:val="21"/>
              </w:rPr>
              <w:t>如甲方未在上述规定的期限内提出异议，则视为验收通过，乙方视为已完全履行了其交付义务。</w:t>
            </w:r>
          </w:p>
          <w:p w14:paraId="0F080BC8">
            <w:pPr>
              <w:numPr>
                <w:ilvl w:val="0"/>
                <w:numId w:val="18"/>
              </w:numPr>
              <w:adjustRightInd w:val="0"/>
              <w:snapToGrid w:val="0"/>
              <w:ind w:left="5" w:hanging="5" w:firstLineChars="0"/>
              <w:jc w:val="left"/>
              <w:rPr>
                <w:rFonts w:ascii="Times New Roman" w:hAnsi="Times New Roman" w:eastAsia="宋体" w:cs="Times New Roman"/>
                <w:sz w:val="21"/>
                <w:szCs w:val="24"/>
              </w:rPr>
            </w:pPr>
            <w:r>
              <w:rPr>
                <w:rFonts w:hint="eastAsia" w:ascii="宋体" w:hAnsi="宋体" w:eastAsia="宋体" w:cs="Times New Roman"/>
                <w:sz w:val="21"/>
                <w:szCs w:val="21"/>
              </w:rPr>
              <w:t>在特殊情况下，如果甲方因客观原因无法在规定时间内完成验收，甲方应在原验收期限届满前向乙方提出延期验收的申请，并说明理由。乙方应在接到申请后7日内做出答复。</w:t>
            </w:r>
          </w:p>
        </w:tc>
      </w:tr>
      <w:tr w14:paraId="5BF503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8784FAD">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058C7070">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第4.6款</w:t>
            </w:r>
          </w:p>
        </w:tc>
        <w:tc>
          <w:tcPr>
            <w:tcW w:w="1742" w:type="dxa"/>
            <w:vAlign w:val="center"/>
          </w:tcPr>
          <w:p w14:paraId="73CB4C95">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约定甲方承担的其他义务和责任</w:t>
            </w:r>
          </w:p>
        </w:tc>
        <w:tc>
          <w:tcPr>
            <w:tcW w:w="5170" w:type="dxa"/>
            <w:vAlign w:val="center"/>
          </w:tcPr>
          <w:p w14:paraId="58ADF4A6">
            <w:pPr>
              <w:numPr>
                <w:ilvl w:val="0"/>
                <w:numId w:val="19"/>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信息提供与沟通：甲方应负责提供所有执行合同所需的信息，并确保所提供信息的真实性、准确性和完整性。甲方应及时响应乙方在合同执行过程中的询问，并与乙方保持必要的沟通。</w:t>
            </w:r>
          </w:p>
          <w:p w14:paraId="053C9CB2">
            <w:pPr>
              <w:numPr>
                <w:ilvl w:val="0"/>
                <w:numId w:val="19"/>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合作与协助：甲方应在乙方履行合同过程中提供必要的合作与协助，包括但不限于提供相应的场地、设施及其他必要资源。</w:t>
            </w:r>
          </w:p>
          <w:p w14:paraId="0FC7EB3D">
            <w:pPr>
              <w:numPr>
                <w:ilvl w:val="0"/>
                <w:numId w:val="19"/>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支付义务：甲方应根据合同约定及时、足额向乙方支付相应的货物或服务费用。延迟支付可能导致的任何额外费用或损失由甲方承担。</w:t>
            </w:r>
          </w:p>
          <w:p w14:paraId="7C161C7F">
            <w:pPr>
              <w:numPr>
                <w:ilvl w:val="0"/>
                <w:numId w:val="19"/>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法规遵守：甲方应遵守所有适用的国家法律、法规及行政规章，在合同履行过程中，确保其行为不违反任何法律法规。</w:t>
            </w:r>
          </w:p>
          <w:p w14:paraId="64D8B77F">
            <w:pPr>
              <w:numPr>
                <w:ilvl w:val="0"/>
                <w:numId w:val="19"/>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保密义务：甲方应对在合同履行过程中获知的乙方商业秘密和技术秘密承担保密责任，未经乙方书面同意，不得泄露给第三方。</w:t>
            </w:r>
          </w:p>
          <w:p w14:paraId="2E9B1914">
            <w:pPr>
              <w:numPr>
                <w:ilvl w:val="0"/>
                <w:numId w:val="19"/>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风险管理：甲方应负责合同执行过程中可能出现的政策和法律风险的管理，确保合同的顺利执行不受这些因素的不利影响。</w:t>
            </w:r>
          </w:p>
          <w:p w14:paraId="5237F5A7">
            <w:pPr>
              <w:numPr>
                <w:ilvl w:val="0"/>
                <w:numId w:val="19"/>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解决争议：甲方应积极与乙方合作，通过协商或依据合同约定的其他争议解决机制解决合同执行过程中出现的任何争议。</w:t>
            </w:r>
          </w:p>
        </w:tc>
      </w:tr>
      <w:tr w14:paraId="12EED7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0EDF388">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39131CBE">
            <w:pPr>
              <w:snapToGrid w:val="0"/>
              <w:ind w:firstLine="0" w:firstLineChars="0"/>
              <w:jc w:val="center"/>
              <w:rPr>
                <w:rFonts w:ascii="Times New Roman" w:hAnsi="Times New Roman" w:eastAsia="宋体" w:cs="Times New Roman"/>
                <w:sz w:val="21"/>
                <w:szCs w:val="24"/>
              </w:rPr>
            </w:pPr>
            <w:r>
              <w:rPr>
                <w:rFonts w:hint="eastAsia" w:ascii="宋体" w:hAnsi="宋体" w:eastAsia="宋体" w:cs="Times New Roman"/>
                <w:sz w:val="21"/>
                <w:szCs w:val="21"/>
              </w:rPr>
              <w:t>第5.4款</w:t>
            </w:r>
          </w:p>
        </w:tc>
        <w:tc>
          <w:tcPr>
            <w:tcW w:w="1742" w:type="dxa"/>
            <w:vAlign w:val="center"/>
          </w:tcPr>
          <w:p w14:paraId="49996D2D">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约定乙方承担的其他义务和责任</w:t>
            </w:r>
          </w:p>
        </w:tc>
        <w:tc>
          <w:tcPr>
            <w:tcW w:w="5170" w:type="dxa"/>
            <w:vAlign w:val="center"/>
          </w:tcPr>
          <w:p w14:paraId="7CFEF379">
            <w:pPr>
              <w:numPr>
                <w:ilvl w:val="0"/>
                <w:numId w:val="20"/>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质量保证：乙方必须确保提供的货物或服务符合合同规定的所有质量和性能标准。如所提供的货物或服务在约定的保质期内出现质量问题，乙方应负责无偿修复或更换</w:t>
            </w:r>
            <w:r>
              <w:rPr>
                <w:rFonts w:hint="eastAsia" w:ascii="宋体" w:hAnsi="宋体" w:eastAsia="宋体" w:cs="Times New Roman"/>
                <w:sz w:val="21"/>
                <w:szCs w:val="21"/>
              </w:rPr>
              <w:t>。</w:t>
            </w:r>
            <w:r>
              <w:rPr>
                <w:rFonts w:ascii="宋体" w:hAnsi="宋体" w:eastAsia="宋体" w:cs="Times New Roman"/>
                <w:sz w:val="21"/>
                <w:szCs w:val="21"/>
              </w:rPr>
              <w:t>安全和合规性：乙方应确保所有交付的货物和服务符合国家安全和环境标准。对于任何因不符合这些标准而导致的损害，乙方应承担责任。</w:t>
            </w:r>
          </w:p>
          <w:p w14:paraId="0C586180">
            <w:pPr>
              <w:numPr>
                <w:ilvl w:val="0"/>
                <w:numId w:val="20"/>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交付期限：乙方应严格按照合同约定的时间表交付货物或完成服务。任何延迟交付应及时通知甲方，并说明延迟的原因和预期的解决方案。</w:t>
            </w:r>
          </w:p>
          <w:p w14:paraId="5A463DF2">
            <w:pPr>
              <w:numPr>
                <w:ilvl w:val="0"/>
                <w:numId w:val="20"/>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保密义务：乙方应对在合同履行过程中获知的甲方商业秘密和技术秘密承担保密责任，未经甲方书面同意，不得泄露给第三方。</w:t>
            </w:r>
          </w:p>
          <w:p w14:paraId="15257C2B">
            <w:pPr>
              <w:numPr>
                <w:ilvl w:val="0"/>
                <w:numId w:val="20"/>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知识产权保护：乙方应确保其提供的所有货物和服务不侵犯任何第三方的知识产权。若因侵权引发法律诉讼或甲方遭受损失，乙方应负责赔偿。</w:t>
            </w:r>
          </w:p>
          <w:p w14:paraId="6885C9D6">
            <w:pPr>
              <w:numPr>
                <w:ilvl w:val="0"/>
                <w:numId w:val="20"/>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售后服务：乙方应提供合同中规定的所有售后服务，包括但不限于技术支持、维护和培训等。</w:t>
            </w:r>
          </w:p>
          <w:p w14:paraId="7ACF0451">
            <w:pPr>
              <w:numPr>
                <w:ilvl w:val="0"/>
                <w:numId w:val="20"/>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风险管理：乙方应在合同履行过程中识别、评估和管理与其交付的货物或服务相关的风险，确保不对甲方造成不利影响。</w:t>
            </w:r>
          </w:p>
        </w:tc>
      </w:tr>
      <w:tr w14:paraId="3C3328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A4A443">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014E3F57">
            <w:pPr>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第6.1款</w:t>
            </w:r>
          </w:p>
        </w:tc>
        <w:tc>
          <w:tcPr>
            <w:tcW w:w="1742" w:type="dxa"/>
            <w:vAlign w:val="center"/>
          </w:tcPr>
          <w:p w14:paraId="0336795B">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履行合同义务的顺序</w:t>
            </w:r>
          </w:p>
        </w:tc>
        <w:tc>
          <w:tcPr>
            <w:tcW w:w="5170" w:type="dxa"/>
            <w:vAlign w:val="center"/>
          </w:tcPr>
          <w:p w14:paraId="1A817520">
            <w:pPr>
              <w:numPr>
                <w:ilvl w:val="0"/>
                <w:numId w:val="21"/>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义务履行的一般顺序：甲乙双方应依照以下顺序履行各自的合同义务：</w:t>
            </w:r>
          </w:p>
          <w:p w14:paraId="219F8401">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乙方首先提交合同要求的预备性文件和证明材料（如保险单据、质量合格证明等）。</w:t>
            </w:r>
          </w:p>
          <w:p w14:paraId="572D1741">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甲方在接收并验证这些文件和材料无误后，应及时发出接收货物或服务的通知。</w:t>
            </w:r>
          </w:p>
          <w:p w14:paraId="60D6E017">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乙方在收到接收通知后应按合同约定的时间和地点交付货物或开始提供服务。</w:t>
            </w:r>
          </w:p>
          <w:p w14:paraId="0D4DC1AD">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甲方在货物交付或服务开始后的</w:t>
            </w:r>
            <w:r>
              <w:rPr>
                <w:rFonts w:hint="eastAsia" w:ascii="宋体" w:hAnsi="宋体" w:eastAsia="宋体" w:cs="Times New Roman"/>
                <w:sz w:val="21"/>
                <w:szCs w:val="21"/>
              </w:rPr>
              <w:t>30</w:t>
            </w:r>
            <w:r>
              <w:rPr>
                <w:rFonts w:ascii="宋体" w:hAnsi="宋体" w:eastAsia="宋体" w:cs="Times New Roman"/>
                <w:sz w:val="21"/>
                <w:szCs w:val="21"/>
              </w:rPr>
              <w:t>日内完成验收，并向乙方反馈验收结果。</w:t>
            </w:r>
          </w:p>
          <w:p w14:paraId="406CB3BE">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乙方根据甲方的验收反馈进行必要的调整或修正。</w:t>
            </w:r>
          </w:p>
          <w:p w14:paraId="2C256F9D">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甲方在完成最终验收后，应及时向乙方支付相应的货款或服务费。</w:t>
            </w:r>
          </w:p>
          <w:p w14:paraId="09FB2308">
            <w:pPr>
              <w:numPr>
                <w:ilvl w:val="0"/>
                <w:numId w:val="21"/>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无先后顺序的义务：对于合同中未明确先后顺序的义务，甲乙双方应当同时履行。这包括但不限于保密义务、通知义务和协助义务。</w:t>
            </w:r>
          </w:p>
          <w:p w14:paraId="725DBAF5">
            <w:pPr>
              <w:numPr>
                <w:ilvl w:val="0"/>
                <w:numId w:val="21"/>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特殊情况下的履行顺序：若合同特定条款与本条款存在冲突，应依照合同特定条款的规定执行。</w:t>
            </w:r>
          </w:p>
          <w:p w14:paraId="68AB1801">
            <w:pPr>
              <w:numPr>
                <w:ilvl w:val="0"/>
                <w:numId w:val="21"/>
              </w:numPr>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履行中的沟通与协调：甲乙双方应在合同履行过程中保持良好的沟通与协调，确保义务履行顺利进行。任何一方在履行合同过程中遇到困难时，应及时通知对方，双方应协商解决。</w:t>
            </w:r>
          </w:p>
        </w:tc>
      </w:tr>
      <w:tr w14:paraId="0CAD07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B0DAF21">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1D2688FC">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第7.1款</w:t>
            </w:r>
          </w:p>
        </w:tc>
        <w:tc>
          <w:tcPr>
            <w:tcW w:w="1742" w:type="dxa"/>
            <w:vAlign w:val="center"/>
          </w:tcPr>
          <w:p w14:paraId="06D6C9E3">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包装特殊要求</w:t>
            </w:r>
          </w:p>
        </w:tc>
        <w:tc>
          <w:tcPr>
            <w:tcW w:w="5170" w:type="dxa"/>
            <w:vAlign w:val="center"/>
          </w:tcPr>
          <w:p w14:paraId="778FAD54">
            <w:pPr>
              <w:numPr>
                <w:ilvl w:val="0"/>
                <w:numId w:val="22"/>
              </w:numPr>
              <w:adjustRightInd w:val="0"/>
              <w:snapToGrid w:val="0"/>
              <w:ind w:left="5" w:hanging="5" w:firstLineChars="0"/>
              <w:jc w:val="left"/>
              <w:rPr>
                <w:rFonts w:ascii="Times New Roman" w:hAnsi="Times New Roman" w:eastAsia="宋体" w:cs="Times New Roman"/>
                <w:sz w:val="21"/>
                <w:szCs w:val="24"/>
              </w:rPr>
            </w:pPr>
            <w:r>
              <w:rPr>
                <w:rFonts w:ascii="Times New Roman" w:hAnsi="Times New Roman" w:eastAsia="宋体" w:cs="Times New Roman"/>
                <w:sz w:val="21"/>
                <w:szCs w:val="24"/>
              </w:rPr>
              <w:t>包装标准：乙方必须确保所有货物的包装能够抵抗远距离运输中可能遇到的风险，包括防潮、防震、防锈和防止因野蛮装卸造成的损害。</w:t>
            </w:r>
          </w:p>
          <w:p w14:paraId="55DEFED1">
            <w:pPr>
              <w:numPr>
                <w:ilvl w:val="0"/>
                <w:numId w:val="22"/>
              </w:numPr>
              <w:adjustRightInd w:val="0"/>
              <w:snapToGrid w:val="0"/>
              <w:ind w:left="5" w:hanging="5" w:firstLineChars="0"/>
              <w:jc w:val="left"/>
              <w:rPr>
                <w:rFonts w:ascii="Times New Roman" w:hAnsi="Times New Roman" w:eastAsia="宋体" w:cs="Times New Roman"/>
                <w:sz w:val="21"/>
                <w:szCs w:val="24"/>
              </w:rPr>
            </w:pPr>
            <w:r>
              <w:rPr>
                <w:rFonts w:ascii="Times New Roman" w:hAnsi="Times New Roman" w:eastAsia="宋体" w:cs="Times New Roman"/>
                <w:sz w:val="21"/>
                <w:szCs w:val="24"/>
              </w:rPr>
              <w:t>材料要求：所有包装材料应符合环保标准，且必须足以保护货物免受任何运输过程中的物理或化学损害。</w:t>
            </w:r>
          </w:p>
          <w:p w14:paraId="361518B5">
            <w:pPr>
              <w:numPr>
                <w:ilvl w:val="0"/>
                <w:numId w:val="22"/>
              </w:numPr>
              <w:adjustRightInd w:val="0"/>
              <w:snapToGrid w:val="0"/>
              <w:ind w:left="5" w:hanging="5" w:firstLineChars="0"/>
              <w:jc w:val="left"/>
              <w:rPr>
                <w:rFonts w:ascii="Times New Roman" w:hAnsi="Times New Roman" w:eastAsia="宋体" w:cs="Times New Roman"/>
                <w:sz w:val="21"/>
                <w:szCs w:val="24"/>
              </w:rPr>
            </w:pPr>
            <w:r>
              <w:rPr>
                <w:rFonts w:ascii="Times New Roman" w:hAnsi="Times New Roman" w:eastAsia="宋体" w:cs="Times New Roman"/>
                <w:sz w:val="21"/>
                <w:szCs w:val="24"/>
              </w:rPr>
              <w:t>标识与记录：每件包装上必须清晰标记货物内容物和重量，并附有易于识别的处理和运输指示。</w:t>
            </w:r>
          </w:p>
          <w:p w14:paraId="68F81BB0">
            <w:pPr>
              <w:numPr>
                <w:ilvl w:val="0"/>
                <w:numId w:val="22"/>
              </w:numPr>
              <w:adjustRightInd w:val="0"/>
              <w:snapToGrid w:val="0"/>
              <w:ind w:left="5" w:hanging="5" w:firstLineChars="0"/>
              <w:jc w:val="left"/>
              <w:rPr>
                <w:rFonts w:ascii="Times New Roman" w:hAnsi="Times New Roman" w:eastAsia="宋体" w:cs="Times New Roman"/>
                <w:sz w:val="21"/>
                <w:szCs w:val="24"/>
              </w:rPr>
            </w:pPr>
            <w:r>
              <w:rPr>
                <w:rFonts w:ascii="Times New Roman" w:hAnsi="Times New Roman" w:eastAsia="宋体" w:cs="Times New Roman"/>
                <w:sz w:val="21"/>
                <w:szCs w:val="24"/>
              </w:rPr>
              <w:t>特殊货物要求：对于特殊性质的货物（如易碎品、危险品等），乙方应提供额外的安全措施，并严格遵守相关安全规定进行包装和标记。</w:t>
            </w:r>
          </w:p>
        </w:tc>
      </w:tr>
      <w:tr w14:paraId="1F9739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57067AD3">
            <w:pPr>
              <w:adjustRightInd w:val="0"/>
              <w:snapToGrid w:val="0"/>
              <w:ind w:firstLine="0" w:firstLineChars="0"/>
              <w:jc w:val="center"/>
              <w:rPr>
                <w:rFonts w:ascii="宋体" w:hAnsi="宋体" w:eastAsia="宋体" w:cs="Times New Roman"/>
                <w:sz w:val="21"/>
                <w:szCs w:val="21"/>
              </w:rPr>
            </w:pPr>
          </w:p>
        </w:tc>
        <w:tc>
          <w:tcPr>
            <w:tcW w:w="1742" w:type="dxa"/>
            <w:vAlign w:val="center"/>
          </w:tcPr>
          <w:p w14:paraId="6018F42E">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指定现场</w:t>
            </w:r>
          </w:p>
        </w:tc>
        <w:tc>
          <w:tcPr>
            <w:tcW w:w="5170" w:type="dxa"/>
            <w:vAlign w:val="center"/>
          </w:tcPr>
          <w:p w14:paraId="0E5C1C12">
            <w:pPr>
              <w:numPr>
                <w:ilvl w:val="0"/>
                <w:numId w:val="22"/>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交付地点：乙方必须将所有货物安全无损地运送至甲方指定的现场，具体地址为：郑州市金水区黄河路8号。</w:t>
            </w:r>
          </w:p>
          <w:p w14:paraId="3963113E">
            <w:pPr>
              <w:numPr>
                <w:ilvl w:val="0"/>
                <w:numId w:val="22"/>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现场接收：甲方应指派合适的人员在指定现场负责接收货物，并对货物的完整性和符合性进行初步检查。</w:t>
            </w:r>
          </w:p>
          <w:p w14:paraId="17B9C8BE">
            <w:pPr>
              <w:numPr>
                <w:ilvl w:val="0"/>
                <w:numId w:val="22"/>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通知义务：乙方在货物发运前应至少提前7天通知甲方预计的到达时间，以便甲方做好接收准备。</w:t>
            </w:r>
          </w:p>
          <w:p w14:paraId="2722971C">
            <w:pPr>
              <w:numPr>
                <w:ilvl w:val="0"/>
                <w:numId w:val="22"/>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违约责任：如乙方未能将货物运抵指定现场或未遵守包装标准导致货物损坏，乙方需对由此产生的损失负责。</w:t>
            </w:r>
          </w:p>
        </w:tc>
      </w:tr>
      <w:tr w14:paraId="033222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2CBCB8C2">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00514955">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第7.2款</w:t>
            </w:r>
          </w:p>
        </w:tc>
        <w:tc>
          <w:tcPr>
            <w:tcW w:w="1742" w:type="dxa"/>
            <w:vAlign w:val="center"/>
          </w:tcPr>
          <w:p w14:paraId="5F5ADC8C">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运输特殊要求</w:t>
            </w:r>
          </w:p>
        </w:tc>
        <w:tc>
          <w:tcPr>
            <w:tcW w:w="5170" w:type="dxa"/>
            <w:vAlign w:val="center"/>
          </w:tcPr>
          <w:p w14:paraId="149AD376">
            <w:pPr>
              <w:numPr>
                <w:ilvl w:val="0"/>
                <w:numId w:val="23"/>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运输责任：乙方负责安排货物从指定起始地点到甲方指定的交货地点的全部运输工作，包括但不限于装载、运输、卸载以及将货物交付至甲方指定位置的所有活动。</w:t>
            </w:r>
          </w:p>
          <w:p w14:paraId="59A0AEC6">
            <w:pPr>
              <w:numPr>
                <w:ilvl w:val="0"/>
                <w:numId w:val="23"/>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费用包含：所有与运输、装卸有关的费用，包括燃油附加费、公路使用费、装卸工人的费用等，应包含在合同总价内。乙方不得就此向甲方收取额外费用。</w:t>
            </w:r>
          </w:p>
          <w:p w14:paraId="4667B439">
            <w:pPr>
              <w:numPr>
                <w:ilvl w:val="0"/>
                <w:numId w:val="23"/>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运输方式：乙方应选择适合货物性质和要求的运输方式，确保货物在运输过程中的安全与完整。对于易腐、易碎或需要特殊温控的货物，乙方应采取特别措施，确保货物完好无损。</w:t>
            </w:r>
          </w:p>
          <w:p w14:paraId="1E680AD5">
            <w:pPr>
              <w:numPr>
                <w:ilvl w:val="0"/>
                <w:numId w:val="23"/>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保险：乙方应为所有运输的货物购买保险，以覆盖从装载到交付全过程中可能发生的损失或损害。保险单据应提供给甲方审查。</w:t>
            </w:r>
          </w:p>
          <w:p w14:paraId="573B9DBF">
            <w:pPr>
              <w:numPr>
                <w:ilvl w:val="0"/>
                <w:numId w:val="23"/>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交付时间与迟延：乙方应严格遵守合同规定的交货时间表。如预见会有延迟，必须至少在预计交货日期前3天通知甲方，说明延迟的原因及预计的新交货日期。对于未能及时通知甲方的延迟，乙方应承担由此产生的额外成本或损失。</w:t>
            </w:r>
          </w:p>
          <w:p w14:paraId="241BD606">
            <w:pPr>
              <w:numPr>
                <w:ilvl w:val="0"/>
                <w:numId w:val="23"/>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装卸操作：乙方应负责货物的装卸操作，确保采用适当的设备和合格的操作人员。装卸过程中对货物或甲方财产造成的任何损害，乙方应负责赔偿。</w:t>
            </w:r>
          </w:p>
          <w:p w14:paraId="3B2DD4A3">
            <w:pPr>
              <w:numPr>
                <w:ilvl w:val="0"/>
                <w:numId w:val="23"/>
              </w:numPr>
              <w:adjustRightInd w:val="0"/>
              <w:snapToGrid w:val="0"/>
              <w:ind w:left="5" w:hanging="5" w:firstLineChars="0"/>
              <w:jc w:val="left"/>
              <w:rPr>
                <w:rFonts w:ascii="Times New Roman" w:hAnsi="Times New Roman" w:eastAsia="宋体" w:cs="Times New Roman"/>
                <w:sz w:val="21"/>
                <w:szCs w:val="24"/>
              </w:rPr>
            </w:pPr>
            <w:r>
              <w:rPr>
                <w:rFonts w:hint="eastAsia" w:ascii="Times New Roman" w:hAnsi="Times New Roman" w:eastAsia="宋体" w:cs="Times New Roman"/>
                <w:sz w:val="21"/>
                <w:szCs w:val="24"/>
              </w:rPr>
              <w:t>记录与报告：乙方应提供完整的运输记录和货物接收报告，包括装车和卸车的时间、货物状态的详细记录和任何异常情况的说明。</w:t>
            </w:r>
          </w:p>
        </w:tc>
      </w:tr>
      <w:tr w14:paraId="4F7A35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0B849108">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257745B6">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第7.3款</w:t>
            </w:r>
          </w:p>
        </w:tc>
        <w:tc>
          <w:tcPr>
            <w:tcW w:w="1742" w:type="dxa"/>
            <w:vAlign w:val="center"/>
          </w:tcPr>
          <w:p w14:paraId="34D9EAB2">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保险要求</w:t>
            </w:r>
          </w:p>
        </w:tc>
        <w:tc>
          <w:tcPr>
            <w:tcW w:w="5170" w:type="dxa"/>
            <w:vAlign w:val="center"/>
          </w:tcPr>
          <w:p w14:paraId="3CD803D4">
            <w:pPr>
              <w:ind w:firstLine="0" w:firstLineChars="0"/>
              <w:rPr>
                <w:rFonts w:ascii="Times New Roman" w:hAnsi="Times New Roman" w:eastAsia="宋体" w:cs="Times New Roman"/>
                <w:sz w:val="21"/>
                <w:szCs w:val="24"/>
              </w:rPr>
            </w:pPr>
            <w:r>
              <w:rPr>
                <w:rFonts w:hint="eastAsia" w:ascii="Times New Roman" w:hAnsi="Times New Roman" w:eastAsia="宋体" w:cs="Times New Roman"/>
                <w:sz w:val="21"/>
                <w:szCs w:val="24"/>
              </w:rPr>
              <w:t>除运输途中保险外，本项目无要求。</w:t>
            </w:r>
          </w:p>
        </w:tc>
      </w:tr>
      <w:tr w14:paraId="3C149F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55CDD1">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49B6ACE5">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第8.2（1）项</w:t>
            </w:r>
          </w:p>
        </w:tc>
        <w:tc>
          <w:tcPr>
            <w:tcW w:w="1742" w:type="dxa"/>
            <w:vAlign w:val="center"/>
          </w:tcPr>
          <w:p w14:paraId="240B8356">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质量保证期</w:t>
            </w:r>
          </w:p>
        </w:tc>
        <w:tc>
          <w:tcPr>
            <w:tcW w:w="5170" w:type="dxa"/>
            <w:vAlign w:val="center"/>
          </w:tcPr>
          <w:p w14:paraId="4AFDCDED">
            <w:pPr>
              <w:numPr>
                <w:ilvl w:val="0"/>
                <w:numId w:val="24"/>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保证期限定：货物最终交付验收合格后，乙方应为所提供的货物提供不少于</w:t>
            </w:r>
            <w:r>
              <w:rPr>
                <w:rFonts w:hint="eastAsia" w:ascii="宋体" w:hAnsi="宋体" w:eastAsia="宋体" w:cs="Times New Roman"/>
                <w:sz w:val="21"/>
                <w:szCs w:val="21"/>
              </w:rPr>
              <w:t>3</w:t>
            </w:r>
            <w:r>
              <w:rPr>
                <w:rFonts w:ascii="宋体" w:hAnsi="宋体" w:eastAsia="宋体" w:cs="Times New Roman"/>
                <w:sz w:val="21"/>
                <w:szCs w:val="21"/>
              </w:rPr>
              <w:t>年的质量保证期。此质量保证期从货物交付验收合格之日起算。</w:t>
            </w:r>
          </w:p>
          <w:p w14:paraId="177BD33E">
            <w:pPr>
              <w:numPr>
                <w:ilvl w:val="0"/>
                <w:numId w:val="24"/>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保证内容：在质量保证期内，如货物出现任何因制造、材料或设计缺陷引起的非正常磨损、损坏或性能不符，乙方应负责无偿修理或更换有缺陷的货物。乙方应在接到甲方关于货物问题的通知后的</w:t>
            </w:r>
            <w:r>
              <w:rPr>
                <w:rFonts w:hint="eastAsia" w:ascii="宋体" w:hAnsi="宋体" w:eastAsia="宋体" w:cs="Times New Roman"/>
                <w:sz w:val="21"/>
                <w:szCs w:val="21"/>
              </w:rPr>
              <w:t>1</w:t>
            </w:r>
            <w:r>
              <w:rPr>
                <w:rFonts w:ascii="宋体" w:hAnsi="宋体" w:eastAsia="宋体" w:cs="Times New Roman"/>
                <w:sz w:val="21"/>
                <w:szCs w:val="21"/>
              </w:rPr>
              <w:t>天内响应，并在合理的时间内解决问题。</w:t>
            </w:r>
          </w:p>
          <w:p w14:paraId="1922A3FA">
            <w:pPr>
              <w:numPr>
                <w:ilvl w:val="0"/>
                <w:numId w:val="24"/>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承诺与合同条款对比：如果乙方书面承诺的质量保证期长于合同条款中规定的质量保证期，则应遵循乙方的书面承诺。</w:t>
            </w:r>
          </w:p>
          <w:p w14:paraId="1EB52C56">
            <w:pPr>
              <w:numPr>
                <w:ilvl w:val="0"/>
                <w:numId w:val="24"/>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延伸责任：修理或更换的货物应享有新的质量保证期，该保证期至少应从修理或替换完成之日起延续至原质量保证期剩余时间加</w:t>
            </w:r>
            <w:r>
              <w:rPr>
                <w:rFonts w:hint="eastAsia" w:ascii="宋体" w:hAnsi="宋体" w:eastAsia="宋体" w:cs="Times New Roman"/>
                <w:sz w:val="21"/>
                <w:szCs w:val="21"/>
              </w:rPr>
              <w:t>6</w:t>
            </w:r>
            <w:r>
              <w:rPr>
                <w:rFonts w:ascii="宋体" w:hAnsi="宋体" w:eastAsia="宋体" w:cs="Times New Roman"/>
                <w:sz w:val="21"/>
                <w:szCs w:val="21"/>
              </w:rPr>
              <w:t>个月。</w:t>
            </w:r>
          </w:p>
          <w:p w14:paraId="4429516C">
            <w:pPr>
              <w:numPr>
                <w:ilvl w:val="0"/>
                <w:numId w:val="24"/>
              </w:numPr>
              <w:autoSpaceDE w:val="0"/>
              <w:autoSpaceDN w:val="0"/>
              <w:adjustRightInd w:val="0"/>
              <w:snapToGrid w:val="0"/>
              <w:ind w:left="5" w:hanging="5" w:firstLineChars="0"/>
              <w:jc w:val="left"/>
              <w:rPr>
                <w:rFonts w:ascii="宋体" w:hAnsi="宋体" w:eastAsia="宋体" w:cs="Times New Roman"/>
                <w:sz w:val="21"/>
                <w:szCs w:val="21"/>
              </w:rPr>
            </w:pPr>
            <w:r>
              <w:rPr>
                <w:rFonts w:hint="eastAsia" w:ascii="宋体" w:hAnsi="宋体" w:eastAsia="宋体" w:cs="Times New Roman"/>
                <w:sz w:val="21"/>
                <w:szCs w:val="21"/>
              </w:rPr>
              <w:t>例外情况：质量保证不覆盖由于甲方的误操作、滥用、事故或不可抗力事件造成的损坏。</w:t>
            </w:r>
          </w:p>
        </w:tc>
      </w:tr>
      <w:tr w14:paraId="681AB8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CFFA59">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783175C4">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第8.2（3）项</w:t>
            </w:r>
          </w:p>
        </w:tc>
        <w:tc>
          <w:tcPr>
            <w:tcW w:w="1742" w:type="dxa"/>
            <w:vAlign w:val="center"/>
          </w:tcPr>
          <w:p w14:paraId="4B5E3A75">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货物质量缺陷</w:t>
            </w:r>
          </w:p>
          <w:p w14:paraId="49005903">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响应时间</w:t>
            </w:r>
          </w:p>
        </w:tc>
        <w:tc>
          <w:tcPr>
            <w:tcW w:w="5170" w:type="dxa"/>
            <w:vAlign w:val="center"/>
          </w:tcPr>
          <w:p w14:paraId="2707F805">
            <w:pPr>
              <w:numPr>
                <w:ilvl w:val="0"/>
                <w:numId w:val="25"/>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响应时间定义：乙方在接到甲方关于货物或部件存在质量缺陷的通知后，必须在</w:t>
            </w:r>
            <w:r>
              <w:rPr>
                <w:rFonts w:hint="eastAsia" w:ascii="宋体" w:hAnsi="宋体" w:eastAsia="宋体" w:cs="Times New Roman"/>
                <w:sz w:val="21"/>
                <w:szCs w:val="21"/>
              </w:rPr>
              <w:t>3</w:t>
            </w:r>
            <w:r>
              <w:rPr>
                <w:rFonts w:ascii="宋体" w:hAnsi="宋体" w:eastAsia="宋体" w:cs="Times New Roman"/>
                <w:sz w:val="21"/>
                <w:szCs w:val="21"/>
              </w:rPr>
              <w:t>小时内进行初步响应，并在</w:t>
            </w:r>
            <w:r>
              <w:rPr>
                <w:rFonts w:hint="eastAsia" w:ascii="宋体" w:hAnsi="宋体" w:eastAsia="宋体" w:cs="Times New Roman"/>
                <w:sz w:val="21"/>
                <w:szCs w:val="21"/>
              </w:rPr>
              <w:t>1</w:t>
            </w:r>
            <w:r>
              <w:rPr>
                <w:rFonts w:ascii="宋体" w:hAnsi="宋体" w:eastAsia="宋体" w:cs="Times New Roman"/>
                <w:sz w:val="21"/>
                <w:szCs w:val="21"/>
              </w:rPr>
              <w:t>工作日内提出处理计划。具体时间可根据货物的复杂性和紧急程度调整。</w:t>
            </w:r>
          </w:p>
          <w:p w14:paraId="1087CCEA">
            <w:pPr>
              <w:numPr>
                <w:ilvl w:val="0"/>
                <w:numId w:val="25"/>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紧急响应措施：对于影响甲方关键运营的严重质量问题，乙方应在最短时间内，不超过24小时进行响应，并在最短可能时间内采取紧急修复措施。</w:t>
            </w:r>
          </w:p>
          <w:p w14:paraId="3BCFF18C">
            <w:pPr>
              <w:numPr>
                <w:ilvl w:val="0"/>
                <w:numId w:val="25"/>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处理计划和执行：乙方应在响应后的</w:t>
            </w:r>
            <w:r>
              <w:rPr>
                <w:rFonts w:hint="eastAsia" w:ascii="宋体" w:hAnsi="宋体" w:eastAsia="宋体" w:cs="Times New Roman"/>
                <w:sz w:val="21"/>
                <w:szCs w:val="21"/>
              </w:rPr>
              <w:t>3</w:t>
            </w:r>
            <w:r>
              <w:rPr>
                <w:rFonts w:ascii="宋体" w:hAnsi="宋体" w:eastAsia="宋体" w:cs="Times New Roman"/>
                <w:sz w:val="21"/>
                <w:szCs w:val="21"/>
              </w:rPr>
              <w:t>工作日内开始维修或更换工作，并力争在最短时间内完成。所有维修或更换工作应尽量减少对甲方正常运营的影响。</w:t>
            </w:r>
          </w:p>
          <w:p w14:paraId="3525B2DA">
            <w:pPr>
              <w:numPr>
                <w:ilvl w:val="0"/>
                <w:numId w:val="25"/>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维修或更换的质量保证：所有由乙方维修或更换的货物或部件应享有新的质量保证期，该保证期应从维修或更换完成之日起计算，期限不少于原质量保证期的剩余时间。</w:t>
            </w:r>
          </w:p>
          <w:p w14:paraId="004E4CF5">
            <w:pPr>
              <w:numPr>
                <w:ilvl w:val="0"/>
                <w:numId w:val="25"/>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费用承担：所有因质量缺陷导致的维修或更换，包括但不限于人工、材料、运输及任何其他相关费用，均由乙方承担。</w:t>
            </w:r>
          </w:p>
          <w:p w14:paraId="72B89547">
            <w:pPr>
              <w:numPr>
                <w:ilvl w:val="0"/>
                <w:numId w:val="25"/>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记录和报告：乙方应详细记录所有响应措施、维修或更换的过程，并定期向甲方报告进度，确保甲方对处理过程有充分的了解和记录。</w:t>
            </w:r>
          </w:p>
        </w:tc>
      </w:tr>
      <w:tr w14:paraId="75BC96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E50145">
            <w:pPr>
              <w:snapToGrid w:val="0"/>
              <w:ind w:firstLine="0" w:firstLineChars="0"/>
              <w:jc w:val="center"/>
              <w:rPr>
                <w:rFonts w:ascii="宋体" w:hAnsi="宋体" w:eastAsia="宋体" w:cs="宋体"/>
                <w:sz w:val="21"/>
                <w:szCs w:val="21"/>
              </w:rPr>
            </w:pPr>
            <w:r>
              <w:rPr>
                <w:rFonts w:hint="eastAsia" w:ascii="宋体" w:hAnsi="宋体" w:eastAsia="宋体" w:cs="宋体"/>
                <w:sz w:val="21"/>
                <w:szCs w:val="21"/>
              </w:rPr>
              <w:t>第二节</w:t>
            </w:r>
          </w:p>
          <w:p w14:paraId="7F4C2958">
            <w:pPr>
              <w:autoSpaceDE w:val="0"/>
              <w:autoSpaceDN w:val="0"/>
              <w:adjustRightInd w:val="0"/>
              <w:spacing w:line="400" w:lineRule="exact"/>
              <w:ind w:firstLine="0" w:firstLineChars="0"/>
              <w:jc w:val="center"/>
              <w:rPr>
                <w:rFonts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14:paraId="3DB70167">
            <w:pPr>
              <w:adjustRightInd w:val="0"/>
              <w:snapToGrid w:val="0"/>
              <w:ind w:firstLine="0" w:firstLineChars="0"/>
              <w:rPr>
                <w:rFonts w:ascii="宋体" w:hAnsi="宋体" w:eastAsia="宋体" w:cs="Times New Roman"/>
                <w:sz w:val="21"/>
                <w:szCs w:val="21"/>
              </w:rPr>
            </w:pPr>
            <w:r>
              <w:rPr>
                <w:rFonts w:hint="eastAsia" w:ascii="宋体" w:hAnsi="宋体" w:eastAsia="宋体" w:cs="Times New Roman"/>
                <w:sz w:val="21"/>
                <w:szCs w:val="21"/>
              </w:rPr>
              <w:t>其他应当保密的信息</w:t>
            </w:r>
          </w:p>
        </w:tc>
        <w:tc>
          <w:tcPr>
            <w:tcW w:w="5170" w:type="dxa"/>
            <w:vAlign w:val="center"/>
          </w:tcPr>
          <w:p w14:paraId="42966AC4">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本项目不涉及。</w:t>
            </w:r>
          </w:p>
        </w:tc>
      </w:tr>
      <w:tr w14:paraId="36D079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16E7E0C">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6B9ADB40">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第12.2款</w:t>
            </w:r>
          </w:p>
        </w:tc>
        <w:tc>
          <w:tcPr>
            <w:tcW w:w="1742" w:type="dxa"/>
            <w:vAlign w:val="center"/>
          </w:tcPr>
          <w:p w14:paraId="5BA38DCB">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合同价款支付时间</w:t>
            </w:r>
          </w:p>
        </w:tc>
        <w:tc>
          <w:tcPr>
            <w:tcW w:w="5170" w:type="dxa"/>
            <w:vAlign w:val="center"/>
          </w:tcPr>
          <w:p w14:paraId="46A45E25">
            <w:pPr>
              <w:numPr>
                <w:ilvl w:val="0"/>
                <w:numId w:val="26"/>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支付时间和条件甲方应在收到乙方提交的符合合同规定的、带有所有必要附件的发票后，原则上在10个工作日内将相应的资金支付到乙方指定的银行账户。支付的前提是乙方已完全满足合同中规定的货物或服务交付要求</w:t>
            </w:r>
            <w:r>
              <w:rPr>
                <w:rFonts w:hint="eastAsia" w:ascii="宋体" w:hAnsi="宋体" w:eastAsia="宋体" w:cs="Times New Roman"/>
                <w:sz w:val="21"/>
                <w:szCs w:val="21"/>
              </w:rPr>
              <w:t>和付款条件约定</w:t>
            </w:r>
            <w:r>
              <w:rPr>
                <w:rFonts w:ascii="宋体" w:hAnsi="宋体" w:eastAsia="宋体" w:cs="Times New Roman"/>
                <w:sz w:val="21"/>
                <w:szCs w:val="21"/>
              </w:rPr>
              <w:t>，并且已经通过甲方的验收。</w:t>
            </w:r>
          </w:p>
          <w:p w14:paraId="1C1963E5">
            <w:pPr>
              <w:numPr>
                <w:ilvl w:val="0"/>
                <w:numId w:val="26"/>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支付过程中的特殊情况：甲方不得以内部机构变动、人员更替或政策调整等原因延迟付款。甲方应确保内部流程的效率，以避免影响到正常的支付时间。</w:t>
            </w:r>
          </w:p>
          <w:p w14:paraId="55580F63">
            <w:pPr>
              <w:numPr>
                <w:ilvl w:val="0"/>
                <w:numId w:val="26"/>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禁止额外条件：甲方不得将采购文件和合同中未明确规定的任何额外义务作为向乙方支付资金的条件。</w:t>
            </w:r>
          </w:p>
          <w:p w14:paraId="389BEDE0">
            <w:pPr>
              <w:numPr>
                <w:ilvl w:val="0"/>
                <w:numId w:val="26"/>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迟延付款的处理：如甲方未能在上述规定时间内完成支付，应自逾期之日起按日向乙方支付未付款项的0.</w:t>
            </w:r>
            <w:r>
              <w:rPr>
                <w:rFonts w:hint="eastAsia" w:ascii="宋体" w:hAnsi="宋体" w:eastAsia="宋体" w:cs="Times New Roman"/>
                <w:sz w:val="21"/>
                <w:szCs w:val="21"/>
              </w:rPr>
              <w:t>3</w:t>
            </w:r>
            <w:r>
              <w:rPr>
                <w:rFonts w:ascii="宋体" w:hAnsi="宋体" w:eastAsia="宋体" w:cs="Times New Roman"/>
                <w:sz w:val="21"/>
                <w:szCs w:val="21"/>
              </w:rPr>
              <w:t>%作为迟延付款罚息，直至款项全额支付完毕。</w:t>
            </w:r>
          </w:p>
          <w:p w14:paraId="76BFDFC4">
            <w:pPr>
              <w:numPr>
                <w:ilvl w:val="0"/>
                <w:numId w:val="26"/>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支付确认和记录：甲方在进行支付后，应立即通知乙方，并提供银行转账记录或其他支付证明，以便乙方确认收款并进行财务记录。</w:t>
            </w:r>
          </w:p>
          <w:p w14:paraId="774CB9D3">
            <w:pPr>
              <w:numPr>
                <w:ilvl w:val="0"/>
                <w:numId w:val="26"/>
              </w:numPr>
              <w:autoSpaceDE w:val="0"/>
              <w:autoSpaceDN w:val="0"/>
              <w:adjustRightInd w:val="0"/>
              <w:snapToGrid w:val="0"/>
              <w:ind w:left="5" w:hanging="5" w:firstLineChars="0"/>
              <w:jc w:val="left"/>
              <w:rPr>
                <w:rFonts w:ascii="宋体" w:hAnsi="宋体" w:eastAsia="宋体" w:cs="Times New Roman"/>
                <w:sz w:val="21"/>
                <w:szCs w:val="21"/>
              </w:rPr>
            </w:pPr>
            <w:r>
              <w:rPr>
                <w:rFonts w:ascii="宋体" w:hAnsi="宋体" w:eastAsia="宋体" w:cs="Times New Roman"/>
                <w:sz w:val="21"/>
                <w:szCs w:val="21"/>
              </w:rPr>
              <w:t>解决争议：若就支付时间或金额发生争议，双方应通过友好协商解决。如协商未果，可依据合同规定的争议解决机制进行解决。</w:t>
            </w:r>
          </w:p>
        </w:tc>
      </w:tr>
      <w:tr w14:paraId="02B1A7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095F8E4">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3C410208">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第13.2款</w:t>
            </w:r>
          </w:p>
        </w:tc>
        <w:tc>
          <w:tcPr>
            <w:tcW w:w="1742" w:type="dxa"/>
            <w:vAlign w:val="center"/>
          </w:tcPr>
          <w:p w14:paraId="02C98551">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履约保证金不予退还的情形</w:t>
            </w:r>
          </w:p>
        </w:tc>
        <w:tc>
          <w:tcPr>
            <w:tcW w:w="5170" w:type="dxa"/>
            <w:vAlign w:val="center"/>
          </w:tcPr>
          <w:p w14:paraId="0676558D">
            <w:pPr>
              <w:numPr>
                <w:ilvl w:val="0"/>
                <w:numId w:val="27"/>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未能按时履行合同义务</w:t>
            </w:r>
          </w:p>
          <w:p w14:paraId="12B56E07">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乙方未能按照合同规定的时间和要求履行合同义务，包括但不限于延迟交货、延迟提供服务或其他时间要求未满足的情形。</w:t>
            </w:r>
          </w:p>
          <w:p w14:paraId="7EDC585A">
            <w:pPr>
              <w:numPr>
                <w:ilvl w:val="0"/>
                <w:numId w:val="27"/>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未达到约定的质量标准</w:t>
            </w:r>
          </w:p>
          <w:p w14:paraId="231EFD45">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乙方提供的货物、服务或工程未达到合同约定的质量标准，经甲方通知整改后仍未达到要求的。</w:t>
            </w:r>
          </w:p>
          <w:p w14:paraId="702F7235">
            <w:pPr>
              <w:numPr>
                <w:ilvl w:val="0"/>
                <w:numId w:val="27"/>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擅自变更合同内容</w:t>
            </w:r>
          </w:p>
          <w:p w14:paraId="096D7AAF">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乙方未经甲方书面同意，擅自变更合同约定的内容，如更换供货品牌、调整服务范围或工程方案等。</w:t>
            </w:r>
          </w:p>
          <w:p w14:paraId="4A8E2917">
            <w:pPr>
              <w:numPr>
                <w:ilvl w:val="0"/>
                <w:numId w:val="27"/>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不履行售后服务承诺</w:t>
            </w:r>
          </w:p>
          <w:p w14:paraId="5583C67E">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乙方未按照合同约定提供售后服务，包括但不限于保修、维修或技术支持服务等。</w:t>
            </w:r>
          </w:p>
          <w:p w14:paraId="4529B8E3">
            <w:pPr>
              <w:numPr>
                <w:ilvl w:val="0"/>
                <w:numId w:val="27"/>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因乙方原因导致合同无法履行或履行中断</w:t>
            </w:r>
          </w:p>
          <w:p w14:paraId="6FF29C5C">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因乙方违约行为或管理不善，导致合同无法履行、履行严重延迟或中断的。</w:t>
            </w:r>
          </w:p>
          <w:p w14:paraId="08C21359">
            <w:pPr>
              <w:numPr>
                <w:ilvl w:val="0"/>
                <w:numId w:val="27"/>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违法违规行为</w:t>
            </w:r>
          </w:p>
          <w:p w14:paraId="14536687">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乙方在履约过程中存在违反国家法律、法规或政府采购相关规定的行为，包括但不限于商业贿赂、虚假陈述或提供虚假材料等。</w:t>
            </w:r>
          </w:p>
          <w:p w14:paraId="1545F65B">
            <w:pPr>
              <w:numPr>
                <w:ilvl w:val="0"/>
                <w:numId w:val="27"/>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转包或分包行为</w:t>
            </w:r>
          </w:p>
          <w:p w14:paraId="03788F31">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乙方未经甲方书面同意，擅自将合同项下的全部或部分工作进行转包或分包的。</w:t>
            </w:r>
          </w:p>
          <w:p w14:paraId="46C27EAC">
            <w:pPr>
              <w:numPr>
                <w:ilvl w:val="0"/>
                <w:numId w:val="27"/>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合同约定的其他情形</w:t>
            </w:r>
          </w:p>
          <w:p w14:paraId="6A5B7BD4">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乙方发生合同中明确约定的其他导致履约保证金不予退还的情形。</w:t>
            </w:r>
            <w:r>
              <w:rPr>
                <w:rFonts w:hint="eastAsia" w:ascii="宋体" w:hAnsi="宋体" w:eastAsia="宋体" w:cs="Times New Roman"/>
                <w:sz w:val="21"/>
                <w:szCs w:val="21"/>
              </w:rPr>
              <w:t xml:space="preserve"> </w:t>
            </w:r>
          </w:p>
        </w:tc>
      </w:tr>
      <w:tr w14:paraId="246077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9822A6">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7BCA2BAC">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第13.3款</w:t>
            </w:r>
          </w:p>
        </w:tc>
        <w:tc>
          <w:tcPr>
            <w:tcW w:w="1742" w:type="dxa"/>
            <w:vAlign w:val="center"/>
          </w:tcPr>
          <w:p w14:paraId="6E2C516E">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履约保证金退还时间及逾期退还的违约金</w:t>
            </w:r>
          </w:p>
        </w:tc>
        <w:tc>
          <w:tcPr>
            <w:tcW w:w="5170" w:type="dxa"/>
            <w:vAlign w:val="center"/>
          </w:tcPr>
          <w:p w14:paraId="1DBC14D8">
            <w:pPr>
              <w:numPr>
                <w:ilvl w:val="0"/>
                <w:numId w:val="28"/>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履约保证金退还时间</w:t>
            </w:r>
          </w:p>
          <w:p w14:paraId="0467920C">
            <w:pPr>
              <w:adjustRightInd w:val="0"/>
              <w:snapToGrid w:val="0"/>
              <w:ind w:firstLine="210" w:firstLineChars="100"/>
              <w:jc w:val="left"/>
              <w:rPr>
                <w:rFonts w:ascii="宋体" w:hAnsi="宋体" w:eastAsia="宋体" w:cs="Times New Roman"/>
                <w:sz w:val="21"/>
                <w:szCs w:val="21"/>
              </w:rPr>
            </w:pPr>
            <w:r>
              <w:rPr>
                <w:rFonts w:ascii="宋体" w:hAnsi="宋体" w:eastAsia="宋体" w:cs="Times New Roman"/>
                <w:sz w:val="21"/>
                <w:szCs w:val="21"/>
              </w:rPr>
              <w:t>甲方应在项目</w:t>
            </w:r>
            <w:r>
              <w:rPr>
                <w:rFonts w:hint="eastAsia" w:ascii="宋体" w:hAnsi="宋体" w:eastAsia="宋体" w:cs="宋体"/>
                <w:bCs/>
                <w:sz w:val="21"/>
                <w:szCs w:val="21"/>
                <w:u w:val="single"/>
              </w:rPr>
              <w:t>履约完成后</w:t>
            </w:r>
            <w:r>
              <w:rPr>
                <w:rFonts w:ascii="宋体" w:hAnsi="宋体" w:eastAsia="宋体" w:cs="Times New Roman"/>
                <w:sz w:val="21"/>
                <w:szCs w:val="21"/>
              </w:rPr>
              <w:t>，将履约保证金全额无息退还给乙方。</w:t>
            </w:r>
          </w:p>
          <w:p w14:paraId="5124C8CE">
            <w:pPr>
              <w:numPr>
                <w:ilvl w:val="0"/>
                <w:numId w:val="28"/>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逾期退还的违约金</w:t>
            </w:r>
          </w:p>
          <w:p w14:paraId="49A9535A">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若甲方未能在上述规定期限内退还履约保证金，乙方有权要求甲方支付违约金。违约金按照未退还金额的每日万分之五计算，自逾期之日起至实际退还之日止。</w:t>
            </w:r>
          </w:p>
        </w:tc>
      </w:tr>
      <w:tr w14:paraId="64A20B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CE87E7C">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067D2C93">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第14.1（3）项</w:t>
            </w:r>
          </w:p>
        </w:tc>
        <w:tc>
          <w:tcPr>
            <w:tcW w:w="1742" w:type="dxa"/>
            <w:vAlign w:val="center"/>
          </w:tcPr>
          <w:p w14:paraId="1B121575">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运行监督、维修期限</w:t>
            </w:r>
          </w:p>
        </w:tc>
        <w:tc>
          <w:tcPr>
            <w:tcW w:w="5170" w:type="dxa"/>
            <w:vAlign w:val="center"/>
          </w:tcPr>
          <w:p w14:paraId="08345655">
            <w:pPr>
              <w:numPr>
                <w:ilvl w:val="0"/>
                <w:numId w:val="29"/>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运行监督、维修期限</w:t>
            </w:r>
          </w:p>
          <w:p w14:paraId="05E1A693">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运行监督和维修期限为自货物验收合格之日起计算的</w:t>
            </w:r>
            <w:r>
              <w:rPr>
                <w:rFonts w:hint="eastAsia" w:ascii="宋体" w:hAnsi="宋体" w:eastAsia="宋体" w:cs="Times New Roman"/>
                <w:sz w:val="21"/>
                <w:szCs w:val="21"/>
              </w:rPr>
              <w:t>3</w:t>
            </w:r>
            <w:r>
              <w:rPr>
                <w:rFonts w:ascii="宋体" w:hAnsi="宋体" w:eastAsia="宋体" w:cs="Times New Roman"/>
                <w:sz w:val="21"/>
                <w:szCs w:val="21"/>
              </w:rPr>
              <w:t>年，具体时间以合同约定为准。如货物在运行监督和维修期限内出现故障或不符合约定要求，乙方应在收到甲方通知后</w:t>
            </w:r>
            <w:r>
              <w:rPr>
                <w:rFonts w:hint="eastAsia" w:ascii="宋体" w:hAnsi="宋体" w:eastAsia="宋体" w:cs="Times New Roman"/>
                <w:sz w:val="21"/>
                <w:szCs w:val="21"/>
              </w:rPr>
              <w:t>48</w:t>
            </w:r>
            <w:r>
              <w:rPr>
                <w:rFonts w:ascii="宋体" w:hAnsi="宋体" w:eastAsia="宋体" w:cs="Times New Roman"/>
                <w:sz w:val="21"/>
                <w:szCs w:val="21"/>
              </w:rPr>
              <w:t>小时（或</w:t>
            </w:r>
            <w:r>
              <w:rPr>
                <w:rFonts w:hint="eastAsia" w:ascii="宋体" w:hAnsi="宋体" w:eastAsia="宋体" w:cs="Times New Roman"/>
                <w:sz w:val="21"/>
                <w:szCs w:val="21"/>
              </w:rPr>
              <w:t>2</w:t>
            </w:r>
            <w:r>
              <w:rPr>
                <w:rFonts w:ascii="宋体" w:hAnsi="宋体" w:eastAsia="宋体" w:cs="Times New Roman"/>
                <w:sz w:val="21"/>
                <w:szCs w:val="21"/>
              </w:rPr>
              <w:t>天）内响应并进行更换，确保货物正常运行。</w:t>
            </w:r>
          </w:p>
          <w:p w14:paraId="46CF8EC2">
            <w:pPr>
              <w:numPr>
                <w:ilvl w:val="0"/>
                <w:numId w:val="29"/>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提供货物组装和维修所需的专用工具和辅助材料</w:t>
            </w:r>
          </w:p>
          <w:p w14:paraId="59D1C18F">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乙方应确保所提供的专用工具和辅助材料为原厂标准，能够完全满足货物的组装、维修需求。所有专用工具和辅助材料的使用权限及保管责任由乙方负责，且相关费用已包含在合同总价中，甲方无需另行支付。</w:t>
            </w:r>
          </w:p>
          <w:p w14:paraId="4DBA19BC">
            <w:pPr>
              <w:numPr>
                <w:ilvl w:val="0"/>
                <w:numId w:val="29"/>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质量保证期内义务的补充说明</w:t>
            </w:r>
          </w:p>
          <w:p w14:paraId="3545D695">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在质量保证期内，乙方需无偿提供运行监督和维修服务，包括但不限于现场维修、零部件更换和技术支持。乙方保证在质量保证期内，所有更换零部件为全新且符合合同规定的标准，不得额外收取费用。乙方未履行上述义务的，甲方有权要求乙方承担相应违约责任，并赔偿因此造成的损失。</w:t>
            </w:r>
          </w:p>
        </w:tc>
      </w:tr>
      <w:tr w14:paraId="400F4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FE4DAF3">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2BCB3196">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第14.1（5）项</w:t>
            </w:r>
          </w:p>
        </w:tc>
        <w:tc>
          <w:tcPr>
            <w:tcW w:w="1742" w:type="dxa"/>
            <w:vAlign w:val="center"/>
          </w:tcPr>
          <w:p w14:paraId="3B107088">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货物回收的约定</w:t>
            </w:r>
          </w:p>
        </w:tc>
        <w:tc>
          <w:tcPr>
            <w:tcW w:w="5170" w:type="dxa"/>
            <w:vAlign w:val="center"/>
          </w:tcPr>
          <w:p w14:paraId="49C0AF1A">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本项目不涉及</w:t>
            </w:r>
          </w:p>
        </w:tc>
      </w:tr>
      <w:tr w14:paraId="176F50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6F93287">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0978A90E">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第14.1（6）项</w:t>
            </w:r>
          </w:p>
        </w:tc>
        <w:tc>
          <w:tcPr>
            <w:tcW w:w="1742" w:type="dxa"/>
            <w:vAlign w:val="center"/>
          </w:tcPr>
          <w:p w14:paraId="4F6B086A">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乙方提供的其他服务</w:t>
            </w:r>
          </w:p>
        </w:tc>
        <w:tc>
          <w:tcPr>
            <w:tcW w:w="5170" w:type="dxa"/>
            <w:vAlign w:val="center"/>
          </w:tcPr>
          <w:p w14:paraId="37A8295A">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本项目不涉及</w:t>
            </w:r>
          </w:p>
        </w:tc>
      </w:tr>
      <w:tr w14:paraId="10F1A5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15B2715">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7AA07A1C">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第15.1款</w:t>
            </w:r>
          </w:p>
        </w:tc>
        <w:tc>
          <w:tcPr>
            <w:tcW w:w="1742" w:type="dxa"/>
            <w:vAlign w:val="center"/>
          </w:tcPr>
          <w:p w14:paraId="0F299ED3">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修理、重作、更换相关具体规定</w:t>
            </w:r>
          </w:p>
        </w:tc>
        <w:tc>
          <w:tcPr>
            <w:tcW w:w="5170" w:type="dxa"/>
            <w:vAlign w:val="center"/>
          </w:tcPr>
          <w:p w14:paraId="20B79710">
            <w:pPr>
              <w:numPr>
                <w:ilvl w:val="0"/>
                <w:numId w:val="30"/>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修理</w:t>
            </w:r>
          </w:p>
          <w:p w14:paraId="3D7C4696">
            <w:pPr>
              <w:adjustRightInd w:val="0"/>
              <w:snapToGrid w:val="0"/>
              <w:ind w:firstLine="420"/>
              <w:jc w:val="left"/>
              <w:rPr>
                <w:rFonts w:ascii="宋体" w:hAnsi="宋体" w:eastAsia="宋体" w:cs="Times New Roman"/>
                <w:sz w:val="21"/>
                <w:szCs w:val="21"/>
              </w:rPr>
            </w:pPr>
            <w:r>
              <w:rPr>
                <w:rFonts w:hint="eastAsia" w:ascii="宋体" w:hAnsi="宋体" w:eastAsia="宋体" w:cs="Times New Roman"/>
                <w:sz w:val="21"/>
                <w:szCs w:val="21"/>
              </w:rPr>
              <w:t>本项不涉及</w:t>
            </w:r>
          </w:p>
          <w:p w14:paraId="6D962253">
            <w:pPr>
              <w:numPr>
                <w:ilvl w:val="0"/>
                <w:numId w:val="30"/>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重作</w:t>
            </w:r>
          </w:p>
          <w:p w14:paraId="28CA37B6">
            <w:pPr>
              <w:adjustRightInd w:val="0"/>
              <w:snapToGrid w:val="0"/>
              <w:ind w:firstLine="420"/>
              <w:jc w:val="left"/>
              <w:rPr>
                <w:rFonts w:ascii="宋体" w:hAnsi="宋体" w:eastAsia="宋体" w:cs="Times New Roman"/>
                <w:sz w:val="21"/>
                <w:szCs w:val="21"/>
              </w:rPr>
            </w:pPr>
            <w:r>
              <w:rPr>
                <w:rFonts w:hint="eastAsia" w:ascii="宋体" w:hAnsi="宋体" w:eastAsia="宋体" w:cs="Times New Roman"/>
                <w:sz w:val="21"/>
                <w:szCs w:val="21"/>
              </w:rPr>
              <w:t>本项不涉及</w:t>
            </w:r>
          </w:p>
          <w:p w14:paraId="1E282504">
            <w:pPr>
              <w:numPr>
                <w:ilvl w:val="0"/>
                <w:numId w:val="30"/>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更换</w:t>
            </w:r>
          </w:p>
          <w:p w14:paraId="0C819EF0">
            <w:pPr>
              <w:adjustRightInd w:val="0"/>
              <w:snapToGrid w:val="0"/>
              <w:ind w:firstLine="420"/>
              <w:jc w:val="left"/>
              <w:rPr>
                <w:rFonts w:ascii="宋体" w:hAnsi="宋体" w:eastAsia="宋体" w:cs="Times New Roman"/>
                <w:sz w:val="21"/>
                <w:szCs w:val="21"/>
              </w:rPr>
            </w:pPr>
            <w:r>
              <w:rPr>
                <w:rFonts w:hint="eastAsia" w:ascii="宋体" w:hAnsi="宋体" w:eastAsia="宋体" w:cs="Times New Roman"/>
                <w:sz w:val="21"/>
                <w:szCs w:val="21"/>
              </w:rPr>
              <w:t>因</w:t>
            </w:r>
            <w:r>
              <w:rPr>
                <w:rFonts w:ascii="宋体" w:hAnsi="宋体" w:eastAsia="宋体" w:cs="Times New Roman"/>
                <w:sz w:val="21"/>
                <w:szCs w:val="21"/>
              </w:rPr>
              <w:t>乙方产品质量瑕疵无法满足合同要求，乙方应在甲方通知后</w:t>
            </w:r>
            <w:r>
              <w:rPr>
                <w:rFonts w:hint="eastAsia" w:ascii="宋体" w:hAnsi="宋体" w:eastAsia="宋体" w:cs="Times New Roman"/>
                <w:sz w:val="21"/>
                <w:szCs w:val="21"/>
              </w:rPr>
              <w:t>10个工作日</w:t>
            </w:r>
            <w:r>
              <w:rPr>
                <w:rFonts w:ascii="宋体" w:hAnsi="宋体" w:eastAsia="宋体" w:cs="Times New Roman"/>
                <w:sz w:val="21"/>
                <w:szCs w:val="21"/>
              </w:rPr>
              <w:t>内以同等或高于合同约定标准的新产品进行更换。</w:t>
            </w:r>
          </w:p>
          <w:p w14:paraId="6BB9AAF9">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更换后的产品仍需满足原质量保证期的要求，即从更换完成并验收合格之日起重新计算质量保证期。乙方应承担更换产品所涉及的全部费用，包括运输、安装和调试等。</w:t>
            </w:r>
          </w:p>
          <w:p w14:paraId="6B2EF690">
            <w:pPr>
              <w:numPr>
                <w:ilvl w:val="0"/>
                <w:numId w:val="30"/>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因更换引发的损失赔偿</w:t>
            </w:r>
          </w:p>
          <w:p w14:paraId="612787FD">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因乙方产品质量瑕疵导致甲方生产中断、合同延迟履行或其他损失的，乙方应承担相应的赔偿责任，赔偿金额按实际损失计算，包括但不限于直接经济损失和合理预期利润损失。</w:t>
            </w:r>
          </w:p>
          <w:p w14:paraId="2410CE4F">
            <w:pPr>
              <w:numPr>
                <w:ilvl w:val="0"/>
                <w:numId w:val="30"/>
              </w:numPr>
              <w:adjustRightInd w:val="0"/>
              <w:snapToGrid w:val="0"/>
              <w:ind w:firstLineChars="0"/>
              <w:jc w:val="left"/>
              <w:rPr>
                <w:rFonts w:ascii="宋体" w:hAnsi="宋体" w:eastAsia="宋体" w:cs="Times New Roman"/>
                <w:sz w:val="21"/>
                <w:szCs w:val="21"/>
              </w:rPr>
            </w:pPr>
            <w:r>
              <w:rPr>
                <w:rFonts w:ascii="宋体" w:hAnsi="宋体" w:eastAsia="宋体" w:cs="Times New Roman"/>
                <w:sz w:val="21"/>
                <w:szCs w:val="21"/>
              </w:rPr>
              <w:t>其他相关约定</w:t>
            </w:r>
          </w:p>
          <w:p w14:paraId="53149EAA">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若乙方未能在上述规定时间内完成更换，甲方有权自行或委托第三方修理、更换，相关费用由乙方承担，并有权从履约保证金中扣除或向乙方追偿。</w:t>
            </w:r>
          </w:p>
          <w:p w14:paraId="1C346B38">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如质量瑕疵影响到合同项目的整体验收或使用，甲方有权延长验收期限或暂停履约付款，直至乙方履行相应责任。</w:t>
            </w:r>
          </w:p>
        </w:tc>
      </w:tr>
      <w:tr w14:paraId="3551BE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12AA9D1">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371467FC">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第15.2（2）项</w:t>
            </w:r>
          </w:p>
        </w:tc>
        <w:tc>
          <w:tcPr>
            <w:tcW w:w="1742" w:type="dxa"/>
            <w:vAlign w:val="center"/>
          </w:tcPr>
          <w:p w14:paraId="5F088897">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迟延交货赔偿费</w:t>
            </w:r>
          </w:p>
        </w:tc>
        <w:tc>
          <w:tcPr>
            <w:tcW w:w="5170" w:type="dxa"/>
            <w:vAlign w:val="center"/>
          </w:tcPr>
          <w:p w14:paraId="04077198">
            <w:pPr>
              <w:numPr>
                <w:ilvl w:val="0"/>
                <w:numId w:val="31"/>
              </w:numPr>
              <w:adjustRightInd w:val="0"/>
              <w:snapToGrid w:val="0"/>
              <w:ind w:firstLine="0" w:firstLineChars="0"/>
              <w:jc w:val="left"/>
              <w:rPr>
                <w:rFonts w:ascii="宋体" w:hAnsi="宋体" w:eastAsia="宋体" w:cs="Times New Roman"/>
                <w:sz w:val="21"/>
                <w:szCs w:val="21"/>
              </w:rPr>
            </w:pPr>
            <w:r>
              <w:rPr>
                <w:rFonts w:ascii="宋体" w:hAnsi="宋体" w:eastAsia="宋体" w:cs="Times New Roman"/>
                <w:sz w:val="21"/>
                <w:szCs w:val="21"/>
              </w:rPr>
              <w:t>迟延交货赔偿费的计算标准</w:t>
            </w:r>
          </w:p>
          <w:p w14:paraId="69EB9468">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若乙方未按照合同规定的时间交货或提供相关服务，甲方有权向乙方收取迟延交货赔偿费。</w:t>
            </w:r>
          </w:p>
          <w:p w14:paraId="54412E92">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赔偿费按迟延交货金额（或合同总金额）的每日万分之五计算，自合同约定的交货截止日起至实际交货之日止。</w:t>
            </w:r>
          </w:p>
          <w:p w14:paraId="3A08633F">
            <w:pPr>
              <w:numPr>
                <w:ilvl w:val="0"/>
                <w:numId w:val="31"/>
              </w:numPr>
              <w:adjustRightInd w:val="0"/>
              <w:snapToGrid w:val="0"/>
              <w:ind w:firstLine="0" w:firstLineChars="0"/>
              <w:jc w:val="left"/>
              <w:rPr>
                <w:rFonts w:ascii="宋体" w:hAnsi="宋体" w:eastAsia="宋体" w:cs="Times New Roman"/>
                <w:sz w:val="21"/>
                <w:szCs w:val="21"/>
              </w:rPr>
            </w:pPr>
            <w:r>
              <w:rPr>
                <w:rFonts w:ascii="宋体" w:hAnsi="宋体" w:eastAsia="宋体" w:cs="Times New Roman"/>
                <w:sz w:val="21"/>
                <w:szCs w:val="21"/>
              </w:rPr>
              <w:t>赔偿费的上限</w:t>
            </w:r>
          </w:p>
          <w:p w14:paraId="4AABD09C">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迟延交货赔偿费的累计金额不超过合同总金额的10%。超过此上限，甲方有权单方面解除合同，并要求乙方承担由此产生的所有损失。</w:t>
            </w:r>
          </w:p>
          <w:p w14:paraId="35C99E38">
            <w:pPr>
              <w:numPr>
                <w:ilvl w:val="0"/>
                <w:numId w:val="31"/>
              </w:numPr>
              <w:adjustRightInd w:val="0"/>
              <w:snapToGrid w:val="0"/>
              <w:ind w:firstLine="0" w:firstLineChars="0"/>
              <w:jc w:val="left"/>
              <w:rPr>
                <w:rFonts w:ascii="宋体" w:hAnsi="宋体" w:eastAsia="宋体" w:cs="Times New Roman"/>
                <w:sz w:val="21"/>
                <w:szCs w:val="21"/>
              </w:rPr>
            </w:pPr>
            <w:r>
              <w:rPr>
                <w:rFonts w:ascii="宋体" w:hAnsi="宋体" w:eastAsia="宋体" w:cs="Times New Roman"/>
                <w:sz w:val="21"/>
                <w:szCs w:val="21"/>
              </w:rPr>
              <w:t>赔偿费的扣除方式</w:t>
            </w:r>
          </w:p>
          <w:p w14:paraId="2F8CEDE1">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迟延交货赔偿费直接从乙方应收货款或履约保证金中扣除。如不足以弥补赔偿费，甲方有权要求乙方在收到通知后7个工作日内支付差额部分。</w:t>
            </w:r>
          </w:p>
          <w:p w14:paraId="1CBF90C7">
            <w:pPr>
              <w:numPr>
                <w:ilvl w:val="0"/>
                <w:numId w:val="31"/>
              </w:numPr>
              <w:adjustRightInd w:val="0"/>
              <w:snapToGrid w:val="0"/>
              <w:ind w:firstLine="0" w:firstLineChars="0"/>
              <w:jc w:val="left"/>
              <w:rPr>
                <w:rFonts w:ascii="宋体" w:hAnsi="宋体" w:eastAsia="宋体" w:cs="Times New Roman"/>
                <w:sz w:val="21"/>
                <w:szCs w:val="21"/>
              </w:rPr>
            </w:pPr>
            <w:r>
              <w:rPr>
                <w:rFonts w:ascii="宋体" w:hAnsi="宋体" w:eastAsia="宋体" w:cs="Times New Roman"/>
                <w:sz w:val="21"/>
                <w:szCs w:val="21"/>
              </w:rPr>
              <w:t>免责条件</w:t>
            </w:r>
          </w:p>
          <w:p w14:paraId="04BA35D1">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如乙方因不可抗力导致交货迟延，应及时通知甲方并提供相关证明，经甲方确认后可免除相应的迟延赔偿责任。但乙方仍需尽最大努力在最短时间内完成交货或服务。</w:t>
            </w:r>
          </w:p>
          <w:p w14:paraId="10B9A967">
            <w:pPr>
              <w:adjustRightInd w:val="0"/>
              <w:snapToGrid w:val="0"/>
              <w:ind w:firstLine="0" w:firstLineChars="0"/>
              <w:jc w:val="left"/>
              <w:rPr>
                <w:rFonts w:ascii="宋体" w:hAnsi="宋体" w:eastAsia="宋体" w:cs="Times New Roman"/>
                <w:sz w:val="21"/>
                <w:szCs w:val="21"/>
                <w:u w:val="single"/>
              </w:rPr>
            </w:pPr>
          </w:p>
        </w:tc>
      </w:tr>
      <w:tr w14:paraId="7A3424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1D8103E">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43D4907D">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第15.3款</w:t>
            </w:r>
          </w:p>
        </w:tc>
        <w:tc>
          <w:tcPr>
            <w:tcW w:w="1742" w:type="dxa"/>
            <w:vAlign w:val="center"/>
          </w:tcPr>
          <w:p w14:paraId="4D8EB14F">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逾期付款利息</w:t>
            </w:r>
          </w:p>
        </w:tc>
        <w:tc>
          <w:tcPr>
            <w:tcW w:w="5170" w:type="dxa"/>
            <w:vAlign w:val="center"/>
          </w:tcPr>
          <w:p w14:paraId="45AA27A8">
            <w:pPr>
              <w:numPr>
                <w:ilvl w:val="0"/>
                <w:numId w:val="32"/>
              </w:numPr>
              <w:adjustRightInd w:val="0"/>
              <w:snapToGrid w:val="0"/>
              <w:ind w:firstLine="0" w:firstLineChars="0"/>
              <w:jc w:val="left"/>
              <w:rPr>
                <w:rFonts w:ascii="宋体" w:hAnsi="宋体" w:eastAsia="宋体" w:cs="Times New Roman"/>
                <w:sz w:val="21"/>
                <w:szCs w:val="21"/>
              </w:rPr>
            </w:pPr>
            <w:r>
              <w:rPr>
                <w:rFonts w:ascii="宋体" w:hAnsi="宋体" w:eastAsia="宋体" w:cs="Times New Roman"/>
                <w:sz w:val="21"/>
                <w:szCs w:val="21"/>
              </w:rPr>
              <w:t>逾期付款利息的计算标准</w:t>
            </w:r>
          </w:p>
          <w:p w14:paraId="2835B55F">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若甲方未在合同约定的付款期限内支付合同款项，需按照中国人民银行同期公布的贷款市场报价利率（LPR）+1%的标准计算逾期付款利息。利息从逾期之日起算至实际支付之日止。</w:t>
            </w:r>
          </w:p>
          <w:p w14:paraId="7A0E0775">
            <w:pPr>
              <w:numPr>
                <w:ilvl w:val="0"/>
                <w:numId w:val="32"/>
              </w:numPr>
              <w:adjustRightInd w:val="0"/>
              <w:snapToGrid w:val="0"/>
              <w:ind w:firstLine="0" w:firstLineChars="0"/>
              <w:jc w:val="left"/>
              <w:rPr>
                <w:rFonts w:ascii="宋体" w:hAnsi="宋体" w:eastAsia="宋体" w:cs="Times New Roman"/>
                <w:sz w:val="21"/>
                <w:szCs w:val="21"/>
              </w:rPr>
            </w:pPr>
            <w:r>
              <w:rPr>
                <w:rFonts w:ascii="宋体" w:hAnsi="宋体" w:eastAsia="宋体" w:cs="Times New Roman"/>
                <w:sz w:val="21"/>
                <w:szCs w:val="21"/>
              </w:rPr>
              <w:t>利息支付方式</w:t>
            </w:r>
          </w:p>
          <w:p w14:paraId="0598D03D">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逾期付款利息应与实际支付的合同款项一并支付，或者经乙方书面同意后以单独支付方式完成。</w:t>
            </w:r>
          </w:p>
          <w:p w14:paraId="6B00DAC7">
            <w:pPr>
              <w:numPr>
                <w:ilvl w:val="0"/>
                <w:numId w:val="32"/>
              </w:numPr>
              <w:adjustRightInd w:val="0"/>
              <w:snapToGrid w:val="0"/>
              <w:ind w:firstLine="0" w:firstLineChars="0"/>
              <w:jc w:val="left"/>
              <w:rPr>
                <w:rFonts w:ascii="宋体" w:hAnsi="宋体" w:eastAsia="宋体" w:cs="Times New Roman"/>
                <w:sz w:val="21"/>
                <w:szCs w:val="21"/>
              </w:rPr>
            </w:pPr>
            <w:r>
              <w:rPr>
                <w:rFonts w:ascii="宋体" w:hAnsi="宋体" w:eastAsia="宋体" w:cs="Times New Roman"/>
                <w:sz w:val="21"/>
                <w:szCs w:val="21"/>
              </w:rPr>
              <w:t>免责条件</w:t>
            </w:r>
          </w:p>
          <w:p w14:paraId="5743494C">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若甲方因不可抗力或其他经乙方书面认可的合理原因未能按期支付，乙方应予以合理宽限，宽限期不超过30天。超过宽限期仍未支付的，应从宽限期结束之日起计算逾期付款利息。</w:t>
            </w:r>
          </w:p>
          <w:p w14:paraId="5034C61E">
            <w:pPr>
              <w:numPr>
                <w:ilvl w:val="0"/>
                <w:numId w:val="32"/>
              </w:numPr>
              <w:adjustRightInd w:val="0"/>
              <w:snapToGrid w:val="0"/>
              <w:ind w:firstLine="0" w:firstLineChars="0"/>
              <w:jc w:val="left"/>
              <w:rPr>
                <w:rFonts w:ascii="宋体" w:hAnsi="宋体" w:eastAsia="宋体" w:cs="Times New Roman"/>
                <w:sz w:val="21"/>
                <w:szCs w:val="21"/>
              </w:rPr>
            </w:pPr>
            <w:r>
              <w:rPr>
                <w:rFonts w:ascii="宋体" w:hAnsi="宋体" w:eastAsia="宋体" w:cs="Times New Roman"/>
                <w:sz w:val="21"/>
                <w:szCs w:val="21"/>
              </w:rPr>
              <w:t>其他约定</w:t>
            </w:r>
          </w:p>
          <w:p w14:paraId="689F5268">
            <w:pPr>
              <w:adjustRightInd w:val="0"/>
              <w:snapToGrid w:val="0"/>
              <w:ind w:firstLine="420"/>
              <w:jc w:val="left"/>
              <w:rPr>
                <w:rFonts w:ascii="宋体" w:hAnsi="宋体" w:eastAsia="宋体" w:cs="Times New Roman"/>
                <w:sz w:val="21"/>
                <w:szCs w:val="21"/>
              </w:rPr>
            </w:pPr>
            <w:r>
              <w:rPr>
                <w:rFonts w:ascii="宋体" w:hAnsi="宋体" w:eastAsia="宋体" w:cs="Times New Roman"/>
                <w:sz w:val="21"/>
                <w:szCs w:val="21"/>
              </w:rPr>
              <w:t>若甲方未支付的款项为争议款项，则在争议解决后，根据争议解决的结果，甲方仅需对应支付的款项部分承担逾期利息责任。</w:t>
            </w:r>
          </w:p>
          <w:p w14:paraId="762810F4">
            <w:pPr>
              <w:adjustRightInd w:val="0"/>
              <w:snapToGrid w:val="0"/>
              <w:ind w:firstLine="0" w:firstLineChars="0"/>
              <w:jc w:val="left"/>
              <w:rPr>
                <w:rFonts w:ascii="宋体" w:hAnsi="宋体" w:eastAsia="宋体" w:cs="Times New Roman"/>
                <w:sz w:val="21"/>
                <w:szCs w:val="21"/>
                <w:u w:val="single"/>
              </w:rPr>
            </w:pPr>
          </w:p>
        </w:tc>
      </w:tr>
      <w:tr w14:paraId="70A899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7C7D652B">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0E4B93DF">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第15.4款</w:t>
            </w:r>
          </w:p>
        </w:tc>
        <w:tc>
          <w:tcPr>
            <w:tcW w:w="1742" w:type="dxa"/>
            <w:tcBorders>
              <w:left w:val="single" w:color="auto" w:sz="2" w:space="0"/>
              <w:bottom w:val="single" w:color="auto" w:sz="2" w:space="0"/>
              <w:right w:val="single" w:color="auto" w:sz="2" w:space="0"/>
            </w:tcBorders>
            <w:vAlign w:val="center"/>
          </w:tcPr>
          <w:p w14:paraId="65B78C0C">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其他违约责任</w:t>
            </w:r>
          </w:p>
        </w:tc>
        <w:tc>
          <w:tcPr>
            <w:tcW w:w="5170" w:type="dxa"/>
            <w:tcBorders>
              <w:left w:val="single" w:color="auto" w:sz="2" w:space="0"/>
              <w:bottom w:val="single" w:color="auto" w:sz="2" w:space="0"/>
            </w:tcBorders>
            <w:vAlign w:val="center"/>
          </w:tcPr>
          <w:p w14:paraId="04CEA2AA">
            <w:pPr>
              <w:adjustRightInd w:val="0"/>
              <w:snapToGrid w:val="0"/>
              <w:ind w:firstLine="0" w:firstLineChars="0"/>
              <w:jc w:val="left"/>
              <w:rPr>
                <w:rFonts w:ascii="宋体" w:hAnsi="宋体" w:eastAsia="宋体" w:cs="Times New Roman"/>
                <w:sz w:val="21"/>
                <w:szCs w:val="21"/>
                <w:u w:val="single"/>
              </w:rPr>
            </w:pPr>
            <w:r>
              <w:rPr>
                <w:rFonts w:hint="eastAsia" w:ascii="宋体" w:hAnsi="宋体" w:eastAsia="宋体" w:cs="Times New Roman"/>
                <w:sz w:val="21"/>
                <w:szCs w:val="21"/>
              </w:rPr>
              <w:t>本项目不涉及</w:t>
            </w:r>
          </w:p>
        </w:tc>
      </w:tr>
      <w:tr w14:paraId="743C37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1E607F3C">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0D2AB231">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第19.2款</w:t>
            </w:r>
          </w:p>
        </w:tc>
        <w:tc>
          <w:tcPr>
            <w:tcW w:w="1742" w:type="dxa"/>
            <w:tcBorders>
              <w:top w:val="single" w:color="auto" w:sz="2" w:space="0"/>
              <w:left w:val="single" w:color="auto" w:sz="2" w:space="0"/>
              <w:right w:val="single" w:color="auto" w:sz="2" w:space="0"/>
            </w:tcBorders>
            <w:vAlign w:val="center"/>
          </w:tcPr>
          <w:p w14:paraId="3F64E75B">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解决争议的方法</w:t>
            </w:r>
          </w:p>
        </w:tc>
        <w:tc>
          <w:tcPr>
            <w:tcW w:w="5170" w:type="dxa"/>
            <w:tcBorders>
              <w:top w:val="single" w:color="auto" w:sz="2" w:space="0"/>
              <w:left w:val="single" w:color="auto" w:sz="2" w:space="0"/>
            </w:tcBorders>
            <w:vAlign w:val="center"/>
          </w:tcPr>
          <w:p w14:paraId="5BEE0BAF">
            <w:pPr>
              <w:adjustRightInd w:val="0"/>
              <w:snapToGrid w:val="0"/>
              <w:ind w:firstLine="0" w:firstLineChars="0"/>
              <w:jc w:val="left"/>
              <w:rPr>
                <w:rFonts w:ascii="宋体" w:hAnsi="宋体" w:eastAsia="宋体" w:cs="Times New Roman"/>
                <w:sz w:val="21"/>
                <w:szCs w:val="21"/>
                <w:u w:val="single"/>
              </w:rPr>
            </w:pPr>
            <w:r>
              <w:rPr>
                <w:rFonts w:hint="eastAsia" w:ascii="宋体" w:hAnsi="宋体" w:eastAsia="宋体" w:cs="宋体"/>
                <w:iCs/>
                <w:sz w:val="21"/>
                <w:szCs w:val="21"/>
              </w:rPr>
              <w:t>因本合同及合同有关事项发生的争议，向</w:t>
            </w:r>
            <w:r>
              <w:rPr>
                <w:rFonts w:hint="eastAsia" w:ascii="宋体" w:hAnsi="宋体" w:eastAsia="宋体" w:cs="宋体"/>
                <w:iCs/>
                <w:sz w:val="21"/>
                <w:szCs w:val="21"/>
                <w:u w:val="single"/>
              </w:rPr>
              <w:t>甲方所在地</w:t>
            </w:r>
            <w:r>
              <w:rPr>
                <w:rFonts w:hint="eastAsia" w:ascii="宋体" w:hAnsi="宋体" w:eastAsia="宋体" w:cs="宋体"/>
                <w:iCs/>
                <w:sz w:val="21"/>
                <w:szCs w:val="21"/>
              </w:rPr>
              <w:t>人民法院起诉解决。</w:t>
            </w:r>
          </w:p>
        </w:tc>
      </w:tr>
      <w:tr w14:paraId="2472EA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272FC543">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第二节</w:t>
            </w:r>
          </w:p>
          <w:p w14:paraId="4F442E87">
            <w:pPr>
              <w:adjustRightInd w:val="0"/>
              <w:snapToGrid w:val="0"/>
              <w:ind w:firstLine="0" w:firstLineChars="0"/>
              <w:jc w:val="center"/>
              <w:rPr>
                <w:rFonts w:ascii="宋体" w:hAnsi="宋体" w:eastAsia="宋体" w:cs="Times New Roman"/>
                <w:sz w:val="21"/>
                <w:szCs w:val="21"/>
              </w:rPr>
            </w:pPr>
            <w:r>
              <w:rPr>
                <w:rFonts w:hint="eastAsia" w:ascii="宋体" w:hAnsi="宋体" w:eastAsia="宋体" w:cs="Times New Roman"/>
                <w:sz w:val="21"/>
                <w:szCs w:val="21"/>
              </w:rPr>
              <w:t>第23.1款</w:t>
            </w:r>
          </w:p>
        </w:tc>
        <w:tc>
          <w:tcPr>
            <w:tcW w:w="1742" w:type="dxa"/>
            <w:vAlign w:val="center"/>
          </w:tcPr>
          <w:p w14:paraId="6529312E">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bCs/>
                <w:sz w:val="21"/>
                <w:szCs w:val="21"/>
              </w:rPr>
              <w:t>其他专用条款</w:t>
            </w:r>
          </w:p>
        </w:tc>
        <w:tc>
          <w:tcPr>
            <w:tcW w:w="5170" w:type="dxa"/>
            <w:vAlign w:val="center"/>
          </w:tcPr>
          <w:p w14:paraId="2308519C">
            <w:pPr>
              <w:adjustRightInd w:val="0"/>
              <w:snapToGrid w:val="0"/>
              <w:ind w:firstLine="0" w:firstLineChars="0"/>
              <w:jc w:val="left"/>
              <w:rPr>
                <w:rFonts w:ascii="宋体" w:hAnsi="宋体" w:eastAsia="宋体" w:cs="Times New Roman"/>
                <w:sz w:val="21"/>
                <w:szCs w:val="21"/>
              </w:rPr>
            </w:pPr>
            <w:r>
              <w:rPr>
                <w:rFonts w:hint="eastAsia" w:ascii="宋体" w:hAnsi="宋体" w:eastAsia="宋体" w:cs="Times New Roman"/>
                <w:sz w:val="21"/>
                <w:szCs w:val="21"/>
              </w:rPr>
              <w:t>本项目不涉及</w:t>
            </w:r>
          </w:p>
        </w:tc>
      </w:tr>
    </w:tbl>
    <w:p w14:paraId="26FFB867"/>
    <w:p w14:paraId="442DBD6C">
      <w:pPr>
        <w:rPr>
          <w:rFonts w:hint="default" w:ascii="Times New Roman" w:hAnsi="Times New Roman" w:eastAsia="宋体" w:cs="Times New Roman"/>
          <w:bCs/>
          <w:color w:val="auto"/>
          <w:kern w:val="44"/>
          <w:sz w:val="36"/>
          <w:szCs w:val="36"/>
          <w:lang w:val="en-US" w:eastAsia="zh-CN"/>
        </w:rPr>
      </w:pPr>
      <w:r>
        <w:rPr>
          <w:rFonts w:hint="default" w:ascii="Times New Roman" w:hAnsi="Times New Roman" w:eastAsia="宋体" w:cs="Times New Roman"/>
          <w:bCs/>
          <w:color w:val="auto"/>
          <w:kern w:val="44"/>
          <w:sz w:val="36"/>
          <w:szCs w:val="36"/>
          <w:lang w:val="en-US" w:eastAsia="zh-CN"/>
        </w:rPr>
        <w:br w:type="page"/>
      </w:r>
    </w:p>
    <w:p w14:paraId="2CD878BD">
      <w:pPr>
        <w:widowControl w:val="0"/>
        <w:spacing w:before="240" w:after="60"/>
        <w:jc w:val="center"/>
        <w:outlineLvl w:val="0"/>
        <w:rPr>
          <w:rFonts w:hint="default" w:ascii="Times New Roman" w:hAnsi="Times New Roman" w:eastAsia="宋体" w:cs="Times New Roman"/>
          <w:bCs/>
          <w:color w:val="auto"/>
          <w:kern w:val="44"/>
          <w:sz w:val="36"/>
          <w:szCs w:val="36"/>
          <w:lang w:val="en-US" w:eastAsia="zh-CN"/>
        </w:rPr>
      </w:pPr>
      <w:r>
        <w:rPr>
          <w:rFonts w:hint="default" w:ascii="Times New Roman" w:hAnsi="Times New Roman" w:eastAsia="宋体" w:cs="Times New Roman"/>
          <w:bCs/>
          <w:color w:val="auto"/>
          <w:kern w:val="44"/>
          <w:sz w:val="36"/>
          <w:szCs w:val="36"/>
          <w:lang w:val="en-US" w:eastAsia="zh-CN"/>
        </w:rPr>
        <w:t xml:space="preserve">第九章 </w:t>
      </w:r>
      <w:r>
        <w:rPr>
          <w:rFonts w:hint="default" w:ascii="Times New Roman" w:hAnsi="Times New Roman" w:eastAsia="宋体" w:cs="Times New Roman"/>
          <w:bCs/>
          <w:color w:val="auto"/>
          <w:kern w:val="44"/>
          <w:sz w:val="36"/>
          <w:szCs w:val="36"/>
          <w:lang w:eastAsia="zh-CN"/>
        </w:rPr>
        <w:t>附件</w:t>
      </w:r>
      <w:bookmarkEnd w:id="523"/>
      <w:bookmarkEnd w:id="524"/>
      <w:bookmarkEnd w:id="525"/>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14:paraId="0E4D9CE9">
      <w:pPr>
        <w:keepNext/>
        <w:keepLines/>
        <w:widowControl w:val="0"/>
        <w:autoSpaceDE w:val="0"/>
        <w:autoSpaceDN w:val="0"/>
        <w:adjustRightInd w:val="0"/>
        <w:spacing w:line="360" w:lineRule="auto"/>
        <w:outlineLvl w:val="1"/>
        <w:rPr>
          <w:rFonts w:hint="default" w:ascii="Times New Roman" w:hAnsi="Times New Roman" w:eastAsia="方正小标宋_GBK" w:cs="Times New Roman"/>
          <w:bCs/>
          <w:color w:val="auto"/>
          <w:kern w:val="0"/>
          <w:sz w:val="30"/>
          <w:szCs w:val="30"/>
          <w:lang w:val="en-US" w:eastAsia="zh-CN"/>
        </w:rPr>
      </w:pPr>
      <w:bookmarkStart w:id="546" w:name="_Toc1681897155"/>
      <w:bookmarkStart w:id="547" w:name="_Toc722680689_WPSOffice_Level1"/>
      <w:bookmarkStart w:id="548" w:name="_Toc1527207384_WPSOffice_Level1"/>
      <w:r>
        <w:rPr>
          <w:rFonts w:hint="default" w:ascii="Times New Roman" w:hAnsi="Times New Roman" w:eastAsia="方正小标宋_GBK" w:cs="Times New Roman"/>
          <w:bCs/>
          <w:color w:val="auto"/>
          <w:kern w:val="0"/>
          <w:sz w:val="30"/>
          <w:szCs w:val="30"/>
          <w:lang w:val="en-US" w:eastAsia="zh-CN"/>
        </w:rPr>
        <w:t>附件1：河南省政府采购合同融资政策告知函</w:t>
      </w:r>
      <w:bookmarkEnd w:id="546"/>
      <w:bookmarkEnd w:id="547"/>
      <w:bookmarkEnd w:id="548"/>
    </w:p>
    <w:p w14:paraId="3EF5EDC6">
      <w:pPr>
        <w:widowControl w:val="0"/>
        <w:spacing w:before="240" w:after="60"/>
        <w:jc w:val="left"/>
        <w:rPr>
          <w:rFonts w:hint="default" w:ascii="Times New Roman" w:hAnsi="Times New Roman" w:eastAsia="宋体" w:cs="Times New Roman"/>
          <w:bCs/>
          <w:color w:val="auto"/>
          <w:sz w:val="28"/>
          <w:szCs w:val="24"/>
          <w:lang w:val="en-US" w:eastAsia="zh-CN"/>
        </w:rPr>
      </w:pPr>
    </w:p>
    <w:p w14:paraId="29951607">
      <w:pPr>
        <w:jc w:val="center"/>
        <w:rPr>
          <w:rFonts w:hint="default" w:ascii="Times New Roman" w:hAnsi="Times New Roman" w:eastAsia="仿宋_GB2312" w:cs="Times New Roman"/>
          <w:bCs/>
          <w:color w:val="auto"/>
          <w:sz w:val="28"/>
          <w:szCs w:val="28"/>
          <w:lang w:val="en-US" w:eastAsia="zh-CN"/>
        </w:rPr>
      </w:pPr>
      <w:bookmarkStart w:id="549" w:name="_Toc1775221587_WPSOffice_Level1"/>
      <w:bookmarkStart w:id="550" w:name="_Toc495162933_WPSOffice_Level2"/>
      <w:bookmarkStart w:id="551" w:name="_Toc285380293_WPSOffice_Level1"/>
      <w:bookmarkStart w:id="552" w:name="_Toc587059936_WPSOffice_Level2"/>
      <w:bookmarkStart w:id="553" w:name="_Toc1740618990_WPSOffice_Level1"/>
      <w:r>
        <w:rPr>
          <w:rFonts w:hint="default" w:ascii="Times New Roman" w:hAnsi="Times New Roman" w:eastAsia="仿宋_GB2312" w:cs="Times New Roman"/>
          <w:bCs/>
          <w:color w:val="auto"/>
          <w:sz w:val="28"/>
          <w:szCs w:val="28"/>
          <w:lang w:val="en-US" w:eastAsia="zh-CN"/>
        </w:rPr>
        <w:t>河南省政府采购合同融资政策告知函</w:t>
      </w:r>
      <w:bookmarkEnd w:id="549"/>
      <w:bookmarkEnd w:id="550"/>
      <w:bookmarkEnd w:id="551"/>
      <w:bookmarkEnd w:id="552"/>
      <w:bookmarkEnd w:id="553"/>
    </w:p>
    <w:p w14:paraId="0B96EE4A">
      <w:pPr>
        <w:widowControl w:val="0"/>
        <w:rPr>
          <w:rFonts w:hint="default" w:ascii="Times New Roman" w:hAnsi="Times New Roman" w:eastAsia="仿宋_GB2312" w:cs="Times New Roman"/>
          <w:bCs/>
          <w:color w:val="auto"/>
          <w:sz w:val="28"/>
          <w:szCs w:val="28"/>
          <w:lang w:val="en-US" w:eastAsia="zh-CN"/>
        </w:rPr>
      </w:pPr>
    </w:p>
    <w:p w14:paraId="007484B8">
      <w:pPr>
        <w:widowControl w:val="0"/>
        <w:spacing w:line="360" w:lineRule="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各供应商：</w:t>
      </w:r>
    </w:p>
    <w:p w14:paraId="70B3EC40">
      <w:pPr>
        <w:widowControl w:val="0"/>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欢迎贵公司参与河南省政府采购活动！</w:t>
      </w:r>
    </w:p>
    <w:p w14:paraId="2574D990">
      <w:pPr>
        <w:widowControl w:val="0"/>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4AE6A8B">
      <w:pPr>
        <w:widowControl w:val="0"/>
        <w:spacing w:line="360" w:lineRule="auto"/>
        <w:ind w:firstLine="560" w:firstLineChars="200"/>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贷款渠道和提供贷款的金融机构，可在河南省政府采购网“河南省政府采购合同融资平台”查询联系。</w:t>
      </w:r>
    </w:p>
    <w:p w14:paraId="786ED715">
      <w:pPr>
        <w:spacing w:line="616" w:lineRule="exact"/>
        <w:ind w:right="86"/>
        <w:jc w:val="center"/>
        <w:rPr>
          <w:rFonts w:hint="default" w:ascii="Times New Roman" w:hAnsi="Times New Roman" w:cs="Times New Roman"/>
          <w:bCs/>
          <w:color w:val="auto"/>
          <w:sz w:val="52"/>
          <w:szCs w:val="52"/>
          <w:lang w:eastAsia="zh-CN"/>
        </w:rPr>
      </w:pPr>
    </w:p>
    <w:p w14:paraId="3837C08F">
      <w:pPr>
        <w:spacing w:line="360" w:lineRule="auto"/>
        <w:jc w:val="left"/>
        <w:rPr>
          <w:rFonts w:hint="default" w:ascii="Times New Roman" w:hAnsi="Times New Roman" w:cs="Times New Roman"/>
          <w:bCs/>
          <w:color w:val="auto"/>
          <w:sz w:val="28"/>
          <w:szCs w:val="28"/>
          <w:lang w:eastAsia="zh-CN"/>
        </w:rPr>
        <w:sectPr>
          <w:pgSz w:w="11900" w:h="16840"/>
          <w:pgMar w:top="1440" w:right="1797" w:bottom="1440" w:left="1797" w:header="851" w:footer="992" w:gutter="0"/>
          <w:cols w:space="720" w:num="1"/>
          <w:docGrid w:linePitch="286" w:charSpace="0"/>
        </w:sectPr>
      </w:pPr>
    </w:p>
    <w:p w14:paraId="1A5C62BD">
      <w:pPr>
        <w:keepNext/>
        <w:keepLines/>
        <w:widowControl w:val="0"/>
        <w:autoSpaceDE w:val="0"/>
        <w:autoSpaceDN w:val="0"/>
        <w:adjustRightInd w:val="0"/>
        <w:spacing w:line="360" w:lineRule="auto"/>
        <w:outlineLvl w:val="1"/>
        <w:rPr>
          <w:rFonts w:hint="default" w:ascii="Times New Roman" w:hAnsi="Times New Roman" w:eastAsia="方正小标宋_GBK" w:cs="Times New Roman"/>
          <w:bCs/>
          <w:color w:val="auto"/>
          <w:kern w:val="0"/>
          <w:sz w:val="30"/>
          <w:szCs w:val="30"/>
          <w:lang w:val="en-US" w:eastAsia="zh-CN"/>
        </w:rPr>
      </w:pPr>
      <w:bookmarkStart w:id="554" w:name="_Toc898079186_WPSOffice_Level3"/>
      <w:bookmarkStart w:id="555" w:name="_Toc922531278_WPSOffice_Level1"/>
      <w:bookmarkStart w:id="556" w:name="_Toc1599394415_WPSOffice_Level1"/>
      <w:bookmarkStart w:id="557" w:name="_Toc1604095411"/>
      <w:r>
        <w:rPr>
          <w:rFonts w:hint="default" w:ascii="Times New Roman" w:hAnsi="Times New Roman" w:eastAsia="方正小标宋_GBK" w:cs="Times New Roman"/>
          <w:bCs/>
          <w:color w:val="auto"/>
          <w:kern w:val="0"/>
          <w:sz w:val="30"/>
          <w:szCs w:val="30"/>
          <w:lang w:val="en-US" w:eastAsia="zh-CN"/>
        </w:rPr>
        <w:t>附件2：</w:t>
      </w:r>
      <w:bookmarkEnd w:id="554"/>
      <w:r>
        <w:rPr>
          <w:rFonts w:hint="default" w:ascii="Times New Roman" w:hAnsi="Times New Roman" w:eastAsia="方正小标宋_GBK" w:cs="Times New Roman"/>
          <w:bCs/>
          <w:color w:val="auto"/>
          <w:kern w:val="0"/>
          <w:sz w:val="30"/>
          <w:szCs w:val="30"/>
          <w:lang w:val="en-US" w:eastAsia="zh-CN"/>
        </w:rPr>
        <w:t>中小企业划型标准规定</w:t>
      </w:r>
      <w:bookmarkEnd w:id="555"/>
      <w:bookmarkEnd w:id="556"/>
      <w:bookmarkEnd w:id="557"/>
    </w:p>
    <w:p w14:paraId="337AF31B">
      <w:pPr>
        <w:jc w:val="center"/>
        <w:rPr>
          <w:rFonts w:hint="default" w:ascii="Times New Roman" w:hAnsi="Times New Roman" w:cs="Times New Roman"/>
          <w:bCs/>
          <w:color w:val="auto"/>
          <w:sz w:val="32"/>
          <w:szCs w:val="32"/>
          <w:lang w:eastAsia="zh-CN"/>
        </w:rPr>
      </w:pPr>
      <w:bookmarkStart w:id="558" w:name="_Toc853194655"/>
      <w:bookmarkStart w:id="559" w:name="_Toc658018444_WPSOffice_Level2"/>
      <w:bookmarkStart w:id="560" w:name="_Toc347624563"/>
      <w:bookmarkStart w:id="561" w:name="_Toc1587242122"/>
    </w:p>
    <w:p w14:paraId="210FC004">
      <w:pPr>
        <w:jc w:val="center"/>
        <w:rPr>
          <w:rFonts w:hint="default" w:ascii="Times New Roman" w:hAnsi="Times New Roman" w:cs="Times New Roman"/>
          <w:bCs/>
          <w:color w:val="auto"/>
          <w:sz w:val="32"/>
          <w:szCs w:val="32"/>
          <w:lang w:eastAsia="zh-CN"/>
        </w:rPr>
      </w:pPr>
      <w:r>
        <w:rPr>
          <w:rFonts w:hint="default" w:ascii="Times New Roman" w:hAnsi="Times New Roman" w:cs="Times New Roman"/>
          <w:bCs/>
          <w:color w:val="auto"/>
          <w:sz w:val="32"/>
          <w:szCs w:val="32"/>
          <w:lang w:eastAsia="zh-CN"/>
        </w:rPr>
        <w:t>关于印发中小企业划型标准规定的通知</w:t>
      </w:r>
      <w:bookmarkEnd w:id="558"/>
      <w:bookmarkEnd w:id="559"/>
      <w:bookmarkEnd w:id="560"/>
      <w:bookmarkEnd w:id="561"/>
    </w:p>
    <w:p w14:paraId="144C1477">
      <w:pPr>
        <w:pStyle w:val="52"/>
        <w:spacing w:line="480" w:lineRule="exact"/>
        <w:jc w:val="center"/>
        <w:rPr>
          <w:rFonts w:hint="default" w:ascii="Times New Roman" w:hAnsi="Times New Roman" w:eastAsia="仿宋_GB2312" w:cs="Times New Roman"/>
          <w:bCs/>
          <w:sz w:val="28"/>
          <w:szCs w:val="28"/>
        </w:rPr>
      </w:pPr>
      <w:bookmarkStart w:id="562" w:name="_Toc1413325678_WPSOffice_Level3"/>
      <w:r>
        <w:rPr>
          <w:rFonts w:hint="default" w:ascii="Times New Roman" w:hAnsi="Times New Roman" w:eastAsia="仿宋_GB2312" w:cs="Times New Roman"/>
          <w:bCs/>
          <w:sz w:val="28"/>
          <w:szCs w:val="28"/>
        </w:rPr>
        <w:t>工信部联企业[2011]300号</w:t>
      </w:r>
      <w:bookmarkEnd w:id="562"/>
    </w:p>
    <w:p w14:paraId="78CBD260">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各省、自治区、直辖市人民政府，国务院各部委、各直属机构及有关单位：</w:t>
      </w:r>
    </w:p>
    <w:p w14:paraId="566C3E2D">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0E20898C">
      <w:pPr>
        <w:pStyle w:val="52"/>
        <w:spacing w:line="480" w:lineRule="exact"/>
        <w:jc w:val="righ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工业和信息化部　国家统计局</w:t>
      </w:r>
    </w:p>
    <w:p w14:paraId="141D253A">
      <w:pPr>
        <w:pStyle w:val="52"/>
        <w:spacing w:line="480" w:lineRule="exact"/>
        <w:jc w:val="righ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国家发展和改革委员会　财政部</w:t>
      </w:r>
    </w:p>
    <w:p w14:paraId="13B9E080">
      <w:pPr>
        <w:pStyle w:val="52"/>
        <w:spacing w:line="480" w:lineRule="exact"/>
        <w:jc w:val="righ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二〇一一年六月十八日</w:t>
      </w:r>
    </w:p>
    <w:p w14:paraId="614153FB">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附件： </w:t>
      </w:r>
    </w:p>
    <w:p w14:paraId="4C3E18E6">
      <w:pPr>
        <w:pStyle w:val="52"/>
        <w:spacing w:line="480" w:lineRule="exact"/>
        <w:jc w:val="center"/>
        <w:rPr>
          <w:rFonts w:hint="default" w:ascii="Times New Roman" w:hAnsi="Times New Roman" w:eastAsia="仿宋_GB2312" w:cs="Times New Roman"/>
          <w:bCs/>
          <w:sz w:val="28"/>
          <w:szCs w:val="28"/>
        </w:rPr>
      </w:pPr>
      <w:bookmarkStart w:id="563" w:name="_Toc1817875417_WPSOffice_Level2"/>
      <w:r>
        <w:rPr>
          <w:rStyle w:val="62"/>
          <w:rFonts w:hint="default" w:ascii="Times New Roman" w:hAnsi="Times New Roman" w:eastAsia="仿宋_GB2312" w:cs="Times New Roman"/>
          <w:b w:val="0"/>
          <w:sz w:val="28"/>
          <w:szCs w:val="28"/>
        </w:rPr>
        <w:t>中小企业划型标准规定</w:t>
      </w:r>
      <w:bookmarkEnd w:id="563"/>
    </w:p>
    <w:p w14:paraId="77173C35">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xml:space="preserve">    一、根据《中华人民共和国中小企业促进法》和《国务院关于进一步促进中小企业发展的若干意见》(国发〔2009〕36号)，制定本规定。</w:t>
      </w:r>
    </w:p>
    <w:p w14:paraId="58BBBE0E">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二、中小企业划分为中型、小型、微型三种类型，具体标准根据企业从业人员、营业收入、资产总额等指标，结合行业特点制定。</w:t>
      </w:r>
    </w:p>
    <w:p w14:paraId="0F060029">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33A6FE4">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四、各行业划型标准为：</w:t>
      </w:r>
    </w:p>
    <w:p w14:paraId="6AF26758">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（一）农、林、牧、渔业。营业收入20000万元以下的为中小微型企业。其中，营业收入500万元及以上的为中型企业，营业收入50万元及以上的为小型企业，营业收入50万元以下的为微型企业。</w:t>
      </w:r>
    </w:p>
    <w:p w14:paraId="47265AA9">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A3F55B8">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596D46D">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F6C855B">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E4B0BEB">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445C90D">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6433C46">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F38F0AE">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540161C">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5E13297">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95DA544">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2922927">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8111702">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0978887">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57EA0E3">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（十六）其他未列明行业。从业人员300人以下的为中小微型企业。其中，从业人员100人及以上的为中型企业；从业人员10人及以上的为小型企业；从业人员10人以下的为微型企业。</w:t>
      </w:r>
    </w:p>
    <w:p w14:paraId="6E41C491">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五、企业类型的划分以统计部门的统计数据为依据。</w:t>
      </w:r>
    </w:p>
    <w:p w14:paraId="00FCC543">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六、本规定适用于在中华人民共和国境内依法设立的各类所有制和各种组织形式的企业。个体工商户和本规定以外的行业，参照本规定进行划型。</w:t>
      </w:r>
    </w:p>
    <w:p w14:paraId="310B6DD9">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p>
    <w:p w14:paraId="6B1E6F69">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八、本规定由工业和信息化部、国家统计局会同有关部门根据《国民经济行业分类》修订情况和企业发展变化情况适时修订。</w:t>
      </w:r>
    </w:p>
    <w:p w14:paraId="5DEB2ED2">
      <w:pPr>
        <w:pStyle w:val="52"/>
        <w:spacing w:line="480" w:lineRule="exac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九、本规定由工业和信息化部、国家统计局会同有关部门负责解释。</w:t>
      </w:r>
    </w:p>
    <w:p w14:paraId="06429249">
      <w:pPr>
        <w:pStyle w:val="52"/>
        <w:spacing w:line="480" w:lineRule="exact"/>
        <w:rPr>
          <w:rFonts w:hint="default" w:ascii="Times New Roman" w:hAnsi="Times New Roman" w:eastAsia="微软雅黑" w:cs="Times New Roman"/>
          <w:bCs/>
          <w:sz w:val="32"/>
          <w:szCs w:val="32"/>
          <w:lang w:val="zh-TW"/>
        </w:rPr>
      </w:pPr>
      <w:r>
        <w:rPr>
          <w:rFonts w:hint="default" w:ascii="Times New Roman" w:hAnsi="Times New Roman" w:eastAsia="仿宋_GB2312" w:cs="Times New Roman"/>
          <w:bCs/>
          <w:sz w:val="28"/>
          <w:szCs w:val="28"/>
        </w:rPr>
        <w:t>　　十、本规定自发布之日起执行，原国家经贸委、原国家计委、财政部和国家统计局2003年颁布的《中小企业标准暂行规定》同时废止。</w:t>
      </w:r>
      <w:bookmarkEnd w:id="0"/>
    </w:p>
    <w:p w14:paraId="6406E380">
      <w:pPr>
        <w:rPr>
          <w:rFonts w:hint="default" w:ascii="Times New Roman" w:hAnsi="Times New Roman" w:cs="Times New Roman"/>
        </w:rPr>
      </w:pPr>
    </w:p>
    <w:sectPr>
      <w:headerReference r:id="rId13" w:type="default"/>
      <w:footerReference r:id="rId14" w:type="default"/>
      <w:pgSz w:w="11900" w:h="16840"/>
      <w:pgMar w:top="1440" w:right="1797" w:bottom="1440" w:left="1797" w:header="851" w:footer="992" w:gutter="0"/>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02B47CE-EE8F-4091-9D76-08EAC00132B1}"/>
  </w:font>
  <w:font w:name="Arial">
    <w:panose1 w:val="020B0604020202020204"/>
    <w:charset w:val="01"/>
    <w:family w:val="swiss"/>
    <w:pitch w:val="default"/>
    <w:sig w:usb0="E0002EFF" w:usb1="C000785B" w:usb2="00000009" w:usb3="00000000" w:csb0="400001FF" w:csb1="FFFF0000"/>
    <w:embedRegular r:id="rId2" w:fontKey="{0E58AA35-05EA-4AB7-9B37-B39C2C240499}"/>
  </w:font>
  <w:font w:name="黑体">
    <w:panose1 w:val="02010609060101010101"/>
    <w:charset w:val="86"/>
    <w:family w:val="auto"/>
    <w:pitch w:val="default"/>
    <w:sig w:usb0="800002BF" w:usb1="38CF7CFA" w:usb2="00000016" w:usb3="00000000" w:csb0="00040001" w:csb1="00000000"/>
    <w:embedRegular r:id="rId3" w:fontKey="{9F1784CA-E01B-4950-8D1A-8E7B6D3F0DA1}"/>
  </w:font>
  <w:font w:name="Courier New">
    <w:panose1 w:val="02070309020205020404"/>
    <w:charset w:val="01"/>
    <w:family w:val="modern"/>
    <w:pitch w:val="default"/>
    <w:sig w:usb0="E0002EFF" w:usb1="C0007843" w:usb2="00000009" w:usb3="00000000" w:csb0="400001FF" w:csb1="FFFF0000"/>
    <w:embedRegular r:id="rId4" w:fontKey="{12E4DE75-F189-43A0-B1C2-49075CF4CD3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8838B991-EBBB-45A7-9ED8-A43D880317DE}"/>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6" w:fontKey="{57C6F68E-5AC6-4451-9339-B2031894300C}"/>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7" w:fontKey="{1B49DCDD-388A-4B04-82CD-11379AEA6B46}"/>
  </w:font>
  <w:font w:name="ActionIcon ! important">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monospace">
    <w:altName w:val="华文仿宋"/>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embedRegular r:id="rId8" w:fontKey="{E8D2B310-BBF0-4438-ADA5-19982934B616}"/>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auto"/>
    <w:pitch w:val="default"/>
    <w:sig w:usb0="00000000" w:usb1="00000000" w:usb2="00000010" w:usb3="00000000" w:csb0="00000000" w:csb1="00000000"/>
  </w:font>
  <w:font w:name="微软雅黑">
    <w:panose1 w:val="020B0503020204020204"/>
    <w:charset w:val="86"/>
    <w:family w:val="swiss"/>
    <w:pitch w:val="default"/>
    <w:sig w:usb0="80000287" w:usb1="2ACF3C50" w:usb2="00000016" w:usb3="00000000" w:csb0="0004001F" w:csb1="00000000"/>
    <w:embedRegular r:id="rId9" w:fontKey="{79432F1B-67D7-452D-BCF0-2607DBE0E7E4}"/>
  </w:font>
  <w:font w:name="Verdana">
    <w:panose1 w:val="020B0604030504040204"/>
    <w:charset w:val="00"/>
    <w:family w:val="swiss"/>
    <w:pitch w:val="default"/>
    <w:sig w:usb0="A00006FF" w:usb1="4000205B" w:usb2="00000010" w:usb3="00000000" w:csb0="2000019F" w:csb1="00000000"/>
  </w:font>
  <w:font w:name="Adobe 仿宋 Std R">
    <w:altName w:val="仿宋"/>
    <w:panose1 w:val="00000000000000000000"/>
    <w:charset w:val="7A"/>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embedRegular r:id="rId10" w:fontKey="{FBEBA3BC-9F2F-4C9C-B97A-31023948B8C7}"/>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auto"/>
    <w:pitch w:val="default"/>
    <w:sig w:usb0="E00006FF" w:usb1="420024FF" w:usb2="02000000" w:usb3="00000000" w:csb0="2000019F" w:csb1="00000000"/>
  </w:font>
  <w:font w:name="微软雅黑 Light">
    <w:panose1 w:val="020B0502040204020203"/>
    <w:charset w:val="86"/>
    <w:family w:val="auto"/>
    <w:pitch w:val="default"/>
    <w:sig w:usb0="80000287" w:usb1="2ACF0010" w:usb2="00000016" w:usb3="00000000" w:csb0="0004001F" w:csb1="00000000"/>
  </w:font>
  <w:font w:name="方正小标宋_GBK">
    <w:altName w:val="微软雅黑"/>
    <w:panose1 w:val="02000000000000000000"/>
    <w:charset w:val="86"/>
    <w:family w:val="script"/>
    <w:pitch w:val="default"/>
    <w:sig w:usb0="00000000" w:usb1="00000000" w:usb2="00000000" w:usb3="00000000" w:csb0="00040000" w:csb1="00000000"/>
    <w:embedRegular r:id="rId11" w:fontKey="{A0B26247-B3D0-4155-BDD4-D589F12C12C1}"/>
  </w:font>
  <w:font w:name="Wingdings 2">
    <w:panose1 w:val="05020102010507070707"/>
    <w:charset w:val="02"/>
    <w:family w:val="roman"/>
    <w:pitch w:val="default"/>
    <w:sig w:usb0="00000000" w:usb1="00000000" w:usb2="00000000" w:usb3="00000000" w:csb0="80000000" w:csb1="00000000"/>
    <w:embedRegular r:id="rId12" w:fontKey="{FB4B88BA-BCE4-45DA-BCDB-75F880DDB493}"/>
  </w:font>
  <w:font w:name="CESI楷体-GB2312">
    <w:altName w:val="宋体"/>
    <w:panose1 w:val="02000500000000000000"/>
    <w:charset w:val="86"/>
    <w:family w:val="auto"/>
    <w:pitch w:val="default"/>
    <w:sig w:usb0="00000000" w:usb1="00000000" w:usb2="00000012" w:usb3="00000000" w:csb0="0004000F" w:csb1="00000000"/>
    <w:embedRegular r:id="rId13" w:fontKey="{19430647-E2AF-467A-B74D-1175348BBD39}"/>
  </w:font>
  <w:font w:name="等线">
    <w:panose1 w:val="02010600030101010101"/>
    <w:charset w:val="86"/>
    <w:family w:val="auto"/>
    <w:pitch w:val="default"/>
    <w:sig w:usb0="A00002BF" w:usb1="38CF7CFA" w:usb2="00000016" w:usb3="00000000" w:csb0="0004000F" w:csb1="00000000"/>
    <w:embedRegular r:id="rId14" w:fontKey="{D077CD6A-9841-4A33-AB80-9692903B49F0}"/>
  </w:font>
  <w:font w:name="华文中宋">
    <w:panose1 w:val="02010600040101010101"/>
    <w:charset w:val="86"/>
    <w:family w:val="auto"/>
    <w:pitch w:val="default"/>
    <w:sig w:usb0="00000287" w:usb1="080F0000" w:usb2="00000000" w:usb3="00000000" w:csb0="0004009F" w:csb1="DFD70000"/>
    <w:embedRegular r:id="rId15" w:fontKey="{22E36BD5-7FCC-4B80-BF6E-E57B4C1E4AE8}"/>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A338">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A933C">
    <w:pPr>
      <w:pStyle w:val="34"/>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47955"/>
              <wp:effectExtent l="0" t="0" r="0" b="0"/>
              <wp:wrapNone/>
              <wp:docPr id="8" name="文本框 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a:effectLst/>
                    </wps:spPr>
                    <wps:txbx>
                      <w:txbxContent>
                        <w:p w14:paraId="2226D3C8">
                          <w:pPr>
                            <w:pStyle w:val="34"/>
                          </w:pPr>
                          <w:r>
                            <w:fldChar w:fldCharType="begin"/>
                          </w:r>
                          <w:r>
                            <w:instrText xml:space="preserve"> PAGE  \* MERGEFORMAT </w:instrText>
                          </w:r>
                          <w:r>
                            <w:fldChar w:fldCharType="separate"/>
                          </w:r>
                          <w:r>
                            <w:rPr>
                              <w:lang w:val="en-US" w:eastAsia="zh-CN"/>
                            </w:rPr>
                            <w:t>12</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1.65pt;width:4.55pt;mso-position-horizontal:center;mso-position-horizontal-relative:margin;mso-wrap-style:none;z-index:25165926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8scAtEAAAACAQAA&#10;DwAAAAAAAAABACAAAAAiAAAAZHJzL2Rvd25yZXYueG1sUEsBAhQAFAAAAAgAh07iQD81uVbnAQAA&#10;yQMAAA4AAAAAAAAAAQAgAAAAIAEAAGRycy9lMm9Eb2MueG1sUEsFBgAAAAAGAAYAWQEAAHkFAAAA&#10;AA==&#10;">
              <v:fill on="f" focussize="0,0"/>
              <v:stroke on="f"/>
              <v:imagedata o:title=""/>
              <o:lock v:ext="edit" aspectratio="f"/>
              <v:textbox inset="0mm,0mm,0mm,0mm" style="mso-fit-shape-to-text:t;">
                <w:txbxContent>
                  <w:p w14:paraId="2226D3C8">
                    <w:pPr>
                      <w:pStyle w:val="34"/>
                    </w:pPr>
                    <w:r>
                      <w:fldChar w:fldCharType="begin"/>
                    </w:r>
                    <w:r>
                      <w:instrText xml:space="preserve"> PAGE  \* MERGEFORMAT </w:instrText>
                    </w:r>
                    <w:r>
                      <w:fldChar w:fldCharType="separate"/>
                    </w:r>
                    <w:r>
                      <w:rPr>
                        <w:lang w:val="en-US" w:eastAsia="zh-CN"/>
                      </w:rP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D89A9">
    <w:pPr>
      <w:pStyle w:val="34"/>
    </w:pPr>
    <w:r>
      <w:rPr>
        <w:lang w:val="en-US"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57785" cy="147955"/>
              <wp:effectExtent l="0" t="0" r="0" b="0"/>
              <wp:wrapNone/>
              <wp:docPr id="347406385" name="文本框 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a:effectLst/>
                    </wps:spPr>
                    <wps:txbx>
                      <w:txbxContent>
                        <w:p w14:paraId="638C0DBF">
                          <w:pPr>
                            <w:pStyle w:val="34"/>
                          </w:pPr>
                          <w:r>
                            <w:fldChar w:fldCharType="begin"/>
                          </w:r>
                          <w:r>
                            <w:instrText xml:space="preserve"> PAGE  \* MERGEFORMAT </w:instrText>
                          </w:r>
                          <w:r>
                            <w:fldChar w:fldCharType="separate"/>
                          </w:r>
                          <w:r>
                            <w:rPr>
                              <w:lang w:val="en-US" w:eastAsia="zh-CN"/>
                            </w:rPr>
                            <w:t>49</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1.65pt;width:4.55pt;mso-position-horizontal:center;mso-position-horizontal-relative:margin;mso-wrap-style:none;z-index:251665408;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nyxwC&#10;0QAAAAIBAAAPAAAAAAAAAAEAIAAAACIAAABkcnMvZG93bnJldi54bWxQSwECFAAUAAAACACHTuJA&#10;bosP4O8BAADRAwAADgAAAAAAAAABACAAAAAgAQAAZHJzL2Uyb0RvYy54bWxQSwUGAAAAAAYABgBZ&#10;AQAAgQUAAAAA&#10;">
              <v:fill on="f" focussize="0,0"/>
              <v:stroke on="f"/>
              <v:imagedata o:title=""/>
              <o:lock v:ext="edit" aspectratio="f"/>
              <v:textbox inset="0mm,0mm,0mm,0mm" style="mso-fit-shape-to-text:t;">
                <w:txbxContent>
                  <w:p w14:paraId="638C0DBF">
                    <w:pPr>
                      <w:pStyle w:val="34"/>
                    </w:pPr>
                    <w:r>
                      <w:fldChar w:fldCharType="begin"/>
                    </w:r>
                    <w:r>
                      <w:instrText xml:space="preserve"> PAGE  \* MERGEFORMAT </w:instrText>
                    </w:r>
                    <w:r>
                      <w:fldChar w:fldCharType="separate"/>
                    </w:r>
                    <w:r>
                      <w:rPr>
                        <w:lang w:val="en-US" w:eastAsia="zh-CN"/>
                      </w:rP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6FE4C">
    <w:pPr>
      <w:pStyle w:val="34"/>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a:effectLst/>
                    </wps:spPr>
                    <wps:txbx>
                      <w:txbxContent>
                        <w:p w14:paraId="0146A154">
                          <w:pPr>
                            <w:pStyle w:val="34"/>
                          </w:pPr>
                          <w:r>
                            <w:fldChar w:fldCharType="begin"/>
                          </w:r>
                          <w:r>
                            <w:instrText xml:space="preserve"> PAGE  \* MERGEFORMAT </w:instrText>
                          </w:r>
                          <w:r>
                            <w:fldChar w:fldCharType="separate"/>
                          </w:r>
                          <w:r>
                            <w:rPr>
                              <w:lang w:val="en-US" w:eastAsia="zh-CN"/>
                            </w:rPr>
                            <w:t>62</w:t>
                          </w:r>
                          <w: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ulvw/RAAAAAwEA&#10;AA8AAAAAAAAAAQAgAAAAIgAAAGRycy9kb3ducmV2LnhtbFBLAQIUABQAAAAIAIdO4kC4Cz556AEA&#10;AMoDAAAOAAAAAAAAAAEAIAAAACABAABkcnMvZTJvRG9jLnhtbFBLBQYAAAAABgAGAFkBAAB6BQAA&#10;AAA=&#10;">
              <v:fill on="f" focussize="0,0"/>
              <v:stroke on="f"/>
              <v:imagedata o:title=""/>
              <o:lock v:ext="edit" aspectratio="f"/>
              <v:textbox inset="0mm,0mm,0mm,0mm" style="mso-fit-shape-to-text:t;">
                <w:txbxContent>
                  <w:p w14:paraId="0146A154">
                    <w:pPr>
                      <w:pStyle w:val="34"/>
                    </w:pPr>
                    <w:r>
                      <w:fldChar w:fldCharType="begin"/>
                    </w:r>
                    <w:r>
                      <w:instrText xml:space="preserve"> PAGE  \* MERGEFORMAT </w:instrText>
                    </w:r>
                    <w:r>
                      <w:fldChar w:fldCharType="separate"/>
                    </w:r>
                    <w:r>
                      <w:rPr>
                        <w:lang w:val="en-US" w:eastAsia="zh-CN"/>
                      </w:rPr>
                      <w:t>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D4591">
    <w:pPr>
      <w:pStyle w:val="34"/>
      <w:ind w:right="360"/>
    </w:pPr>
    <w:r>
      <w:rPr>
        <w:lang w:val="en-US" w:eastAsia="zh-CN"/>
      </w:rPr>
      <mc:AlternateContent>
        <mc:Choice Requires="wps">
          <w:drawing>
            <wp:anchor distT="0" distB="0" distL="114300" distR="114300" simplePos="0" relativeHeight="251664384" behindDoc="0" locked="0" layoutInCell="1" allowOverlap="1">
              <wp:simplePos x="0" y="0"/>
              <wp:positionH relativeFrom="margin">
                <wp:posOffset>2580005</wp:posOffset>
              </wp:positionH>
              <wp:positionV relativeFrom="paragraph">
                <wp:posOffset>-1905</wp:posOffset>
              </wp:positionV>
              <wp:extent cx="278130" cy="147955"/>
              <wp:effectExtent l="0" t="0" r="7620" b="12700"/>
              <wp:wrapNone/>
              <wp:docPr id="11" name="文本框 7"/>
              <wp:cNvGraphicFramePr/>
              <a:graphic xmlns:a="http://schemas.openxmlformats.org/drawingml/2006/main">
                <a:graphicData uri="http://schemas.microsoft.com/office/word/2010/wordprocessingShape">
                  <wps:wsp>
                    <wps:cNvSpPr txBox="1"/>
                    <wps:spPr>
                      <a:xfrm>
                        <a:off x="0" y="0"/>
                        <a:ext cx="278296" cy="147955"/>
                      </a:xfrm>
                      <a:prstGeom prst="rect">
                        <a:avLst/>
                      </a:prstGeom>
                      <a:noFill/>
                      <a:ln>
                        <a:noFill/>
                      </a:ln>
                      <a:effectLst/>
                    </wps:spPr>
                    <wps:txbx>
                      <w:txbxContent>
                        <w:p w14:paraId="3C2B98EC">
                          <w:pPr>
                            <w:pStyle w:val="34"/>
                          </w:pPr>
                          <w:r>
                            <w:fldChar w:fldCharType="begin"/>
                          </w:r>
                          <w:r>
                            <w:instrText xml:space="preserve"> PAGE  \* MERGEFORMAT </w:instrText>
                          </w:r>
                          <w:r>
                            <w:fldChar w:fldCharType="separate"/>
                          </w:r>
                          <w:r>
                            <w:t>73</w:t>
                          </w:r>
                          <w:r>
                            <w:fldChar w:fldCharType="end"/>
                          </w:r>
                        </w:p>
                      </w:txbxContent>
                    </wps:txbx>
                    <wps:bodyPr vert="horz" wrap="square" lIns="0" tIns="0" rIns="0" bIns="0" anchor="t" anchorCtr="0" upright="1">
                      <a:spAutoFit/>
                    </wps:bodyPr>
                  </wps:wsp>
                </a:graphicData>
              </a:graphic>
            </wp:anchor>
          </w:drawing>
        </mc:Choice>
        <mc:Fallback>
          <w:pict>
            <v:shape id="文本框 7" o:spid="_x0000_s1026" o:spt="202" type="#_x0000_t202" style="position:absolute;left:0pt;margin-left:203.15pt;margin-top:-0.15pt;height:11.65pt;width:21.9pt;mso-position-horizontal-relative:margin;z-index:251664384;mso-width-relative:page;mso-height-relative:page;" filled="f" stroked="f" coordsize="21600,21600" o:gfxdata="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osb&#10;R9YAAAAIAQAADwAAAAAAAAABACAAAAAiAAAAZHJzL2Rvd25yZXYueG1sUEsBAhQAFAAAAAgAh07i&#10;QGuywRfrAQAAzQMAAA4AAAAAAAAAAQAgAAAAJQEAAGRycy9lMm9Eb2MueG1sUEsFBgAAAAAGAAYA&#10;WQEAAIIFAAAAAA==&#10;">
              <v:fill on="f" focussize="0,0"/>
              <v:stroke on="f"/>
              <v:imagedata o:title=""/>
              <o:lock v:ext="edit" aspectratio="f"/>
              <v:textbox inset="0mm,0mm,0mm,0mm" style="mso-fit-shape-to-text:t;">
                <w:txbxContent>
                  <w:p w14:paraId="3C2B98EC">
                    <w:pPr>
                      <w:pStyle w:val="34"/>
                    </w:pPr>
                    <w:r>
                      <w:fldChar w:fldCharType="begin"/>
                    </w:r>
                    <w:r>
                      <w:instrText xml:space="preserve"> PAGE  \* MERGEFORMAT </w:instrText>
                    </w:r>
                    <w:r>
                      <w:fldChar w:fldCharType="separate"/>
                    </w:r>
                    <w:r>
                      <w:t>73</w:t>
                    </w:r>
                    <w:r>
                      <w:fldChar w:fldCharType="end"/>
                    </w:r>
                  </w:p>
                </w:txbxContent>
              </v:textbox>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1422432499"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14D5FAC6">
                          <w:pPr>
                            <w:rPr>
                              <w:rFonts w:hint="default"/>
                            </w:rPr>
                          </w:pP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CspX+4VAgAAGQQAAA4AAAAAAAAA&#10;AQAgAAAAHwEAAGRycy9lMm9Eb2MueG1sUEsFBgAAAAAGAAYAWQEAAKYFAAAAAA==&#10;">
              <v:fill on="f" focussize="0,0"/>
              <v:stroke on="f"/>
              <v:imagedata o:title=""/>
              <o:lock v:ext="edit" aspectratio="f"/>
              <v:textbox inset="0mm,0mm,0mm,0mm" style="mso-fit-shape-to-text:t;">
                <w:txbxContent>
                  <w:p w14:paraId="14D5FAC6">
                    <w:pPr>
                      <w:rPr>
                        <w:rFonts w:hint="default"/>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88BBA">
    <w:pPr>
      <w:pStyle w:val="34"/>
      <w:ind w:right="360"/>
    </w:pPr>
    <w:r>
      <w:rPr>
        <w:lang w:val="en-US"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245" cy="131445"/>
              <wp:effectExtent l="0" t="0" r="0" b="0"/>
              <wp:wrapNone/>
              <wp:docPr id="10" name="文本框 6"/>
              <wp:cNvGraphicFramePr/>
              <a:graphic xmlns:a="http://schemas.openxmlformats.org/drawingml/2006/main">
                <a:graphicData uri="http://schemas.microsoft.com/office/word/2010/wordprocessingShape">
                  <wps:wsp>
                    <wps:cNvSpPr txBox="1"/>
                    <wps:spPr>
                      <a:xfrm>
                        <a:off x="0" y="0"/>
                        <a:ext cx="182245" cy="131445"/>
                      </a:xfrm>
                      <a:prstGeom prst="rect">
                        <a:avLst/>
                      </a:prstGeom>
                      <a:noFill/>
                      <a:ln>
                        <a:noFill/>
                      </a:ln>
                      <a:effectLst/>
                    </wps:spPr>
                    <wps:txbx>
                      <w:txbxContent>
                        <w:p w14:paraId="5DBD3D0A">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224</w:t>
                          </w:r>
                          <w:r>
                            <w:rPr>
                              <w:sz w:val="18"/>
                              <w:lang w:eastAsia="zh-CN"/>
                            </w:rPr>
                            <w:fldChar w:fldCharType="end"/>
                          </w:r>
                        </w:p>
                      </w:txbxContent>
                    </wps:txbx>
                    <wps:bodyPr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14.35pt;mso-position-horizontal:center;mso-position-horizontal-relative:margin;mso-wrap-style:none;z-index:251663360;mso-width-relative:page;mso-height-relative:page;" filled="f" stroked="f" coordsize="21600,21600" o:gfxdata="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jTL1DPAAAAAwEAAA8A&#10;AAAAAAAAAQAgAAAAIgAAAGRycy9kb3ducmV2LnhtbFBLAQIUABQAAAAIAIdO4kCi8LJ85wEAAMsD&#10;AAAOAAAAAAAAAAEAIAAAAB4BAABkcnMvZTJvRG9jLnhtbFBLBQYAAAAABgAGAFkBAAB3BQAAAAA=&#10;">
              <v:fill on="f" focussize="0,0"/>
              <v:stroke on="f"/>
              <v:imagedata o:title=""/>
              <o:lock v:ext="edit" aspectratio="f"/>
              <v:textbox inset="0mm,0mm,0mm,0mm" style="mso-fit-shape-to-text:t;">
                <w:txbxContent>
                  <w:p w14:paraId="5DBD3D0A">
                    <w:pPr>
                      <w:snapToGrid w:val="0"/>
                      <w:rPr>
                        <w:rFonts w:hint="default"/>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224</w:t>
                    </w:r>
                    <w:r>
                      <w:rPr>
                        <w:sz w:val="18"/>
                        <w:lang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158966189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07064885">
                          <w:pPr>
                            <w:rPr>
                              <w:rFonts w:hint="default"/>
                            </w:rPr>
                          </w:pP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ORiNkgVAgAAGQQAAA4AAAAAAAAA&#10;AQAgAAAAHwEAAGRycy9lMm9Eb2MueG1sUEsFBgAAAAAGAAYAWQEAAKYFAAAAAA==&#10;">
              <v:fill on="f" focussize="0,0"/>
              <v:stroke on="f"/>
              <v:imagedata o:title=""/>
              <o:lock v:ext="edit" aspectratio="f"/>
              <v:textbox inset="0mm,0mm,0mm,0mm" style="mso-fit-shape-to-text:t;">
                <w:txbxContent>
                  <w:p w14:paraId="07064885">
                    <w:pPr>
                      <w:rPr>
                        <w:rFonts w:hint="default"/>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092CE">
    <w:pPr>
      <w:pStyle w:val="3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69C82">
    <w:pPr>
      <w:pStyle w:val="171"/>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EDDE3">
    <w:pPr>
      <w:pStyle w:val="3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A1C29">
    <w:pPr>
      <w:pStyle w:val="3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8EEF0"/>
    <w:multiLevelType w:val="singleLevel"/>
    <w:tmpl w:val="84D8EEF0"/>
    <w:lvl w:ilvl="0" w:tentative="0">
      <w:start w:val="1"/>
      <w:numFmt w:val="decimal"/>
      <w:suff w:val="space"/>
      <w:lvlText w:val="%1."/>
      <w:lvlJc w:val="left"/>
      <w:pPr>
        <w:ind w:left="425" w:hanging="425"/>
      </w:pPr>
      <w:rPr>
        <w:rFonts w:hint="default"/>
      </w:rPr>
    </w:lvl>
  </w:abstractNum>
  <w:abstractNum w:abstractNumId="1">
    <w:nsid w:val="857E3806"/>
    <w:multiLevelType w:val="singleLevel"/>
    <w:tmpl w:val="857E3806"/>
    <w:lvl w:ilvl="0" w:tentative="0">
      <w:start w:val="6"/>
      <w:numFmt w:val="chineseCounting"/>
      <w:suff w:val="space"/>
      <w:lvlText w:val="第%1章"/>
      <w:lvlJc w:val="left"/>
      <w:rPr>
        <w:rFonts w:hint="eastAsia"/>
      </w:rPr>
    </w:lvl>
  </w:abstractNum>
  <w:abstractNum w:abstractNumId="2">
    <w:nsid w:val="8906E454"/>
    <w:multiLevelType w:val="singleLevel"/>
    <w:tmpl w:val="8906E454"/>
    <w:lvl w:ilvl="0" w:tentative="0">
      <w:start w:val="1"/>
      <w:numFmt w:val="decimal"/>
      <w:suff w:val="space"/>
      <w:lvlText w:val="%1."/>
      <w:lvlJc w:val="left"/>
      <w:pPr>
        <w:ind w:left="425" w:hanging="425"/>
      </w:pPr>
      <w:rPr>
        <w:rFonts w:hint="default"/>
      </w:rPr>
    </w:lvl>
  </w:abstractNum>
  <w:abstractNum w:abstractNumId="3">
    <w:nsid w:val="97CC09FF"/>
    <w:multiLevelType w:val="singleLevel"/>
    <w:tmpl w:val="97CC09FF"/>
    <w:lvl w:ilvl="0" w:tentative="0">
      <w:start w:val="1"/>
      <w:numFmt w:val="decimal"/>
      <w:suff w:val="space"/>
      <w:lvlText w:val="%1."/>
      <w:lvlJc w:val="left"/>
      <w:pPr>
        <w:ind w:left="425" w:hanging="425"/>
      </w:pPr>
      <w:rPr>
        <w:rFonts w:hint="default"/>
      </w:rPr>
    </w:lvl>
  </w:abstractNum>
  <w:abstractNum w:abstractNumId="4">
    <w:nsid w:val="99D73E32"/>
    <w:multiLevelType w:val="singleLevel"/>
    <w:tmpl w:val="99D73E32"/>
    <w:lvl w:ilvl="0" w:tentative="0">
      <w:start w:val="4"/>
      <w:numFmt w:val="chineseCounting"/>
      <w:suff w:val="nothing"/>
      <w:lvlText w:val="%1、"/>
      <w:lvlJc w:val="left"/>
      <w:rPr>
        <w:rFonts w:hint="eastAsia"/>
      </w:rPr>
    </w:lvl>
  </w:abstractNum>
  <w:abstractNum w:abstractNumId="5">
    <w:nsid w:val="B1C76C72"/>
    <w:multiLevelType w:val="singleLevel"/>
    <w:tmpl w:val="B1C76C72"/>
    <w:lvl w:ilvl="0" w:tentative="0">
      <w:start w:val="1"/>
      <w:numFmt w:val="decimal"/>
      <w:suff w:val="space"/>
      <w:lvlText w:val="%1."/>
      <w:lvlJc w:val="left"/>
      <w:pPr>
        <w:ind w:left="425" w:hanging="425"/>
      </w:pPr>
      <w:rPr>
        <w:rFonts w:hint="default"/>
      </w:rPr>
    </w:lvl>
  </w:abstractNum>
  <w:abstractNum w:abstractNumId="6">
    <w:nsid w:val="BABAF779"/>
    <w:multiLevelType w:val="singleLevel"/>
    <w:tmpl w:val="BABAF779"/>
    <w:lvl w:ilvl="0" w:tentative="0">
      <w:start w:val="1"/>
      <w:numFmt w:val="decimal"/>
      <w:suff w:val="space"/>
      <w:lvlText w:val="%1."/>
      <w:lvlJc w:val="left"/>
      <w:pPr>
        <w:ind w:left="425" w:hanging="425"/>
      </w:pPr>
      <w:rPr>
        <w:rFonts w:hint="default"/>
      </w:rPr>
    </w:lvl>
  </w:abstractNum>
  <w:abstractNum w:abstractNumId="7">
    <w:nsid w:val="BF6BC116"/>
    <w:multiLevelType w:val="singleLevel"/>
    <w:tmpl w:val="BF6BC116"/>
    <w:lvl w:ilvl="0" w:tentative="0">
      <w:start w:val="16"/>
      <w:numFmt w:val="decimal"/>
      <w:suff w:val="space"/>
      <w:lvlText w:val="%1."/>
      <w:lvlJc w:val="left"/>
    </w:lvl>
  </w:abstractNum>
  <w:abstractNum w:abstractNumId="8">
    <w:nsid w:val="C659101C"/>
    <w:multiLevelType w:val="singleLevel"/>
    <w:tmpl w:val="C659101C"/>
    <w:lvl w:ilvl="0" w:tentative="0">
      <w:start w:val="1"/>
      <w:numFmt w:val="decimal"/>
      <w:suff w:val="nothing"/>
      <w:lvlText w:val="%1"/>
      <w:lvlJc w:val="left"/>
      <w:pPr>
        <w:ind w:left="0" w:firstLine="0"/>
      </w:pPr>
      <w:rPr>
        <w:rFonts w:hint="default"/>
      </w:rPr>
    </w:lvl>
  </w:abstractNum>
  <w:abstractNum w:abstractNumId="9">
    <w:nsid w:val="C8733F60"/>
    <w:multiLevelType w:val="singleLevel"/>
    <w:tmpl w:val="C8733F60"/>
    <w:lvl w:ilvl="0" w:tentative="0">
      <w:start w:val="1"/>
      <w:numFmt w:val="decimal"/>
      <w:suff w:val="space"/>
      <w:lvlText w:val="%1."/>
      <w:lvlJc w:val="left"/>
    </w:lvl>
  </w:abstractNum>
  <w:abstractNum w:abstractNumId="10">
    <w:nsid w:val="CFE7C3F8"/>
    <w:multiLevelType w:val="singleLevel"/>
    <w:tmpl w:val="CFE7C3F8"/>
    <w:lvl w:ilvl="0" w:tentative="0">
      <w:start w:val="1"/>
      <w:numFmt w:val="decimal"/>
      <w:suff w:val="nothing"/>
      <w:lvlText w:val="（%1）"/>
      <w:lvlJc w:val="left"/>
    </w:lvl>
  </w:abstractNum>
  <w:abstractNum w:abstractNumId="11">
    <w:nsid w:val="D12F84C8"/>
    <w:multiLevelType w:val="singleLevel"/>
    <w:tmpl w:val="D12F84C8"/>
    <w:lvl w:ilvl="0" w:tentative="0">
      <w:start w:val="1"/>
      <w:numFmt w:val="decimal"/>
      <w:suff w:val="space"/>
      <w:lvlText w:val="%1."/>
      <w:lvlJc w:val="left"/>
      <w:pPr>
        <w:ind w:left="425" w:hanging="425"/>
      </w:pPr>
      <w:rPr>
        <w:rFonts w:hint="default"/>
      </w:rPr>
    </w:lvl>
  </w:abstractNum>
  <w:abstractNum w:abstractNumId="12">
    <w:nsid w:val="DD8E391D"/>
    <w:multiLevelType w:val="singleLevel"/>
    <w:tmpl w:val="DD8E391D"/>
    <w:lvl w:ilvl="0" w:tentative="0">
      <w:start w:val="1"/>
      <w:numFmt w:val="decimal"/>
      <w:suff w:val="nothing"/>
      <w:lvlText w:val="%1"/>
      <w:lvlJc w:val="left"/>
      <w:pPr>
        <w:ind w:left="0" w:firstLine="0"/>
      </w:pPr>
      <w:rPr>
        <w:rFonts w:hint="default"/>
      </w:rPr>
    </w:lvl>
  </w:abstractNum>
  <w:abstractNum w:abstractNumId="13">
    <w:nsid w:val="DDECD3BC"/>
    <w:multiLevelType w:val="singleLevel"/>
    <w:tmpl w:val="DDECD3BC"/>
    <w:lvl w:ilvl="0" w:tentative="0">
      <w:start w:val="6"/>
      <w:numFmt w:val="decimal"/>
      <w:suff w:val="space"/>
      <w:lvlText w:val="%1."/>
      <w:lvlJc w:val="left"/>
    </w:lvl>
  </w:abstractNum>
  <w:abstractNum w:abstractNumId="14">
    <w:nsid w:val="DE759F4B"/>
    <w:multiLevelType w:val="singleLevel"/>
    <w:tmpl w:val="DE759F4B"/>
    <w:lvl w:ilvl="0" w:tentative="0">
      <w:start w:val="2"/>
      <w:numFmt w:val="decimal"/>
      <w:suff w:val="space"/>
      <w:lvlText w:val="%1."/>
      <w:lvlJc w:val="left"/>
    </w:lvl>
  </w:abstractNum>
  <w:abstractNum w:abstractNumId="15">
    <w:nsid w:val="DEABE1DB"/>
    <w:multiLevelType w:val="singleLevel"/>
    <w:tmpl w:val="DEABE1DB"/>
    <w:lvl w:ilvl="0" w:tentative="0">
      <w:start w:val="23"/>
      <w:numFmt w:val="decimal"/>
      <w:suff w:val="space"/>
      <w:lvlText w:val="%1."/>
      <w:lvlJc w:val="left"/>
    </w:lvl>
  </w:abstractNum>
  <w:abstractNum w:abstractNumId="16">
    <w:nsid w:val="EFAF1C77"/>
    <w:multiLevelType w:val="singleLevel"/>
    <w:tmpl w:val="EFAF1C77"/>
    <w:lvl w:ilvl="0" w:tentative="0">
      <w:start w:val="1"/>
      <w:numFmt w:val="decimal"/>
      <w:suff w:val="space"/>
      <w:lvlText w:val="%1."/>
      <w:lvlJc w:val="left"/>
      <w:pPr>
        <w:ind w:left="425" w:hanging="425"/>
      </w:pPr>
      <w:rPr>
        <w:rFonts w:hint="default"/>
      </w:rPr>
    </w:lvl>
  </w:abstractNum>
  <w:abstractNum w:abstractNumId="17">
    <w:nsid w:val="EFC741CB"/>
    <w:multiLevelType w:val="singleLevel"/>
    <w:tmpl w:val="EFC741CB"/>
    <w:lvl w:ilvl="0" w:tentative="0">
      <w:start w:val="2"/>
      <w:numFmt w:val="decimal"/>
      <w:suff w:val="nothing"/>
      <w:lvlText w:val="（%1）"/>
      <w:lvlJc w:val="left"/>
      <w:pPr>
        <w:ind w:left="560" w:firstLine="0"/>
      </w:pPr>
    </w:lvl>
  </w:abstractNum>
  <w:abstractNum w:abstractNumId="18">
    <w:nsid w:val="F2AE5264"/>
    <w:multiLevelType w:val="singleLevel"/>
    <w:tmpl w:val="F2AE5264"/>
    <w:lvl w:ilvl="0" w:tentative="0">
      <w:start w:val="3"/>
      <w:numFmt w:val="decimal"/>
      <w:lvlText w:val="%1."/>
      <w:lvlJc w:val="left"/>
      <w:pPr>
        <w:tabs>
          <w:tab w:val="left" w:pos="312"/>
        </w:tabs>
      </w:pPr>
    </w:lvl>
  </w:abstractNum>
  <w:abstractNum w:abstractNumId="19">
    <w:nsid w:val="FFEFC674"/>
    <w:multiLevelType w:val="singleLevel"/>
    <w:tmpl w:val="FFEFC674"/>
    <w:lvl w:ilvl="0" w:tentative="0">
      <w:start w:val="1"/>
      <w:numFmt w:val="decimal"/>
      <w:suff w:val="nothing"/>
      <w:lvlText w:val="（%1）"/>
      <w:lvlJc w:val="left"/>
    </w:lvl>
  </w:abstractNum>
  <w:abstractNum w:abstractNumId="20">
    <w:nsid w:val="FFFE46E1"/>
    <w:multiLevelType w:val="singleLevel"/>
    <w:tmpl w:val="FFFE46E1"/>
    <w:lvl w:ilvl="0" w:tentative="0">
      <w:start w:val="1"/>
      <w:numFmt w:val="chineseCounting"/>
      <w:suff w:val="nothing"/>
      <w:lvlText w:val="%1、"/>
      <w:lvlJc w:val="left"/>
      <w:rPr>
        <w:rFonts w:hint="eastAsia"/>
      </w:rPr>
    </w:lvl>
  </w:abstractNum>
  <w:abstractNum w:abstractNumId="21">
    <w:nsid w:val="2E5064EB"/>
    <w:multiLevelType w:val="singleLevel"/>
    <w:tmpl w:val="2E5064EB"/>
    <w:lvl w:ilvl="0" w:tentative="0">
      <w:start w:val="1"/>
      <w:numFmt w:val="decimal"/>
      <w:suff w:val="space"/>
      <w:lvlText w:val="%1."/>
      <w:lvlJc w:val="left"/>
    </w:lvl>
  </w:abstractNum>
  <w:abstractNum w:abstractNumId="22">
    <w:nsid w:val="35A1FD29"/>
    <w:multiLevelType w:val="singleLevel"/>
    <w:tmpl w:val="35A1FD29"/>
    <w:lvl w:ilvl="0" w:tentative="0">
      <w:start w:val="1"/>
      <w:numFmt w:val="decimal"/>
      <w:suff w:val="space"/>
      <w:lvlText w:val="%1."/>
      <w:lvlJc w:val="left"/>
      <w:pPr>
        <w:ind w:left="425" w:hanging="425"/>
      </w:pPr>
      <w:rPr>
        <w:rFonts w:hint="default"/>
      </w:rPr>
    </w:lvl>
  </w:abstractNum>
  <w:abstractNum w:abstractNumId="23">
    <w:nsid w:val="373FCFD3"/>
    <w:multiLevelType w:val="singleLevel"/>
    <w:tmpl w:val="373FCFD3"/>
    <w:lvl w:ilvl="0" w:tentative="0">
      <w:start w:val="1"/>
      <w:numFmt w:val="decimal"/>
      <w:suff w:val="space"/>
      <w:lvlText w:val="%1."/>
      <w:lvlJc w:val="left"/>
      <w:pPr>
        <w:ind w:left="425" w:hanging="425"/>
      </w:pPr>
      <w:rPr>
        <w:rFonts w:hint="default"/>
      </w:rPr>
    </w:lvl>
  </w:abstractNum>
  <w:abstractNum w:abstractNumId="24">
    <w:nsid w:val="4967476A"/>
    <w:multiLevelType w:val="singleLevel"/>
    <w:tmpl w:val="4967476A"/>
    <w:lvl w:ilvl="0" w:tentative="0">
      <w:start w:val="1"/>
      <w:numFmt w:val="decimal"/>
      <w:suff w:val="space"/>
      <w:lvlText w:val="%1."/>
      <w:lvlJc w:val="left"/>
      <w:pPr>
        <w:ind w:left="425" w:hanging="425"/>
      </w:pPr>
      <w:rPr>
        <w:rFonts w:hint="default"/>
      </w:rPr>
    </w:lvl>
  </w:abstractNum>
  <w:abstractNum w:abstractNumId="25">
    <w:nsid w:val="5865CC3A"/>
    <w:multiLevelType w:val="singleLevel"/>
    <w:tmpl w:val="5865CC3A"/>
    <w:lvl w:ilvl="0" w:tentative="0">
      <w:start w:val="1"/>
      <w:numFmt w:val="decimal"/>
      <w:suff w:val="space"/>
      <w:lvlText w:val="%1."/>
      <w:lvlJc w:val="left"/>
      <w:pPr>
        <w:ind w:left="425" w:hanging="425"/>
      </w:pPr>
      <w:rPr>
        <w:rFonts w:hint="default"/>
      </w:rPr>
    </w:lvl>
  </w:abstractNum>
  <w:abstractNum w:abstractNumId="26">
    <w:nsid w:val="62656752"/>
    <w:multiLevelType w:val="multilevel"/>
    <w:tmpl w:val="62656752"/>
    <w:lvl w:ilvl="0" w:tentative="0">
      <w:start w:val="11"/>
      <w:numFmt w:val="decimal"/>
      <w:suff w:val="nothing"/>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7">
    <w:nsid w:val="6FF28A8B"/>
    <w:multiLevelType w:val="singleLevel"/>
    <w:tmpl w:val="6FF28A8B"/>
    <w:lvl w:ilvl="0" w:tentative="0">
      <w:start w:val="1"/>
      <w:numFmt w:val="decimal"/>
      <w:suff w:val="space"/>
      <w:lvlText w:val="%1."/>
      <w:lvlJc w:val="left"/>
      <w:pPr>
        <w:ind w:left="425" w:hanging="425"/>
      </w:pPr>
      <w:rPr>
        <w:rFonts w:hint="default"/>
      </w:rPr>
    </w:lvl>
  </w:abstractNum>
  <w:abstractNum w:abstractNumId="28">
    <w:nsid w:val="774A4D5B"/>
    <w:multiLevelType w:val="singleLevel"/>
    <w:tmpl w:val="774A4D5B"/>
    <w:lvl w:ilvl="0" w:tentative="0">
      <w:start w:val="1"/>
      <w:numFmt w:val="decimal"/>
      <w:suff w:val="space"/>
      <w:lvlText w:val="%1."/>
      <w:lvlJc w:val="left"/>
      <w:pPr>
        <w:ind w:left="425" w:hanging="425"/>
      </w:pPr>
      <w:rPr>
        <w:rFonts w:hint="default"/>
      </w:rPr>
    </w:lvl>
  </w:abstractNum>
  <w:abstractNum w:abstractNumId="29">
    <w:nsid w:val="7A0F6431"/>
    <w:multiLevelType w:val="singleLevel"/>
    <w:tmpl w:val="7A0F6431"/>
    <w:lvl w:ilvl="0" w:tentative="0">
      <w:start w:val="1"/>
      <w:numFmt w:val="decimal"/>
      <w:suff w:val="space"/>
      <w:lvlText w:val="%1."/>
      <w:lvlJc w:val="left"/>
    </w:lvl>
  </w:abstractNum>
  <w:abstractNum w:abstractNumId="30">
    <w:nsid w:val="7A8B38F5"/>
    <w:multiLevelType w:val="singleLevel"/>
    <w:tmpl w:val="7A8B38F5"/>
    <w:lvl w:ilvl="0" w:tentative="0">
      <w:start w:val="1"/>
      <w:numFmt w:val="decimal"/>
      <w:suff w:val="nothing"/>
      <w:lvlText w:val="%1、"/>
      <w:lvlJc w:val="left"/>
    </w:lvl>
  </w:abstractNum>
  <w:abstractNum w:abstractNumId="31">
    <w:nsid w:val="7F7BE2C3"/>
    <w:multiLevelType w:val="singleLevel"/>
    <w:tmpl w:val="7F7BE2C3"/>
    <w:lvl w:ilvl="0" w:tentative="0">
      <w:start w:val="1"/>
      <w:numFmt w:val="chineseCounting"/>
      <w:suff w:val="space"/>
      <w:lvlText w:val="第%1章"/>
      <w:lvlJc w:val="left"/>
      <w:rPr>
        <w:rFonts w:hint="eastAsia"/>
      </w:rPr>
    </w:lvl>
  </w:abstractNum>
  <w:num w:numId="1">
    <w:abstractNumId w:val="18"/>
  </w:num>
  <w:num w:numId="2">
    <w:abstractNumId w:val="31"/>
  </w:num>
  <w:num w:numId="3">
    <w:abstractNumId w:val="26"/>
  </w:num>
  <w:num w:numId="4">
    <w:abstractNumId w:val="17"/>
  </w:num>
  <w:num w:numId="5">
    <w:abstractNumId w:val="1"/>
  </w:num>
  <w:num w:numId="6">
    <w:abstractNumId w:val="20"/>
  </w:num>
  <w:num w:numId="7">
    <w:abstractNumId w:val="8"/>
  </w:num>
  <w:num w:numId="8">
    <w:abstractNumId w:val="12"/>
  </w:num>
  <w:num w:numId="9">
    <w:abstractNumId w:val="30"/>
  </w:num>
  <w:num w:numId="10">
    <w:abstractNumId w:val="4"/>
  </w:num>
  <w:num w:numId="11">
    <w:abstractNumId w:val="29"/>
  </w:num>
  <w:num w:numId="12">
    <w:abstractNumId w:val="10"/>
  </w:num>
  <w:num w:numId="13">
    <w:abstractNumId w:val="19"/>
  </w:num>
  <w:num w:numId="14">
    <w:abstractNumId w:val="14"/>
  </w:num>
  <w:num w:numId="15">
    <w:abstractNumId w:val="13"/>
  </w:num>
  <w:num w:numId="16">
    <w:abstractNumId w:val="7"/>
  </w:num>
  <w:num w:numId="17">
    <w:abstractNumId w:val="15"/>
  </w:num>
  <w:num w:numId="18">
    <w:abstractNumId w:val="16"/>
  </w:num>
  <w:num w:numId="19">
    <w:abstractNumId w:val="3"/>
  </w:num>
  <w:num w:numId="20">
    <w:abstractNumId w:val="5"/>
  </w:num>
  <w:num w:numId="21">
    <w:abstractNumId w:val="2"/>
  </w:num>
  <w:num w:numId="22">
    <w:abstractNumId w:val="23"/>
  </w:num>
  <w:num w:numId="23">
    <w:abstractNumId w:val="11"/>
  </w:num>
  <w:num w:numId="24">
    <w:abstractNumId w:val="0"/>
  </w:num>
  <w:num w:numId="25">
    <w:abstractNumId w:val="28"/>
  </w:num>
  <w:num w:numId="26">
    <w:abstractNumId w:val="25"/>
  </w:num>
  <w:num w:numId="27">
    <w:abstractNumId w:val="27"/>
  </w:num>
  <w:num w:numId="28">
    <w:abstractNumId w:val="22"/>
  </w:num>
  <w:num w:numId="29">
    <w:abstractNumId w:val="24"/>
  </w:num>
  <w:num w:numId="30">
    <w:abstractNumId w:val="6"/>
  </w:num>
  <w:num w:numId="31">
    <w:abstractNumId w:val="9"/>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TrueTypeFonts/>
  <w:saveSubsetFonts/>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xMjMzODVkNzg3YzJhY2M3YzA3MDI1ZjgyOWI2NTUifQ=="/>
  </w:docVars>
  <w:rsids>
    <w:rsidRoot w:val="00216A94"/>
    <w:rsid w:val="00004912"/>
    <w:rsid w:val="00004CCA"/>
    <w:rsid w:val="00004D44"/>
    <w:rsid w:val="00005D94"/>
    <w:rsid w:val="000071D1"/>
    <w:rsid w:val="0002033A"/>
    <w:rsid w:val="00023995"/>
    <w:rsid w:val="0002752B"/>
    <w:rsid w:val="000278F5"/>
    <w:rsid w:val="00033339"/>
    <w:rsid w:val="00033BB5"/>
    <w:rsid w:val="000340B2"/>
    <w:rsid w:val="00053FF6"/>
    <w:rsid w:val="00054E21"/>
    <w:rsid w:val="00056878"/>
    <w:rsid w:val="00060BC3"/>
    <w:rsid w:val="000702AC"/>
    <w:rsid w:val="000708D6"/>
    <w:rsid w:val="00070C08"/>
    <w:rsid w:val="00073941"/>
    <w:rsid w:val="000752B0"/>
    <w:rsid w:val="000768FB"/>
    <w:rsid w:val="000805F7"/>
    <w:rsid w:val="00086D49"/>
    <w:rsid w:val="000914CC"/>
    <w:rsid w:val="000A0377"/>
    <w:rsid w:val="000A2417"/>
    <w:rsid w:val="000A25C2"/>
    <w:rsid w:val="000A3106"/>
    <w:rsid w:val="000A334C"/>
    <w:rsid w:val="000A4D37"/>
    <w:rsid w:val="000A600D"/>
    <w:rsid w:val="000B340A"/>
    <w:rsid w:val="000B69C5"/>
    <w:rsid w:val="000B6ED4"/>
    <w:rsid w:val="000B7ED5"/>
    <w:rsid w:val="000C05CA"/>
    <w:rsid w:val="000C0D50"/>
    <w:rsid w:val="000C46FC"/>
    <w:rsid w:val="000D3A88"/>
    <w:rsid w:val="000D5739"/>
    <w:rsid w:val="000E1629"/>
    <w:rsid w:val="000E1A91"/>
    <w:rsid w:val="000E208A"/>
    <w:rsid w:val="000E3CD1"/>
    <w:rsid w:val="000F325B"/>
    <w:rsid w:val="000F40F3"/>
    <w:rsid w:val="000F48D2"/>
    <w:rsid w:val="000F4A1E"/>
    <w:rsid w:val="000F6A85"/>
    <w:rsid w:val="00100DCE"/>
    <w:rsid w:val="00103728"/>
    <w:rsid w:val="00103DBF"/>
    <w:rsid w:val="00106F7D"/>
    <w:rsid w:val="0011022C"/>
    <w:rsid w:val="001116EB"/>
    <w:rsid w:val="00116577"/>
    <w:rsid w:val="00116696"/>
    <w:rsid w:val="0011787C"/>
    <w:rsid w:val="0012714C"/>
    <w:rsid w:val="0012792F"/>
    <w:rsid w:val="00131E37"/>
    <w:rsid w:val="00132CA3"/>
    <w:rsid w:val="00133AC5"/>
    <w:rsid w:val="00133CCB"/>
    <w:rsid w:val="00135AE0"/>
    <w:rsid w:val="001371D6"/>
    <w:rsid w:val="001435EA"/>
    <w:rsid w:val="0014651B"/>
    <w:rsid w:val="00146A9F"/>
    <w:rsid w:val="00152431"/>
    <w:rsid w:val="001548D9"/>
    <w:rsid w:val="00154F64"/>
    <w:rsid w:val="00165A43"/>
    <w:rsid w:val="00167E96"/>
    <w:rsid w:val="00175178"/>
    <w:rsid w:val="00175B3D"/>
    <w:rsid w:val="001811B2"/>
    <w:rsid w:val="001828B5"/>
    <w:rsid w:val="00184067"/>
    <w:rsid w:val="001849DC"/>
    <w:rsid w:val="001909BD"/>
    <w:rsid w:val="00194CB4"/>
    <w:rsid w:val="00196B51"/>
    <w:rsid w:val="00197A2C"/>
    <w:rsid w:val="001A1A52"/>
    <w:rsid w:val="001A53A1"/>
    <w:rsid w:val="001A5C29"/>
    <w:rsid w:val="001A73EC"/>
    <w:rsid w:val="001B6887"/>
    <w:rsid w:val="001C3405"/>
    <w:rsid w:val="001C7180"/>
    <w:rsid w:val="001D1622"/>
    <w:rsid w:val="001D16CC"/>
    <w:rsid w:val="001D1848"/>
    <w:rsid w:val="001D1AEA"/>
    <w:rsid w:val="001D3EBB"/>
    <w:rsid w:val="001D73F6"/>
    <w:rsid w:val="001E0808"/>
    <w:rsid w:val="001E2BAF"/>
    <w:rsid w:val="001E2BFA"/>
    <w:rsid w:val="001E46D6"/>
    <w:rsid w:val="001E5AEC"/>
    <w:rsid w:val="001E64C1"/>
    <w:rsid w:val="001E7A56"/>
    <w:rsid w:val="001F02AE"/>
    <w:rsid w:val="001F0719"/>
    <w:rsid w:val="001F0F24"/>
    <w:rsid w:val="001F1D9E"/>
    <w:rsid w:val="001F399D"/>
    <w:rsid w:val="001F68EC"/>
    <w:rsid w:val="00202E75"/>
    <w:rsid w:val="00204439"/>
    <w:rsid w:val="00216A94"/>
    <w:rsid w:val="00217F9F"/>
    <w:rsid w:val="00222A7A"/>
    <w:rsid w:val="00223EAD"/>
    <w:rsid w:val="00233A5C"/>
    <w:rsid w:val="00234100"/>
    <w:rsid w:val="0023433A"/>
    <w:rsid w:val="002353B1"/>
    <w:rsid w:val="00235683"/>
    <w:rsid w:val="002458D7"/>
    <w:rsid w:val="0025033C"/>
    <w:rsid w:val="00257253"/>
    <w:rsid w:val="00261ECE"/>
    <w:rsid w:val="00270F4D"/>
    <w:rsid w:val="0027127B"/>
    <w:rsid w:val="00273B04"/>
    <w:rsid w:val="002740BF"/>
    <w:rsid w:val="0027574D"/>
    <w:rsid w:val="00280746"/>
    <w:rsid w:val="0028471F"/>
    <w:rsid w:val="002875B9"/>
    <w:rsid w:val="0029134B"/>
    <w:rsid w:val="00291F60"/>
    <w:rsid w:val="002A05BB"/>
    <w:rsid w:val="002A36AC"/>
    <w:rsid w:val="002A5A62"/>
    <w:rsid w:val="002A6B60"/>
    <w:rsid w:val="002A7376"/>
    <w:rsid w:val="002A7803"/>
    <w:rsid w:val="002B216E"/>
    <w:rsid w:val="002B4941"/>
    <w:rsid w:val="002C639F"/>
    <w:rsid w:val="002D1B9B"/>
    <w:rsid w:val="002D4555"/>
    <w:rsid w:val="002D76A8"/>
    <w:rsid w:val="002E2286"/>
    <w:rsid w:val="00303F78"/>
    <w:rsid w:val="00304480"/>
    <w:rsid w:val="00306509"/>
    <w:rsid w:val="00312F8B"/>
    <w:rsid w:val="003146DD"/>
    <w:rsid w:val="00317D8E"/>
    <w:rsid w:val="00317F86"/>
    <w:rsid w:val="003203F6"/>
    <w:rsid w:val="0032097B"/>
    <w:rsid w:val="00320F89"/>
    <w:rsid w:val="003314E7"/>
    <w:rsid w:val="00331F68"/>
    <w:rsid w:val="00352430"/>
    <w:rsid w:val="00354EBD"/>
    <w:rsid w:val="00360854"/>
    <w:rsid w:val="00365D57"/>
    <w:rsid w:val="003706C3"/>
    <w:rsid w:val="00371493"/>
    <w:rsid w:val="003754D5"/>
    <w:rsid w:val="00380482"/>
    <w:rsid w:val="00380D9E"/>
    <w:rsid w:val="0038205E"/>
    <w:rsid w:val="003857D6"/>
    <w:rsid w:val="00385DF0"/>
    <w:rsid w:val="00390856"/>
    <w:rsid w:val="00391E47"/>
    <w:rsid w:val="003920CD"/>
    <w:rsid w:val="00393733"/>
    <w:rsid w:val="0039526F"/>
    <w:rsid w:val="003A2578"/>
    <w:rsid w:val="003A5C49"/>
    <w:rsid w:val="003B14ED"/>
    <w:rsid w:val="003B34A3"/>
    <w:rsid w:val="003B7288"/>
    <w:rsid w:val="003C257B"/>
    <w:rsid w:val="003C4E11"/>
    <w:rsid w:val="003D3C49"/>
    <w:rsid w:val="003D7515"/>
    <w:rsid w:val="003E1A43"/>
    <w:rsid w:val="003E1B24"/>
    <w:rsid w:val="003E26F2"/>
    <w:rsid w:val="003E5A26"/>
    <w:rsid w:val="003E62DC"/>
    <w:rsid w:val="003E754E"/>
    <w:rsid w:val="003F64E2"/>
    <w:rsid w:val="00402A79"/>
    <w:rsid w:val="00404BF9"/>
    <w:rsid w:val="004105BB"/>
    <w:rsid w:val="00413EAF"/>
    <w:rsid w:val="00413F65"/>
    <w:rsid w:val="00415AF4"/>
    <w:rsid w:val="00415C1C"/>
    <w:rsid w:val="00416838"/>
    <w:rsid w:val="004215D5"/>
    <w:rsid w:val="00424FC3"/>
    <w:rsid w:val="00425C3F"/>
    <w:rsid w:val="00425F03"/>
    <w:rsid w:val="00426FA9"/>
    <w:rsid w:val="0042798D"/>
    <w:rsid w:val="004307CC"/>
    <w:rsid w:val="00435C05"/>
    <w:rsid w:val="004362B2"/>
    <w:rsid w:val="00436C19"/>
    <w:rsid w:val="00436C41"/>
    <w:rsid w:val="004411A0"/>
    <w:rsid w:val="0044202F"/>
    <w:rsid w:val="00447AE2"/>
    <w:rsid w:val="0045291A"/>
    <w:rsid w:val="00452AC8"/>
    <w:rsid w:val="004550A3"/>
    <w:rsid w:val="004551B4"/>
    <w:rsid w:val="00462505"/>
    <w:rsid w:val="00462BC8"/>
    <w:rsid w:val="00463F76"/>
    <w:rsid w:val="004653F9"/>
    <w:rsid w:val="004667CC"/>
    <w:rsid w:val="004670FA"/>
    <w:rsid w:val="004679A0"/>
    <w:rsid w:val="0047028D"/>
    <w:rsid w:val="00473D6D"/>
    <w:rsid w:val="0047526C"/>
    <w:rsid w:val="00481576"/>
    <w:rsid w:val="004837B6"/>
    <w:rsid w:val="00487181"/>
    <w:rsid w:val="0049799A"/>
    <w:rsid w:val="004A00C6"/>
    <w:rsid w:val="004A0D07"/>
    <w:rsid w:val="004A0D0F"/>
    <w:rsid w:val="004A3B29"/>
    <w:rsid w:val="004A3D8C"/>
    <w:rsid w:val="004A692A"/>
    <w:rsid w:val="004A6EE8"/>
    <w:rsid w:val="004A700E"/>
    <w:rsid w:val="004A7F58"/>
    <w:rsid w:val="004B41E5"/>
    <w:rsid w:val="004B50F7"/>
    <w:rsid w:val="004B55B8"/>
    <w:rsid w:val="004B7831"/>
    <w:rsid w:val="004C1A1D"/>
    <w:rsid w:val="004C4207"/>
    <w:rsid w:val="004C47F1"/>
    <w:rsid w:val="004C58BA"/>
    <w:rsid w:val="004D1C39"/>
    <w:rsid w:val="004D27C7"/>
    <w:rsid w:val="004F1B33"/>
    <w:rsid w:val="004F291E"/>
    <w:rsid w:val="004F480E"/>
    <w:rsid w:val="004F64EF"/>
    <w:rsid w:val="004F6C82"/>
    <w:rsid w:val="00501630"/>
    <w:rsid w:val="00504DEF"/>
    <w:rsid w:val="00505962"/>
    <w:rsid w:val="0050673E"/>
    <w:rsid w:val="00506DA2"/>
    <w:rsid w:val="005074FE"/>
    <w:rsid w:val="00512A5A"/>
    <w:rsid w:val="005177A3"/>
    <w:rsid w:val="00525434"/>
    <w:rsid w:val="00526B78"/>
    <w:rsid w:val="00531490"/>
    <w:rsid w:val="00535EAB"/>
    <w:rsid w:val="005435DE"/>
    <w:rsid w:val="00546A56"/>
    <w:rsid w:val="00550488"/>
    <w:rsid w:val="005505B3"/>
    <w:rsid w:val="00551AFE"/>
    <w:rsid w:val="0055412C"/>
    <w:rsid w:val="005616CA"/>
    <w:rsid w:val="005624B8"/>
    <w:rsid w:val="00563DE8"/>
    <w:rsid w:val="00566754"/>
    <w:rsid w:val="00572B0E"/>
    <w:rsid w:val="00574D57"/>
    <w:rsid w:val="00575F15"/>
    <w:rsid w:val="00580AB8"/>
    <w:rsid w:val="00583DE3"/>
    <w:rsid w:val="00584E75"/>
    <w:rsid w:val="00585AD6"/>
    <w:rsid w:val="00585E7F"/>
    <w:rsid w:val="00586E72"/>
    <w:rsid w:val="00590121"/>
    <w:rsid w:val="00591976"/>
    <w:rsid w:val="00592788"/>
    <w:rsid w:val="00593D29"/>
    <w:rsid w:val="005A0FB6"/>
    <w:rsid w:val="005A55CD"/>
    <w:rsid w:val="005A5982"/>
    <w:rsid w:val="005A69B1"/>
    <w:rsid w:val="005A7E28"/>
    <w:rsid w:val="005B0A9E"/>
    <w:rsid w:val="005B5766"/>
    <w:rsid w:val="005C0802"/>
    <w:rsid w:val="005C5E25"/>
    <w:rsid w:val="005D00EE"/>
    <w:rsid w:val="005D152F"/>
    <w:rsid w:val="005D21C7"/>
    <w:rsid w:val="005D28D2"/>
    <w:rsid w:val="005D6CC6"/>
    <w:rsid w:val="005E09CF"/>
    <w:rsid w:val="005E34D2"/>
    <w:rsid w:val="005E36FC"/>
    <w:rsid w:val="005E46E0"/>
    <w:rsid w:val="005E6D7F"/>
    <w:rsid w:val="005E7C1C"/>
    <w:rsid w:val="005E7E47"/>
    <w:rsid w:val="005F0985"/>
    <w:rsid w:val="005F1574"/>
    <w:rsid w:val="005F7E31"/>
    <w:rsid w:val="006001CB"/>
    <w:rsid w:val="006057F7"/>
    <w:rsid w:val="0061500B"/>
    <w:rsid w:val="00617818"/>
    <w:rsid w:val="00622A81"/>
    <w:rsid w:val="00624057"/>
    <w:rsid w:val="00627EA6"/>
    <w:rsid w:val="00632324"/>
    <w:rsid w:val="0063335D"/>
    <w:rsid w:val="00633A6D"/>
    <w:rsid w:val="006344AB"/>
    <w:rsid w:val="00640D49"/>
    <w:rsid w:val="006444B6"/>
    <w:rsid w:val="00644898"/>
    <w:rsid w:val="00644BAF"/>
    <w:rsid w:val="00645B60"/>
    <w:rsid w:val="00652890"/>
    <w:rsid w:val="00655841"/>
    <w:rsid w:val="006602FD"/>
    <w:rsid w:val="006610D1"/>
    <w:rsid w:val="00661E3A"/>
    <w:rsid w:val="00671246"/>
    <w:rsid w:val="00672986"/>
    <w:rsid w:val="00682FCF"/>
    <w:rsid w:val="00683499"/>
    <w:rsid w:val="006853AD"/>
    <w:rsid w:val="00691AB1"/>
    <w:rsid w:val="00692961"/>
    <w:rsid w:val="00694816"/>
    <w:rsid w:val="00697A5D"/>
    <w:rsid w:val="006A66CE"/>
    <w:rsid w:val="006C2008"/>
    <w:rsid w:val="006C64B5"/>
    <w:rsid w:val="006D7472"/>
    <w:rsid w:val="006D7F4F"/>
    <w:rsid w:val="006E4044"/>
    <w:rsid w:val="006E50E2"/>
    <w:rsid w:val="006E5B56"/>
    <w:rsid w:val="006E5DA7"/>
    <w:rsid w:val="006E780B"/>
    <w:rsid w:val="006F19B5"/>
    <w:rsid w:val="006F563B"/>
    <w:rsid w:val="006F699E"/>
    <w:rsid w:val="00700F40"/>
    <w:rsid w:val="00702BF6"/>
    <w:rsid w:val="00703BF0"/>
    <w:rsid w:val="00704218"/>
    <w:rsid w:val="007077FF"/>
    <w:rsid w:val="007078C3"/>
    <w:rsid w:val="00711E84"/>
    <w:rsid w:val="00717A46"/>
    <w:rsid w:val="00717C57"/>
    <w:rsid w:val="00717EA4"/>
    <w:rsid w:val="0072397F"/>
    <w:rsid w:val="00726C37"/>
    <w:rsid w:val="00734619"/>
    <w:rsid w:val="00742424"/>
    <w:rsid w:val="007424CD"/>
    <w:rsid w:val="0074460C"/>
    <w:rsid w:val="007453CA"/>
    <w:rsid w:val="007467AE"/>
    <w:rsid w:val="007578B3"/>
    <w:rsid w:val="00762A9D"/>
    <w:rsid w:val="0076729A"/>
    <w:rsid w:val="00774EF7"/>
    <w:rsid w:val="00776F8E"/>
    <w:rsid w:val="0078132B"/>
    <w:rsid w:val="007863FD"/>
    <w:rsid w:val="0079219E"/>
    <w:rsid w:val="007942C6"/>
    <w:rsid w:val="0079506F"/>
    <w:rsid w:val="00797995"/>
    <w:rsid w:val="007A2D37"/>
    <w:rsid w:val="007A5F25"/>
    <w:rsid w:val="007A6EFF"/>
    <w:rsid w:val="007B221A"/>
    <w:rsid w:val="007C2E20"/>
    <w:rsid w:val="007C5D46"/>
    <w:rsid w:val="007D53AF"/>
    <w:rsid w:val="007D5E85"/>
    <w:rsid w:val="007D67A5"/>
    <w:rsid w:val="007D7952"/>
    <w:rsid w:val="007E2E71"/>
    <w:rsid w:val="007E7BB3"/>
    <w:rsid w:val="007F30FF"/>
    <w:rsid w:val="007F5B05"/>
    <w:rsid w:val="00801707"/>
    <w:rsid w:val="008066C6"/>
    <w:rsid w:val="00806DF9"/>
    <w:rsid w:val="008160BF"/>
    <w:rsid w:val="008255D7"/>
    <w:rsid w:val="008428D3"/>
    <w:rsid w:val="00854338"/>
    <w:rsid w:val="008551EA"/>
    <w:rsid w:val="00862CC4"/>
    <w:rsid w:val="00871A0D"/>
    <w:rsid w:val="00872BC8"/>
    <w:rsid w:val="00881D50"/>
    <w:rsid w:val="0088572D"/>
    <w:rsid w:val="008864B2"/>
    <w:rsid w:val="00895441"/>
    <w:rsid w:val="0089557C"/>
    <w:rsid w:val="008A3135"/>
    <w:rsid w:val="008A3463"/>
    <w:rsid w:val="008B5A35"/>
    <w:rsid w:val="008B7803"/>
    <w:rsid w:val="008C4DAD"/>
    <w:rsid w:val="008C55A8"/>
    <w:rsid w:val="008D3F3D"/>
    <w:rsid w:val="008D5511"/>
    <w:rsid w:val="008D79F9"/>
    <w:rsid w:val="008E1696"/>
    <w:rsid w:val="008E6003"/>
    <w:rsid w:val="008E68B7"/>
    <w:rsid w:val="008F56EE"/>
    <w:rsid w:val="008F5DCE"/>
    <w:rsid w:val="008F78B8"/>
    <w:rsid w:val="00901BAB"/>
    <w:rsid w:val="00906D9B"/>
    <w:rsid w:val="00912744"/>
    <w:rsid w:val="00916B67"/>
    <w:rsid w:val="00921183"/>
    <w:rsid w:val="0092328D"/>
    <w:rsid w:val="00923D5B"/>
    <w:rsid w:val="009255DB"/>
    <w:rsid w:val="009266A1"/>
    <w:rsid w:val="00930E92"/>
    <w:rsid w:val="0093245E"/>
    <w:rsid w:val="009350E8"/>
    <w:rsid w:val="00936553"/>
    <w:rsid w:val="00937F9C"/>
    <w:rsid w:val="00940978"/>
    <w:rsid w:val="00945918"/>
    <w:rsid w:val="0095292F"/>
    <w:rsid w:val="00954E5B"/>
    <w:rsid w:val="0096314C"/>
    <w:rsid w:val="009637D0"/>
    <w:rsid w:val="00970DD9"/>
    <w:rsid w:val="00971821"/>
    <w:rsid w:val="00973331"/>
    <w:rsid w:val="009776C8"/>
    <w:rsid w:val="00980901"/>
    <w:rsid w:val="00981DD4"/>
    <w:rsid w:val="009839BF"/>
    <w:rsid w:val="00986B3A"/>
    <w:rsid w:val="009908AD"/>
    <w:rsid w:val="00991236"/>
    <w:rsid w:val="00993064"/>
    <w:rsid w:val="00997536"/>
    <w:rsid w:val="00997B5E"/>
    <w:rsid w:val="009A11AC"/>
    <w:rsid w:val="009A5144"/>
    <w:rsid w:val="009A638A"/>
    <w:rsid w:val="009B0452"/>
    <w:rsid w:val="009B2582"/>
    <w:rsid w:val="009B4865"/>
    <w:rsid w:val="009B677A"/>
    <w:rsid w:val="009B7929"/>
    <w:rsid w:val="009C0491"/>
    <w:rsid w:val="009C2D98"/>
    <w:rsid w:val="009C6106"/>
    <w:rsid w:val="009C670D"/>
    <w:rsid w:val="009D690E"/>
    <w:rsid w:val="009E0464"/>
    <w:rsid w:val="009E1419"/>
    <w:rsid w:val="009E1D58"/>
    <w:rsid w:val="009F11B5"/>
    <w:rsid w:val="009F5748"/>
    <w:rsid w:val="00A02B9F"/>
    <w:rsid w:val="00A10755"/>
    <w:rsid w:val="00A14345"/>
    <w:rsid w:val="00A21DA8"/>
    <w:rsid w:val="00A232F2"/>
    <w:rsid w:val="00A235B8"/>
    <w:rsid w:val="00A336E6"/>
    <w:rsid w:val="00A404D9"/>
    <w:rsid w:val="00A416A9"/>
    <w:rsid w:val="00A445A9"/>
    <w:rsid w:val="00A44DA0"/>
    <w:rsid w:val="00A45467"/>
    <w:rsid w:val="00A4724F"/>
    <w:rsid w:val="00A47EC0"/>
    <w:rsid w:val="00A51697"/>
    <w:rsid w:val="00A53B70"/>
    <w:rsid w:val="00A55748"/>
    <w:rsid w:val="00A5793C"/>
    <w:rsid w:val="00A57E90"/>
    <w:rsid w:val="00A6042C"/>
    <w:rsid w:val="00A607EF"/>
    <w:rsid w:val="00A700B5"/>
    <w:rsid w:val="00A712F1"/>
    <w:rsid w:val="00A71736"/>
    <w:rsid w:val="00A72455"/>
    <w:rsid w:val="00A72515"/>
    <w:rsid w:val="00A74A76"/>
    <w:rsid w:val="00A77487"/>
    <w:rsid w:val="00A804DF"/>
    <w:rsid w:val="00A81198"/>
    <w:rsid w:val="00A818FB"/>
    <w:rsid w:val="00A81D2D"/>
    <w:rsid w:val="00A9249A"/>
    <w:rsid w:val="00A934A3"/>
    <w:rsid w:val="00A95871"/>
    <w:rsid w:val="00A97075"/>
    <w:rsid w:val="00AA3BFC"/>
    <w:rsid w:val="00AA774F"/>
    <w:rsid w:val="00AB04C3"/>
    <w:rsid w:val="00AB553E"/>
    <w:rsid w:val="00AB7DF2"/>
    <w:rsid w:val="00AC03E3"/>
    <w:rsid w:val="00AC1BA3"/>
    <w:rsid w:val="00AC2742"/>
    <w:rsid w:val="00AC4312"/>
    <w:rsid w:val="00AC6241"/>
    <w:rsid w:val="00AC68B5"/>
    <w:rsid w:val="00AC6A00"/>
    <w:rsid w:val="00AD3C46"/>
    <w:rsid w:val="00AE2D12"/>
    <w:rsid w:val="00AE386D"/>
    <w:rsid w:val="00AE4366"/>
    <w:rsid w:val="00AE54B3"/>
    <w:rsid w:val="00AE5694"/>
    <w:rsid w:val="00AF04A0"/>
    <w:rsid w:val="00AF1730"/>
    <w:rsid w:val="00AF29BE"/>
    <w:rsid w:val="00AF3003"/>
    <w:rsid w:val="00AF4116"/>
    <w:rsid w:val="00B0755B"/>
    <w:rsid w:val="00B1459D"/>
    <w:rsid w:val="00B23D8E"/>
    <w:rsid w:val="00B240BB"/>
    <w:rsid w:val="00B252DA"/>
    <w:rsid w:val="00B40793"/>
    <w:rsid w:val="00B41DEB"/>
    <w:rsid w:val="00B5379A"/>
    <w:rsid w:val="00B57782"/>
    <w:rsid w:val="00B633C1"/>
    <w:rsid w:val="00B85220"/>
    <w:rsid w:val="00B92450"/>
    <w:rsid w:val="00B92462"/>
    <w:rsid w:val="00B92F42"/>
    <w:rsid w:val="00B93059"/>
    <w:rsid w:val="00BA3F9C"/>
    <w:rsid w:val="00BA568E"/>
    <w:rsid w:val="00BA5711"/>
    <w:rsid w:val="00BA79A0"/>
    <w:rsid w:val="00BB0B0C"/>
    <w:rsid w:val="00BB0DF8"/>
    <w:rsid w:val="00BB204B"/>
    <w:rsid w:val="00BB3F57"/>
    <w:rsid w:val="00BB537D"/>
    <w:rsid w:val="00BB77E3"/>
    <w:rsid w:val="00BC1581"/>
    <w:rsid w:val="00BC1730"/>
    <w:rsid w:val="00BC579D"/>
    <w:rsid w:val="00BC7E7A"/>
    <w:rsid w:val="00BD2C13"/>
    <w:rsid w:val="00BE2211"/>
    <w:rsid w:val="00BE3D96"/>
    <w:rsid w:val="00BE4997"/>
    <w:rsid w:val="00BE4F76"/>
    <w:rsid w:val="00BF6EE9"/>
    <w:rsid w:val="00C02914"/>
    <w:rsid w:val="00C03EA8"/>
    <w:rsid w:val="00C044E9"/>
    <w:rsid w:val="00C07805"/>
    <w:rsid w:val="00C12660"/>
    <w:rsid w:val="00C130B4"/>
    <w:rsid w:val="00C17B47"/>
    <w:rsid w:val="00C2296A"/>
    <w:rsid w:val="00C23EA9"/>
    <w:rsid w:val="00C2687E"/>
    <w:rsid w:val="00C27831"/>
    <w:rsid w:val="00C33752"/>
    <w:rsid w:val="00C34EB3"/>
    <w:rsid w:val="00C35EBE"/>
    <w:rsid w:val="00C41980"/>
    <w:rsid w:val="00C448AA"/>
    <w:rsid w:val="00C518CE"/>
    <w:rsid w:val="00C5396F"/>
    <w:rsid w:val="00C5672D"/>
    <w:rsid w:val="00C62A91"/>
    <w:rsid w:val="00C63064"/>
    <w:rsid w:val="00C65BB2"/>
    <w:rsid w:val="00C65ECF"/>
    <w:rsid w:val="00C66214"/>
    <w:rsid w:val="00C7075C"/>
    <w:rsid w:val="00C71C4A"/>
    <w:rsid w:val="00C72E01"/>
    <w:rsid w:val="00C73613"/>
    <w:rsid w:val="00C8170B"/>
    <w:rsid w:val="00C83E23"/>
    <w:rsid w:val="00C86B65"/>
    <w:rsid w:val="00C92B0C"/>
    <w:rsid w:val="00C93B16"/>
    <w:rsid w:val="00C93BB3"/>
    <w:rsid w:val="00C9428A"/>
    <w:rsid w:val="00CA3356"/>
    <w:rsid w:val="00CA42AB"/>
    <w:rsid w:val="00CA48B6"/>
    <w:rsid w:val="00CB4714"/>
    <w:rsid w:val="00CB6081"/>
    <w:rsid w:val="00CC6FC2"/>
    <w:rsid w:val="00CC7F67"/>
    <w:rsid w:val="00CD1930"/>
    <w:rsid w:val="00CD22F9"/>
    <w:rsid w:val="00CD750C"/>
    <w:rsid w:val="00CE0A7B"/>
    <w:rsid w:val="00CE2DFC"/>
    <w:rsid w:val="00CF16E4"/>
    <w:rsid w:val="00CF1F99"/>
    <w:rsid w:val="00CF2378"/>
    <w:rsid w:val="00CF34CF"/>
    <w:rsid w:val="00CF6AAE"/>
    <w:rsid w:val="00CF6FAB"/>
    <w:rsid w:val="00D007C0"/>
    <w:rsid w:val="00D03770"/>
    <w:rsid w:val="00D1405F"/>
    <w:rsid w:val="00D205D3"/>
    <w:rsid w:val="00D206A7"/>
    <w:rsid w:val="00D24FC7"/>
    <w:rsid w:val="00D26BCB"/>
    <w:rsid w:val="00D26D02"/>
    <w:rsid w:val="00D3023B"/>
    <w:rsid w:val="00D35879"/>
    <w:rsid w:val="00D35DE4"/>
    <w:rsid w:val="00D37D35"/>
    <w:rsid w:val="00D44F9A"/>
    <w:rsid w:val="00D46F1C"/>
    <w:rsid w:val="00D47BF6"/>
    <w:rsid w:val="00D52243"/>
    <w:rsid w:val="00D5380E"/>
    <w:rsid w:val="00D54562"/>
    <w:rsid w:val="00D627A0"/>
    <w:rsid w:val="00D64BEB"/>
    <w:rsid w:val="00D65064"/>
    <w:rsid w:val="00D667D8"/>
    <w:rsid w:val="00D73282"/>
    <w:rsid w:val="00D76927"/>
    <w:rsid w:val="00D7737C"/>
    <w:rsid w:val="00D80BC9"/>
    <w:rsid w:val="00D840FC"/>
    <w:rsid w:val="00D868C0"/>
    <w:rsid w:val="00D871CF"/>
    <w:rsid w:val="00D87ACF"/>
    <w:rsid w:val="00D87EAF"/>
    <w:rsid w:val="00D9271A"/>
    <w:rsid w:val="00D938AC"/>
    <w:rsid w:val="00DA1491"/>
    <w:rsid w:val="00DA172F"/>
    <w:rsid w:val="00DB0AE3"/>
    <w:rsid w:val="00DB0C31"/>
    <w:rsid w:val="00DB1D4F"/>
    <w:rsid w:val="00DB1EA6"/>
    <w:rsid w:val="00DB3D34"/>
    <w:rsid w:val="00DB63FB"/>
    <w:rsid w:val="00DB67D8"/>
    <w:rsid w:val="00DB7B4C"/>
    <w:rsid w:val="00DC3330"/>
    <w:rsid w:val="00DC58DA"/>
    <w:rsid w:val="00DC66AD"/>
    <w:rsid w:val="00DD398A"/>
    <w:rsid w:val="00DE3F83"/>
    <w:rsid w:val="00DE4B25"/>
    <w:rsid w:val="00DE71AC"/>
    <w:rsid w:val="00DF029D"/>
    <w:rsid w:val="00DF08A9"/>
    <w:rsid w:val="00DF1720"/>
    <w:rsid w:val="00DF3554"/>
    <w:rsid w:val="00DF5DA6"/>
    <w:rsid w:val="00DF5EE4"/>
    <w:rsid w:val="00DF72A5"/>
    <w:rsid w:val="00E0413F"/>
    <w:rsid w:val="00E047A0"/>
    <w:rsid w:val="00E05383"/>
    <w:rsid w:val="00E06A1B"/>
    <w:rsid w:val="00E06D34"/>
    <w:rsid w:val="00E11993"/>
    <w:rsid w:val="00E11BD7"/>
    <w:rsid w:val="00E15E3E"/>
    <w:rsid w:val="00E17DD9"/>
    <w:rsid w:val="00E21912"/>
    <w:rsid w:val="00E306AA"/>
    <w:rsid w:val="00E37B95"/>
    <w:rsid w:val="00E46843"/>
    <w:rsid w:val="00E477F4"/>
    <w:rsid w:val="00E53DF4"/>
    <w:rsid w:val="00E54BF9"/>
    <w:rsid w:val="00E55E4C"/>
    <w:rsid w:val="00E61172"/>
    <w:rsid w:val="00E61395"/>
    <w:rsid w:val="00E674F7"/>
    <w:rsid w:val="00E67932"/>
    <w:rsid w:val="00E67CC6"/>
    <w:rsid w:val="00E73336"/>
    <w:rsid w:val="00E77CA8"/>
    <w:rsid w:val="00E77E2A"/>
    <w:rsid w:val="00E77FFE"/>
    <w:rsid w:val="00E84A02"/>
    <w:rsid w:val="00E87C0A"/>
    <w:rsid w:val="00E9125B"/>
    <w:rsid w:val="00E9169D"/>
    <w:rsid w:val="00E91DC0"/>
    <w:rsid w:val="00EA09E6"/>
    <w:rsid w:val="00EA0B12"/>
    <w:rsid w:val="00EA3E73"/>
    <w:rsid w:val="00EA4DF7"/>
    <w:rsid w:val="00EA5476"/>
    <w:rsid w:val="00EB246A"/>
    <w:rsid w:val="00EB5F95"/>
    <w:rsid w:val="00EB7982"/>
    <w:rsid w:val="00EC03AA"/>
    <w:rsid w:val="00EC0FFE"/>
    <w:rsid w:val="00ED0869"/>
    <w:rsid w:val="00ED3C0D"/>
    <w:rsid w:val="00ED7F43"/>
    <w:rsid w:val="00EE03E4"/>
    <w:rsid w:val="00EE0B2D"/>
    <w:rsid w:val="00EE27AD"/>
    <w:rsid w:val="00EE575A"/>
    <w:rsid w:val="00EE69F3"/>
    <w:rsid w:val="00EF152A"/>
    <w:rsid w:val="00EF41D6"/>
    <w:rsid w:val="00F01506"/>
    <w:rsid w:val="00F02E4F"/>
    <w:rsid w:val="00F03707"/>
    <w:rsid w:val="00F075B5"/>
    <w:rsid w:val="00F12E9E"/>
    <w:rsid w:val="00F156DA"/>
    <w:rsid w:val="00F16263"/>
    <w:rsid w:val="00F20FCF"/>
    <w:rsid w:val="00F22907"/>
    <w:rsid w:val="00F26DF0"/>
    <w:rsid w:val="00F3532F"/>
    <w:rsid w:val="00F35CCA"/>
    <w:rsid w:val="00F46A3B"/>
    <w:rsid w:val="00F5036E"/>
    <w:rsid w:val="00F50505"/>
    <w:rsid w:val="00F5199D"/>
    <w:rsid w:val="00F529C6"/>
    <w:rsid w:val="00F53581"/>
    <w:rsid w:val="00F57977"/>
    <w:rsid w:val="00F57AAB"/>
    <w:rsid w:val="00F60BF6"/>
    <w:rsid w:val="00F60C68"/>
    <w:rsid w:val="00F64AC7"/>
    <w:rsid w:val="00F64C20"/>
    <w:rsid w:val="00F71EC6"/>
    <w:rsid w:val="00F748B5"/>
    <w:rsid w:val="00F80933"/>
    <w:rsid w:val="00F84827"/>
    <w:rsid w:val="00F91117"/>
    <w:rsid w:val="00F97163"/>
    <w:rsid w:val="00FA308C"/>
    <w:rsid w:val="00FA3169"/>
    <w:rsid w:val="00FA60BD"/>
    <w:rsid w:val="00FA6D8A"/>
    <w:rsid w:val="00FB10C3"/>
    <w:rsid w:val="00FB119A"/>
    <w:rsid w:val="00FB7D38"/>
    <w:rsid w:val="00FC0AE9"/>
    <w:rsid w:val="00FC0CA8"/>
    <w:rsid w:val="00FC344E"/>
    <w:rsid w:val="00FC4DBD"/>
    <w:rsid w:val="00FC4E42"/>
    <w:rsid w:val="00FD0750"/>
    <w:rsid w:val="00FD0AE8"/>
    <w:rsid w:val="00FD1CF9"/>
    <w:rsid w:val="00FD3AC3"/>
    <w:rsid w:val="00FD4189"/>
    <w:rsid w:val="00FD7FD8"/>
    <w:rsid w:val="00FE1442"/>
    <w:rsid w:val="00FE3899"/>
    <w:rsid w:val="00FE7F01"/>
    <w:rsid w:val="00FF0932"/>
    <w:rsid w:val="00FF18CE"/>
    <w:rsid w:val="00FF34D9"/>
    <w:rsid w:val="00FF376C"/>
    <w:rsid w:val="00FF568F"/>
    <w:rsid w:val="0158673B"/>
    <w:rsid w:val="01A87C2A"/>
    <w:rsid w:val="01AC6828"/>
    <w:rsid w:val="01BF2561"/>
    <w:rsid w:val="01C936B6"/>
    <w:rsid w:val="0204742C"/>
    <w:rsid w:val="02106709"/>
    <w:rsid w:val="02176416"/>
    <w:rsid w:val="02242CC3"/>
    <w:rsid w:val="024A2185"/>
    <w:rsid w:val="02533F0F"/>
    <w:rsid w:val="02D2561C"/>
    <w:rsid w:val="02F76749"/>
    <w:rsid w:val="03600692"/>
    <w:rsid w:val="03F31CB7"/>
    <w:rsid w:val="0425101A"/>
    <w:rsid w:val="04296399"/>
    <w:rsid w:val="04402271"/>
    <w:rsid w:val="04554655"/>
    <w:rsid w:val="04583A5F"/>
    <w:rsid w:val="045C2016"/>
    <w:rsid w:val="047B0D01"/>
    <w:rsid w:val="04951B45"/>
    <w:rsid w:val="04A17026"/>
    <w:rsid w:val="04A951DB"/>
    <w:rsid w:val="050447EE"/>
    <w:rsid w:val="0517381B"/>
    <w:rsid w:val="05216546"/>
    <w:rsid w:val="052976F5"/>
    <w:rsid w:val="054412C6"/>
    <w:rsid w:val="05962D81"/>
    <w:rsid w:val="059E7B97"/>
    <w:rsid w:val="05BB49FE"/>
    <w:rsid w:val="05C2196C"/>
    <w:rsid w:val="05CD54D1"/>
    <w:rsid w:val="05EF3192"/>
    <w:rsid w:val="05FB3F65"/>
    <w:rsid w:val="060C4DD3"/>
    <w:rsid w:val="06316315"/>
    <w:rsid w:val="0651076B"/>
    <w:rsid w:val="06AC2003"/>
    <w:rsid w:val="06E7C2D2"/>
    <w:rsid w:val="06F24544"/>
    <w:rsid w:val="06F34474"/>
    <w:rsid w:val="071A746D"/>
    <w:rsid w:val="071F68B2"/>
    <w:rsid w:val="07287718"/>
    <w:rsid w:val="073267E9"/>
    <w:rsid w:val="075971C8"/>
    <w:rsid w:val="076FAA59"/>
    <w:rsid w:val="07830DF3"/>
    <w:rsid w:val="07F76CFE"/>
    <w:rsid w:val="08002FFD"/>
    <w:rsid w:val="08052A7A"/>
    <w:rsid w:val="08071A24"/>
    <w:rsid w:val="08275DCF"/>
    <w:rsid w:val="08464A1F"/>
    <w:rsid w:val="084D31AF"/>
    <w:rsid w:val="085F761F"/>
    <w:rsid w:val="08676422"/>
    <w:rsid w:val="087859BE"/>
    <w:rsid w:val="09020BF6"/>
    <w:rsid w:val="093E2CBE"/>
    <w:rsid w:val="097536D0"/>
    <w:rsid w:val="09AA7B54"/>
    <w:rsid w:val="09D07257"/>
    <w:rsid w:val="0A051F93"/>
    <w:rsid w:val="0A8729A8"/>
    <w:rsid w:val="0A8C7FBE"/>
    <w:rsid w:val="0A9D7BDE"/>
    <w:rsid w:val="0AA077D0"/>
    <w:rsid w:val="0AA52717"/>
    <w:rsid w:val="0AD00EBD"/>
    <w:rsid w:val="0AD11B2D"/>
    <w:rsid w:val="0AEA2771"/>
    <w:rsid w:val="0AF3003D"/>
    <w:rsid w:val="0B05139F"/>
    <w:rsid w:val="0B1665B7"/>
    <w:rsid w:val="0B472137"/>
    <w:rsid w:val="0B572105"/>
    <w:rsid w:val="0B733D28"/>
    <w:rsid w:val="0B8769D7"/>
    <w:rsid w:val="0B9B542F"/>
    <w:rsid w:val="0BA27BE5"/>
    <w:rsid w:val="0BB579E9"/>
    <w:rsid w:val="0BB95D10"/>
    <w:rsid w:val="0BBFB1C5"/>
    <w:rsid w:val="0BD065D0"/>
    <w:rsid w:val="0BD12306"/>
    <w:rsid w:val="0BE46EF4"/>
    <w:rsid w:val="0C0369A6"/>
    <w:rsid w:val="0C0A20EC"/>
    <w:rsid w:val="0C3923C8"/>
    <w:rsid w:val="0C3E46FA"/>
    <w:rsid w:val="0C452F2C"/>
    <w:rsid w:val="0C48541E"/>
    <w:rsid w:val="0C594818"/>
    <w:rsid w:val="0C6271A8"/>
    <w:rsid w:val="0CA17C9B"/>
    <w:rsid w:val="0CBE7177"/>
    <w:rsid w:val="0CC07B24"/>
    <w:rsid w:val="0CE87AB8"/>
    <w:rsid w:val="0D152A80"/>
    <w:rsid w:val="0D2D48F5"/>
    <w:rsid w:val="0D413684"/>
    <w:rsid w:val="0DAE2941"/>
    <w:rsid w:val="0DAF04E0"/>
    <w:rsid w:val="0DB12B4A"/>
    <w:rsid w:val="0DB17A04"/>
    <w:rsid w:val="0DED10EA"/>
    <w:rsid w:val="0DF742E8"/>
    <w:rsid w:val="0E29085B"/>
    <w:rsid w:val="0E45220C"/>
    <w:rsid w:val="0E51068F"/>
    <w:rsid w:val="0E6A2D0C"/>
    <w:rsid w:val="0E7476E7"/>
    <w:rsid w:val="0E7811DB"/>
    <w:rsid w:val="0E8351EA"/>
    <w:rsid w:val="0E9E4AAE"/>
    <w:rsid w:val="0EC94C24"/>
    <w:rsid w:val="0EDB1514"/>
    <w:rsid w:val="0EDC7FE2"/>
    <w:rsid w:val="0EED7EFD"/>
    <w:rsid w:val="0EEFAE84"/>
    <w:rsid w:val="0F022F45"/>
    <w:rsid w:val="0F0813F7"/>
    <w:rsid w:val="0F124079"/>
    <w:rsid w:val="0F3059E5"/>
    <w:rsid w:val="0F561E27"/>
    <w:rsid w:val="0F6F1AC9"/>
    <w:rsid w:val="0F9C00D2"/>
    <w:rsid w:val="0FBA55CD"/>
    <w:rsid w:val="0FC404B7"/>
    <w:rsid w:val="0FC45E3B"/>
    <w:rsid w:val="0FEB031F"/>
    <w:rsid w:val="0FFB1AAD"/>
    <w:rsid w:val="0FFD240A"/>
    <w:rsid w:val="0FFF1232"/>
    <w:rsid w:val="1033383A"/>
    <w:rsid w:val="106F460A"/>
    <w:rsid w:val="10A60810"/>
    <w:rsid w:val="10B028F0"/>
    <w:rsid w:val="113F222E"/>
    <w:rsid w:val="114C494B"/>
    <w:rsid w:val="11752D4A"/>
    <w:rsid w:val="11B45ED9"/>
    <w:rsid w:val="11C24C0D"/>
    <w:rsid w:val="11C56E95"/>
    <w:rsid w:val="11DF36A1"/>
    <w:rsid w:val="11E35AA0"/>
    <w:rsid w:val="11EF719E"/>
    <w:rsid w:val="12072620"/>
    <w:rsid w:val="12154D3D"/>
    <w:rsid w:val="1224753C"/>
    <w:rsid w:val="122554C6"/>
    <w:rsid w:val="12414BFA"/>
    <w:rsid w:val="126F08F1"/>
    <w:rsid w:val="12754F46"/>
    <w:rsid w:val="12891287"/>
    <w:rsid w:val="12AF1FE4"/>
    <w:rsid w:val="12B570A3"/>
    <w:rsid w:val="12E55FEE"/>
    <w:rsid w:val="131674A1"/>
    <w:rsid w:val="1325498B"/>
    <w:rsid w:val="13392358"/>
    <w:rsid w:val="134112FC"/>
    <w:rsid w:val="138A7955"/>
    <w:rsid w:val="139236BB"/>
    <w:rsid w:val="13A11865"/>
    <w:rsid w:val="13AA1793"/>
    <w:rsid w:val="13D950E1"/>
    <w:rsid w:val="13E15699"/>
    <w:rsid w:val="13FDE4E9"/>
    <w:rsid w:val="141F00F5"/>
    <w:rsid w:val="142F66E7"/>
    <w:rsid w:val="14785E3A"/>
    <w:rsid w:val="14B940A6"/>
    <w:rsid w:val="14C52DC7"/>
    <w:rsid w:val="152C3F68"/>
    <w:rsid w:val="153F6304"/>
    <w:rsid w:val="155003C2"/>
    <w:rsid w:val="157C4394"/>
    <w:rsid w:val="15843123"/>
    <w:rsid w:val="1585684F"/>
    <w:rsid w:val="15CE200E"/>
    <w:rsid w:val="15EF6FA9"/>
    <w:rsid w:val="15FFD219"/>
    <w:rsid w:val="16005D04"/>
    <w:rsid w:val="162B7E6A"/>
    <w:rsid w:val="165A1E91"/>
    <w:rsid w:val="168238E2"/>
    <w:rsid w:val="168310E2"/>
    <w:rsid w:val="16B31F43"/>
    <w:rsid w:val="16C810CC"/>
    <w:rsid w:val="16E01DBD"/>
    <w:rsid w:val="16ED0036"/>
    <w:rsid w:val="172252E0"/>
    <w:rsid w:val="174560AE"/>
    <w:rsid w:val="1748080B"/>
    <w:rsid w:val="1794305D"/>
    <w:rsid w:val="17AA1223"/>
    <w:rsid w:val="17C52940"/>
    <w:rsid w:val="17D912A0"/>
    <w:rsid w:val="17DB4333"/>
    <w:rsid w:val="17FFF359"/>
    <w:rsid w:val="181D7567"/>
    <w:rsid w:val="181F2849"/>
    <w:rsid w:val="185F304B"/>
    <w:rsid w:val="18692356"/>
    <w:rsid w:val="18E80CA3"/>
    <w:rsid w:val="190A00AB"/>
    <w:rsid w:val="193B4FD0"/>
    <w:rsid w:val="19497D4B"/>
    <w:rsid w:val="19570331"/>
    <w:rsid w:val="196675A6"/>
    <w:rsid w:val="1990530E"/>
    <w:rsid w:val="1997072D"/>
    <w:rsid w:val="19A96FF9"/>
    <w:rsid w:val="19B4188F"/>
    <w:rsid w:val="19D92AF4"/>
    <w:rsid w:val="19F413DD"/>
    <w:rsid w:val="19F63F77"/>
    <w:rsid w:val="1A020FC5"/>
    <w:rsid w:val="1A7758A1"/>
    <w:rsid w:val="1A7840BB"/>
    <w:rsid w:val="1A930D59"/>
    <w:rsid w:val="1AE9320B"/>
    <w:rsid w:val="1AFB6815"/>
    <w:rsid w:val="1B247C49"/>
    <w:rsid w:val="1B373F76"/>
    <w:rsid w:val="1B3F0D70"/>
    <w:rsid w:val="1B772E08"/>
    <w:rsid w:val="1B8D7180"/>
    <w:rsid w:val="1BA552E3"/>
    <w:rsid w:val="1BAB2470"/>
    <w:rsid w:val="1BBC447B"/>
    <w:rsid w:val="1BE26A5D"/>
    <w:rsid w:val="1BE4113E"/>
    <w:rsid w:val="1BE839E6"/>
    <w:rsid w:val="1BED3041"/>
    <w:rsid w:val="1BF9B495"/>
    <w:rsid w:val="1BFCA88A"/>
    <w:rsid w:val="1C273F78"/>
    <w:rsid w:val="1C614B7E"/>
    <w:rsid w:val="1C8B5289"/>
    <w:rsid w:val="1CB630C7"/>
    <w:rsid w:val="1CD162D3"/>
    <w:rsid w:val="1CEC36E9"/>
    <w:rsid w:val="1CF365C3"/>
    <w:rsid w:val="1CFF7FAA"/>
    <w:rsid w:val="1D1022C1"/>
    <w:rsid w:val="1D4A4435"/>
    <w:rsid w:val="1D770853"/>
    <w:rsid w:val="1D7E7A66"/>
    <w:rsid w:val="1D8E2B76"/>
    <w:rsid w:val="1D9E5267"/>
    <w:rsid w:val="1DB57BAD"/>
    <w:rsid w:val="1DBFC4B2"/>
    <w:rsid w:val="1DDFF5FF"/>
    <w:rsid w:val="1DFF05CE"/>
    <w:rsid w:val="1E643D47"/>
    <w:rsid w:val="1E6F2AA4"/>
    <w:rsid w:val="1E7F289E"/>
    <w:rsid w:val="1E876FC3"/>
    <w:rsid w:val="1E9E60BA"/>
    <w:rsid w:val="1EB03D5D"/>
    <w:rsid w:val="1EB276F0"/>
    <w:rsid w:val="1ED709CD"/>
    <w:rsid w:val="1EDE3B19"/>
    <w:rsid w:val="1EEF7EB7"/>
    <w:rsid w:val="1EEF9422"/>
    <w:rsid w:val="1F276F58"/>
    <w:rsid w:val="1F292625"/>
    <w:rsid w:val="1F443106"/>
    <w:rsid w:val="1F460C2C"/>
    <w:rsid w:val="1F525822"/>
    <w:rsid w:val="1F772D7F"/>
    <w:rsid w:val="1F8E0A93"/>
    <w:rsid w:val="1FBB9104"/>
    <w:rsid w:val="1FF467F3"/>
    <w:rsid w:val="20162EA9"/>
    <w:rsid w:val="208252D3"/>
    <w:rsid w:val="209D7AAD"/>
    <w:rsid w:val="20C4005A"/>
    <w:rsid w:val="20E017E3"/>
    <w:rsid w:val="20EF23DB"/>
    <w:rsid w:val="211B44D2"/>
    <w:rsid w:val="211E20A8"/>
    <w:rsid w:val="214D673B"/>
    <w:rsid w:val="21563120"/>
    <w:rsid w:val="21925861"/>
    <w:rsid w:val="21C9556D"/>
    <w:rsid w:val="21F726B1"/>
    <w:rsid w:val="21FBEBEB"/>
    <w:rsid w:val="22006FF8"/>
    <w:rsid w:val="222244E7"/>
    <w:rsid w:val="22242C4B"/>
    <w:rsid w:val="222E0711"/>
    <w:rsid w:val="22F42E53"/>
    <w:rsid w:val="22F86E90"/>
    <w:rsid w:val="232B1F13"/>
    <w:rsid w:val="232F7A8C"/>
    <w:rsid w:val="23375D57"/>
    <w:rsid w:val="234311E2"/>
    <w:rsid w:val="23563E5F"/>
    <w:rsid w:val="23865695"/>
    <w:rsid w:val="2388552B"/>
    <w:rsid w:val="23B14ACF"/>
    <w:rsid w:val="23CE488D"/>
    <w:rsid w:val="242B6642"/>
    <w:rsid w:val="24BA11AE"/>
    <w:rsid w:val="24E0742D"/>
    <w:rsid w:val="2500187D"/>
    <w:rsid w:val="250B4B52"/>
    <w:rsid w:val="251E1D0B"/>
    <w:rsid w:val="252142EA"/>
    <w:rsid w:val="25494FD2"/>
    <w:rsid w:val="25AFFA62"/>
    <w:rsid w:val="25CE54D7"/>
    <w:rsid w:val="26171E73"/>
    <w:rsid w:val="26591245"/>
    <w:rsid w:val="26932C8A"/>
    <w:rsid w:val="269A22DC"/>
    <w:rsid w:val="269B7263"/>
    <w:rsid w:val="26A821CC"/>
    <w:rsid w:val="26BB1EFF"/>
    <w:rsid w:val="26D07ADC"/>
    <w:rsid w:val="271B52A7"/>
    <w:rsid w:val="271E8A61"/>
    <w:rsid w:val="2732271F"/>
    <w:rsid w:val="27405227"/>
    <w:rsid w:val="27457128"/>
    <w:rsid w:val="275B1765"/>
    <w:rsid w:val="27651E6B"/>
    <w:rsid w:val="277ACBDA"/>
    <w:rsid w:val="277F2F2D"/>
    <w:rsid w:val="27814C99"/>
    <w:rsid w:val="27A87D37"/>
    <w:rsid w:val="27C272BD"/>
    <w:rsid w:val="27C365C4"/>
    <w:rsid w:val="27D33279"/>
    <w:rsid w:val="27DE7FB7"/>
    <w:rsid w:val="27EF7B1C"/>
    <w:rsid w:val="27F5CDC8"/>
    <w:rsid w:val="27F65B6B"/>
    <w:rsid w:val="281E1197"/>
    <w:rsid w:val="282B09BF"/>
    <w:rsid w:val="2845181D"/>
    <w:rsid w:val="284521F7"/>
    <w:rsid w:val="284E72DC"/>
    <w:rsid w:val="286200BF"/>
    <w:rsid w:val="286F5124"/>
    <w:rsid w:val="28836A4D"/>
    <w:rsid w:val="28D75265"/>
    <w:rsid w:val="28E60D8A"/>
    <w:rsid w:val="296B671C"/>
    <w:rsid w:val="296B9323"/>
    <w:rsid w:val="298F1421"/>
    <w:rsid w:val="29A401A5"/>
    <w:rsid w:val="29BB5F06"/>
    <w:rsid w:val="29ED173B"/>
    <w:rsid w:val="29FF8AEC"/>
    <w:rsid w:val="29FFC787"/>
    <w:rsid w:val="2A267326"/>
    <w:rsid w:val="2A2E402F"/>
    <w:rsid w:val="2A357ED8"/>
    <w:rsid w:val="2ABE1FBE"/>
    <w:rsid w:val="2AC05D36"/>
    <w:rsid w:val="2ADC1861"/>
    <w:rsid w:val="2AE836EF"/>
    <w:rsid w:val="2B22345B"/>
    <w:rsid w:val="2B257975"/>
    <w:rsid w:val="2B3758CC"/>
    <w:rsid w:val="2B4E5B67"/>
    <w:rsid w:val="2B5054D5"/>
    <w:rsid w:val="2BC00E57"/>
    <w:rsid w:val="2BC71584"/>
    <w:rsid w:val="2BCF10FA"/>
    <w:rsid w:val="2BE710A1"/>
    <w:rsid w:val="2BEFB4B2"/>
    <w:rsid w:val="2BFB307B"/>
    <w:rsid w:val="2C100EEC"/>
    <w:rsid w:val="2C1520B2"/>
    <w:rsid w:val="2C206143"/>
    <w:rsid w:val="2C33078A"/>
    <w:rsid w:val="2C461AF2"/>
    <w:rsid w:val="2C734E31"/>
    <w:rsid w:val="2C931228"/>
    <w:rsid w:val="2C9A6113"/>
    <w:rsid w:val="2CA23219"/>
    <w:rsid w:val="2CA62D0A"/>
    <w:rsid w:val="2CAA2A2D"/>
    <w:rsid w:val="2CBA9371"/>
    <w:rsid w:val="2CBB1DEC"/>
    <w:rsid w:val="2CC118F2"/>
    <w:rsid w:val="2CE3118E"/>
    <w:rsid w:val="2D002B75"/>
    <w:rsid w:val="2D103148"/>
    <w:rsid w:val="2D1C121E"/>
    <w:rsid w:val="2D426903"/>
    <w:rsid w:val="2D470359"/>
    <w:rsid w:val="2D4A7CB9"/>
    <w:rsid w:val="2D6055AE"/>
    <w:rsid w:val="2D727090"/>
    <w:rsid w:val="2D75DF64"/>
    <w:rsid w:val="2D917516"/>
    <w:rsid w:val="2D99286E"/>
    <w:rsid w:val="2DA03AA4"/>
    <w:rsid w:val="2DA34EC4"/>
    <w:rsid w:val="2DA431E7"/>
    <w:rsid w:val="2DCA53AC"/>
    <w:rsid w:val="2DDF1017"/>
    <w:rsid w:val="2DE55B13"/>
    <w:rsid w:val="2DF52218"/>
    <w:rsid w:val="2E1746BA"/>
    <w:rsid w:val="2E5067EC"/>
    <w:rsid w:val="2E5E6A04"/>
    <w:rsid w:val="2EB55684"/>
    <w:rsid w:val="2EE330A1"/>
    <w:rsid w:val="2EEA6CCE"/>
    <w:rsid w:val="2F16134B"/>
    <w:rsid w:val="2F2571B4"/>
    <w:rsid w:val="2F28553F"/>
    <w:rsid w:val="2F71F765"/>
    <w:rsid w:val="2F90318B"/>
    <w:rsid w:val="2F907296"/>
    <w:rsid w:val="2FA9127F"/>
    <w:rsid w:val="2FC5794B"/>
    <w:rsid w:val="2FD99BD1"/>
    <w:rsid w:val="301405BF"/>
    <w:rsid w:val="307931FA"/>
    <w:rsid w:val="3082583C"/>
    <w:rsid w:val="30901D07"/>
    <w:rsid w:val="309F63EE"/>
    <w:rsid w:val="30D37306"/>
    <w:rsid w:val="3103468C"/>
    <w:rsid w:val="31215667"/>
    <w:rsid w:val="31382DE1"/>
    <w:rsid w:val="31746067"/>
    <w:rsid w:val="31C0329F"/>
    <w:rsid w:val="31E26DD0"/>
    <w:rsid w:val="31EF15C5"/>
    <w:rsid w:val="31F34EE6"/>
    <w:rsid w:val="320C5601"/>
    <w:rsid w:val="320D6D63"/>
    <w:rsid w:val="321C3F4E"/>
    <w:rsid w:val="323F60E0"/>
    <w:rsid w:val="32460D6D"/>
    <w:rsid w:val="32570855"/>
    <w:rsid w:val="325823B4"/>
    <w:rsid w:val="32585395"/>
    <w:rsid w:val="32A76766"/>
    <w:rsid w:val="32BA12BD"/>
    <w:rsid w:val="33222173"/>
    <w:rsid w:val="33415945"/>
    <w:rsid w:val="33474D1F"/>
    <w:rsid w:val="334F5387"/>
    <w:rsid w:val="33707EAA"/>
    <w:rsid w:val="33734415"/>
    <w:rsid w:val="3374658C"/>
    <w:rsid w:val="338D3F51"/>
    <w:rsid w:val="33AF6C2B"/>
    <w:rsid w:val="33D94FDC"/>
    <w:rsid w:val="33EC2509"/>
    <w:rsid w:val="341A6836"/>
    <w:rsid w:val="34306C67"/>
    <w:rsid w:val="343432F1"/>
    <w:rsid w:val="34483577"/>
    <w:rsid w:val="3448551B"/>
    <w:rsid w:val="34770CA3"/>
    <w:rsid w:val="348965EE"/>
    <w:rsid w:val="34A43EB9"/>
    <w:rsid w:val="34A715A5"/>
    <w:rsid w:val="34A72487"/>
    <w:rsid w:val="34A73955"/>
    <w:rsid w:val="34AE5ED7"/>
    <w:rsid w:val="34FD254A"/>
    <w:rsid w:val="352B64A2"/>
    <w:rsid w:val="35480EE1"/>
    <w:rsid w:val="357E31D7"/>
    <w:rsid w:val="358160C2"/>
    <w:rsid w:val="35832375"/>
    <w:rsid w:val="358A316B"/>
    <w:rsid w:val="358F4C83"/>
    <w:rsid w:val="35C475A7"/>
    <w:rsid w:val="35D1646B"/>
    <w:rsid w:val="35DE31B8"/>
    <w:rsid w:val="35E80F7F"/>
    <w:rsid w:val="35F75CF0"/>
    <w:rsid w:val="3609071C"/>
    <w:rsid w:val="36107446"/>
    <w:rsid w:val="36252EF1"/>
    <w:rsid w:val="362B4280"/>
    <w:rsid w:val="362E1F27"/>
    <w:rsid w:val="363F7B19"/>
    <w:rsid w:val="36415851"/>
    <w:rsid w:val="366D3560"/>
    <w:rsid w:val="367F2735"/>
    <w:rsid w:val="36847069"/>
    <w:rsid w:val="36935099"/>
    <w:rsid w:val="36BF44BC"/>
    <w:rsid w:val="36DF8D7D"/>
    <w:rsid w:val="36E1693A"/>
    <w:rsid w:val="36EE7787"/>
    <w:rsid w:val="36F16AE9"/>
    <w:rsid w:val="36FE2EA2"/>
    <w:rsid w:val="375E7A4F"/>
    <w:rsid w:val="376B3754"/>
    <w:rsid w:val="377CD483"/>
    <w:rsid w:val="37923A6F"/>
    <w:rsid w:val="379E5D0E"/>
    <w:rsid w:val="37A458F7"/>
    <w:rsid w:val="37BF7FBB"/>
    <w:rsid w:val="37D456E4"/>
    <w:rsid w:val="37DA41AF"/>
    <w:rsid w:val="37E727ED"/>
    <w:rsid w:val="38901B35"/>
    <w:rsid w:val="38915348"/>
    <w:rsid w:val="3897749E"/>
    <w:rsid w:val="389A7402"/>
    <w:rsid w:val="38CF4C7C"/>
    <w:rsid w:val="38FE77AF"/>
    <w:rsid w:val="39052611"/>
    <w:rsid w:val="390D4756"/>
    <w:rsid w:val="39443BCE"/>
    <w:rsid w:val="394C0219"/>
    <w:rsid w:val="396957EB"/>
    <w:rsid w:val="399957C5"/>
    <w:rsid w:val="39C80763"/>
    <w:rsid w:val="3A3BFAC0"/>
    <w:rsid w:val="3A4D694C"/>
    <w:rsid w:val="3A543444"/>
    <w:rsid w:val="3A5468F0"/>
    <w:rsid w:val="3A6526CE"/>
    <w:rsid w:val="3A6F93E2"/>
    <w:rsid w:val="3AB605BC"/>
    <w:rsid w:val="3ABC4700"/>
    <w:rsid w:val="3ABDBD39"/>
    <w:rsid w:val="3AC56A51"/>
    <w:rsid w:val="3AE61666"/>
    <w:rsid w:val="3AE670D0"/>
    <w:rsid w:val="3AF31330"/>
    <w:rsid w:val="3B0E6D2D"/>
    <w:rsid w:val="3B1759B2"/>
    <w:rsid w:val="3B3854BA"/>
    <w:rsid w:val="3B3F0DA2"/>
    <w:rsid w:val="3B404329"/>
    <w:rsid w:val="3B6E05E6"/>
    <w:rsid w:val="3B854432"/>
    <w:rsid w:val="3B8B3D3E"/>
    <w:rsid w:val="3B8B5730"/>
    <w:rsid w:val="3B9EB162"/>
    <w:rsid w:val="3BB03EA1"/>
    <w:rsid w:val="3BC751DB"/>
    <w:rsid w:val="3BED042C"/>
    <w:rsid w:val="3BF32D1F"/>
    <w:rsid w:val="3BF4434D"/>
    <w:rsid w:val="3BF9FF42"/>
    <w:rsid w:val="3BFF9F95"/>
    <w:rsid w:val="3C0E2679"/>
    <w:rsid w:val="3C1B03FB"/>
    <w:rsid w:val="3C53062C"/>
    <w:rsid w:val="3C533473"/>
    <w:rsid w:val="3C597D99"/>
    <w:rsid w:val="3C7F7112"/>
    <w:rsid w:val="3C8360C6"/>
    <w:rsid w:val="3CD31F26"/>
    <w:rsid w:val="3CD411CD"/>
    <w:rsid w:val="3CF36340"/>
    <w:rsid w:val="3CF7E3B0"/>
    <w:rsid w:val="3CF82AFD"/>
    <w:rsid w:val="3CFEEF0F"/>
    <w:rsid w:val="3D0F1F89"/>
    <w:rsid w:val="3D294FCA"/>
    <w:rsid w:val="3D5A150F"/>
    <w:rsid w:val="3D6469F5"/>
    <w:rsid w:val="3D6755F6"/>
    <w:rsid w:val="3D6E7FBC"/>
    <w:rsid w:val="3DBE0B4C"/>
    <w:rsid w:val="3DCB0822"/>
    <w:rsid w:val="3DCE7D24"/>
    <w:rsid w:val="3DDF4EEE"/>
    <w:rsid w:val="3DF1C583"/>
    <w:rsid w:val="3DFB3E59"/>
    <w:rsid w:val="3DFDC9C9"/>
    <w:rsid w:val="3E334050"/>
    <w:rsid w:val="3E541B20"/>
    <w:rsid w:val="3E5B14DD"/>
    <w:rsid w:val="3E5C2E71"/>
    <w:rsid w:val="3E617D59"/>
    <w:rsid w:val="3E6F38A3"/>
    <w:rsid w:val="3E7C7D6E"/>
    <w:rsid w:val="3E834880"/>
    <w:rsid w:val="3EBBE5D2"/>
    <w:rsid w:val="3EFCCBA9"/>
    <w:rsid w:val="3EFE614D"/>
    <w:rsid w:val="3EFEF4BD"/>
    <w:rsid w:val="3F3B5533"/>
    <w:rsid w:val="3F486D87"/>
    <w:rsid w:val="3F4E607F"/>
    <w:rsid w:val="3F4F42A7"/>
    <w:rsid w:val="3F5A4F0B"/>
    <w:rsid w:val="3F5A676C"/>
    <w:rsid w:val="3F62B0A3"/>
    <w:rsid w:val="3F6397C0"/>
    <w:rsid w:val="3F779E02"/>
    <w:rsid w:val="3F7D3F26"/>
    <w:rsid w:val="3F7F9605"/>
    <w:rsid w:val="3FB3156E"/>
    <w:rsid w:val="3FB35A36"/>
    <w:rsid w:val="3FB76A2C"/>
    <w:rsid w:val="3FBD6026"/>
    <w:rsid w:val="3FCDC299"/>
    <w:rsid w:val="3FCEED26"/>
    <w:rsid w:val="3FDB33AC"/>
    <w:rsid w:val="3FDE717E"/>
    <w:rsid w:val="3FDF239A"/>
    <w:rsid w:val="3FDFFAB3"/>
    <w:rsid w:val="3FE78F4C"/>
    <w:rsid w:val="3FECD332"/>
    <w:rsid w:val="3FEEE840"/>
    <w:rsid w:val="3FFD2EB9"/>
    <w:rsid w:val="3FFDCF2F"/>
    <w:rsid w:val="3FFE09CF"/>
    <w:rsid w:val="3FFE0F59"/>
    <w:rsid w:val="3FFE71BE"/>
    <w:rsid w:val="3FFF61E2"/>
    <w:rsid w:val="40393B44"/>
    <w:rsid w:val="406010FB"/>
    <w:rsid w:val="40D7737E"/>
    <w:rsid w:val="40E00745"/>
    <w:rsid w:val="411E793B"/>
    <w:rsid w:val="413F3586"/>
    <w:rsid w:val="415820EB"/>
    <w:rsid w:val="4171348E"/>
    <w:rsid w:val="41C01FF7"/>
    <w:rsid w:val="41E80D5B"/>
    <w:rsid w:val="41F315F0"/>
    <w:rsid w:val="42482511"/>
    <w:rsid w:val="425A0F71"/>
    <w:rsid w:val="42864D18"/>
    <w:rsid w:val="42B1052C"/>
    <w:rsid w:val="42F563BE"/>
    <w:rsid w:val="42F82A49"/>
    <w:rsid w:val="42FF4ACA"/>
    <w:rsid w:val="43090FA9"/>
    <w:rsid w:val="432B58BF"/>
    <w:rsid w:val="432D197A"/>
    <w:rsid w:val="43510C4C"/>
    <w:rsid w:val="43737125"/>
    <w:rsid w:val="4376F5CB"/>
    <w:rsid w:val="43A708F0"/>
    <w:rsid w:val="43B5478E"/>
    <w:rsid w:val="43BE25BE"/>
    <w:rsid w:val="43C66112"/>
    <w:rsid w:val="43CE4CBB"/>
    <w:rsid w:val="44217FF5"/>
    <w:rsid w:val="447F5EC2"/>
    <w:rsid w:val="44AD7BC1"/>
    <w:rsid w:val="44B70D69"/>
    <w:rsid w:val="44D90E74"/>
    <w:rsid w:val="44EC7D78"/>
    <w:rsid w:val="45285204"/>
    <w:rsid w:val="452D3B70"/>
    <w:rsid w:val="452D591E"/>
    <w:rsid w:val="459C013A"/>
    <w:rsid w:val="45A17CC5"/>
    <w:rsid w:val="45BC6CA2"/>
    <w:rsid w:val="462F148B"/>
    <w:rsid w:val="46321496"/>
    <w:rsid w:val="464C7847"/>
    <w:rsid w:val="46BA58D8"/>
    <w:rsid w:val="46E75162"/>
    <w:rsid w:val="46FB037F"/>
    <w:rsid w:val="47013FF5"/>
    <w:rsid w:val="4717175D"/>
    <w:rsid w:val="474D621D"/>
    <w:rsid w:val="478E5712"/>
    <w:rsid w:val="47937AD7"/>
    <w:rsid w:val="47961EA1"/>
    <w:rsid w:val="47BDACAC"/>
    <w:rsid w:val="47CA2731"/>
    <w:rsid w:val="47DE7EE8"/>
    <w:rsid w:val="47ED2D5B"/>
    <w:rsid w:val="481A184C"/>
    <w:rsid w:val="48205C0E"/>
    <w:rsid w:val="482E3254"/>
    <w:rsid w:val="486FB1D0"/>
    <w:rsid w:val="487F78EF"/>
    <w:rsid w:val="48853CC3"/>
    <w:rsid w:val="48CC108D"/>
    <w:rsid w:val="48E409EA"/>
    <w:rsid w:val="48FF54C6"/>
    <w:rsid w:val="49077584"/>
    <w:rsid w:val="491C71E5"/>
    <w:rsid w:val="491C794F"/>
    <w:rsid w:val="49773515"/>
    <w:rsid w:val="497C2D21"/>
    <w:rsid w:val="497F532E"/>
    <w:rsid w:val="499A16F3"/>
    <w:rsid w:val="49F71731"/>
    <w:rsid w:val="4A082D0D"/>
    <w:rsid w:val="4A227A1C"/>
    <w:rsid w:val="4A2E7EDB"/>
    <w:rsid w:val="4A906FE0"/>
    <w:rsid w:val="4A96265D"/>
    <w:rsid w:val="4A98521F"/>
    <w:rsid w:val="4AB5384C"/>
    <w:rsid w:val="4AB70571"/>
    <w:rsid w:val="4AC477B3"/>
    <w:rsid w:val="4AC568D9"/>
    <w:rsid w:val="4ADF3CAD"/>
    <w:rsid w:val="4AE504FE"/>
    <w:rsid w:val="4B2E6AD5"/>
    <w:rsid w:val="4B3027D5"/>
    <w:rsid w:val="4B3908DD"/>
    <w:rsid w:val="4B8D612B"/>
    <w:rsid w:val="4BB85BF2"/>
    <w:rsid w:val="4BBC5C4E"/>
    <w:rsid w:val="4BEB208F"/>
    <w:rsid w:val="4BFECABF"/>
    <w:rsid w:val="4C161994"/>
    <w:rsid w:val="4C2E37C9"/>
    <w:rsid w:val="4C37699C"/>
    <w:rsid w:val="4C465518"/>
    <w:rsid w:val="4C5A3F2F"/>
    <w:rsid w:val="4C724422"/>
    <w:rsid w:val="4C787DC7"/>
    <w:rsid w:val="4C8A5D4C"/>
    <w:rsid w:val="4C8C53B1"/>
    <w:rsid w:val="4CA612AD"/>
    <w:rsid w:val="4CCE5C39"/>
    <w:rsid w:val="4D054A99"/>
    <w:rsid w:val="4D0E1E95"/>
    <w:rsid w:val="4D183358"/>
    <w:rsid w:val="4D453A21"/>
    <w:rsid w:val="4D64034B"/>
    <w:rsid w:val="4D6804C6"/>
    <w:rsid w:val="4DAD14D8"/>
    <w:rsid w:val="4DAE26E6"/>
    <w:rsid w:val="4DBF0FF1"/>
    <w:rsid w:val="4DE76116"/>
    <w:rsid w:val="4DF327A1"/>
    <w:rsid w:val="4E031912"/>
    <w:rsid w:val="4E1A31AD"/>
    <w:rsid w:val="4E1B4AE0"/>
    <w:rsid w:val="4E5151A3"/>
    <w:rsid w:val="4EC46BBF"/>
    <w:rsid w:val="4EDB463D"/>
    <w:rsid w:val="4EEF78F4"/>
    <w:rsid w:val="4EFEE965"/>
    <w:rsid w:val="4F3065DF"/>
    <w:rsid w:val="4F5B273D"/>
    <w:rsid w:val="4F760C0C"/>
    <w:rsid w:val="4F994BD7"/>
    <w:rsid w:val="4F9A46E8"/>
    <w:rsid w:val="4F9D31CA"/>
    <w:rsid w:val="4F9FC119"/>
    <w:rsid w:val="4FA40ED3"/>
    <w:rsid w:val="4FDBE75C"/>
    <w:rsid w:val="4FDF0659"/>
    <w:rsid w:val="4FF94F92"/>
    <w:rsid w:val="4FFBB516"/>
    <w:rsid w:val="502A762A"/>
    <w:rsid w:val="502C78BD"/>
    <w:rsid w:val="503C3AA2"/>
    <w:rsid w:val="50403624"/>
    <w:rsid w:val="50447FC0"/>
    <w:rsid w:val="50546455"/>
    <w:rsid w:val="50A078EC"/>
    <w:rsid w:val="50B13A11"/>
    <w:rsid w:val="50DB26D2"/>
    <w:rsid w:val="50DE21C3"/>
    <w:rsid w:val="50EE4E08"/>
    <w:rsid w:val="5178251A"/>
    <w:rsid w:val="518002D4"/>
    <w:rsid w:val="51914954"/>
    <w:rsid w:val="51BA3537"/>
    <w:rsid w:val="51F928E3"/>
    <w:rsid w:val="52010237"/>
    <w:rsid w:val="52397095"/>
    <w:rsid w:val="52492E45"/>
    <w:rsid w:val="5263104F"/>
    <w:rsid w:val="52707792"/>
    <w:rsid w:val="527D3B4E"/>
    <w:rsid w:val="52B50B69"/>
    <w:rsid w:val="52E07F12"/>
    <w:rsid w:val="52E962D5"/>
    <w:rsid w:val="52F5596A"/>
    <w:rsid w:val="52F82D3C"/>
    <w:rsid w:val="533F1412"/>
    <w:rsid w:val="53500E5A"/>
    <w:rsid w:val="53663BAE"/>
    <w:rsid w:val="536A2AC1"/>
    <w:rsid w:val="53971665"/>
    <w:rsid w:val="53A05E55"/>
    <w:rsid w:val="53A741DD"/>
    <w:rsid w:val="53C75B65"/>
    <w:rsid w:val="53D60E36"/>
    <w:rsid w:val="53FE6180"/>
    <w:rsid w:val="541F6D7A"/>
    <w:rsid w:val="5427219D"/>
    <w:rsid w:val="547215A0"/>
    <w:rsid w:val="548A1708"/>
    <w:rsid w:val="548E5CAE"/>
    <w:rsid w:val="54973F96"/>
    <w:rsid w:val="54BB5844"/>
    <w:rsid w:val="54BE1A66"/>
    <w:rsid w:val="553E73B3"/>
    <w:rsid w:val="55510A45"/>
    <w:rsid w:val="555824E5"/>
    <w:rsid w:val="559B299D"/>
    <w:rsid w:val="559E0B25"/>
    <w:rsid w:val="55AF7BDE"/>
    <w:rsid w:val="55B044A8"/>
    <w:rsid w:val="55BE58D0"/>
    <w:rsid w:val="55F05BDE"/>
    <w:rsid w:val="56005040"/>
    <w:rsid w:val="56050C4F"/>
    <w:rsid w:val="56384C51"/>
    <w:rsid w:val="563C024F"/>
    <w:rsid w:val="5661367A"/>
    <w:rsid w:val="566413BC"/>
    <w:rsid w:val="568B2843"/>
    <w:rsid w:val="56E60023"/>
    <w:rsid w:val="56EB3536"/>
    <w:rsid w:val="56F11D71"/>
    <w:rsid w:val="570FE456"/>
    <w:rsid w:val="57195870"/>
    <w:rsid w:val="57250B4B"/>
    <w:rsid w:val="572C7C98"/>
    <w:rsid w:val="578FF71E"/>
    <w:rsid w:val="57A33EBB"/>
    <w:rsid w:val="57CB28F5"/>
    <w:rsid w:val="57CF603D"/>
    <w:rsid w:val="57E2524C"/>
    <w:rsid w:val="57F74BE3"/>
    <w:rsid w:val="57FFF7A0"/>
    <w:rsid w:val="580A147C"/>
    <w:rsid w:val="581E0DEB"/>
    <w:rsid w:val="582238BC"/>
    <w:rsid w:val="586B53D8"/>
    <w:rsid w:val="58734F65"/>
    <w:rsid w:val="58970C8E"/>
    <w:rsid w:val="58A65E23"/>
    <w:rsid w:val="59062983"/>
    <w:rsid w:val="593030BB"/>
    <w:rsid w:val="59617E35"/>
    <w:rsid w:val="597EB301"/>
    <w:rsid w:val="59B56DA9"/>
    <w:rsid w:val="59BFBDAF"/>
    <w:rsid w:val="59C04B5B"/>
    <w:rsid w:val="59D83639"/>
    <w:rsid w:val="59E7815E"/>
    <w:rsid w:val="5A2613A8"/>
    <w:rsid w:val="5A484AC1"/>
    <w:rsid w:val="5A5D3AF6"/>
    <w:rsid w:val="5AA219DE"/>
    <w:rsid w:val="5AA71877"/>
    <w:rsid w:val="5AA94C5A"/>
    <w:rsid w:val="5AC642F3"/>
    <w:rsid w:val="5AED71E7"/>
    <w:rsid w:val="5AF7DC83"/>
    <w:rsid w:val="5AFD676A"/>
    <w:rsid w:val="5B0B35C6"/>
    <w:rsid w:val="5B457BE5"/>
    <w:rsid w:val="5B679753"/>
    <w:rsid w:val="5B7F01A8"/>
    <w:rsid w:val="5B8F9460"/>
    <w:rsid w:val="5B9C6ECB"/>
    <w:rsid w:val="5BB862A9"/>
    <w:rsid w:val="5BD82630"/>
    <w:rsid w:val="5BD96383"/>
    <w:rsid w:val="5BE32D83"/>
    <w:rsid w:val="5BE79CB2"/>
    <w:rsid w:val="5BE7F760"/>
    <w:rsid w:val="5BF39E94"/>
    <w:rsid w:val="5BF93666"/>
    <w:rsid w:val="5C277114"/>
    <w:rsid w:val="5C724DE8"/>
    <w:rsid w:val="5CBB2FE4"/>
    <w:rsid w:val="5CBBFACD"/>
    <w:rsid w:val="5CC315AF"/>
    <w:rsid w:val="5CD04A76"/>
    <w:rsid w:val="5CE40E00"/>
    <w:rsid w:val="5CFD1C22"/>
    <w:rsid w:val="5D192F00"/>
    <w:rsid w:val="5D2732DD"/>
    <w:rsid w:val="5D301FF8"/>
    <w:rsid w:val="5D340CDF"/>
    <w:rsid w:val="5D4D7AA3"/>
    <w:rsid w:val="5D5932FD"/>
    <w:rsid w:val="5D8E17DA"/>
    <w:rsid w:val="5DAE40EE"/>
    <w:rsid w:val="5DB287E7"/>
    <w:rsid w:val="5DBB178B"/>
    <w:rsid w:val="5DCF5080"/>
    <w:rsid w:val="5DDB2191"/>
    <w:rsid w:val="5DE63AAD"/>
    <w:rsid w:val="5DED09C6"/>
    <w:rsid w:val="5DEF9A2A"/>
    <w:rsid w:val="5DF20DDC"/>
    <w:rsid w:val="5DF22D33"/>
    <w:rsid w:val="5E0B2C9C"/>
    <w:rsid w:val="5E1358D5"/>
    <w:rsid w:val="5E225DE5"/>
    <w:rsid w:val="5E3311D0"/>
    <w:rsid w:val="5E3FEC27"/>
    <w:rsid w:val="5E5CE77E"/>
    <w:rsid w:val="5E734F09"/>
    <w:rsid w:val="5E7AE749"/>
    <w:rsid w:val="5E87CAFE"/>
    <w:rsid w:val="5EAF683A"/>
    <w:rsid w:val="5ED167B4"/>
    <w:rsid w:val="5EDD9B78"/>
    <w:rsid w:val="5EFE551B"/>
    <w:rsid w:val="5EFE6C4F"/>
    <w:rsid w:val="5EFF2422"/>
    <w:rsid w:val="5F1F018B"/>
    <w:rsid w:val="5F4B3479"/>
    <w:rsid w:val="5F4C6A45"/>
    <w:rsid w:val="5F671FB6"/>
    <w:rsid w:val="5F6B7317"/>
    <w:rsid w:val="5F6D10AF"/>
    <w:rsid w:val="5F7F8424"/>
    <w:rsid w:val="5F857B8E"/>
    <w:rsid w:val="5F9A9842"/>
    <w:rsid w:val="5F9D6D44"/>
    <w:rsid w:val="5FBE5F8C"/>
    <w:rsid w:val="5FC3E0C2"/>
    <w:rsid w:val="5FD39F6E"/>
    <w:rsid w:val="5FE54A4A"/>
    <w:rsid w:val="5FE70EFC"/>
    <w:rsid w:val="5FEF5AE3"/>
    <w:rsid w:val="5FEF9CDF"/>
    <w:rsid w:val="5FF46B4D"/>
    <w:rsid w:val="5FF4AC98"/>
    <w:rsid w:val="5FF98158"/>
    <w:rsid w:val="5FFE5E75"/>
    <w:rsid w:val="5FFF095F"/>
    <w:rsid w:val="5FFF9503"/>
    <w:rsid w:val="5FFFB3F9"/>
    <w:rsid w:val="60010C0C"/>
    <w:rsid w:val="600449FA"/>
    <w:rsid w:val="60641CD3"/>
    <w:rsid w:val="606E64DC"/>
    <w:rsid w:val="609D5BF6"/>
    <w:rsid w:val="60C80723"/>
    <w:rsid w:val="60C82547"/>
    <w:rsid w:val="60F656FF"/>
    <w:rsid w:val="60FF240D"/>
    <w:rsid w:val="610606BB"/>
    <w:rsid w:val="6110489C"/>
    <w:rsid w:val="61175E6E"/>
    <w:rsid w:val="616C7377"/>
    <w:rsid w:val="61850089"/>
    <w:rsid w:val="61A41083"/>
    <w:rsid w:val="61DC301F"/>
    <w:rsid w:val="61F44573"/>
    <w:rsid w:val="621B3277"/>
    <w:rsid w:val="62272806"/>
    <w:rsid w:val="62311B55"/>
    <w:rsid w:val="62466788"/>
    <w:rsid w:val="62471074"/>
    <w:rsid w:val="626546FC"/>
    <w:rsid w:val="627273E6"/>
    <w:rsid w:val="62864468"/>
    <w:rsid w:val="628F0723"/>
    <w:rsid w:val="629833BF"/>
    <w:rsid w:val="62A01AD4"/>
    <w:rsid w:val="62C25AB2"/>
    <w:rsid w:val="62E222FC"/>
    <w:rsid w:val="62E505AE"/>
    <w:rsid w:val="62FD472A"/>
    <w:rsid w:val="63343CD5"/>
    <w:rsid w:val="633D0802"/>
    <w:rsid w:val="63525F52"/>
    <w:rsid w:val="636D2A83"/>
    <w:rsid w:val="63957059"/>
    <w:rsid w:val="63971320"/>
    <w:rsid w:val="63B7BAFE"/>
    <w:rsid w:val="63D93361"/>
    <w:rsid w:val="63F7ED2C"/>
    <w:rsid w:val="63FAD0E4"/>
    <w:rsid w:val="641730DD"/>
    <w:rsid w:val="643C1EFF"/>
    <w:rsid w:val="64475C36"/>
    <w:rsid w:val="645226B3"/>
    <w:rsid w:val="64567BEE"/>
    <w:rsid w:val="64607054"/>
    <w:rsid w:val="646D2B18"/>
    <w:rsid w:val="64CF65A3"/>
    <w:rsid w:val="650049A6"/>
    <w:rsid w:val="651F4D8E"/>
    <w:rsid w:val="65567E1B"/>
    <w:rsid w:val="655D2EE6"/>
    <w:rsid w:val="656B612C"/>
    <w:rsid w:val="657B7B7F"/>
    <w:rsid w:val="657F6A92"/>
    <w:rsid w:val="657FA36C"/>
    <w:rsid w:val="65847EE1"/>
    <w:rsid w:val="65A11CE5"/>
    <w:rsid w:val="65AA12F0"/>
    <w:rsid w:val="65B14984"/>
    <w:rsid w:val="65DDFDD6"/>
    <w:rsid w:val="65ED47D1"/>
    <w:rsid w:val="65F12C91"/>
    <w:rsid w:val="65F242EE"/>
    <w:rsid w:val="65FF9DC4"/>
    <w:rsid w:val="6626335E"/>
    <w:rsid w:val="66296BEB"/>
    <w:rsid w:val="662E0539"/>
    <w:rsid w:val="66407393"/>
    <w:rsid w:val="66655079"/>
    <w:rsid w:val="667F7D1C"/>
    <w:rsid w:val="668D2028"/>
    <w:rsid w:val="668E41E0"/>
    <w:rsid w:val="668F3A2D"/>
    <w:rsid w:val="66A63D1B"/>
    <w:rsid w:val="66B246F0"/>
    <w:rsid w:val="66C051B1"/>
    <w:rsid w:val="66DBCBCD"/>
    <w:rsid w:val="66EA092B"/>
    <w:rsid w:val="66F5632C"/>
    <w:rsid w:val="66F62AFD"/>
    <w:rsid w:val="66F64F9F"/>
    <w:rsid w:val="670422A5"/>
    <w:rsid w:val="674716FE"/>
    <w:rsid w:val="6748042E"/>
    <w:rsid w:val="6751610D"/>
    <w:rsid w:val="67535261"/>
    <w:rsid w:val="676FCD6E"/>
    <w:rsid w:val="6773E8F3"/>
    <w:rsid w:val="679860EF"/>
    <w:rsid w:val="67C86B85"/>
    <w:rsid w:val="67D848D5"/>
    <w:rsid w:val="67E33A56"/>
    <w:rsid w:val="67E65745"/>
    <w:rsid w:val="67FF98FD"/>
    <w:rsid w:val="6805233D"/>
    <w:rsid w:val="68082298"/>
    <w:rsid w:val="682126B4"/>
    <w:rsid w:val="68447EF6"/>
    <w:rsid w:val="6855610D"/>
    <w:rsid w:val="687F2B95"/>
    <w:rsid w:val="68A061E3"/>
    <w:rsid w:val="68CD0CA0"/>
    <w:rsid w:val="68F24DC2"/>
    <w:rsid w:val="68FD817F"/>
    <w:rsid w:val="69004F52"/>
    <w:rsid w:val="69140B5C"/>
    <w:rsid w:val="6917406C"/>
    <w:rsid w:val="691A3CCE"/>
    <w:rsid w:val="694F3806"/>
    <w:rsid w:val="69667EC4"/>
    <w:rsid w:val="69713C44"/>
    <w:rsid w:val="698C2294"/>
    <w:rsid w:val="69CC30A8"/>
    <w:rsid w:val="69E95A08"/>
    <w:rsid w:val="69FC6AC2"/>
    <w:rsid w:val="6A086C50"/>
    <w:rsid w:val="6A922E6E"/>
    <w:rsid w:val="6AC0173A"/>
    <w:rsid w:val="6ACB609A"/>
    <w:rsid w:val="6AFB1985"/>
    <w:rsid w:val="6B171DE0"/>
    <w:rsid w:val="6B292E9C"/>
    <w:rsid w:val="6B5307C5"/>
    <w:rsid w:val="6B79AA8F"/>
    <w:rsid w:val="6B7C465A"/>
    <w:rsid w:val="6B7E88ED"/>
    <w:rsid w:val="6B923E7E"/>
    <w:rsid w:val="6BCD4B2B"/>
    <w:rsid w:val="6BF64A6F"/>
    <w:rsid w:val="6BFA3EFD"/>
    <w:rsid w:val="6BFD7ACD"/>
    <w:rsid w:val="6BFFAB65"/>
    <w:rsid w:val="6BFFD927"/>
    <w:rsid w:val="6C1C4674"/>
    <w:rsid w:val="6C2947E2"/>
    <w:rsid w:val="6C330CB8"/>
    <w:rsid w:val="6C3FAB14"/>
    <w:rsid w:val="6C5445AC"/>
    <w:rsid w:val="6C8B2DA7"/>
    <w:rsid w:val="6CC91B21"/>
    <w:rsid w:val="6CDF5C58"/>
    <w:rsid w:val="6CE614D6"/>
    <w:rsid w:val="6CED3C8A"/>
    <w:rsid w:val="6D535C01"/>
    <w:rsid w:val="6D5D0BE7"/>
    <w:rsid w:val="6D946D06"/>
    <w:rsid w:val="6D985DE1"/>
    <w:rsid w:val="6D9D07BB"/>
    <w:rsid w:val="6DB28F0C"/>
    <w:rsid w:val="6DCC7033"/>
    <w:rsid w:val="6DEB4065"/>
    <w:rsid w:val="6DED2A65"/>
    <w:rsid w:val="6DF1621C"/>
    <w:rsid w:val="6DF66475"/>
    <w:rsid w:val="6DF7A619"/>
    <w:rsid w:val="6DFA6436"/>
    <w:rsid w:val="6DFBB71B"/>
    <w:rsid w:val="6E3B4F9B"/>
    <w:rsid w:val="6E6D51E7"/>
    <w:rsid w:val="6E9C74ED"/>
    <w:rsid w:val="6ECD4683"/>
    <w:rsid w:val="6EE9778A"/>
    <w:rsid w:val="6EE9D17F"/>
    <w:rsid w:val="6F070DFD"/>
    <w:rsid w:val="6F09553B"/>
    <w:rsid w:val="6F2B4B68"/>
    <w:rsid w:val="6F2B6AC3"/>
    <w:rsid w:val="6F2D0972"/>
    <w:rsid w:val="6F3E2CFE"/>
    <w:rsid w:val="6F597AA1"/>
    <w:rsid w:val="6F5E29F5"/>
    <w:rsid w:val="6F771D08"/>
    <w:rsid w:val="6F885CC3"/>
    <w:rsid w:val="6F8B3406"/>
    <w:rsid w:val="6F8B96A6"/>
    <w:rsid w:val="6F8D71F0"/>
    <w:rsid w:val="6F9DE25C"/>
    <w:rsid w:val="6FBB4203"/>
    <w:rsid w:val="6FBBE756"/>
    <w:rsid w:val="6FBF37F7"/>
    <w:rsid w:val="6FBF4864"/>
    <w:rsid w:val="6FCE61BD"/>
    <w:rsid w:val="6FD79E4B"/>
    <w:rsid w:val="6FDE6714"/>
    <w:rsid w:val="6FDE8880"/>
    <w:rsid w:val="6FDFA1C0"/>
    <w:rsid w:val="6FDFCCB1"/>
    <w:rsid w:val="6FEE4ACD"/>
    <w:rsid w:val="6FEFC91D"/>
    <w:rsid w:val="6FFE06DC"/>
    <w:rsid w:val="6FFE510F"/>
    <w:rsid w:val="6FFF03F3"/>
    <w:rsid w:val="6FFF2E5A"/>
    <w:rsid w:val="6FFF61EB"/>
    <w:rsid w:val="6FFF93D2"/>
    <w:rsid w:val="70076BE8"/>
    <w:rsid w:val="701E26CF"/>
    <w:rsid w:val="704835FC"/>
    <w:rsid w:val="70F353BF"/>
    <w:rsid w:val="71495B9C"/>
    <w:rsid w:val="717B6A90"/>
    <w:rsid w:val="718E152E"/>
    <w:rsid w:val="71A11066"/>
    <w:rsid w:val="71AB5C99"/>
    <w:rsid w:val="71BDE798"/>
    <w:rsid w:val="71C52A01"/>
    <w:rsid w:val="71D27ECE"/>
    <w:rsid w:val="71D40D4C"/>
    <w:rsid w:val="71ED2368"/>
    <w:rsid w:val="72117BE8"/>
    <w:rsid w:val="723D5A07"/>
    <w:rsid w:val="72440ACF"/>
    <w:rsid w:val="724800A1"/>
    <w:rsid w:val="724C2FD8"/>
    <w:rsid w:val="72803F7F"/>
    <w:rsid w:val="729F135A"/>
    <w:rsid w:val="72A13D86"/>
    <w:rsid w:val="72BF2850"/>
    <w:rsid w:val="72E9ACF4"/>
    <w:rsid w:val="72F00BEB"/>
    <w:rsid w:val="72F75611"/>
    <w:rsid w:val="72FA02C7"/>
    <w:rsid w:val="731E1C41"/>
    <w:rsid w:val="732E6B82"/>
    <w:rsid w:val="7344320D"/>
    <w:rsid w:val="73493756"/>
    <w:rsid w:val="73577500"/>
    <w:rsid w:val="735F1F95"/>
    <w:rsid w:val="737779B6"/>
    <w:rsid w:val="738D38A8"/>
    <w:rsid w:val="73B61B44"/>
    <w:rsid w:val="73C47F1D"/>
    <w:rsid w:val="73CC612C"/>
    <w:rsid w:val="73E4D9B1"/>
    <w:rsid w:val="73F561A0"/>
    <w:rsid w:val="743F5758"/>
    <w:rsid w:val="7479207F"/>
    <w:rsid w:val="747E61FB"/>
    <w:rsid w:val="749A6A33"/>
    <w:rsid w:val="74BB0398"/>
    <w:rsid w:val="74D75ED8"/>
    <w:rsid w:val="74EC2851"/>
    <w:rsid w:val="74F31E31"/>
    <w:rsid w:val="75260595"/>
    <w:rsid w:val="753530F5"/>
    <w:rsid w:val="75385A96"/>
    <w:rsid w:val="753C5F35"/>
    <w:rsid w:val="756036A9"/>
    <w:rsid w:val="75607568"/>
    <w:rsid w:val="75812F99"/>
    <w:rsid w:val="75907680"/>
    <w:rsid w:val="75A4656B"/>
    <w:rsid w:val="75C31803"/>
    <w:rsid w:val="75DB5471"/>
    <w:rsid w:val="75E11C8A"/>
    <w:rsid w:val="75FF7CB1"/>
    <w:rsid w:val="761C12FD"/>
    <w:rsid w:val="76206532"/>
    <w:rsid w:val="769E221E"/>
    <w:rsid w:val="769F4550"/>
    <w:rsid w:val="76BEDC27"/>
    <w:rsid w:val="76C15EAD"/>
    <w:rsid w:val="76DB5A4E"/>
    <w:rsid w:val="76E82FD5"/>
    <w:rsid w:val="76ECDCB8"/>
    <w:rsid w:val="76FF7C98"/>
    <w:rsid w:val="771FC46D"/>
    <w:rsid w:val="772ECBE3"/>
    <w:rsid w:val="773B8689"/>
    <w:rsid w:val="773D55E5"/>
    <w:rsid w:val="775BC2E3"/>
    <w:rsid w:val="775D138B"/>
    <w:rsid w:val="77632FEC"/>
    <w:rsid w:val="77674B55"/>
    <w:rsid w:val="776E5142"/>
    <w:rsid w:val="776F86A9"/>
    <w:rsid w:val="77905715"/>
    <w:rsid w:val="779A2714"/>
    <w:rsid w:val="77A4719A"/>
    <w:rsid w:val="77A6B0EC"/>
    <w:rsid w:val="77B9B0C1"/>
    <w:rsid w:val="77D56EFF"/>
    <w:rsid w:val="77D5F5D1"/>
    <w:rsid w:val="77DD5E58"/>
    <w:rsid w:val="77EFB7DB"/>
    <w:rsid w:val="77F05E5C"/>
    <w:rsid w:val="77F4039A"/>
    <w:rsid w:val="77F71ABD"/>
    <w:rsid w:val="77FD261C"/>
    <w:rsid w:val="77FF2132"/>
    <w:rsid w:val="77FFA601"/>
    <w:rsid w:val="78186E47"/>
    <w:rsid w:val="78253E41"/>
    <w:rsid w:val="78450824"/>
    <w:rsid w:val="78812463"/>
    <w:rsid w:val="78916E6C"/>
    <w:rsid w:val="78D01A6F"/>
    <w:rsid w:val="78E421BD"/>
    <w:rsid w:val="78F581DA"/>
    <w:rsid w:val="78FE7584"/>
    <w:rsid w:val="78FFD7C2"/>
    <w:rsid w:val="79084F07"/>
    <w:rsid w:val="79147AE0"/>
    <w:rsid w:val="793FE45D"/>
    <w:rsid w:val="79413E56"/>
    <w:rsid w:val="796A42B2"/>
    <w:rsid w:val="796D454F"/>
    <w:rsid w:val="798F1AF1"/>
    <w:rsid w:val="79910FC0"/>
    <w:rsid w:val="79A17CF4"/>
    <w:rsid w:val="79ACD51A"/>
    <w:rsid w:val="79BF71B9"/>
    <w:rsid w:val="79C01DAA"/>
    <w:rsid w:val="79D96C01"/>
    <w:rsid w:val="79E415BB"/>
    <w:rsid w:val="79ED5230"/>
    <w:rsid w:val="79F6EACB"/>
    <w:rsid w:val="79FD51F1"/>
    <w:rsid w:val="7A1669D2"/>
    <w:rsid w:val="7A187C44"/>
    <w:rsid w:val="7A32426B"/>
    <w:rsid w:val="7A806AF9"/>
    <w:rsid w:val="7A810770"/>
    <w:rsid w:val="7A9E5FB6"/>
    <w:rsid w:val="7AA86C83"/>
    <w:rsid w:val="7AB9B43B"/>
    <w:rsid w:val="7ABC5759"/>
    <w:rsid w:val="7AD39BC2"/>
    <w:rsid w:val="7AD81BC9"/>
    <w:rsid w:val="7ADF999D"/>
    <w:rsid w:val="7AE069B4"/>
    <w:rsid w:val="7AE10F1D"/>
    <w:rsid w:val="7AEB31F6"/>
    <w:rsid w:val="7AED6B70"/>
    <w:rsid w:val="7AEE2BF2"/>
    <w:rsid w:val="7AFB7C1C"/>
    <w:rsid w:val="7B052E72"/>
    <w:rsid w:val="7B1B34C7"/>
    <w:rsid w:val="7B571232"/>
    <w:rsid w:val="7B595F4D"/>
    <w:rsid w:val="7B7A2B95"/>
    <w:rsid w:val="7BB769BD"/>
    <w:rsid w:val="7BBFA3D3"/>
    <w:rsid w:val="7BCB2AD0"/>
    <w:rsid w:val="7BF4E965"/>
    <w:rsid w:val="7BF521E9"/>
    <w:rsid w:val="7BF62FAC"/>
    <w:rsid w:val="7BFD1618"/>
    <w:rsid w:val="7BFEE41C"/>
    <w:rsid w:val="7C12710A"/>
    <w:rsid w:val="7C251548"/>
    <w:rsid w:val="7C2FBC68"/>
    <w:rsid w:val="7C783E6A"/>
    <w:rsid w:val="7C7FDA07"/>
    <w:rsid w:val="7C8543F1"/>
    <w:rsid w:val="7C9B6AAB"/>
    <w:rsid w:val="7CB5108C"/>
    <w:rsid w:val="7CC07C4C"/>
    <w:rsid w:val="7CED9261"/>
    <w:rsid w:val="7CFF3847"/>
    <w:rsid w:val="7CFF6500"/>
    <w:rsid w:val="7D0D702C"/>
    <w:rsid w:val="7D1A1F06"/>
    <w:rsid w:val="7D6F2C76"/>
    <w:rsid w:val="7D6FCE77"/>
    <w:rsid w:val="7D7F7B67"/>
    <w:rsid w:val="7D893462"/>
    <w:rsid w:val="7D9C4987"/>
    <w:rsid w:val="7DAA3FF0"/>
    <w:rsid w:val="7DBF5ED9"/>
    <w:rsid w:val="7DD12FF3"/>
    <w:rsid w:val="7DE7680A"/>
    <w:rsid w:val="7DEF3E29"/>
    <w:rsid w:val="7DFAE672"/>
    <w:rsid w:val="7DFD5AF9"/>
    <w:rsid w:val="7DFF1F99"/>
    <w:rsid w:val="7E01111B"/>
    <w:rsid w:val="7E14799E"/>
    <w:rsid w:val="7E3E2F52"/>
    <w:rsid w:val="7E3E5306"/>
    <w:rsid w:val="7E3F39F1"/>
    <w:rsid w:val="7E464D80"/>
    <w:rsid w:val="7E6817D6"/>
    <w:rsid w:val="7EA72A07"/>
    <w:rsid w:val="7EAD0735"/>
    <w:rsid w:val="7EBC6EE8"/>
    <w:rsid w:val="7EBD0ECD"/>
    <w:rsid w:val="7EBF0C47"/>
    <w:rsid w:val="7EBF3D01"/>
    <w:rsid w:val="7ED097AB"/>
    <w:rsid w:val="7ED237A2"/>
    <w:rsid w:val="7EDC1B88"/>
    <w:rsid w:val="7EDC3936"/>
    <w:rsid w:val="7EE6DD14"/>
    <w:rsid w:val="7EE87B37"/>
    <w:rsid w:val="7EEA4CC4"/>
    <w:rsid w:val="7EEB9FC8"/>
    <w:rsid w:val="7EFDC041"/>
    <w:rsid w:val="7EFF872B"/>
    <w:rsid w:val="7EFFA73A"/>
    <w:rsid w:val="7EFFB7AE"/>
    <w:rsid w:val="7F2B01C4"/>
    <w:rsid w:val="7F2BEF08"/>
    <w:rsid w:val="7F2F2562"/>
    <w:rsid w:val="7F33939A"/>
    <w:rsid w:val="7F510698"/>
    <w:rsid w:val="7F5E3367"/>
    <w:rsid w:val="7F5F3D40"/>
    <w:rsid w:val="7F60371C"/>
    <w:rsid w:val="7F752B5D"/>
    <w:rsid w:val="7F75710D"/>
    <w:rsid w:val="7F7F69E8"/>
    <w:rsid w:val="7F7F85A2"/>
    <w:rsid w:val="7F93112B"/>
    <w:rsid w:val="7F936070"/>
    <w:rsid w:val="7F9B651A"/>
    <w:rsid w:val="7F9FC179"/>
    <w:rsid w:val="7FA36202"/>
    <w:rsid w:val="7FA5CF7E"/>
    <w:rsid w:val="7FAF3472"/>
    <w:rsid w:val="7FB359B9"/>
    <w:rsid w:val="7FB473C1"/>
    <w:rsid w:val="7FB68DF0"/>
    <w:rsid w:val="7FB72E75"/>
    <w:rsid w:val="7FBBE0B5"/>
    <w:rsid w:val="7FBBF7C9"/>
    <w:rsid w:val="7FBD9BCC"/>
    <w:rsid w:val="7FBED686"/>
    <w:rsid w:val="7FBF4F3A"/>
    <w:rsid w:val="7FBF7622"/>
    <w:rsid w:val="7FC27694"/>
    <w:rsid w:val="7FCD90FC"/>
    <w:rsid w:val="7FCDECF9"/>
    <w:rsid w:val="7FD60385"/>
    <w:rsid w:val="7FD61763"/>
    <w:rsid w:val="7FD750AF"/>
    <w:rsid w:val="7FD8234F"/>
    <w:rsid w:val="7FDB19D4"/>
    <w:rsid w:val="7FDF5086"/>
    <w:rsid w:val="7FDF58A4"/>
    <w:rsid w:val="7FDFAC55"/>
    <w:rsid w:val="7FDFC8D1"/>
    <w:rsid w:val="7FE5FBF6"/>
    <w:rsid w:val="7FE721C8"/>
    <w:rsid w:val="7FE9455C"/>
    <w:rsid w:val="7FE96A4C"/>
    <w:rsid w:val="7FF4AA78"/>
    <w:rsid w:val="7FF7D7FE"/>
    <w:rsid w:val="7FF7F0EA"/>
    <w:rsid w:val="7FFA82DD"/>
    <w:rsid w:val="7FFCB26E"/>
    <w:rsid w:val="7FFD9FAE"/>
    <w:rsid w:val="7FFDCAA0"/>
    <w:rsid w:val="7FFE17F4"/>
    <w:rsid w:val="7FFE6FAB"/>
    <w:rsid w:val="7FFEC91C"/>
    <w:rsid w:val="7FFF3358"/>
    <w:rsid w:val="7FFF3D63"/>
    <w:rsid w:val="7FFFB6B3"/>
    <w:rsid w:val="7FFFEFAD"/>
    <w:rsid w:val="816EBC1C"/>
    <w:rsid w:val="83F5447D"/>
    <w:rsid w:val="86CD2215"/>
    <w:rsid w:val="87FB9589"/>
    <w:rsid w:val="8B6EF2C9"/>
    <w:rsid w:val="8FFD836B"/>
    <w:rsid w:val="93DF620B"/>
    <w:rsid w:val="977B5D60"/>
    <w:rsid w:val="97F7AC2B"/>
    <w:rsid w:val="9AFFE6CA"/>
    <w:rsid w:val="9DBAE05B"/>
    <w:rsid w:val="9FBF6A38"/>
    <w:rsid w:val="9FE70ACE"/>
    <w:rsid w:val="9FFFA905"/>
    <w:rsid w:val="A53C30EB"/>
    <w:rsid w:val="A73F20FC"/>
    <w:rsid w:val="A7799AEC"/>
    <w:rsid w:val="A8BB7E51"/>
    <w:rsid w:val="ABE7C24A"/>
    <w:rsid w:val="ACB5D895"/>
    <w:rsid w:val="ACF9F370"/>
    <w:rsid w:val="ACFF783F"/>
    <w:rsid w:val="AD9BF6B7"/>
    <w:rsid w:val="ADBC833D"/>
    <w:rsid w:val="ADDEBFB5"/>
    <w:rsid w:val="ADED50AF"/>
    <w:rsid w:val="AEBBA222"/>
    <w:rsid w:val="AF1BD836"/>
    <w:rsid w:val="AF4F9167"/>
    <w:rsid w:val="AFD74478"/>
    <w:rsid w:val="AFF541E1"/>
    <w:rsid w:val="AFFB492E"/>
    <w:rsid w:val="B3E7BB23"/>
    <w:rsid w:val="B3FE8A31"/>
    <w:rsid w:val="B4A6099F"/>
    <w:rsid w:val="B57DA2F2"/>
    <w:rsid w:val="B5CF5AEA"/>
    <w:rsid w:val="B5E5B3AE"/>
    <w:rsid w:val="B66165DE"/>
    <w:rsid w:val="B6CBE650"/>
    <w:rsid w:val="B73EDACE"/>
    <w:rsid w:val="B741577F"/>
    <w:rsid w:val="B75BD154"/>
    <w:rsid w:val="B795DFF4"/>
    <w:rsid w:val="B7AF81C4"/>
    <w:rsid w:val="B7BB3BD0"/>
    <w:rsid w:val="B7EBD113"/>
    <w:rsid w:val="B7F702D0"/>
    <w:rsid w:val="B7FD2566"/>
    <w:rsid w:val="B8BFDFE0"/>
    <w:rsid w:val="BB73FC1C"/>
    <w:rsid w:val="BB853C36"/>
    <w:rsid w:val="BB9FABF3"/>
    <w:rsid w:val="BBB6559D"/>
    <w:rsid w:val="BBDDDE6D"/>
    <w:rsid w:val="BBDE1958"/>
    <w:rsid w:val="BBDFB0CF"/>
    <w:rsid w:val="BBE7CCDD"/>
    <w:rsid w:val="BBEF43C5"/>
    <w:rsid w:val="BBFF9DD6"/>
    <w:rsid w:val="BCF75D7A"/>
    <w:rsid w:val="BCF94F3D"/>
    <w:rsid w:val="BCFB3293"/>
    <w:rsid w:val="BD4F4BC1"/>
    <w:rsid w:val="BD63426D"/>
    <w:rsid w:val="BD9FE1EC"/>
    <w:rsid w:val="BDB72374"/>
    <w:rsid w:val="BDD8EF78"/>
    <w:rsid w:val="BDDE61E0"/>
    <w:rsid w:val="BDE7FABC"/>
    <w:rsid w:val="BDFB769D"/>
    <w:rsid w:val="BDFE8884"/>
    <w:rsid w:val="BE0CF771"/>
    <w:rsid w:val="BE1D1AFA"/>
    <w:rsid w:val="BE57F877"/>
    <w:rsid w:val="BE725299"/>
    <w:rsid w:val="BE7FCA83"/>
    <w:rsid w:val="BEA76596"/>
    <w:rsid w:val="BEBAE066"/>
    <w:rsid w:val="BEF555C8"/>
    <w:rsid w:val="BEF5AB2A"/>
    <w:rsid w:val="BEFD1E7C"/>
    <w:rsid w:val="BEFF2A67"/>
    <w:rsid w:val="BEFFCC8B"/>
    <w:rsid w:val="BF1E064A"/>
    <w:rsid w:val="BF3FFF29"/>
    <w:rsid w:val="BF7F5FDD"/>
    <w:rsid w:val="BFE32BE4"/>
    <w:rsid w:val="BFEFC667"/>
    <w:rsid w:val="BFF20B29"/>
    <w:rsid w:val="BFF75D72"/>
    <w:rsid w:val="BFFFE8CF"/>
    <w:rsid w:val="C3F70DC4"/>
    <w:rsid w:val="C3FF5894"/>
    <w:rsid w:val="C7ACCEB5"/>
    <w:rsid w:val="C7EF4A44"/>
    <w:rsid w:val="C7F3FFBD"/>
    <w:rsid w:val="C7FDE1FB"/>
    <w:rsid w:val="C9FEA068"/>
    <w:rsid w:val="CA9B6EC0"/>
    <w:rsid w:val="CDAE4EDC"/>
    <w:rsid w:val="CDFA6FEE"/>
    <w:rsid w:val="CE9D661C"/>
    <w:rsid w:val="CF5FA584"/>
    <w:rsid w:val="CFD8F0A8"/>
    <w:rsid w:val="CFEB32C9"/>
    <w:rsid w:val="CFEF5CA0"/>
    <w:rsid w:val="CFF77463"/>
    <w:rsid w:val="D1FB24DB"/>
    <w:rsid w:val="D3DFF23D"/>
    <w:rsid w:val="D3E74C57"/>
    <w:rsid w:val="D5FDA11C"/>
    <w:rsid w:val="D6BC272F"/>
    <w:rsid w:val="D7B36D24"/>
    <w:rsid w:val="D7DB6BA0"/>
    <w:rsid w:val="D7DE25B1"/>
    <w:rsid w:val="D7DEC7EE"/>
    <w:rsid w:val="D7ED0036"/>
    <w:rsid w:val="D7FD00B3"/>
    <w:rsid w:val="D7FFF5E4"/>
    <w:rsid w:val="D867D162"/>
    <w:rsid w:val="D8DFC712"/>
    <w:rsid w:val="DAD646D3"/>
    <w:rsid w:val="DB57BBF7"/>
    <w:rsid w:val="DBDB58AA"/>
    <w:rsid w:val="DBDF717D"/>
    <w:rsid w:val="DBEFE8A6"/>
    <w:rsid w:val="DBF796C1"/>
    <w:rsid w:val="DBFB4022"/>
    <w:rsid w:val="DBFF55DA"/>
    <w:rsid w:val="DBFF7C59"/>
    <w:rsid w:val="DC6ACC76"/>
    <w:rsid w:val="DD77DBFC"/>
    <w:rsid w:val="DDDD3AAA"/>
    <w:rsid w:val="DDE7EBA8"/>
    <w:rsid w:val="DDFF9BBD"/>
    <w:rsid w:val="DE5B1729"/>
    <w:rsid w:val="DE774301"/>
    <w:rsid w:val="DEBDE491"/>
    <w:rsid w:val="DECFE504"/>
    <w:rsid w:val="DEFFF88B"/>
    <w:rsid w:val="DF6EEF67"/>
    <w:rsid w:val="DF6F673E"/>
    <w:rsid w:val="DF7644E7"/>
    <w:rsid w:val="DF7F1B04"/>
    <w:rsid w:val="DF7F6559"/>
    <w:rsid w:val="DFBB277E"/>
    <w:rsid w:val="DFBCD0BC"/>
    <w:rsid w:val="DFBD1572"/>
    <w:rsid w:val="DFC99911"/>
    <w:rsid w:val="DFCB6B9B"/>
    <w:rsid w:val="DFCFE673"/>
    <w:rsid w:val="DFDAF271"/>
    <w:rsid w:val="DFEFFB4A"/>
    <w:rsid w:val="DFF72C0C"/>
    <w:rsid w:val="DFF762AC"/>
    <w:rsid w:val="DFFD56EB"/>
    <w:rsid w:val="DFFDC1EC"/>
    <w:rsid w:val="DFFE4E81"/>
    <w:rsid w:val="DFFE94C0"/>
    <w:rsid w:val="E374C507"/>
    <w:rsid w:val="E3D35396"/>
    <w:rsid w:val="E3FB990F"/>
    <w:rsid w:val="E47F08F1"/>
    <w:rsid w:val="E4FB1C3B"/>
    <w:rsid w:val="E55F3C44"/>
    <w:rsid w:val="E676C28A"/>
    <w:rsid w:val="E6D76A9D"/>
    <w:rsid w:val="E7172CE5"/>
    <w:rsid w:val="E79D488D"/>
    <w:rsid w:val="E7E74F06"/>
    <w:rsid w:val="E7F73512"/>
    <w:rsid w:val="E7F76B7D"/>
    <w:rsid w:val="E7FD669B"/>
    <w:rsid w:val="EB5EC710"/>
    <w:rsid w:val="EB776932"/>
    <w:rsid w:val="EB7E363E"/>
    <w:rsid w:val="EB8FCC53"/>
    <w:rsid w:val="EB9D279D"/>
    <w:rsid w:val="EBF6F7EC"/>
    <w:rsid w:val="EBFEF502"/>
    <w:rsid w:val="EC4E8B30"/>
    <w:rsid w:val="EC7FEDDE"/>
    <w:rsid w:val="ECF7A08F"/>
    <w:rsid w:val="EDB7338B"/>
    <w:rsid w:val="EDDD4315"/>
    <w:rsid w:val="EDEBB741"/>
    <w:rsid w:val="EDEF6CCE"/>
    <w:rsid w:val="EDF3AE4B"/>
    <w:rsid w:val="EE6F7CE4"/>
    <w:rsid w:val="EEBFAC09"/>
    <w:rsid w:val="EEDBD27F"/>
    <w:rsid w:val="EEFF3481"/>
    <w:rsid w:val="EF5F849E"/>
    <w:rsid w:val="EF668C93"/>
    <w:rsid w:val="EF7722C6"/>
    <w:rsid w:val="EF9F5589"/>
    <w:rsid w:val="EFAEB203"/>
    <w:rsid w:val="EFB760A1"/>
    <w:rsid w:val="EFDB1127"/>
    <w:rsid w:val="EFDDCDD1"/>
    <w:rsid w:val="EFEEA8B7"/>
    <w:rsid w:val="EFEF4318"/>
    <w:rsid w:val="EFF3E420"/>
    <w:rsid w:val="EFFF5CA2"/>
    <w:rsid w:val="EFFFFF24"/>
    <w:rsid w:val="F050DC21"/>
    <w:rsid w:val="F056F5E1"/>
    <w:rsid w:val="F1BFC573"/>
    <w:rsid w:val="F1DF48E0"/>
    <w:rsid w:val="F2F5F649"/>
    <w:rsid w:val="F3570537"/>
    <w:rsid w:val="F37F139F"/>
    <w:rsid w:val="F3EBEC56"/>
    <w:rsid w:val="F3ED6A9D"/>
    <w:rsid w:val="F4A5A5E5"/>
    <w:rsid w:val="F5D2239A"/>
    <w:rsid w:val="F5EF1F14"/>
    <w:rsid w:val="F5F7E76E"/>
    <w:rsid w:val="F66B4D4B"/>
    <w:rsid w:val="F67F17BD"/>
    <w:rsid w:val="F6FD3E54"/>
    <w:rsid w:val="F6FE5E72"/>
    <w:rsid w:val="F72BCE6F"/>
    <w:rsid w:val="F73DCAC5"/>
    <w:rsid w:val="F7975AF9"/>
    <w:rsid w:val="F7B43459"/>
    <w:rsid w:val="F7C9181A"/>
    <w:rsid w:val="F7CF5C85"/>
    <w:rsid w:val="F7D1D8AE"/>
    <w:rsid w:val="F7D72DFF"/>
    <w:rsid w:val="F7E79063"/>
    <w:rsid w:val="F7EE2517"/>
    <w:rsid w:val="F7F80EB2"/>
    <w:rsid w:val="F7FFF4A2"/>
    <w:rsid w:val="F8F3220E"/>
    <w:rsid w:val="F8FFF9CE"/>
    <w:rsid w:val="F97D2818"/>
    <w:rsid w:val="F9EF8D71"/>
    <w:rsid w:val="F9EFF2E2"/>
    <w:rsid w:val="F9F58104"/>
    <w:rsid w:val="F9FD2A22"/>
    <w:rsid w:val="F9FE0830"/>
    <w:rsid w:val="FA8BB60B"/>
    <w:rsid w:val="FADF3728"/>
    <w:rsid w:val="FAE931A2"/>
    <w:rsid w:val="FB2B8857"/>
    <w:rsid w:val="FB3F7BCA"/>
    <w:rsid w:val="FB4F3BE6"/>
    <w:rsid w:val="FB50D532"/>
    <w:rsid w:val="FB5FD576"/>
    <w:rsid w:val="FB7B0F75"/>
    <w:rsid w:val="FB7F1D6E"/>
    <w:rsid w:val="FB7F3DD8"/>
    <w:rsid w:val="FB7F5F49"/>
    <w:rsid w:val="FB8567F8"/>
    <w:rsid w:val="FBBB0F51"/>
    <w:rsid w:val="FBE3DD29"/>
    <w:rsid w:val="FBEE6A4C"/>
    <w:rsid w:val="FBEFF7F2"/>
    <w:rsid w:val="FBF0F819"/>
    <w:rsid w:val="FBFA7BE4"/>
    <w:rsid w:val="FBFCCF44"/>
    <w:rsid w:val="FBFF3149"/>
    <w:rsid w:val="FBFF3C27"/>
    <w:rsid w:val="FC4D3909"/>
    <w:rsid w:val="FC6D63FB"/>
    <w:rsid w:val="FC6ECDC2"/>
    <w:rsid w:val="FC7AFEB6"/>
    <w:rsid w:val="FC7FB450"/>
    <w:rsid w:val="FCF5A05D"/>
    <w:rsid w:val="FCF77C00"/>
    <w:rsid w:val="FCFDCD70"/>
    <w:rsid w:val="FCFF1BAB"/>
    <w:rsid w:val="FCFFD552"/>
    <w:rsid w:val="FD3F10DF"/>
    <w:rsid w:val="FD3F474B"/>
    <w:rsid w:val="FD5DFAC8"/>
    <w:rsid w:val="FD634801"/>
    <w:rsid w:val="FD6C295E"/>
    <w:rsid w:val="FDBA724F"/>
    <w:rsid w:val="FDBD1DCD"/>
    <w:rsid w:val="FDBD3B6A"/>
    <w:rsid w:val="FDCB99B1"/>
    <w:rsid w:val="FDCD5D28"/>
    <w:rsid w:val="FDD3043D"/>
    <w:rsid w:val="FDDF0627"/>
    <w:rsid w:val="FDDFE1C4"/>
    <w:rsid w:val="FDF57F71"/>
    <w:rsid w:val="FDF7163C"/>
    <w:rsid w:val="FDF74B6C"/>
    <w:rsid w:val="FE5F9864"/>
    <w:rsid w:val="FE7B064A"/>
    <w:rsid w:val="FE7DB371"/>
    <w:rsid w:val="FE9F1F2E"/>
    <w:rsid w:val="FE9F6C5C"/>
    <w:rsid w:val="FEC3A0A4"/>
    <w:rsid w:val="FED74242"/>
    <w:rsid w:val="FEDA5853"/>
    <w:rsid w:val="FEDD66A5"/>
    <w:rsid w:val="FEED5B06"/>
    <w:rsid w:val="FEFA5C99"/>
    <w:rsid w:val="FEFC5FA5"/>
    <w:rsid w:val="FEFE6A0D"/>
    <w:rsid w:val="FEFF5687"/>
    <w:rsid w:val="FF1E567A"/>
    <w:rsid w:val="FF332E34"/>
    <w:rsid w:val="FF33360F"/>
    <w:rsid w:val="FF3B9D7C"/>
    <w:rsid w:val="FF3F3488"/>
    <w:rsid w:val="FF5B8C35"/>
    <w:rsid w:val="FF67DCAF"/>
    <w:rsid w:val="FF6F113B"/>
    <w:rsid w:val="FF6F39E4"/>
    <w:rsid w:val="FF6FDD80"/>
    <w:rsid w:val="FF773AD7"/>
    <w:rsid w:val="FF7C6EF1"/>
    <w:rsid w:val="FF7EF9FD"/>
    <w:rsid w:val="FF7F4235"/>
    <w:rsid w:val="FF7FF368"/>
    <w:rsid w:val="FF9D6D8A"/>
    <w:rsid w:val="FF9DD64C"/>
    <w:rsid w:val="FF9F8BBA"/>
    <w:rsid w:val="FFAF68BC"/>
    <w:rsid w:val="FFAFC8C1"/>
    <w:rsid w:val="FFB705E0"/>
    <w:rsid w:val="FFB7E3A6"/>
    <w:rsid w:val="FFB9F062"/>
    <w:rsid w:val="FFBB6E63"/>
    <w:rsid w:val="FFBB6F5E"/>
    <w:rsid w:val="FFBD8CC1"/>
    <w:rsid w:val="FFBE4660"/>
    <w:rsid w:val="FFBF1CC6"/>
    <w:rsid w:val="FFD73CBE"/>
    <w:rsid w:val="FFDB1C60"/>
    <w:rsid w:val="FFDF2FA9"/>
    <w:rsid w:val="FFDF5D51"/>
    <w:rsid w:val="FFDFAC88"/>
    <w:rsid w:val="FFDFB0DB"/>
    <w:rsid w:val="FFE53FE5"/>
    <w:rsid w:val="FFECE2EB"/>
    <w:rsid w:val="FFEDC46B"/>
    <w:rsid w:val="FFF1AD2C"/>
    <w:rsid w:val="FFF21735"/>
    <w:rsid w:val="FFF3E6C2"/>
    <w:rsid w:val="FFF59DDE"/>
    <w:rsid w:val="FFF949AB"/>
    <w:rsid w:val="FFF9CBFE"/>
    <w:rsid w:val="FFFA1C26"/>
    <w:rsid w:val="FFFB883C"/>
    <w:rsid w:val="FFFBB334"/>
    <w:rsid w:val="FFFBCA5A"/>
    <w:rsid w:val="FFFD2E77"/>
    <w:rsid w:val="FFFD667C"/>
    <w:rsid w:val="FFFD8E87"/>
    <w:rsid w:val="FFFF37E6"/>
    <w:rsid w:val="FFFF7A67"/>
    <w:rsid w:val="FFFF8101"/>
    <w:rsid w:val="FFFF9587"/>
    <w:rsid w:val="FFFFA09B"/>
    <w:rsid w:val="FFFFA402"/>
    <w:rsid w:val="FFFFE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iPriority="0" w:semiHidden="0" w:name="annotation text"/>
    <w:lsdException w:qFormat="1"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jc w:val="both"/>
    </w:pPr>
    <w:rPr>
      <w:rFonts w:hint="eastAsia" w:ascii="Arial Unicode MS" w:hAnsi="Arial Unicode MS" w:eastAsia="Arial Unicode MS" w:cs="Arial Unicode MS"/>
      <w:color w:val="000000"/>
      <w:kern w:val="2"/>
      <w:sz w:val="21"/>
      <w:szCs w:val="21"/>
      <w:lang w:val="zh-TW" w:eastAsia="zh-TW" w:bidi="ar-SA"/>
    </w:rPr>
  </w:style>
  <w:style w:type="paragraph" w:styleId="2">
    <w:name w:val="heading 1"/>
    <w:basedOn w:val="1"/>
    <w:next w:val="1"/>
    <w:link w:val="78"/>
    <w:qFormat/>
    <w:uiPriority w:val="0"/>
    <w:pPr>
      <w:keepNext/>
      <w:keepLines/>
      <w:spacing w:before="340" w:after="330" w:line="578" w:lineRule="auto"/>
      <w:outlineLvl w:val="0"/>
    </w:pPr>
    <w:rPr>
      <w:rFonts w:hint="default" w:cs="Times New Roman"/>
      <w:b/>
      <w:bCs/>
      <w:kern w:val="44"/>
      <w:sz w:val="44"/>
      <w:szCs w:val="44"/>
    </w:rPr>
  </w:style>
  <w:style w:type="paragraph" w:styleId="3">
    <w:name w:val="heading 2"/>
    <w:basedOn w:val="1"/>
    <w:next w:val="1"/>
    <w:link w:val="79"/>
    <w:qFormat/>
    <w:uiPriority w:val="0"/>
    <w:pPr>
      <w:keepNext/>
      <w:keepLines/>
      <w:spacing w:before="260" w:after="260" w:line="416" w:lineRule="auto"/>
      <w:outlineLvl w:val="1"/>
    </w:pPr>
    <w:rPr>
      <w:rFonts w:hint="default" w:ascii="Cambria" w:hAnsi="Cambria" w:eastAsia="宋体" w:cs="Times New Roman"/>
      <w:b/>
      <w:bCs/>
      <w:kern w:val="0"/>
      <w:sz w:val="32"/>
      <w:szCs w:val="32"/>
    </w:rPr>
  </w:style>
  <w:style w:type="paragraph" w:styleId="4">
    <w:name w:val="heading 3"/>
    <w:basedOn w:val="1"/>
    <w:next w:val="1"/>
    <w:link w:val="80"/>
    <w:qFormat/>
    <w:uiPriority w:val="0"/>
    <w:pPr>
      <w:keepNext/>
      <w:keepLines/>
      <w:spacing w:before="260" w:after="260" w:line="416" w:lineRule="auto"/>
      <w:outlineLvl w:val="2"/>
    </w:pPr>
    <w:rPr>
      <w:rFonts w:hint="default" w:cs="Times New Roman"/>
      <w:b/>
      <w:bCs/>
      <w:kern w:val="0"/>
      <w:sz w:val="32"/>
      <w:szCs w:val="32"/>
    </w:rPr>
  </w:style>
  <w:style w:type="paragraph" w:styleId="5">
    <w:name w:val="heading 4"/>
    <w:basedOn w:val="1"/>
    <w:next w:val="1"/>
    <w:link w:val="81"/>
    <w:qFormat/>
    <w:uiPriority w:val="0"/>
    <w:pPr>
      <w:keepNext/>
      <w:keepLines/>
      <w:widowControl w:val="0"/>
      <w:spacing w:before="280" w:after="290" w:line="372" w:lineRule="auto"/>
      <w:outlineLvl w:val="3"/>
    </w:pPr>
    <w:rPr>
      <w:rFonts w:hint="default" w:ascii="Arial" w:hAnsi="Arial" w:eastAsia="黑体" w:cs="Times New Roman"/>
      <w:b/>
      <w:color w:val="auto"/>
      <w:sz w:val="28"/>
      <w:szCs w:val="24"/>
    </w:rPr>
  </w:style>
  <w:style w:type="paragraph" w:styleId="6">
    <w:name w:val="heading 5"/>
    <w:basedOn w:val="1"/>
    <w:next w:val="1"/>
    <w:link w:val="82"/>
    <w:qFormat/>
    <w:uiPriority w:val="0"/>
    <w:pPr>
      <w:keepNext/>
      <w:keepLines/>
      <w:widowControl w:val="0"/>
      <w:spacing w:line="372" w:lineRule="auto"/>
      <w:ind w:firstLine="402"/>
      <w:outlineLvl w:val="4"/>
    </w:pPr>
    <w:rPr>
      <w:rFonts w:hint="default" w:ascii="仿宋_GB2312" w:hAnsi="Times New Roman" w:eastAsia="仿宋_GB2312" w:cs="Times New Roman"/>
      <w:b/>
      <w:color w:val="auto"/>
      <w:sz w:val="28"/>
      <w:szCs w:val="32"/>
    </w:rPr>
  </w:style>
  <w:style w:type="paragraph" w:styleId="7">
    <w:name w:val="heading 6"/>
    <w:basedOn w:val="1"/>
    <w:next w:val="1"/>
    <w:link w:val="83"/>
    <w:qFormat/>
    <w:uiPriority w:val="0"/>
    <w:pPr>
      <w:keepNext/>
      <w:keepLines/>
      <w:widowControl w:val="0"/>
      <w:spacing w:line="317" w:lineRule="auto"/>
      <w:ind w:firstLine="402"/>
      <w:outlineLvl w:val="5"/>
    </w:pPr>
    <w:rPr>
      <w:rFonts w:hint="default" w:ascii="Arial" w:hAnsi="Arial" w:eastAsia="黑体" w:cs="Times New Roman"/>
      <w:b/>
      <w:color w:val="auto"/>
      <w:sz w:val="24"/>
      <w:szCs w:val="32"/>
    </w:rPr>
  </w:style>
  <w:style w:type="paragraph" w:styleId="8">
    <w:name w:val="heading 7"/>
    <w:basedOn w:val="1"/>
    <w:next w:val="1"/>
    <w:link w:val="84"/>
    <w:qFormat/>
    <w:uiPriority w:val="0"/>
    <w:pPr>
      <w:keepNext/>
      <w:keepLines/>
      <w:widowControl w:val="0"/>
      <w:spacing w:line="317" w:lineRule="auto"/>
      <w:ind w:firstLine="402"/>
      <w:outlineLvl w:val="6"/>
    </w:pPr>
    <w:rPr>
      <w:rFonts w:hint="default" w:ascii="仿宋_GB2312" w:hAnsi="Times New Roman" w:eastAsia="仿宋_GB2312" w:cs="Times New Roman"/>
      <w:b/>
      <w:color w:val="auto"/>
      <w:sz w:val="24"/>
      <w:szCs w:val="32"/>
    </w:rPr>
  </w:style>
  <w:style w:type="paragraph" w:styleId="9">
    <w:name w:val="heading 8"/>
    <w:basedOn w:val="1"/>
    <w:next w:val="1"/>
    <w:link w:val="85"/>
    <w:qFormat/>
    <w:uiPriority w:val="0"/>
    <w:pPr>
      <w:keepNext/>
      <w:keepLines/>
      <w:widowControl w:val="0"/>
      <w:spacing w:line="317" w:lineRule="auto"/>
      <w:ind w:firstLine="402"/>
      <w:outlineLvl w:val="7"/>
    </w:pPr>
    <w:rPr>
      <w:rFonts w:hint="default" w:ascii="Arial" w:hAnsi="Arial" w:eastAsia="黑体" w:cs="Times New Roman"/>
      <w:color w:val="auto"/>
      <w:sz w:val="24"/>
      <w:szCs w:val="32"/>
    </w:rPr>
  </w:style>
  <w:style w:type="paragraph" w:styleId="10">
    <w:name w:val="heading 9"/>
    <w:basedOn w:val="1"/>
    <w:next w:val="1"/>
    <w:link w:val="86"/>
    <w:qFormat/>
    <w:uiPriority w:val="0"/>
    <w:pPr>
      <w:keepNext/>
      <w:keepLines/>
      <w:widowControl w:val="0"/>
      <w:spacing w:line="317" w:lineRule="auto"/>
      <w:ind w:firstLine="402"/>
      <w:outlineLvl w:val="8"/>
    </w:pPr>
    <w:rPr>
      <w:rFonts w:hint="default" w:ascii="Arial" w:hAnsi="Arial" w:eastAsia="黑体" w:cs="Times New Roman"/>
      <w:color w:val="auto"/>
      <w:szCs w:val="32"/>
    </w:rPr>
  </w:style>
  <w:style w:type="character" w:default="1" w:styleId="61">
    <w:name w:val="Default Paragraph Font"/>
    <w:semiHidden/>
    <w:unhideWhenUsed/>
    <w:qFormat/>
    <w:uiPriority w:val="1"/>
  </w:style>
  <w:style w:type="table" w:default="1" w:styleId="59">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widowControl w:val="0"/>
      <w:spacing w:after="0" w:line="240" w:lineRule="auto"/>
      <w:ind w:left="100" w:leftChars="400" w:hanging="200" w:hangingChars="200"/>
    </w:pPr>
    <w:rPr>
      <w:rFonts w:hint="default" w:ascii="Times New Roman" w:hAnsi="Times New Roman" w:eastAsia="宋体" w:cs="Times New Roman"/>
      <w:color w:val="auto"/>
      <w:szCs w:val="24"/>
      <w:lang w:val="en-US" w:eastAsia="zh-CN"/>
    </w:rPr>
  </w:style>
  <w:style w:type="paragraph" w:styleId="12">
    <w:name w:val="toc 7"/>
    <w:basedOn w:val="1"/>
    <w:next w:val="1"/>
    <w:qFormat/>
    <w:uiPriority w:val="0"/>
    <w:pPr>
      <w:widowControl w:val="0"/>
      <w:ind w:left="2520" w:leftChars="1200"/>
    </w:pPr>
    <w:rPr>
      <w:rFonts w:hint="default" w:ascii="Times New Roman" w:hAnsi="Times New Roman" w:eastAsia="宋体" w:cs="Times New Roman"/>
      <w:color w:val="auto"/>
      <w:szCs w:val="24"/>
      <w:lang w:val="en-US" w:eastAsia="zh-CN"/>
    </w:rPr>
  </w:style>
  <w:style w:type="paragraph" w:styleId="13">
    <w:name w:val="table of authorities"/>
    <w:basedOn w:val="1"/>
    <w:next w:val="1"/>
    <w:qFormat/>
    <w:uiPriority w:val="99"/>
    <w:pPr>
      <w:ind w:left="420" w:leftChars="200"/>
    </w:pPr>
  </w:style>
  <w:style w:type="paragraph" w:styleId="14">
    <w:name w:val="Note Heading"/>
    <w:basedOn w:val="1"/>
    <w:next w:val="1"/>
    <w:link w:val="87"/>
    <w:qFormat/>
    <w:uiPriority w:val="0"/>
    <w:pP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styleId="15">
    <w:name w:val="Normal Indent"/>
    <w:basedOn w:val="1"/>
    <w:link w:val="88"/>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styleId="16">
    <w:name w:val="caption"/>
    <w:basedOn w:val="1"/>
    <w:next w:val="1"/>
    <w:qFormat/>
    <w:uiPriority w:val="0"/>
    <w:pPr>
      <w:widowControl w:val="0"/>
      <w:spacing w:after="0" w:line="240" w:lineRule="auto"/>
    </w:pPr>
    <w:rPr>
      <w:rFonts w:hint="default" w:ascii="Arial" w:hAnsi="Arial" w:eastAsia="黑体" w:cs="Arial"/>
      <w:color w:val="auto"/>
      <w:kern w:val="0"/>
      <w:sz w:val="20"/>
      <w:szCs w:val="20"/>
      <w:lang w:val="en-US" w:eastAsia="zh-CN"/>
    </w:rPr>
  </w:style>
  <w:style w:type="paragraph" w:styleId="17">
    <w:name w:val="Document Map"/>
    <w:basedOn w:val="1"/>
    <w:link w:val="89"/>
    <w:qFormat/>
    <w:uiPriority w:val="0"/>
    <w:pPr>
      <w:widowControl w:val="0"/>
      <w:shd w:val="clear" w:color="auto" w:fill="000080"/>
      <w:spacing w:after="0" w:line="240" w:lineRule="auto"/>
    </w:pPr>
    <w:rPr>
      <w:rFonts w:hint="default" w:ascii="Times New Roman" w:hAnsi="Times New Roman" w:eastAsia="宋体" w:cs="Times New Roman"/>
      <w:color w:val="auto"/>
      <w:szCs w:val="24"/>
      <w:lang w:val="en-US" w:eastAsia="zh-CN"/>
    </w:rPr>
  </w:style>
  <w:style w:type="paragraph" w:styleId="18">
    <w:name w:val="annotation text"/>
    <w:basedOn w:val="1"/>
    <w:link w:val="90"/>
    <w:unhideWhenUsed/>
    <w:qFormat/>
    <w:uiPriority w:val="0"/>
    <w:pPr>
      <w:jc w:val="left"/>
    </w:pPr>
    <w:rPr>
      <w:rFonts w:hint="default" w:cs="Times New Roman"/>
      <w:kern w:val="0"/>
      <w:sz w:val="20"/>
    </w:rPr>
  </w:style>
  <w:style w:type="paragraph" w:styleId="19">
    <w:name w:val="Body Text 3"/>
    <w:basedOn w:val="1"/>
    <w:link w:val="91"/>
    <w:qFormat/>
    <w:uiPriority w:val="0"/>
    <w:pPr>
      <w:widowControl w:val="0"/>
      <w:spacing w:after="120"/>
    </w:pPr>
    <w:rPr>
      <w:rFonts w:hint="default" w:ascii="Times New Roman" w:hAnsi="Times New Roman" w:eastAsia="宋体" w:cs="Times New Roman"/>
      <w:color w:val="auto"/>
      <w:sz w:val="16"/>
      <w:szCs w:val="16"/>
    </w:rPr>
  </w:style>
  <w:style w:type="paragraph" w:styleId="20">
    <w:name w:val="List Bullet 3"/>
    <w:basedOn w:val="1"/>
    <w:qFormat/>
    <w:uiPriority w:val="0"/>
    <w:pPr>
      <w:widowControl w:val="0"/>
      <w:tabs>
        <w:tab w:val="left" w:pos="1335"/>
      </w:tabs>
      <w:spacing w:after="0" w:line="240" w:lineRule="auto"/>
      <w:ind w:left="1335" w:hanging="360"/>
    </w:pPr>
    <w:rPr>
      <w:rFonts w:hint="default" w:ascii="Times New Roman" w:hAnsi="Times New Roman" w:eastAsia="宋体" w:cs="Times New Roman"/>
      <w:color w:val="auto"/>
      <w:szCs w:val="20"/>
      <w:lang w:val="en-US" w:eastAsia="zh-CN"/>
    </w:rPr>
  </w:style>
  <w:style w:type="paragraph" w:styleId="21">
    <w:name w:val="Body Text"/>
    <w:basedOn w:val="1"/>
    <w:next w:val="1"/>
    <w:link w:val="92"/>
    <w:qFormat/>
    <w:uiPriority w:val="0"/>
    <w:pPr>
      <w:widowControl w:val="0"/>
      <w:tabs>
        <w:tab w:val="left" w:pos="567"/>
      </w:tabs>
      <w:spacing w:before="120" w:line="22" w:lineRule="atLeast"/>
    </w:pPr>
    <w:rPr>
      <w:rFonts w:hint="default" w:ascii="宋体" w:hAnsi="宋体" w:eastAsia="宋体" w:cs="Times New Roman"/>
      <w:color w:val="auto"/>
      <w:sz w:val="24"/>
      <w:szCs w:val="24"/>
    </w:rPr>
  </w:style>
  <w:style w:type="paragraph" w:styleId="22">
    <w:name w:val="Body Text Indent"/>
    <w:basedOn w:val="1"/>
    <w:next w:val="1"/>
    <w:link w:val="93"/>
    <w:qFormat/>
    <w:uiPriority w:val="0"/>
    <w:pPr>
      <w:widowControl w:val="0"/>
      <w:spacing w:line="360" w:lineRule="auto"/>
      <w:ind w:firstLine="570"/>
    </w:pPr>
    <w:rPr>
      <w:rFonts w:hint="default" w:ascii="Times New Roman" w:hAnsi="Times New Roman" w:eastAsia="宋体" w:cs="Times New Roman"/>
      <w:color w:val="auto"/>
      <w:sz w:val="24"/>
      <w:szCs w:val="24"/>
    </w:rPr>
  </w:style>
  <w:style w:type="paragraph" w:styleId="23">
    <w:name w:val="List 2"/>
    <w:basedOn w:val="1"/>
    <w:qFormat/>
    <w:uiPriority w:val="0"/>
    <w:pPr>
      <w:widowControl w:val="0"/>
      <w:spacing w:after="0" w:line="240" w:lineRule="auto"/>
      <w:ind w:left="100" w:leftChars="200" w:hanging="200" w:hangingChars="200"/>
    </w:pPr>
    <w:rPr>
      <w:rFonts w:hint="default" w:ascii="Times New Roman" w:hAnsi="Times New Roman" w:eastAsia="宋体" w:cs="Times New Roman"/>
      <w:color w:val="auto"/>
      <w:szCs w:val="20"/>
      <w:lang w:val="en-US" w:eastAsia="zh-CN"/>
    </w:rPr>
  </w:style>
  <w:style w:type="paragraph" w:styleId="24">
    <w:name w:val="List Continue"/>
    <w:basedOn w:val="1"/>
    <w:qFormat/>
    <w:uiPriority w:val="0"/>
    <w:pPr>
      <w:widowControl w:val="0"/>
      <w:spacing w:after="120"/>
      <w:ind w:left="420"/>
    </w:pPr>
    <w:rPr>
      <w:rFonts w:hint="default" w:ascii="Times New Roman" w:hAnsi="Times New Roman" w:eastAsia="楷体_GB2312" w:cs="Times New Roman"/>
      <w:color w:val="auto"/>
      <w:sz w:val="32"/>
      <w:szCs w:val="20"/>
      <w:lang w:val="en-US" w:eastAsia="zh-CN"/>
    </w:rPr>
  </w:style>
  <w:style w:type="paragraph" w:styleId="25">
    <w:name w:val="Block Text"/>
    <w:basedOn w:val="1"/>
    <w:qFormat/>
    <w:uiPriority w:val="0"/>
    <w:pPr>
      <w:widowControl w:val="0"/>
      <w:adjustRightInd w:val="0"/>
      <w:ind w:left="420" w:right="33"/>
      <w:jc w:val="left"/>
      <w:textAlignment w:val="baseline"/>
    </w:pPr>
    <w:rPr>
      <w:rFonts w:hint="default" w:ascii="Times New Roman" w:hAnsi="Times New Roman" w:eastAsia="宋体" w:cs="Times New Roman"/>
      <w:color w:val="auto"/>
      <w:kern w:val="0"/>
      <w:sz w:val="24"/>
      <w:szCs w:val="20"/>
      <w:lang w:val="en-US" w:eastAsia="zh-CN"/>
    </w:rPr>
  </w:style>
  <w:style w:type="paragraph" w:styleId="26">
    <w:name w:val="List Bullet 2"/>
    <w:basedOn w:val="1"/>
    <w:qFormat/>
    <w:uiPriority w:val="0"/>
    <w:pPr>
      <w:widowControl w:val="0"/>
      <w:tabs>
        <w:tab w:val="left" w:pos="780"/>
      </w:tabs>
      <w:spacing w:after="0" w:line="240" w:lineRule="auto"/>
      <w:ind w:left="780" w:leftChars="200" w:hanging="360" w:hangingChars="200"/>
    </w:pPr>
    <w:rPr>
      <w:rFonts w:hint="default" w:ascii="Times New Roman" w:hAnsi="Times New Roman" w:eastAsia="宋体" w:cs="Times New Roman"/>
      <w:color w:val="auto"/>
      <w:szCs w:val="20"/>
      <w:lang w:val="en-US" w:eastAsia="zh-CN"/>
    </w:rPr>
  </w:style>
  <w:style w:type="paragraph" w:styleId="27">
    <w:name w:val="toc 5"/>
    <w:basedOn w:val="1"/>
    <w:next w:val="1"/>
    <w:qFormat/>
    <w:uiPriority w:val="0"/>
    <w:pPr>
      <w:widowControl w:val="0"/>
      <w:ind w:left="1680" w:leftChars="800"/>
    </w:pPr>
    <w:rPr>
      <w:rFonts w:hint="default" w:ascii="Times New Roman" w:hAnsi="Times New Roman" w:eastAsia="宋体" w:cs="Times New Roman"/>
      <w:color w:val="auto"/>
      <w:szCs w:val="24"/>
      <w:lang w:val="en-US" w:eastAsia="zh-CN"/>
    </w:rPr>
  </w:style>
  <w:style w:type="paragraph" w:styleId="28">
    <w:name w:val="toc 3"/>
    <w:basedOn w:val="1"/>
    <w:next w:val="1"/>
    <w:unhideWhenUsed/>
    <w:qFormat/>
    <w:uiPriority w:val="39"/>
    <w:pPr>
      <w:spacing w:after="100" w:line="276" w:lineRule="auto"/>
      <w:ind w:left="440"/>
      <w:jc w:val="left"/>
    </w:pPr>
    <w:rPr>
      <w:rFonts w:hint="default" w:ascii="Calibri" w:hAnsi="Calibri" w:eastAsia="宋体" w:cs="Times New Roman"/>
      <w:color w:val="auto"/>
      <w:kern w:val="0"/>
      <w:sz w:val="22"/>
      <w:szCs w:val="22"/>
      <w:lang w:val="en-US" w:eastAsia="zh-CN"/>
    </w:rPr>
  </w:style>
  <w:style w:type="paragraph" w:styleId="29">
    <w:name w:val="Plain Text"/>
    <w:basedOn w:val="1"/>
    <w:link w:val="94"/>
    <w:qFormat/>
    <w:uiPriority w:val="0"/>
    <w:pPr>
      <w:widowControl w:val="0"/>
    </w:pPr>
    <w:rPr>
      <w:rFonts w:hint="default" w:ascii="宋体" w:hAnsi="Courier New" w:eastAsia="宋体" w:cs="Times New Roman"/>
      <w:color w:val="auto"/>
      <w:kern w:val="0"/>
      <w:sz w:val="20"/>
      <w:szCs w:val="20"/>
    </w:rPr>
  </w:style>
  <w:style w:type="paragraph" w:styleId="30">
    <w:name w:val="toc 8"/>
    <w:basedOn w:val="1"/>
    <w:next w:val="1"/>
    <w:qFormat/>
    <w:uiPriority w:val="0"/>
    <w:pPr>
      <w:widowControl w:val="0"/>
      <w:ind w:left="2940" w:leftChars="1400"/>
    </w:pPr>
    <w:rPr>
      <w:rFonts w:hint="default" w:ascii="Times New Roman" w:hAnsi="Times New Roman" w:eastAsia="宋体" w:cs="Times New Roman"/>
      <w:color w:val="auto"/>
      <w:szCs w:val="24"/>
      <w:lang w:val="en-US" w:eastAsia="zh-CN"/>
    </w:rPr>
  </w:style>
  <w:style w:type="paragraph" w:styleId="31">
    <w:name w:val="Date"/>
    <w:basedOn w:val="1"/>
    <w:next w:val="1"/>
    <w:link w:val="95"/>
    <w:qFormat/>
    <w:uiPriority w:val="0"/>
    <w:pPr>
      <w:widowControl w:val="0"/>
      <w:ind w:left="100" w:leftChars="2500"/>
    </w:pPr>
    <w:rPr>
      <w:rFonts w:hint="default" w:ascii="仿宋_GB2312" w:hAnsi="宋体" w:eastAsia="仿宋_GB2312" w:cs="Times New Roman"/>
      <w:sz w:val="24"/>
      <w:szCs w:val="24"/>
    </w:rPr>
  </w:style>
  <w:style w:type="paragraph" w:styleId="32">
    <w:name w:val="Body Text Indent 2"/>
    <w:basedOn w:val="1"/>
    <w:link w:val="96"/>
    <w:qFormat/>
    <w:uiPriority w:val="0"/>
    <w:pPr>
      <w:widowControl w:val="0"/>
      <w:ind w:firstLine="480" w:firstLineChars="200"/>
    </w:pPr>
    <w:rPr>
      <w:rFonts w:hint="default" w:ascii="仿宋_GB2312" w:hAnsi="Times New Roman" w:eastAsia="仿宋_GB2312" w:cs="Times New Roman"/>
      <w:color w:val="auto"/>
      <w:sz w:val="24"/>
      <w:szCs w:val="24"/>
    </w:rPr>
  </w:style>
  <w:style w:type="paragraph" w:styleId="33">
    <w:name w:val="Balloon Text"/>
    <w:basedOn w:val="1"/>
    <w:link w:val="97"/>
    <w:unhideWhenUsed/>
    <w:qFormat/>
    <w:uiPriority w:val="0"/>
    <w:rPr>
      <w:rFonts w:hint="default" w:cs="Times New Roman"/>
      <w:kern w:val="0"/>
      <w:sz w:val="18"/>
      <w:szCs w:val="18"/>
    </w:rPr>
  </w:style>
  <w:style w:type="paragraph" w:styleId="34">
    <w:name w:val="footer"/>
    <w:basedOn w:val="1"/>
    <w:link w:val="98"/>
    <w:qFormat/>
    <w:uiPriority w:val="99"/>
    <w:pPr>
      <w:tabs>
        <w:tab w:val="center" w:pos="4153"/>
        <w:tab w:val="right" w:pos="8306"/>
      </w:tabs>
    </w:pPr>
    <w:rPr>
      <w:rFonts w:hint="default" w:ascii="宋体" w:hAnsi="宋体" w:eastAsia="宋体" w:cs="Times New Roman"/>
      <w:kern w:val="0"/>
      <w:sz w:val="18"/>
      <w:szCs w:val="18"/>
    </w:rPr>
  </w:style>
  <w:style w:type="paragraph" w:styleId="35">
    <w:name w:val="envelope return"/>
    <w:basedOn w:val="1"/>
    <w:unhideWhenUsed/>
    <w:qFormat/>
    <w:uiPriority w:val="99"/>
    <w:pPr>
      <w:snapToGrid w:val="0"/>
    </w:pPr>
    <w:rPr>
      <w:rFonts w:ascii="Arial" w:hAnsi="Arial"/>
    </w:rPr>
  </w:style>
  <w:style w:type="paragraph" w:styleId="36">
    <w:name w:val="header"/>
    <w:basedOn w:val="1"/>
    <w:link w:val="99"/>
    <w:unhideWhenUsed/>
    <w:qFormat/>
    <w:uiPriority w:val="99"/>
    <w:pPr>
      <w:pBdr>
        <w:bottom w:val="single" w:color="auto" w:sz="6" w:space="1"/>
      </w:pBdr>
      <w:tabs>
        <w:tab w:val="center" w:pos="4153"/>
        <w:tab w:val="right" w:pos="8306"/>
      </w:tabs>
      <w:snapToGrid w:val="0"/>
      <w:jc w:val="center"/>
    </w:pPr>
    <w:rPr>
      <w:rFonts w:hint="default" w:cs="Times New Roman"/>
      <w:kern w:val="0"/>
      <w:sz w:val="18"/>
      <w:szCs w:val="18"/>
    </w:rPr>
  </w:style>
  <w:style w:type="paragraph" w:styleId="37">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38">
    <w:name w:val="toc 4"/>
    <w:basedOn w:val="1"/>
    <w:next w:val="1"/>
    <w:qFormat/>
    <w:uiPriority w:val="0"/>
    <w:pPr>
      <w:widowControl w:val="0"/>
      <w:ind w:left="1260" w:leftChars="600"/>
    </w:pPr>
    <w:rPr>
      <w:rFonts w:hint="default" w:ascii="Times New Roman" w:hAnsi="Times New Roman" w:eastAsia="宋体" w:cs="Times New Roman"/>
      <w:color w:val="auto"/>
      <w:szCs w:val="24"/>
      <w:lang w:val="en-US" w:eastAsia="zh-CN"/>
    </w:rPr>
  </w:style>
  <w:style w:type="paragraph" w:styleId="39">
    <w:name w:val="List"/>
    <w:basedOn w:val="1"/>
    <w:qFormat/>
    <w:uiPriority w:val="0"/>
    <w:pPr>
      <w:widowControl w:val="0"/>
      <w:ind w:left="420" w:hanging="420"/>
    </w:pPr>
    <w:rPr>
      <w:rFonts w:hint="default" w:ascii="Times New Roman" w:hAnsi="Times New Roman" w:eastAsia="楷体_GB2312" w:cs="Times New Roman"/>
      <w:color w:val="auto"/>
      <w:sz w:val="32"/>
      <w:szCs w:val="20"/>
      <w:lang w:val="en-US" w:eastAsia="zh-CN"/>
    </w:rPr>
  </w:style>
  <w:style w:type="paragraph" w:styleId="40">
    <w:name w:val="footnote text"/>
    <w:basedOn w:val="1"/>
    <w:link w:val="100"/>
    <w:qFormat/>
    <w:uiPriority w:val="99"/>
    <w:pPr>
      <w:widowControl w:val="0"/>
      <w:adjustRightInd w:val="0"/>
      <w:spacing w:line="312" w:lineRule="atLeast"/>
      <w:jc w:val="left"/>
      <w:textAlignment w:val="baseline"/>
    </w:pPr>
    <w:rPr>
      <w:rFonts w:hint="default" w:ascii="Times New Roman" w:hAnsi="Times New Roman" w:eastAsia="宋体" w:cs="Times New Roman"/>
      <w:color w:val="auto"/>
      <w:sz w:val="18"/>
      <w:szCs w:val="22"/>
    </w:rPr>
  </w:style>
  <w:style w:type="paragraph" w:styleId="41">
    <w:name w:val="toc 6"/>
    <w:basedOn w:val="1"/>
    <w:next w:val="1"/>
    <w:qFormat/>
    <w:uiPriority w:val="0"/>
    <w:pPr>
      <w:widowControl w:val="0"/>
      <w:ind w:left="2100" w:leftChars="1000"/>
    </w:pPr>
    <w:rPr>
      <w:rFonts w:hint="default" w:ascii="Times New Roman" w:hAnsi="Times New Roman" w:eastAsia="宋体" w:cs="Times New Roman"/>
      <w:color w:val="auto"/>
      <w:szCs w:val="24"/>
      <w:lang w:val="en-US" w:eastAsia="zh-CN"/>
    </w:rPr>
  </w:style>
  <w:style w:type="paragraph" w:styleId="42">
    <w:name w:val="List 5"/>
    <w:basedOn w:val="1"/>
    <w:qFormat/>
    <w:uiPriority w:val="0"/>
    <w:pPr>
      <w:widowControl w:val="0"/>
      <w:ind w:left="2100" w:hanging="420"/>
    </w:pPr>
    <w:rPr>
      <w:rFonts w:hint="default" w:ascii="Times New Roman" w:hAnsi="Times New Roman" w:eastAsia="楷体_GB2312" w:cs="Times New Roman"/>
      <w:color w:val="auto"/>
      <w:sz w:val="32"/>
      <w:szCs w:val="20"/>
      <w:lang w:val="en-US" w:eastAsia="zh-CN"/>
    </w:rPr>
  </w:style>
  <w:style w:type="paragraph" w:styleId="43">
    <w:name w:val="Body Text Indent 3"/>
    <w:basedOn w:val="1"/>
    <w:link w:val="101"/>
    <w:qFormat/>
    <w:uiPriority w:val="0"/>
    <w:pPr>
      <w:widowControl w:val="0"/>
      <w:autoSpaceDE w:val="0"/>
      <w:autoSpaceDN w:val="0"/>
      <w:adjustRightInd w:val="0"/>
      <w:spacing w:before="120" w:line="22" w:lineRule="atLeast"/>
      <w:ind w:left="720" w:firstLine="480"/>
      <w:jc w:val="left"/>
    </w:pPr>
    <w:rPr>
      <w:rFonts w:hint="default" w:ascii="宋体" w:hAnsi="Times New Roman" w:eastAsia="宋体" w:cs="Times New Roman"/>
      <w:color w:val="auto"/>
      <w:kern w:val="0"/>
      <w:sz w:val="24"/>
      <w:szCs w:val="20"/>
    </w:rPr>
  </w:style>
  <w:style w:type="paragraph" w:styleId="44">
    <w:name w:val="table of figures"/>
    <w:basedOn w:val="1"/>
    <w:next w:val="1"/>
    <w:qFormat/>
    <w:uiPriority w:val="0"/>
    <w:pPr>
      <w:ind w:left="200" w:leftChars="200" w:hanging="200" w:hangingChars="200"/>
    </w:pPr>
    <w:rPr>
      <w:rFonts w:ascii="Times New Roman" w:hAnsi="Times New Roman"/>
    </w:rPr>
  </w:style>
  <w:style w:type="paragraph" w:styleId="45">
    <w:name w:val="toc 2"/>
    <w:basedOn w:val="1"/>
    <w:next w:val="1"/>
    <w:unhideWhenUsed/>
    <w:qFormat/>
    <w:uiPriority w:val="39"/>
    <w:pPr>
      <w:spacing w:after="100" w:line="276" w:lineRule="auto"/>
      <w:ind w:left="220"/>
      <w:jc w:val="left"/>
    </w:pPr>
    <w:rPr>
      <w:rFonts w:hint="default" w:ascii="Calibri" w:hAnsi="Calibri" w:eastAsia="宋体" w:cs="Times New Roman"/>
      <w:color w:val="auto"/>
      <w:kern w:val="0"/>
      <w:sz w:val="22"/>
      <w:szCs w:val="22"/>
      <w:lang w:val="en-US" w:eastAsia="zh-CN"/>
    </w:rPr>
  </w:style>
  <w:style w:type="paragraph" w:styleId="46">
    <w:name w:val="toc 9"/>
    <w:basedOn w:val="1"/>
    <w:next w:val="1"/>
    <w:qFormat/>
    <w:uiPriority w:val="0"/>
    <w:pPr>
      <w:widowControl w:val="0"/>
      <w:ind w:left="3360" w:leftChars="1600"/>
    </w:pPr>
    <w:rPr>
      <w:rFonts w:hint="default" w:ascii="Times New Roman" w:hAnsi="Times New Roman" w:eastAsia="宋体" w:cs="Times New Roman"/>
      <w:color w:val="auto"/>
      <w:szCs w:val="24"/>
      <w:lang w:val="en-US" w:eastAsia="zh-CN"/>
    </w:rPr>
  </w:style>
  <w:style w:type="paragraph" w:styleId="47">
    <w:name w:val="Body Text 2"/>
    <w:basedOn w:val="1"/>
    <w:link w:val="102"/>
    <w:qFormat/>
    <w:uiPriority w:val="0"/>
    <w:pPr>
      <w:widowControl w:val="0"/>
      <w:spacing w:after="120" w:line="480" w:lineRule="auto"/>
    </w:pPr>
    <w:rPr>
      <w:rFonts w:hint="default" w:ascii="Times New Roman" w:hAnsi="Times New Roman" w:eastAsia="宋体" w:cs="Times New Roman"/>
      <w:color w:val="auto"/>
      <w:szCs w:val="24"/>
    </w:rPr>
  </w:style>
  <w:style w:type="paragraph" w:styleId="48">
    <w:name w:val="List 4"/>
    <w:basedOn w:val="1"/>
    <w:qFormat/>
    <w:uiPriority w:val="0"/>
    <w:pPr>
      <w:widowControl w:val="0"/>
      <w:ind w:left="1680" w:hanging="420"/>
    </w:pPr>
    <w:rPr>
      <w:rFonts w:hint="default" w:ascii="Times New Roman" w:hAnsi="Times New Roman" w:eastAsia="楷体_GB2312" w:cs="Times New Roman"/>
      <w:color w:val="auto"/>
      <w:sz w:val="32"/>
      <w:szCs w:val="20"/>
      <w:lang w:val="en-US" w:eastAsia="zh-CN"/>
    </w:rPr>
  </w:style>
  <w:style w:type="paragraph" w:styleId="49">
    <w:name w:val="List Continue 2"/>
    <w:basedOn w:val="1"/>
    <w:qFormat/>
    <w:uiPriority w:val="0"/>
    <w:pPr>
      <w:widowControl w:val="0"/>
      <w:spacing w:after="120" w:line="240" w:lineRule="auto"/>
      <w:ind w:left="840" w:leftChars="400"/>
    </w:pPr>
    <w:rPr>
      <w:rFonts w:hint="default" w:ascii="Times New Roman" w:hAnsi="Times New Roman" w:eastAsia="宋体" w:cs="Times New Roman"/>
      <w:color w:val="auto"/>
      <w:szCs w:val="24"/>
      <w:lang w:val="en-US" w:eastAsia="zh-CN"/>
    </w:rPr>
  </w:style>
  <w:style w:type="paragraph" w:styleId="5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51">
    <w:name w:val="HTML Preformatted"/>
    <w:basedOn w:val="1"/>
    <w:link w:val="10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hint="default" w:eastAsia="Courier New" w:cs="Courier New"/>
      <w:color w:val="auto"/>
      <w:kern w:val="0"/>
      <w:sz w:val="20"/>
      <w:szCs w:val="20"/>
      <w:lang w:val="en-US" w:eastAsia="zh-CN"/>
    </w:rPr>
  </w:style>
  <w:style w:type="paragraph" w:styleId="52">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53">
    <w:name w:val="List Continue 3"/>
    <w:basedOn w:val="1"/>
    <w:qFormat/>
    <w:uiPriority w:val="0"/>
    <w:pPr>
      <w:widowControl w:val="0"/>
      <w:spacing w:after="120" w:line="240" w:lineRule="auto"/>
      <w:ind w:left="1260" w:leftChars="600"/>
    </w:pPr>
    <w:rPr>
      <w:rFonts w:hint="default" w:ascii="Times New Roman" w:hAnsi="Times New Roman" w:eastAsia="宋体" w:cs="Times New Roman"/>
      <w:color w:val="auto"/>
      <w:szCs w:val="24"/>
      <w:lang w:val="en-US" w:eastAsia="zh-CN"/>
    </w:rPr>
  </w:style>
  <w:style w:type="paragraph" w:styleId="54">
    <w:name w:val="index 1"/>
    <w:basedOn w:val="1"/>
    <w:next w:val="1"/>
    <w:qFormat/>
    <w:uiPriority w:val="0"/>
    <w:pPr>
      <w:widowControl w:val="0"/>
    </w:pPr>
    <w:rPr>
      <w:rFonts w:hint="default" w:ascii="Times New Roman" w:hAnsi="Times New Roman" w:eastAsia="宋体" w:cs="Times New Roman"/>
      <w:color w:val="auto"/>
      <w:szCs w:val="20"/>
      <w:lang w:val="en-US" w:eastAsia="zh-CN"/>
    </w:rPr>
  </w:style>
  <w:style w:type="paragraph" w:styleId="55">
    <w:name w:val="Title"/>
    <w:link w:val="104"/>
    <w:qFormat/>
    <w:uiPriority w:val="0"/>
    <w:pPr>
      <w:spacing w:before="240" w:after="60" w:line="278" w:lineRule="auto"/>
      <w:jc w:val="center"/>
    </w:pPr>
    <w:rPr>
      <w:rFonts w:ascii="Arial" w:hAnsi="Arial" w:eastAsia="Arial" w:cs="Times New Roman"/>
      <w:b/>
      <w:bCs/>
      <w:color w:val="000000"/>
      <w:sz w:val="32"/>
      <w:szCs w:val="32"/>
      <w:lang w:val="en-US" w:eastAsia="zh-CN" w:bidi="ar-SA"/>
    </w:rPr>
  </w:style>
  <w:style w:type="paragraph" w:styleId="56">
    <w:name w:val="annotation subject"/>
    <w:basedOn w:val="18"/>
    <w:next w:val="18"/>
    <w:link w:val="105"/>
    <w:qFormat/>
    <w:uiPriority w:val="0"/>
    <w:pPr>
      <w:widowControl w:val="0"/>
    </w:pPr>
    <w:rPr>
      <w:rFonts w:ascii="Times New Roman" w:hAnsi="Times New Roman" w:eastAsia="宋体"/>
      <w:b/>
      <w:bCs/>
      <w:color w:val="auto"/>
      <w:kern w:val="2"/>
      <w:sz w:val="21"/>
      <w:szCs w:val="24"/>
    </w:rPr>
  </w:style>
  <w:style w:type="paragraph" w:styleId="57">
    <w:name w:val="Body Text First Indent"/>
    <w:basedOn w:val="21"/>
    <w:next w:val="58"/>
    <w:link w:val="107"/>
    <w:qFormat/>
    <w:uiPriority w:val="99"/>
    <w:pPr>
      <w:spacing w:before="0" w:after="120" w:line="240" w:lineRule="auto"/>
      <w:ind w:firstLine="420"/>
    </w:pPr>
    <w:rPr>
      <w:rFonts w:ascii="Times New Roman" w:hAnsi="Times New Roman" w:eastAsia="楷体_GB2312"/>
      <w:sz w:val="32"/>
    </w:rPr>
  </w:style>
  <w:style w:type="paragraph" w:styleId="58">
    <w:name w:val="Body Text First Indent 2"/>
    <w:basedOn w:val="22"/>
    <w:link w:val="106"/>
    <w:unhideWhenUsed/>
    <w:qFormat/>
    <w:uiPriority w:val="0"/>
    <w:pPr>
      <w:spacing w:after="120" w:line="240" w:lineRule="auto"/>
      <w:ind w:left="420" w:leftChars="200" w:firstLine="420" w:firstLineChars="200"/>
    </w:pPr>
    <w:rPr>
      <w:rFonts w:ascii="Cambria" w:hAnsi="Cambria"/>
      <w:sz w:val="21"/>
    </w:rPr>
  </w:style>
  <w:style w:type="table" w:styleId="60">
    <w:name w:val="Table Grid"/>
    <w:basedOn w:val="5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bCs/>
    </w:rPr>
  </w:style>
  <w:style w:type="character" w:styleId="63">
    <w:name w:val="page number"/>
    <w:qFormat/>
    <w:uiPriority w:val="0"/>
  </w:style>
  <w:style w:type="character" w:styleId="64">
    <w:name w:val="FollowedHyperlink"/>
    <w:qFormat/>
    <w:uiPriority w:val="99"/>
    <w:rPr>
      <w:color w:val="333333"/>
      <w:sz w:val="18"/>
      <w:szCs w:val="18"/>
      <w:u w:val="none"/>
    </w:rPr>
  </w:style>
  <w:style w:type="character" w:styleId="65">
    <w:name w:val="Emphasis"/>
    <w:qFormat/>
    <w:uiPriority w:val="20"/>
    <w:rPr>
      <w:rFonts w:ascii="ActionIcon ! important" w:hAnsi="ActionIcon ! important" w:eastAsia="ActionIcon ! important" w:cs="ActionIcon ! important"/>
      <w:b/>
      <w:bCs/>
      <w:color w:val="5C5C5C"/>
      <w:sz w:val="21"/>
      <w:szCs w:val="21"/>
      <w:u w:val="none"/>
    </w:rPr>
  </w:style>
  <w:style w:type="character" w:styleId="66">
    <w:name w:val="HTML Definition"/>
    <w:unhideWhenUsed/>
    <w:qFormat/>
    <w:uiPriority w:val="99"/>
  </w:style>
  <w:style w:type="character" w:styleId="67">
    <w:name w:val="HTML Typewriter"/>
    <w:unhideWhenUsed/>
    <w:qFormat/>
    <w:uiPriority w:val="99"/>
    <w:rPr>
      <w:rFonts w:hint="default" w:ascii="monospace" w:hAnsi="monospace" w:eastAsia="monospace" w:cs="monospace"/>
      <w:vanish/>
      <w:sz w:val="20"/>
    </w:rPr>
  </w:style>
  <w:style w:type="character" w:styleId="68">
    <w:name w:val="HTML Acronym"/>
    <w:basedOn w:val="61"/>
    <w:unhideWhenUsed/>
    <w:qFormat/>
    <w:uiPriority w:val="99"/>
  </w:style>
  <w:style w:type="character" w:styleId="69">
    <w:name w:val="HTML Variable"/>
    <w:unhideWhenUsed/>
    <w:qFormat/>
    <w:uiPriority w:val="99"/>
  </w:style>
  <w:style w:type="character" w:styleId="70">
    <w:name w:val="Hyperlink"/>
    <w:qFormat/>
    <w:uiPriority w:val="99"/>
    <w:rPr>
      <w:u w:val="single"/>
    </w:rPr>
  </w:style>
  <w:style w:type="character" w:styleId="71">
    <w:name w:val="HTML Code"/>
    <w:unhideWhenUsed/>
    <w:qFormat/>
    <w:uiPriority w:val="99"/>
    <w:rPr>
      <w:rFonts w:hint="default" w:ascii="monospace" w:hAnsi="monospace" w:eastAsia="monospace" w:cs="monospace"/>
      <w:sz w:val="20"/>
    </w:rPr>
  </w:style>
  <w:style w:type="character" w:styleId="72">
    <w:name w:val="annotation reference"/>
    <w:unhideWhenUsed/>
    <w:qFormat/>
    <w:uiPriority w:val="0"/>
    <w:rPr>
      <w:sz w:val="21"/>
      <w:szCs w:val="21"/>
    </w:rPr>
  </w:style>
  <w:style w:type="character" w:styleId="73">
    <w:name w:val="HTML Cite"/>
    <w:unhideWhenUsed/>
    <w:qFormat/>
    <w:uiPriority w:val="99"/>
  </w:style>
  <w:style w:type="character" w:styleId="74">
    <w:name w:val="footnote reference"/>
    <w:qFormat/>
    <w:uiPriority w:val="0"/>
    <w:rPr>
      <w:vertAlign w:val="superscript"/>
    </w:rPr>
  </w:style>
  <w:style w:type="character" w:styleId="75">
    <w:name w:val="HTML Keyboard"/>
    <w:unhideWhenUsed/>
    <w:qFormat/>
    <w:uiPriority w:val="99"/>
    <w:rPr>
      <w:rFonts w:ascii="monospace" w:hAnsi="monospace" w:eastAsia="monospace" w:cs="monospace"/>
      <w:sz w:val="20"/>
    </w:rPr>
  </w:style>
  <w:style w:type="character" w:styleId="76">
    <w:name w:val="HTML Sample"/>
    <w:unhideWhenUsed/>
    <w:qFormat/>
    <w:uiPriority w:val="99"/>
    <w:rPr>
      <w:rFonts w:hint="default" w:ascii="monospace" w:hAnsi="monospace" w:eastAsia="monospace" w:cs="monospace"/>
    </w:rPr>
  </w:style>
  <w:style w:type="paragraph" w:customStyle="1" w:styleId="77">
    <w:name w:val="Default"/>
    <w:basedOn w:val="29"/>
    <w:next w:val="1"/>
    <w:link w:val="108"/>
    <w:qFormat/>
    <w:uiPriority w:val="0"/>
    <w:pPr>
      <w:autoSpaceDE w:val="0"/>
      <w:autoSpaceDN w:val="0"/>
      <w:adjustRightInd w:val="0"/>
    </w:pPr>
    <w:rPr>
      <w:rFonts w:ascii="Arial" w:hAnsi="Arial" w:cs="Arial"/>
      <w:color w:val="000000"/>
      <w:sz w:val="24"/>
      <w:lang w:val="en-US" w:eastAsia="zh-CN"/>
    </w:rPr>
  </w:style>
  <w:style w:type="character" w:customStyle="1" w:styleId="78">
    <w:name w:val="标题 1 字符"/>
    <w:link w:val="2"/>
    <w:qFormat/>
    <w:uiPriority w:val="0"/>
    <w:rPr>
      <w:rFonts w:ascii="Arial Unicode MS" w:hAnsi="Arial Unicode MS" w:eastAsia="Arial Unicode MS" w:cs="Arial Unicode MS"/>
      <w:b/>
      <w:bCs/>
      <w:color w:val="000000"/>
      <w:kern w:val="44"/>
      <w:sz w:val="44"/>
      <w:szCs w:val="44"/>
      <w:lang w:val="zh-TW" w:eastAsia="zh-TW"/>
    </w:rPr>
  </w:style>
  <w:style w:type="character" w:customStyle="1" w:styleId="79">
    <w:name w:val="标题 2 字符"/>
    <w:link w:val="3"/>
    <w:qFormat/>
    <w:uiPriority w:val="0"/>
    <w:rPr>
      <w:rFonts w:ascii="Cambria" w:hAnsi="Cambria" w:eastAsia="宋体" w:cs="Times New Roman"/>
      <w:b/>
      <w:bCs/>
      <w:color w:val="000000"/>
      <w:sz w:val="32"/>
      <w:szCs w:val="32"/>
      <w:lang w:val="zh-TW" w:eastAsia="zh-TW"/>
    </w:rPr>
  </w:style>
  <w:style w:type="character" w:customStyle="1" w:styleId="80">
    <w:name w:val="标题 3 字符"/>
    <w:link w:val="4"/>
    <w:qFormat/>
    <w:uiPriority w:val="0"/>
    <w:rPr>
      <w:rFonts w:ascii="Arial Unicode MS" w:hAnsi="Arial Unicode MS" w:eastAsia="Arial Unicode MS" w:cs="Arial Unicode MS"/>
      <w:b/>
      <w:bCs/>
      <w:color w:val="000000"/>
      <w:sz w:val="32"/>
      <w:szCs w:val="32"/>
      <w:lang w:val="zh-TW" w:eastAsia="zh-TW"/>
    </w:rPr>
  </w:style>
  <w:style w:type="character" w:customStyle="1" w:styleId="81">
    <w:name w:val="标题 4 字符"/>
    <w:link w:val="5"/>
    <w:qFormat/>
    <w:uiPriority w:val="0"/>
    <w:rPr>
      <w:rFonts w:ascii="Arial" w:hAnsi="Arial" w:eastAsia="黑体"/>
      <w:b/>
      <w:kern w:val="2"/>
      <w:sz w:val="28"/>
      <w:szCs w:val="24"/>
    </w:rPr>
  </w:style>
  <w:style w:type="character" w:customStyle="1" w:styleId="82">
    <w:name w:val="标题 5 字符"/>
    <w:link w:val="6"/>
    <w:qFormat/>
    <w:uiPriority w:val="0"/>
    <w:rPr>
      <w:rFonts w:ascii="仿宋_GB2312" w:hAnsi="Times New Roman" w:eastAsia="仿宋_GB2312"/>
      <w:b/>
      <w:kern w:val="2"/>
      <w:sz w:val="28"/>
      <w:szCs w:val="32"/>
    </w:rPr>
  </w:style>
  <w:style w:type="character" w:customStyle="1" w:styleId="83">
    <w:name w:val="标题 6 字符"/>
    <w:link w:val="7"/>
    <w:qFormat/>
    <w:uiPriority w:val="0"/>
    <w:rPr>
      <w:rFonts w:ascii="Arial" w:hAnsi="Arial" w:eastAsia="黑体"/>
      <w:b/>
      <w:kern w:val="2"/>
      <w:sz w:val="24"/>
      <w:szCs w:val="32"/>
    </w:rPr>
  </w:style>
  <w:style w:type="character" w:customStyle="1" w:styleId="84">
    <w:name w:val="标题 7 字符"/>
    <w:link w:val="8"/>
    <w:qFormat/>
    <w:uiPriority w:val="0"/>
    <w:rPr>
      <w:rFonts w:ascii="仿宋_GB2312" w:hAnsi="Times New Roman" w:eastAsia="仿宋_GB2312"/>
      <w:b/>
      <w:kern w:val="2"/>
      <w:sz w:val="24"/>
      <w:szCs w:val="32"/>
    </w:rPr>
  </w:style>
  <w:style w:type="character" w:customStyle="1" w:styleId="85">
    <w:name w:val="标题 8 字符"/>
    <w:link w:val="9"/>
    <w:qFormat/>
    <w:uiPriority w:val="0"/>
    <w:rPr>
      <w:rFonts w:ascii="Arial" w:hAnsi="Arial" w:eastAsia="黑体"/>
      <w:kern w:val="2"/>
      <w:sz w:val="24"/>
      <w:szCs w:val="32"/>
    </w:rPr>
  </w:style>
  <w:style w:type="character" w:customStyle="1" w:styleId="86">
    <w:name w:val="标题 9 字符"/>
    <w:link w:val="10"/>
    <w:qFormat/>
    <w:uiPriority w:val="0"/>
    <w:rPr>
      <w:rFonts w:ascii="Arial" w:hAnsi="Arial" w:eastAsia="黑体"/>
      <w:kern w:val="2"/>
      <w:sz w:val="21"/>
      <w:szCs w:val="32"/>
    </w:rPr>
  </w:style>
  <w:style w:type="character" w:customStyle="1" w:styleId="87">
    <w:name w:val="注释标题 字符"/>
    <w:basedOn w:val="61"/>
    <w:link w:val="14"/>
    <w:qFormat/>
    <w:uiPriority w:val="0"/>
    <w:rPr>
      <w:rFonts w:ascii="宋体" w:hAnsi="宋体" w:cs="宋体"/>
      <w:sz w:val="24"/>
      <w:szCs w:val="24"/>
    </w:rPr>
  </w:style>
  <w:style w:type="character" w:customStyle="1" w:styleId="88">
    <w:name w:val="正文缩进 字符"/>
    <w:link w:val="15"/>
    <w:qFormat/>
    <w:uiPriority w:val="0"/>
    <w:rPr>
      <w:rFonts w:ascii="宋体"/>
      <w:sz w:val="24"/>
    </w:rPr>
  </w:style>
  <w:style w:type="character" w:customStyle="1" w:styleId="89">
    <w:name w:val="文档结构图 字符"/>
    <w:basedOn w:val="61"/>
    <w:link w:val="17"/>
    <w:qFormat/>
    <w:uiPriority w:val="0"/>
    <w:rPr>
      <w:kern w:val="2"/>
      <w:sz w:val="21"/>
      <w:szCs w:val="24"/>
      <w:shd w:val="clear" w:color="auto" w:fill="000080"/>
    </w:rPr>
  </w:style>
  <w:style w:type="character" w:customStyle="1" w:styleId="90">
    <w:name w:val="批注文字 字符"/>
    <w:link w:val="18"/>
    <w:qFormat/>
    <w:uiPriority w:val="0"/>
    <w:rPr>
      <w:rFonts w:ascii="Arial Unicode MS" w:hAnsi="Arial Unicode MS" w:eastAsia="Arial Unicode MS" w:cs="Arial Unicode MS"/>
      <w:color w:val="000000"/>
      <w:szCs w:val="21"/>
      <w:lang w:val="zh-TW" w:eastAsia="zh-TW"/>
    </w:rPr>
  </w:style>
  <w:style w:type="character" w:customStyle="1" w:styleId="91">
    <w:name w:val="正文文本 3 字符"/>
    <w:link w:val="19"/>
    <w:qFormat/>
    <w:uiPriority w:val="0"/>
    <w:rPr>
      <w:kern w:val="2"/>
      <w:sz w:val="16"/>
      <w:szCs w:val="16"/>
    </w:rPr>
  </w:style>
  <w:style w:type="character" w:customStyle="1" w:styleId="92">
    <w:name w:val="正文文本 字符1"/>
    <w:link w:val="21"/>
    <w:qFormat/>
    <w:uiPriority w:val="0"/>
    <w:rPr>
      <w:rFonts w:ascii="宋体" w:hAnsi="宋体"/>
      <w:kern w:val="2"/>
      <w:sz w:val="24"/>
      <w:szCs w:val="24"/>
    </w:rPr>
  </w:style>
  <w:style w:type="character" w:customStyle="1" w:styleId="93">
    <w:name w:val="正文文本缩进 字符"/>
    <w:link w:val="22"/>
    <w:qFormat/>
    <w:uiPriority w:val="0"/>
    <w:rPr>
      <w:kern w:val="2"/>
      <w:sz w:val="24"/>
      <w:szCs w:val="24"/>
    </w:rPr>
  </w:style>
  <w:style w:type="character" w:customStyle="1" w:styleId="94">
    <w:name w:val="纯文本 字符"/>
    <w:link w:val="29"/>
    <w:qFormat/>
    <w:uiPriority w:val="0"/>
    <w:rPr>
      <w:rFonts w:ascii="宋体" w:hAnsi="Courier New"/>
    </w:rPr>
  </w:style>
  <w:style w:type="character" w:customStyle="1" w:styleId="95">
    <w:name w:val="日期 字符"/>
    <w:link w:val="31"/>
    <w:qFormat/>
    <w:uiPriority w:val="0"/>
    <w:rPr>
      <w:rFonts w:ascii="仿宋_GB2312" w:hAnsi="宋体" w:eastAsia="仿宋_GB2312"/>
      <w:color w:val="000000"/>
      <w:kern w:val="2"/>
      <w:sz w:val="24"/>
      <w:szCs w:val="24"/>
    </w:rPr>
  </w:style>
  <w:style w:type="character" w:customStyle="1" w:styleId="96">
    <w:name w:val="正文文本缩进 2 字符"/>
    <w:link w:val="32"/>
    <w:qFormat/>
    <w:uiPriority w:val="0"/>
    <w:rPr>
      <w:rFonts w:ascii="仿宋_GB2312" w:eastAsia="仿宋_GB2312"/>
      <w:kern w:val="2"/>
      <w:sz w:val="24"/>
      <w:szCs w:val="24"/>
    </w:rPr>
  </w:style>
  <w:style w:type="character" w:customStyle="1" w:styleId="97">
    <w:name w:val="批注框文本 字符"/>
    <w:link w:val="33"/>
    <w:qFormat/>
    <w:uiPriority w:val="0"/>
    <w:rPr>
      <w:rFonts w:ascii="Arial Unicode MS" w:hAnsi="Arial Unicode MS" w:eastAsia="Arial Unicode MS" w:cs="Arial Unicode MS"/>
      <w:color w:val="000000"/>
      <w:sz w:val="18"/>
      <w:szCs w:val="18"/>
      <w:lang w:val="zh-TW" w:eastAsia="zh-TW"/>
    </w:rPr>
  </w:style>
  <w:style w:type="character" w:customStyle="1" w:styleId="98">
    <w:name w:val="页脚 字符"/>
    <w:link w:val="34"/>
    <w:qFormat/>
    <w:uiPriority w:val="99"/>
    <w:rPr>
      <w:rFonts w:ascii="宋体" w:hAnsi="宋体" w:eastAsia="宋体" w:cs="宋体"/>
      <w:color w:val="000000"/>
      <w:kern w:val="0"/>
      <w:sz w:val="18"/>
      <w:szCs w:val="18"/>
    </w:rPr>
  </w:style>
  <w:style w:type="character" w:customStyle="1" w:styleId="99">
    <w:name w:val="页眉 字符"/>
    <w:link w:val="36"/>
    <w:qFormat/>
    <w:uiPriority w:val="99"/>
    <w:rPr>
      <w:rFonts w:ascii="Arial Unicode MS" w:hAnsi="Arial Unicode MS" w:eastAsia="Arial Unicode MS" w:cs="Arial Unicode MS"/>
      <w:color w:val="000000"/>
      <w:sz w:val="18"/>
      <w:szCs w:val="18"/>
      <w:lang w:val="zh-TW" w:eastAsia="zh-TW"/>
    </w:rPr>
  </w:style>
  <w:style w:type="character" w:customStyle="1" w:styleId="100">
    <w:name w:val="脚注文本 字符"/>
    <w:link w:val="40"/>
    <w:qFormat/>
    <w:uiPriority w:val="99"/>
    <w:rPr>
      <w:kern w:val="2"/>
      <w:sz w:val="18"/>
      <w:szCs w:val="22"/>
    </w:rPr>
  </w:style>
  <w:style w:type="character" w:customStyle="1" w:styleId="101">
    <w:name w:val="正文文本缩进 3 字符"/>
    <w:link w:val="43"/>
    <w:qFormat/>
    <w:uiPriority w:val="0"/>
    <w:rPr>
      <w:rFonts w:ascii="宋体"/>
      <w:sz w:val="24"/>
    </w:rPr>
  </w:style>
  <w:style w:type="character" w:customStyle="1" w:styleId="102">
    <w:name w:val="正文文本 2 字符"/>
    <w:link w:val="47"/>
    <w:qFormat/>
    <w:uiPriority w:val="0"/>
    <w:rPr>
      <w:kern w:val="2"/>
      <w:sz w:val="21"/>
      <w:szCs w:val="24"/>
    </w:rPr>
  </w:style>
  <w:style w:type="character" w:customStyle="1" w:styleId="103">
    <w:name w:val="HTML 预设格式 字符"/>
    <w:basedOn w:val="61"/>
    <w:link w:val="51"/>
    <w:qFormat/>
    <w:uiPriority w:val="0"/>
    <w:rPr>
      <w:rFonts w:ascii="Arial Unicode MS" w:hAnsi="Arial Unicode MS" w:eastAsia="Courier New" w:cs="Courier New"/>
    </w:rPr>
  </w:style>
  <w:style w:type="character" w:customStyle="1" w:styleId="104">
    <w:name w:val="标题 字符"/>
    <w:link w:val="55"/>
    <w:qFormat/>
    <w:uiPriority w:val="0"/>
    <w:rPr>
      <w:rFonts w:ascii="Arial" w:hAnsi="Arial" w:eastAsia="Arial"/>
      <w:b/>
      <w:bCs/>
      <w:color w:val="000000"/>
      <w:sz w:val="32"/>
      <w:szCs w:val="32"/>
      <w:lang w:bidi="ar-SA"/>
    </w:rPr>
  </w:style>
  <w:style w:type="character" w:customStyle="1" w:styleId="105">
    <w:name w:val="批注主题 字符"/>
    <w:link w:val="56"/>
    <w:qFormat/>
    <w:uiPriority w:val="0"/>
    <w:rPr>
      <w:b/>
      <w:bCs/>
      <w:kern w:val="2"/>
      <w:sz w:val="21"/>
      <w:szCs w:val="24"/>
    </w:rPr>
  </w:style>
  <w:style w:type="character" w:customStyle="1" w:styleId="106">
    <w:name w:val="正文首行缩进 2 字符"/>
    <w:link w:val="58"/>
    <w:qFormat/>
    <w:uiPriority w:val="0"/>
    <w:rPr>
      <w:rFonts w:ascii="Cambria" w:hAnsi="Cambria"/>
      <w:kern w:val="2"/>
      <w:sz w:val="21"/>
      <w:szCs w:val="24"/>
    </w:rPr>
  </w:style>
  <w:style w:type="character" w:customStyle="1" w:styleId="107">
    <w:name w:val="正文首行缩进 字符"/>
    <w:link w:val="57"/>
    <w:qFormat/>
    <w:uiPriority w:val="99"/>
    <w:rPr>
      <w:rFonts w:eastAsia="楷体_GB2312"/>
      <w:kern w:val="2"/>
      <w:sz w:val="32"/>
      <w:szCs w:val="24"/>
    </w:rPr>
  </w:style>
  <w:style w:type="character" w:customStyle="1" w:styleId="108">
    <w:name w:val="Default Char Char"/>
    <w:link w:val="77"/>
    <w:qFormat/>
    <w:uiPriority w:val="0"/>
    <w:rPr>
      <w:rFonts w:ascii="Arial" w:hAnsi="Arial" w:cs="Arial"/>
      <w:color w:val="000000"/>
      <w:sz w:val="24"/>
    </w:rPr>
  </w:style>
  <w:style w:type="paragraph" w:customStyle="1" w:styleId="109">
    <w:name w:val="首行缩进"/>
    <w:basedOn w:val="1"/>
    <w:qFormat/>
    <w:uiPriority w:val="0"/>
    <w:pPr>
      <w:spacing w:line="360" w:lineRule="auto"/>
      <w:ind w:firstLine="480" w:firstLineChars="200"/>
    </w:pPr>
    <w:rPr>
      <w:rFonts w:ascii="宋体" w:hAnsi="宋体" w:cs="宋体"/>
      <w:kern w:val="0"/>
      <w:sz w:val="24"/>
    </w:rPr>
  </w:style>
  <w:style w:type="paragraph" w:customStyle="1" w:styleId="110">
    <w:name w:val="AONormal"/>
    <w:qFormat/>
    <w:uiPriority w:val="0"/>
    <w:pPr>
      <w:autoSpaceDE w:val="0"/>
      <w:autoSpaceDN w:val="0"/>
      <w:adjustRightInd w:val="0"/>
      <w:spacing w:after="160" w:line="400" w:lineRule="exact"/>
      <w:ind w:firstLine="440" w:firstLineChars="200"/>
    </w:pPr>
    <w:rPr>
      <w:rFonts w:ascii="华文楷体" w:hAnsi="华文楷体" w:eastAsia="华文楷体" w:cs="华文楷体"/>
      <w:sz w:val="22"/>
      <w:szCs w:val="21"/>
      <w:lang w:val="en-US" w:eastAsia="zh-CN" w:bidi="ar-SA"/>
    </w:rPr>
  </w:style>
  <w:style w:type="paragraph" w:customStyle="1" w:styleId="111">
    <w:name w:val="style4"/>
    <w:basedOn w:val="1"/>
    <w:next w:val="112"/>
    <w:qFormat/>
    <w:uiPriority w:val="0"/>
    <w:pPr>
      <w:spacing w:before="280" w:after="280"/>
    </w:pPr>
    <w:rPr>
      <w:rFonts w:ascii="宋体"/>
      <w:sz w:val="18"/>
    </w:rPr>
  </w:style>
  <w:style w:type="paragraph" w:customStyle="1" w:styleId="112">
    <w:name w:val="2"/>
    <w:next w:val="1"/>
    <w:qFormat/>
    <w:uiPriority w:val="0"/>
    <w:pPr>
      <w:widowControl w:val="0"/>
      <w:spacing w:after="160" w:line="278" w:lineRule="auto"/>
      <w:jc w:val="both"/>
    </w:pPr>
    <w:rPr>
      <w:rFonts w:ascii="Times New Roman" w:hAnsi="Times New Roman" w:eastAsia="宋体" w:cs="Times New Roman"/>
      <w:sz w:val="21"/>
      <w:szCs w:val="22"/>
      <w:lang w:val="en-US" w:eastAsia="zh-CN" w:bidi="ar-SA"/>
    </w:rPr>
  </w:style>
  <w:style w:type="paragraph" w:customStyle="1" w:styleId="113">
    <w:name w:val="BodyText1I"/>
    <w:basedOn w:val="114"/>
    <w:qFormat/>
    <w:uiPriority w:val="99"/>
    <w:pPr>
      <w:tabs>
        <w:tab w:val="left" w:pos="567"/>
      </w:tabs>
      <w:spacing w:after="120"/>
      <w:ind w:firstLine="420" w:firstLineChars="100"/>
    </w:pPr>
  </w:style>
  <w:style w:type="paragraph" w:customStyle="1" w:styleId="114">
    <w:name w:val="BodyText"/>
    <w:qFormat/>
    <w:uiPriority w:val="0"/>
    <w:pPr>
      <w:tabs>
        <w:tab w:val="left" w:pos="567"/>
      </w:tabs>
      <w:spacing w:before="120" w:after="160" w:line="240" w:lineRule="atLeast"/>
      <w:jc w:val="both"/>
    </w:pPr>
    <w:rPr>
      <w:rFonts w:ascii="宋体" w:hAnsi="宋体" w:eastAsia="宋体" w:cs="宋体"/>
      <w:color w:val="000000"/>
      <w:kern w:val="2"/>
      <w:sz w:val="24"/>
      <w:szCs w:val="24"/>
      <w:lang w:val="en-US" w:eastAsia="zh-CN" w:bidi="ar-SA"/>
    </w:rPr>
  </w:style>
  <w:style w:type="paragraph" w:customStyle="1" w:styleId="115">
    <w:name w:val="大标题"/>
    <w:basedOn w:val="1"/>
    <w:next w:val="58"/>
    <w:qFormat/>
    <w:uiPriority w:val="0"/>
    <w:pPr>
      <w:jc w:val="center"/>
    </w:pPr>
    <w:rPr>
      <w:rFonts w:ascii="Arial" w:hAnsi="Arial" w:eastAsia="宋体"/>
      <w:b/>
      <w:sz w:val="28"/>
      <w:szCs w:val="24"/>
    </w:rPr>
  </w:style>
  <w:style w:type="character" w:customStyle="1" w:styleId="116">
    <w:name w:val="apple-converted-space"/>
    <w:qFormat/>
    <w:uiPriority w:val="0"/>
  </w:style>
  <w:style w:type="character" w:customStyle="1" w:styleId="117">
    <w:name w:val="脚注文本 Char2"/>
    <w:semiHidden/>
    <w:qFormat/>
    <w:uiPriority w:val="99"/>
    <w:rPr>
      <w:rFonts w:ascii="Arial Unicode MS" w:hAnsi="Arial Unicode MS" w:eastAsia="Arial Unicode MS" w:cs="Arial Unicode MS"/>
      <w:color w:val="000000"/>
      <w:kern w:val="2"/>
      <w:sz w:val="18"/>
      <w:szCs w:val="18"/>
      <w:lang w:val="zh-TW" w:eastAsia="zh-TW"/>
    </w:rPr>
  </w:style>
  <w:style w:type="character" w:customStyle="1" w:styleId="118">
    <w:name w:val="标题 Char2"/>
    <w:qFormat/>
    <w:uiPriority w:val="10"/>
    <w:rPr>
      <w:rFonts w:ascii="Cambria" w:hAnsi="Cambria" w:cs="Times New Roman"/>
      <w:b/>
      <w:bCs/>
      <w:kern w:val="2"/>
      <w:sz w:val="32"/>
      <w:szCs w:val="32"/>
    </w:rPr>
  </w:style>
  <w:style w:type="character" w:customStyle="1" w:styleId="119">
    <w:name w:val="NormalCharacter"/>
    <w:qFormat/>
    <w:uiPriority w:val="0"/>
    <w:rPr>
      <w:kern w:val="2"/>
      <w:sz w:val="21"/>
      <w:szCs w:val="24"/>
      <w:lang w:val="en-US" w:eastAsia="zh-CN" w:bidi="ar-SA"/>
    </w:rPr>
  </w:style>
  <w:style w:type="character" w:customStyle="1" w:styleId="120">
    <w:name w:val="正文文本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21">
    <w:name w:val="正文缩进 Char1"/>
    <w:link w:val="122"/>
    <w:qFormat/>
    <w:uiPriority w:val="0"/>
    <w:rPr>
      <w:rFonts w:ascii="宋体"/>
      <w:sz w:val="24"/>
    </w:rPr>
  </w:style>
  <w:style w:type="paragraph" w:customStyle="1" w:styleId="122">
    <w:name w:val="正文缩进1"/>
    <w:basedOn w:val="1"/>
    <w:link w:val="12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character" w:customStyle="1" w:styleId="123">
    <w:name w:val="wen11"/>
    <w:qFormat/>
    <w:uiPriority w:val="0"/>
    <w:rPr>
      <w:color w:val="000000"/>
      <w:sz w:val="21"/>
      <w:szCs w:val="21"/>
    </w:rPr>
  </w:style>
  <w:style w:type="character" w:customStyle="1" w:styleId="124">
    <w:name w:val="正文文本 2 Char1"/>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25">
    <w:name w:val="页脚 Char1"/>
    <w:semiHidden/>
    <w:qFormat/>
    <w:uiPriority w:val="99"/>
    <w:rPr>
      <w:kern w:val="2"/>
      <w:sz w:val="18"/>
      <w:szCs w:val="18"/>
    </w:rPr>
  </w:style>
  <w:style w:type="character" w:customStyle="1" w:styleId="126">
    <w:name w:val="纯文本 Char2"/>
    <w:semiHidden/>
    <w:qFormat/>
    <w:uiPriority w:val="99"/>
    <w:rPr>
      <w:rFonts w:ascii="宋体" w:hAnsi="Courier New" w:eastAsia="宋体" w:cs="Courier New"/>
      <w:szCs w:val="21"/>
    </w:rPr>
  </w:style>
  <w:style w:type="character" w:customStyle="1" w:styleId="127">
    <w:name w:val="日期 Char1"/>
    <w:semiHidden/>
    <w:qFormat/>
    <w:uiPriority w:val="99"/>
    <w:rPr>
      <w:rFonts w:ascii="Times New Roman" w:hAnsi="Times New Roman" w:eastAsia="宋体" w:cs="Times New Roman"/>
      <w:szCs w:val="24"/>
    </w:rPr>
  </w:style>
  <w:style w:type="character" w:customStyle="1" w:styleId="128">
    <w:name w:val="正文文本缩进 3 Char1"/>
    <w:semiHidden/>
    <w:qFormat/>
    <w:uiPriority w:val="99"/>
    <w:rPr>
      <w:rFonts w:ascii="Times New Roman" w:hAnsi="Times New Roman" w:eastAsia="宋体" w:cs="Times New Roman"/>
      <w:sz w:val="16"/>
      <w:szCs w:val="16"/>
    </w:rPr>
  </w:style>
  <w:style w:type="character" w:customStyle="1" w:styleId="129">
    <w:name w:val="p141"/>
    <w:qFormat/>
    <w:uiPriority w:val="99"/>
    <w:rPr>
      <w:sz w:val="21"/>
      <w:szCs w:val="21"/>
    </w:rPr>
  </w:style>
  <w:style w:type="character" w:customStyle="1" w:styleId="130">
    <w:name w:val="正文文本 Char1"/>
    <w:semiHidden/>
    <w:qFormat/>
    <w:uiPriority w:val="99"/>
    <w:rPr>
      <w:rFonts w:ascii="Times New Roman" w:hAnsi="Times New Roman" w:eastAsia="宋体" w:cs="Times New Roman"/>
      <w:szCs w:val="24"/>
    </w:rPr>
  </w:style>
  <w:style w:type="character" w:customStyle="1" w:styleId="131">
    <w:name w:val="正文首行缩进 2 Char1"/>
    <w:semiHidden/>
    <w:qFormat/>
    <w:uiPriority w:val="99"/>
    <w:rPr>
      <w:lang w:val="zh-TW" w:eastAsia="zh-TW"/>
    </w:rPr>
  </w:style>
  <w:style w:type="character" w:customStyle="1" w:styleId="132">
    <w:name w:val="正文文本缩进 2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33">
    <w:name w:val="*正文 Char"/>
    <w:link w:val="134"/>
    <w:qFormat/>
    <w:uiPriority w:val="0"/>
    <w:rPr>
      <w:rFonts w:ascii="宋体" w:hAnsi="宋体"/>
      <w:sz w:val="22"/>
      <w:szCs w:val="24"/>
    </w:rPr>
  </w:style>
  <w:style w:type="paragraph" w:customStyle="1" w:styleId="134">
    <w:name w:val="*正文"/>
    <w:basedOn w:val="1"/>
    <w:link w:val="133"/>
    <w:qFormat/>
    <w:uiPriority w:val="0"/>
    <w:pPr>
      <w:widowControl w:val="0"/>
      <w:spacing w:line="360" w:lineRule="auto"/>
      <w:ind w:firstLine="200" w:firstLineChars="200"/>
    </w:pPr>
    <w:rPr>
      <w:rFonts w:hint="default" w:ascii="宋体" w:hAnsi="宋体" w:eastAsia="宋体" w:cs="Times New Roman"/>
      <w:color w:val="auto"/>
      <w:kern w:val="0"/>
      <w:sz w:val="22"/>
      <w:szCs w:val="24"/>
    </w:rPr>
  </w:style>
  <w:style w:type="character" w:customStyle="1" w:styleId="135">
    <w:name w:val="纯文本 Char"/>
    <w:qFormat/>
    <w:uiPriority w:val="0"/>
    <w:rPr>
      <w:rFonts w:ascii="宋体" w:hAnsi="Courier New" w:cs="Courier New"/>
      <w:color w:val="000000"/>
      <w:kern w:val="2"/>
      <w:sz w:val="21"/>
      <w:szCs w:val="21"/>
      <w:lang w:val="zh-TW" w:eastAsia="zh-TW"/>
    </w:rPr>
  </w:style>
  <w:style w:type="character" w:customStyle="1" w:styleId="136">
    <w:name w:val="正文文本缩进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37">
    <w:name w:val="页眉 Char1"/>
    <w:semiHidden/>
    <w:qFormat/>
    <w:uiPriority w:val="99"/>
    <w:rPr>
      <w:kern w:val="2"/>
      <w:sz w:val="18"/>
      <w:szCs w:val="18"/>
    </w:rPr>
  </w:style>
  <w:style w:type="character" w:customStyle="1" w:styleId="138">
    <w:name w:val="正文首行缩进 Char1"/>
    <w:semiHidden/>
    <w:qFormat/>
    <w:uiPriority w:val="99"/>
    <w:rPr>
      <w:lang w:val="zh-TW" w:eastAsia="zh-TW"/>
    </w:rPr>
  </w:style>
  <w:style w:type="character" w:customStyle="1" w:styleId="139">
    <w:name w:val="批注主题 Char1"/>
    <w:semiHidden/>
    <w:qFormat/>
    <w:uiPriority w:val="99"/>
    <w:rPr>
      <w:b/>
      <w:bCs/>
      <w:kern w:val="2"/>
      <w:sz w:val="21"/>
      <w:szCs w:val="24"/>
    </w:rPr>
  </w:style>
  <w:style w:type="character" w:customStyle="1" w:styleId="140">
    <w:name w:val="fontstyle01"/>
    <w:qFormat/>
    <w:uiPriority w:val="0"/>
    <w:rPr>
      <w:rFonts w:hint="default" w:ascii="Times New Roman" w:hAnsi="Times New Roman" w:cs="Times New Roman"/>
      <w:color w:val="000000"/>
      <w:sz w:val="24"/>
      <w:szCs w:val="24"/>
    </w:rPr>
  </w:style>
  <w:style w:type="character" w:customStyle="1" w:styleId="141">
    <w:name w:val="fontstyle21"/>
    <w:qFormat/>
    <w:uiPriority w:val="0"/>
    <w:rPr>
      <w:rFonts w:hint="eastAsia" w:ascii="宋体" w:hAnsi="宋体" w:eastAsia="宋体"/>
      <w:color w:val="000000"/>
      <w:sz w:val="24"/>
      <w:szCs w:val="24"/>
    </w:rPr>
  </w:style>
  <w:style w:type="character" w:customStyle="1" w:styleId="142">
    <w:name w:val="批注框文本 Char1"/>
    <w:semiHidden/>
    <w:qFormat/>
    <w:uiPriority w:val="99"/>
    <w:rPr>
      <w:kern w:val="2"/>
      <w:sz w:val="18"/>
      <w:szCs w:val="18"/>
    </w:rPr>
  </w:style>
  <w:style w:type="character" w:customStyle="1" w:styleId="143">
    <w:name w:val="正文文本缩进 3 Char2"/>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44">
    <w:name w:val="批注文字 Char2"/>
    <w:semiHidden/>
    <w:qFormat/>
    <w:uiPriority w:val="99"/>
    <w:rPr>
      <w:kern w:val="2"/>
      <w:sz w:val="21"/>
      <w:szCs w:val="24"/>
    </w:rPr>
  </w:style>
  <w:style w:type="character" w:customStyle="1" w:styleId="145">
    <w:name w:val="批注框文本 Char2"/>
    <w:semiHidden/>
    <w:qFormat/>
    <w:uiPriority w:val="99"/>
    <w:rPr>
      <w:kern w:val="2"/>
      <w:sz w:val="18"/>
      <w:szCs w:val="18"/>
    </w:rPr>
  </w:style>
  <w:style w:type="character" w:customStyle="1" w:styleId="146">
    <w:name w:val="正文文本 3 Char1"/>
    <w:semiHidden/>
    <w:qFormat/>
    <w:uiPriority w:val="99"/>
    <w:rPr>
      <w:rFonts w:ascii="Arial Unicode MS" w:hAnsi="Arial Unicode MS" w:eastAsia="Arial Unicode MS" w:cs="Arial Unicode MS"/>
      <w:color w:val="000000"/>
      <w:kern w:val="2"/>
      <w:sz w:val="16"/>
      <w:szCs w:val="16"/>
      <w:lang w:val="zh-TW" w:eastAsia="zh-TW"/>
    </w:rPr>
  </w:style>
  <w:style w:type="character" w:customStyle="1" w:styleId="147">
    <w:name w:val="正文文本 字符"/>
    <w:qFormat/>
    <w:uiPriority w:val="0"/>
    <w:rPr>
      <w:rFonts w:ascii="宋体" w:hAnsi="宋体"/>
      <w:kern w:val="2"/>
      <w:sz w:val="24"/>
      <w:szCs w:val="24"/>
    </w:rPr>
  </w:style>
  <w:style w:type="character" w:customStyle="1" w:styleId="148">
    <w:name w:val="Char Char2"/>
    <w:qFormat/>
    <w:uiPriority w:val="0"/>
    <w:rPr>
      <w:rFonts w:ascii="宋体" w:hAnsi="Courier New" w:eastAsia="宋体" w:cs="Courier New"/>
      <w:kern w:val="2"/>
      <w:sz w:val="21"/>
      <w:szCs w:val="21"/>
      <w:lang w:val="en-US" w:eastAsia="zh-CN" w:bidi="ar-SA"/>
    </w:rPr>
  </w:style>
  <w:style w:type="character" w:customStyle="1" w:styleId="149">
    <w:name w:val="fontstyle11"/>
    <w:qFormat/>
    <w:uiPriority w:val="0"/>
    <w:rPr>
      <w:rFonts w:hint="default" w:ascii="Times New Roman" w:hAnsi="Times New Roman" w:cs="Times New Roman"/>
      <w:color w:val="000000"/>
      <w:sz w:val="18"/>
      <w:szCs w:val="18"/>
    </w:rPr>
  </w:style>
  <w:style w:type="character" w:customStyle="1" w:styleId="150">
    <w:name w:val="dash6b63_6587__char1"/>
    <w:qFormat/>
    <w:uiPriority w:val="0"/>
    <w:rPr>
      <w:rFonts w:hint="default" w:ascii="Calibri" w:hAnsi="Calibri" w:cs="Calibri"/>
      <w:sz w:val="20"/>
      <w:szCs w:val="20"/>
    </w:rPr>
  </w:style>
  <w:style w:type="character" w:customStyle="1" w:styleId="151">
    <w:name w:val="unnamed11"/>
    <w:qFormat/>
    <w:uiPriority w:val="0"/>
    <w:rPr>
      <w:rFonts w:hint="default" w:ascii="Arial" w:hAnsi="Arial" w:cs="Arial"/>
      <w:color w:val="000000"/>
      <w:sz w:val="18"/>
      <w:szCs w:val="18"/>
      <w:u w:val="none"/>
    </w:rPr>
  </w:style>
  <w:style w:type="character" w:customStyle="1" w:styleId="152">
    <w:name w:val="font61"/>
    <w:qFormat/>
    <w:uiPriority w:val="0"/>
    <w:rPr>
      <w:rFonts w:hint="eastAsia" w:ascii="宋体" w:hAnsi="宋体" w:eastAsia="宋体" w:cs="宋体"/>
      <w:color w:val="auto"/>
      <w:sz w:val="20"/>
      <w:szCs w:val="20"/>
      <w:u w:val="none"/>
    </w:rPr>
  </w:style>
  <w:style w:type="character" w:customStyle="1" w:styleId="153">
    <w:name w:val="脚注文本 Char1"/>
    <w:semiHidden/>
    <w:qFormat/>
    <w:uiPriority w:val="99"/>
    <w:rPr>
      <w:rFonts w:ascii="Times New Roman" w:hAnsi="Times New Roman" w:eastAsia="宋体" w:cs="Times New Roman"/>
      <w:sz w:val="18"/>
      <w:szCs w:val="18"/>
    </w:rPr>
  </w:style>
  <w:style w:type="character" w:customStyle="1" w:styleId="154">
    <w:name w:val="标题 Char1"/>
    <w:qFormat/>
    <w:uiPriority w:val="10"/>
    <w:rPr>
      <w:rFonts w:ascii="Cambria" w:hAnsi="Cambria" w:eastAsia="宋体" w:cs="Times New Roman"/>
      <w:b/>
      <w:bCs/>
      <w:sz w:val="32"/>
      <w:szCs w:val="32"/>
    </w:rPr>
  </w:style>
  <w:style w:type="character" w:customStyle="1" w:styleId="155">
    <w:name w:val="纯文本 Char3"/>
    <w:semiHidden/>
    <w:qFormat/>
    <w:uiPriority w:val="99"/>
    <w:rPr>
      <w:rFonts w:ascii="宋体" w:hAnsi="Courier New" w:cs="Courier New"/>
      <w:kern w:val="2"/>
      <w:sz w:val="21"/>
      <w:szCs w:val="21"/>
    </w:rPr>
  </w:style>
  <w:style w:type="character" w:customStyle="1" w:styleId="156">
    <w:name w:val="批注文字 Char1"/>
    <w:semiHidden/>
    <w:qFormat/>
    <w:uiPriority w:val="99"/>
    <w:rPr>
      <w:kern w:val="2"/>
      <w:sz w:val="21"/>
      <w:szCs w:val="24"/>
    </w:rPr>
  </w:style>
  <w:style w:type="character" w:customStyle="1" w:styleId="157">
    <w:name w:val="正文文本缩进 2 Char1"/>
    <w:semiHidden/>
    <w:qFormat/>
    <w:uiPriority w:val="99"/>
    <w:rPr>
      <w:rFonts w:ascii="Times New Roman" w:hAnsi="Times New Roman" w:eastAsia="宋体" w:cs="Times New Roman"/>
      <w:szCs w:val="24"/>
    </w:rPr>
  </w:style>
  <w:style w:type="character" w:customStyle="1" w:styleId="158">
    <w:name w:val="pt91"/>
    <w:qFormat/>
    <w:uiPriority w:val="0"/>
    <w:rPr>
      <w:rFonts w:hint="default"/>
      <w:color w:val="333333"/>
      <w:sz w:val="18"/>
      <w:szCs w:val="18"/>
    </w:rPr>
  </w:style>
  <w:style w:type="character" w:customStyle="1" w:styleId="159">
    <w:name w:val="日期 Char2"/>
    <w:semiHidden/>
    <w:qFormat/>
    <w:uiPriority w:val="99"/>
    <w:rPr>
      <w:rFonts w:ascii="Arial Unicode MS" w:hAnsi="Arial Unicode MS" w:eastAsia="Arial Unicode MS" w:cs="Arial Unicode MS"/>
      <w:color w:val="000000"/>
      <w:kern w:val="2"/>
      <w:sz w:val="21"/>
      <w:szCs w:val="21"/>
      <w:lang w:val="zh-TW" w:eastAsia="zh-TW"/>
    </w:rPr>
  </w:style>
  <w:style w:type="character" w:customStyle="1" w:styleId="160">
    <w:name w:val="页眉 Char2"/>
    <w:semiHidden/>
    <w:qFormat/>
    <w:uiPriority w:val="99"/>
    <w:rPr>
      <w:kern w:val="2"/>
      <w:sz w:val="18"/>
      <w:szCs w:val="18"/>
    </w:rPr>
  </w:style>
  <w:style w:type="character" w:customStyle="1" w:styleId="161">
    <w:name w:val="批注主题 Char2"/>
    <w:semiHidden/>
    <w:qFormat/>
    <w:uiPriority w:val="99"/>
    <w:rPr>
      <w:rFonts w:ascii="Arial Unicode MS" w:hAnsi="Arial Unicode MS" w:eastAsia="Arial Unicode MS" w:cs="Arial Unicode MS"/>
      <w:b/>
      <w:bCs/>
      <w:color w:val="000000"/>
      <w:kern w:val="2"/>
      <w:sz w:val="21"/>
      <w:szCs w:val="21"/>
      <w:lang w:val="zh-TW" w:eastAsia="zh-TW"/>
    </w:rPr>
  </w:style>
  <w:style w:type="character" w:customStyle="1" w:styleId="162">
    <w:name w:val="_Style 129"/>
    <w:unhideWhenUsed/>
    <w:qFormat/>
    <w:uiPriority w:val="99"/>
    <w:rPr>
      <w:color w:val="605E5C"/>
      <w:shd w:val="clear" w:color="auto" w:fill="E1DFDD"/>
    </w:rPr>
  </w:style>
  <w:style w:type="character" w:customStyle="1" w:styleId="163">
    <w:name w:val="p12h15"/>
    <w:qFormat/>
    <w:uiPriority w:val="0"/>
  </w:style>
  <w:style w:type="character" w:customStyle="1" w:styleId="164">
    <w:name w:val="正文文本缩进 Char1"/>
    <w:semiHidden/>
    <w:qFormat/>
    <w:uiPriority w:val="99"/>
    <w:rPr>
      <w:rFonts w:ascii="Times New Roman" w:hAnsi="Times New Roman" w:eastAsia="宋体" w:cs="Times New Roman"/>
      <w:szCs w:val="24"/>
    </w:rPr>
  </w:style>
  <w:style w:type="paragraph" w:customStyle="1" w:styleId="165">
    <w:name w:val="UserStyle_92"/>
    <w:qFormat/>
    <w:uiPriority w:val="0"/>
    <w:pPr>
      <w:spacing w:after="160" w:line="360" w:lineRule="auto"/>
      <w:ind w:firstLine="200"/>
      <w:jc w:val="both"/>
    </w:pPr>
    <w:rPr>
      <w:rFonts w:ascii="宋体" w:hAnsi="宋体" w:eastAsia="宋体" w:cs="宋体"/>
      <w:color w:val="000000"/>
      <w:sz w:val="22"/>
      <w:szCs w:val="22"/>
      <w:lang w:val="en-US" w:eastAsia="zh-CN" w:bidi="ar-SA"/>
    </w:rPr>
  </w:style>
  <w:style w:type="paragraph" w:customStyle="1" w:styleId="166">
    <w:name w:val="Char1 Char Char Char Char Char Char"/>
    <w:basedOn w:val="1"/>
    <w:qFormat/>
    <w:uiPriority w:val="0"/>
    <w:pPr>
      <w:widowControl w:val="0"/>
    </w:pPr>
    <w:rPr>
      <w:rFonts w:hint="default" w:ascii="Tahoma" w:hAnsi="Tahoma" w:eastAsia="宋体" w:cs="Times New Roman"/>
      <w:color w:val="auto"/>
      <w:sz w:val="24"/>
      <w:szCs w:val="20"/>
      <w:lang w:val="en-US" w:eastAsia="zh-CN"/>
    </w:rPr>
  </w:style>
  <w:style w:type="paragraph" w:customStyle="1" w:styleId="167">
    <w:name w:val="WPSOffice手动目录 2"/>
    <w:qFormat/>
    <w:uiPriority w:val="0"/>
    <w:pPr>
      <w:spacing w:after="160" w:line="278" w:lineRule="auto"/>
      <w:ind w:left="200" w:leftChars="200"/>
    </w:pPr>
    <w:rPr>
      <w:rFonts w:ascii="Times New Roman" w:hAnsi="Times New Roman" w:eastAsia="宋体" w:cs="Times New Roman"/>
      <w:lang w:val="en-US" w:eastAsia="zh-CN" w:bidi="ar-SA"/>
    </w:rPr>
  </w:style>
  <w:style w:type="paragraph" w:customStyle="1" w:styleId="168">
    <w:name w:val="Heading4"/>
    <w:next w:val="1"/>
    <w:qFormat/>
    <w:uiPriority w:val="0"/>
    <w:pPr>
      <w:keepNext/>
      <w:keepLines/>
      <w:spacing w:before="280" w:after="290" w:line="372" w:lineRule="auto"/>
      <w:jc w:val="both"/>
    </w:pPr>
    <w:rPr>
      <w:rFonts w:ascii="Arial" w:hAnsi="Arial" w:eastAsia="Arial Unicode MS" w:cs="Arial Unicode MS"/>
      <w:b/>
      <w:bCs/>
      <w:color w:val="000000"/>
      <w:kern w:val="2"/>
      <w:sz w:val="28"/>
      <w:szCs w:val="28"/>
      <w:lang w:val="en-US" w:eastAsia="zh-CN" w:bidi="ar-SA"/>
    </w:rPr>
  </w:style>
  <w:style w:type="paragraph" w:customStyle="1" w:styleId="169">
    <w:name w:val="xl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18"/>
      <w:szCs w:val="18"/>
      <w:lang w:val="en-US" w:eastAsia="zh-CN"/>
    </w:rPr>
  </w:style>
  <w:style w:type="paragraph" w:customStyle="1" w:styleId="170">
    <w:name w:val="font7"/>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71">
    <w:name w:val="页眉与页脚"/>
    <w:qFormat/>
    <w:uiPriority w:val="0"/>
    <w:pPr>
      <w:tabs>
        <w:tab w:val="right" w:pos="9020"/>
      </w:tabs>
      <w:spacing w:after="160" w:line="278" w:lineRule="auto"/>
    </w:pPr>
    <w:rPr>
      <w:rFonts w:ascii="Helvetica Neue" w:hAnsi="Helvetica Neue" w:eastAsia="Arial Unicode MS" w:cs="Arial Unicode MS"/>
      <w:color w:val="000000"/>
      <w:sz w:val="24"/>
      <w:szCs w:val="24"/>
      <w:lang w:val="en-US" w:eastAsia="zh-CN" w:bidi="ar-SA"/>
    </w:rPr>
  </w:style>
  <w:style w:type="paragraph" w:customStyle="1" w:styleId="172">
    <w:name w:val="Char Char10 Char Char Char Char"/>
    <w:basedOn w:val="1"/>
    <w:next w:val="173"/>
    <w:qFormat/>
    <w:uiPriority w:val="0"/>
    <w:rPr>
      <w:rFonts w:ascii="Calibri" w:hAnsi="Calibri"/>
      <w:kern w:val="0"/>
    </w:rPr>
  </w:style>
  <w:style w:type="paragraph" w:customStyle="1" w:styleId="173">
    <w:name w:val="xl87"/>
    <w:basedOn w:val="1"/>
    <w:next w:val="174"/>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4">
    <w:name w:val="xl72"/>
    <w:basedOn w:val="1"/>
    <w:next w:val="3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75">
    <w:name w:val="font6"/>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76">
    <w:name w:val="xl44"/>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77">
    <w:name w:val="Preformatted"/>
    <w:basedOn w:val="1"/>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hint="default" w:ascii="Courier New" w:hAnsi="Courier New" w:eastAsia="宋体" w:cs="Times New Roman"/>
      <w:color w:val="auto"/>
      <w:kern w:val="0"/>
      <w:sz w:val="20"/>
      <w:szCs w:val="20"/>
      <w:lang w:val="en-US" w:eastAsia="zh-CN"/>
    </w:rPr>
  </w:style>
  <w:style w:type="paragraph" w:customStyle="1" w:styleId="178">
    <w:name w:val="xl42"/>
    <w:basedOn w:val="1"/>
    <w:qFormat/>
    <w:uiPriority w:val="0"/>
    <w:pP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179">
    <w:name w:val="font8"/>
    <w:basedOn w:val="1"/>
    <w:qFormat/>
    <w:uiPriority w:val="0"/>
    <w:pPr>
      <w:spacing w:before="100" w:beforeAutospacing="1" w:after="100" w:afterAutospacing="1"/>
      <w:jc w:val="left"/>
    </w:pPr>
    <w:rPr>
      <w:rFonts w:ascii="宋体" w:hAnsi="宋体" w:eastAsia="宋体" w:cs="Times New Roman"/>
      <w:color w:val="auto"/>
      <w:kern w:val="0"/>
      <w:sz w:val="20"/>
      <w:szCs w:val="20"/>
      <w:lang w:val="en-US" w:eastAsia="zh-CN"/>
    </w:rPr>
  </w:style>
  <w:style w:type="paragraph" w:customStyle="1" w:styleId="180">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81">
    <w:name w:val="xl34"/>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82">
    <w:name w:val="xl49"/>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183">
    <w:name w:val="索引 11"/>
    <w:basedOn w:val="1"/>
    <w:next w:val="1"/>
    <w:qFormat/>
    <w:uiPriority w:val="0"/>
    <w:pPr>
      <w:widowControl w:val="0"/>
      <w:spacing w:line="360" w:lineRule="auto"/>
    </w:pPr>
    <w:rPr>
      <w:rFonts w:hint="default" w:ascii="仿宋_GB2312" w:hAnsi="Times New Roman" w:eastAsia="仿宋_GB2312" w:cs="Times New Roman"/>
      <w:color w:val="auto"/>
      <w:sz w:val="24"/>
      <w:szCs w:val="20"/>
      <w:lang w:val="en-US" w:eastAsia="zh-CN"/>
    </w:rPr>
  </w:style>
  <w:style w:type="paragraph" w:customStyle="1" w:styleId="184">
    <w:name w:val="不缩进"/>
    <w:basedOn w:val="1"/>
    <w:qFormat/>
    <w:uiPriority w:val="0"/>
    <w:pPr>
      <w:widowControl w:val="0"/>
      <w:jc w:val="center"/>
    </w:pPr>
    <w:rPr>
      <w:rFonts w:hint="default" w:ascii="仿宋_GB2312" w:hAnsi="宋体" w:eastAsia="仿宋_GB2312" w:cs="Times New Roman"/>
      <w:color w:val="auto"/>
      <w:szCs w:val="24"/>
      <w:lang w:val="en-US" w:eastAsia="zh-CN"/>
    </w:rPr>
  </w:style>
  <w:style w:type="paragraph" w:customStyle="1" w:styleId="185">
    <w:name w:val="xl3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86">
    <w:name w:val="xl45"/>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187">
    <w:name w:val="正文_5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88">
    <w:name w:val="xl25"/>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189">
    <w:name w:val="WPSOffice手动目录 1"/>
    <w:qFormat/>
    <w:uiPriority w:val="0"/>
    <w:pPr>
      <w:spacing w:after="160" w:line="278" w:lineRule="auto"/>
    </w:pPr>
    <w:rPr>
      <w:rFonts w:ascii="Times New Roman" w:hAnsi="Times New Roman" w:eastAsia="宋体" w:cs="Times New Roman"/>
      <w:lang w:val="en-US" w:eastAsia="zh-CN" w:bidi="ar-SA"/>
    </w:rPr>
  </w:style>
  <w:style w:type="paragraph" w:customStyle="1" w:styleId="190">
    <w:name w:val="正文_0"/>
    <w:qFormat/>
    <w:uiPriority w:val="99"/>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191">
    <w:name w:val="PlainText"/>
    <w:qFormat/>
    <w:uiPriority w:val="0"/>
    <w:pPr>
      <w:spacing w:after="160" w:line="278" w:lineRule="auto"/>
      <w:jc w:val="both"/>
    </w:pPr>
    <w:rPr>
      <w:rFonts w:ascii="宋体" w:hAnsi="宋体" w:eastAsia="宋体" w:cs="宋体"/>
      <w:color w:val="000000"/>
      <w:kern w:val="2"/>
      <w:sz w:val="21"/>
      <w:szCs w:val="21"/>
      <w:lang w:val="en-US" w:eastAsia="zh-CN" w:bidi="ar-SA"/>
    </w:rPr>
  </w:style>
  <w:style w:type="paragraph" w:customStyle="1" w:styleId="192">
    <w:name w:val="WPSOffice手动目录 3"/>
    <w:qFormat/>
    <w:uiPriority w:val="0"/>
    <w:pPr>
      <w:spacing w:after="160" w:line="278" w:lineRule="auto"/>
      <w:ind w:left="400" w:leftChars="400"/>
    </w:pPr>
    <w:rPr>
      <w:rFonts w:ascii="Times New Roman" w:hAnsi="Times New Roman" w:eastAsia="宋体" w:cs="Times New Roman"/>
      <w:lang w:val="en-US" w:eastAsia="zh-CN" w:bidi="ar-SA"/>
    </w:rPr>
  </w:style>
  <w:style w:type="paragraph" w:customStyle="1" w:styleId="193">
    <w:name w:val="_Style 13"/>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194">
    <w:name w:val="xl39"/>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95">
    <w:name w:val="xl4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196">
    <w:name w:val="默认"/>
    <w:qFormat/>
    <w:uiPriority w:val="0"/>
    <w:pPr>
      <w:spacing w:before="160" w:after="160" w:line="278" w:lineRule="auto"/>
    </w:pPr>
    <w:rPr>
      <w:rFonts w:ascii="Helvetica Neue" w:hAnsi="Helvetica Neue" w:eastAsia="Helvetica Neue" w:cs="Helvetica Neue"/>
      <w:color w:val="000000"/>
      <w:sz w:val="24"/>
      <w:szCs w:val="24"/>
      <w:lang w:val="en-US" w:eastAsia="zh-CN" w:bidi="ar-SA"/>
    </w:rPr>
  </w:style>
  <w:style w:type="paragraph" w:customStyle="1" w:styleId="197">
    <w:name w:val="_Style 0"/>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98">
    <w:name w:val="小标题 3"/>
    <w:next w:val="199"/>
    <w:qFormat/>
    <w:uiPriority w:val="0"/>
    <w:pPr>
      <w:keepNext/>
      <w:keepLines/>
      <w:spacing w:before="360" w:after="120" w:line="278" w:lineRule="auto"/>
    </w:pPr>
    <w:rPr>
      <w:rFonts w:ascii="宋体" w:hAnsi="宋体" w:eastAsia="宋体" w:cs="宋体"/>
      <w:b/>
      <w:bCs/>
      <w:color w:val="000000"/>
      <w:sz w:val="24"/>
      <w:szCs w:val="24"/>
      <w:u w:val="single" w:color="000000"/>
      <w:lang w:val="en-US" w:eastAsia="zh-CN" w:bidi="ar-SA"/>
    </w:rPr>
  </w:style>
  <w:style w:type="paragraph" w:customStyle="1" w:styleId="199">
    <w:name w:val="NormalIndent"/>
    <w:qFormat/>
    <w:uiPriority w:val="0"/>
    <w:pPr>
      <w:spacing w:after="160"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200">
    <w:name w:val="Table Paragraph"/>
    <w:basedOn w:val="1"/>
    <w:qFormat/>
    <w:uiPriority w:val="0"/>
    <w:pPr>
      <w:widowControl w:val="0"/>
      <w:jc w:val="left"/>
    </w:pPr>
    <w:rPr>
      <w:rFonts w:hint="default" w:ascii="Calibri" w:hAnsi="Calibri" w:eastAsia="宋体" w:cs="Times New Roman"/>
      <w:color w:val="auto"/>
      <w:kern w:val="0"/>
      <w:sz w:val="22"/>
      <w:szCs w:val="22"/>
      <w:lang w:val="en-US" w:eastAsia="en-US"/>
    </w:rPr>
  </w:style>
  <w:style w:type="paragraph" w:customStyle="1" w:styleId="201">
    <w:name w:val="xl26"/>
    <w:basedOn w:val="1"/>
    <w:qFormat/>
    <w:uiPriority w:val="0"/>
    <w:pPr>
      <w:spacing w:before="100" w:beforeAutospacing="1" w:after="100" w:afterAutospacing="1"/>
      <w:jc w:val="left"/>
    </w:pPr>
    <w:rPr>
      <w:rFonts w:ascii="仿宋_GB2312" w:hAnsi="宋体" w:eastAsia="仿宋_GB2312" w:cs="Times New Roman"/>
      <w:color w:val="auto"/>
      <w:kern w:val="0"/>
      <w:sz w:val="32"/>
      <w:szCs w:val="32"/>
      <w:lang w:val="en-US" w:eastAsia="zh-CN"/>
    </w:rPr>
  </w:style>
  <w:style w:type="paragraph" w:customStyle="1" w:styleId="202">
    <w:name w:val="xl3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styleId="203">
    <w:name w:val="List Paragraph"/>
    <w:basedOn w:val="1"/>
    <w:qFormat/>
    <w:uiPriority w:val="0"/>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204">
    <w:name w:val="列出段落2"/>
    <w:basedOn w:val="1"/>
    <w:qFormat/>
    <w:uiPriority w:val="0"/>
    <w:pPr>
      <w:ind w:firstLine="420" w:firstLineChars="200"/>
      <w:jc w:val="left"/>
    </w:pPr>
    <w:rPr>
      <w:rFonts w:hint="default" w:ascii="Times New Roman" w:hAnsi="Times New Roman" w:eastAsia="宋体" w:cs="Times New Roman"/>
      <w:color w:val="auto"/>
      <w:kern w:val="0"/>
      <w:sz w:val="24"/>
      <w:szCs w:val="24"/>
      <w:lang w:val="en-US" w:eastAsia="zh-CN"/>
    </w:rPr>
  </w:style>
  <w:style w:type="paragraph" w:customStyle="1" w:styleId="205">
    <w:name w:val="TOC1"/>
    <w:next w:val="1"/>
    <w:qFormat/>
    <w:uiPriority w:val="0"/>
    <w:pPr>
      <w:spacing w:after="160" w:line="278" w:lineRule="auto"/>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06">
    <w:name w:val="xl3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hint="default" w:ascii="宋体" w:hAnsi="宋体" w:eastAsia="宋体" w:cs="Times New Roman"/>
      <w:color w:val="auto"/>
      <w:kern w:val="0"/>
      <w:sz w:val="20"/>
      <w:szCs w:val="20"/>
      <w:lang w:val="en-US" w:eastAsia="zh-CN"/>
    </w:rPr>
  </w:style>
  <w:style w:type="paragraph" w:customStyle="1" w:styleId="207">
    <w:name w:val="列出段落1"/>
    <w:basedOn w:val="1"/>
    <w:qFormat/>
    <w:uiPriority w:val="99"/>
    <w:pPr>
      <w:widowControl w:val="0"/>
      <w:ind w:firstLine="420" w:firstLineChars="200"/>
    </w:pPr>
    <w:rPr>
      <w:rFonts w:hint="default" w:ascii="Calibri" w:hAnsi="Calibri" w:eastAsia="宋体" w:cs="Times New Roman"/>
      <w:color w:val="auto"/>
      <w:szCs w:val="22"/>
      <w:lang w:val="en-US" w:eastAsia="zh-CN"/>
    </w:rPr>
  </w:style>
  <w:style w:type="paragraph" w:customStyle="1" w:styleId="208">
    <w:name w:val="小标题 2"/>
    <w:next w:val="199"/>
    <w:qFormat/>
    <w:uiPriority w:val="0"/>
    <w:pPr>
      <w:keepNext/>
      <w:keepLines/>
      <w:spacing w:before="120" w:after="160" w:line="300" w:lineRule="auto"/>
      <w:jc w:val="center"/>
    </w:pPr>
    <w:rPr>
      <w:rFonts w:hint="eastAsia" w:ascii="Arial Unicode MS" w:hAnsi="Arial Unicode MS" w:eastAsia="Arial Unicode MS" w:cs="Arial Unicode MS"/>
      <w:b/>
      <w:bCs/>
      <w:color w:val="000000"/>
      <w:sz w:val="30"/>
      <w:szCs w:val="30"/>
      <w:lang w:val="zh-TW" w:eastAsia="zh-TW" w:bidi="ar-SA"/>
    </w:rPr>
  </w:style>
  <w:style w:type="paragraph" w:customStyle="1" w:styleId="209">
    <w:name w:val="font5"/>
    <w:basedOn w:val="1"/>
    <w:qFormat/>
    <w:uiPriority w:val="0"/>
    <w:pPr>
      <w:spacing w:before="100" w:beforeAutospacing="1" w:after="100" w:afterAutospacing="1"/>
      <w:jc w:val="left"/>
    </w:pPr>
    <w:rPr>
      <w:rFonts w:ascii="宋体" w:hAnsi="宋体" w:eastAsia="宋体" w:cs="Times New Roman"/>
      <w:color w:val="auto"/>
      <w:kern w:val="0"/>
      <w:sz w:val="18"/>
      <w:szCs w:val="18"/>
      <w:lang w:val="en-US" w:eastAsia="zh-CN"/>
    </w:rPr>
  </w:style>
  <w:style w:type="paragraph" w:customStyle="1" w:styleId="210">
    <w:name w:val="No Spacing1"/>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211">
    <w:name w:val="_Style 1"/>
    <w:basedOn w:val="1"/>
    <w:qFormat/>
    <w:uiPriority w:val="0"/>
    <w:pPr>
      <w:widowControl w:val="0"/>
      <w:ind w:firstLine="420" w:firstLineChars="200"/>
    </w:pPr>
    <w:rPr>
      <w:rFonts w:hint="default" w:ascii="Calibri" w:hAnsi="Calibri" w:eastAsia="宋体" w:cs="Times New Roman"/>
      <w:color w:val="auto"/>
      <w:szCs w:val="22"/>
      <w:lang w:val="en-US" w:eastAsia="zh-CN"/>
    </w:rPr>
  </w:style>
  <w:style w:type="paragraph" w:customStyle="1" w:styleId="212">
    <w:name w:val="Blockquote"/>
    <w:basedOn w:val="1"/>
    <w:qFormat/>
    <w:uiPriority w:val="0"/>
    <w:pPr>
      <w:widowControl w:val="0"/>
      <w:autoSpaceDE w:val="0"/>
      <w:autoSpaceDN w:val="0"/>
      <w:adjustRightInd w:val="0"/>
      <w:spacing w:before="100" w:after="100"/>
      <w:ind w:left="360" w:right="360"/>
      <w:jc w:val="left"/>
    </w:pPr>
    <w:rPr>
      <w:rFonts w:hint="default" w:ascii="Times New Roman" w:hAnsi="Times New Roman" w:eastAsia="宋体" w:cs="Times New Roman"/>
      <w:color w:val="auto"/>
      <w:kern w:val="0"/>
      <w:sz w:val="24"/>
      <w:szCs w:val="20"/>
      <w:lang w:val="en-US" w:eastAsia="zh-CN"/>
    </w:rPr>
  </w:style>
  <w:style w:type="paragraph" w:customStyle="1" w:styleId="213">
    <w:name w:val="小标题"/>
    <w:next w:val="1"/>
    <w:qFormat/>
    <w:uiPriority w:val="0"/>
    <w:pPr>
      <w:keepNext/>
      <w:keepLines/>
      <w:spacing w:before="240" w:after="120" w:line="300" w:lineRule="auto"/>
      <w:jc w:val="center"/>
    </w:pPr>
    <w:rPr>
      <w:rFonts w:ascii="宋体" w:hAnsi="宋体" w:eastAsia="宋体" w:cs="宋体"/>
      <w:b/>
      <w:bCs/>
      <w:color w:val="000000"/>
      <w:kern w:val="44"/>
      <w:sz w:val="32"/>
      <w:szCs w:val="32"/>
      <w:lang w:val="zh-TW" w:eastAsia="zh-TW" w:bidi="ar-SA"/>
    </w:rPr>
  </w:style>
  <w:style w:type="paragraph" w:customStyle="1" w:styleId="214">
    <w:name w:val="List Paragraph1"/>
    <w:basedOn w:val="1"/>
    <w:qFormat/>
    <w:uiPriority w:val="1"/>
    <w:pPr>
      <w:widowControl w:val="0"/>
      <w:ind w:firstLine="420" w:firstLineChars="200"/>
    </w:pPr>
    <w:rPr>
      <w:rFonts w:hint="default" w:ascii="Calibri" w:hAnsi="Calibri" w:eastAsia="宋体" w:cs="Times New Roman"/>
      <w:color w:val="auto"/>
      <w:lang w:val="en-US" w:eastAsia="zh-CN"/>
    </w:rPr>
  </w:style>
  <w:style w:type="paragraph" w:customStyle="1" w:styleId="215">
    <w:name w:val="xl2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16">
    <w:name w:val="TOC3"/>
    <w:next w:val="1"/>
    <w:qFormat/>
    <w:uiPriority w:val="0"/>
    <w:pPr>
      <w:tabs>
        <w:tab w:val="left" w:pos="1260"/>
        <w:tab w:val="right" w:leader="dot" w:pos="8630"/>
      </w:tabs>
      <w:spacing w:after="160" w:line="278" w:lineRule="auto"/>
      <w:ind w:left="840"/>
      <w:jc w:val="both"/>
    </w:pPr>
    <w:rPr>
      <w:rFonts w:ascii="Times New Roman" w:hAnsi="Times New Roman" w:eastAsia="Arial Unicode MS" w:cs="Arial Unicode MS"/>
      <w:color w:val="000000"/>
      <w:kern w:val="2"/>
      <w:sz w:val="21"/>
      <w:szCs w:val="21"/>
      <w:lang w:val="en-US" w:eastAsia="zh-CN" w:bidi="ar-SA"/>
    </w:rPr>
  </w:style>
  <w:style w:type="paragraph" w:customStyle="1" w:styleId="217">
    <w:name w:val="_Style 2"/>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18">
    <w:name w:val="列出段落11"/>
    <w:basedOn w:val="1"/>
    <w:qFormat/>
    <w:uiPriority w:val="0"/>
    <w:pPr>
      <w:ind w:firstLine="420" w:firstLineChars="200"/>
      <w:jc w:val="left"/>
    </w:pPr>
    <w:rPr>
      <w:rFonts w:hint="default" w:ascii="仿宋_GB2312" w:hAnsi="Times New Roman" w:eastAsia="仿宋_GB2312" w:cs="Times New Roman"/>
      <w:color w:val="auto"/>
      <w:kern w:val="0"/>
      <w:sz w:val="24"/>
      <w:szCs w:val="32"/>
      <w:lang w:val="en-US" w:eastAsia="zh-CN"/>
    </w:rPr>
  </w:style>
  <w:style w:type="paragraph" w:customStyle="1" w:styleId="219">
    <w:name w:val="段"/>
    <w:next w:val="1"/>
    <w:qFormat/>
    <w:uiPriority w:val="0"/>
    <w:pPr>
      <w:autoSpaceDE w:val="0"/>
      <w:autoSpaceDN w:val="0"/>
      <w:adjustRightInd w:val="0"/>
      <w:snapToGrid w:val="0"/>
      <w:spacing w:after="160"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20">
    <w:name w:val="xl50"/>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21">
    <w:name w:val="UserStyle_161"/>
    <w:qFormat/>
    <w:uiPriority w:val="0"/>
    <w:pPr>
      <w:spacing w:after="160" w:line="278" w:lineRule="auto"/>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22">
    <w:name w:val="xl47"/>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23">
    <w:name w:val="正文_6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24">
    <w:name w:val="正文_3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25">
    <w:name w:val="Char"/>
    <w:basedOn w:val="1"/>
    <w:qFormat/>
    <w:uiPriority w:val="0"/>
    <w:pPr>
      <w:widowControl w:val="0"/>
      <w:tabs>
        <w:tab w:val="left" w:pos="360"/>
      </w:tabs>
    </w:pPr>
    <w:rPr>
      <w:rFonts w:hint="default" w:ascii="Times New Roman" w:hAnsi="Times New Roman" w:eastAsia="宋体" w:cs="Times New Roman"/>
      <w:color w:val="auto"/>
      <w:sz w:val="24"/>
      <w:szCs w:val="24"/>
      <w:lang w:val="en-US" w:eastAsia="zh-CN"/>
    </w:rPr>
  </w:style>
  <w:style w:type="paragraph" w:customStyle="1" w:styleId="226">
    <w:name w:val="正文_13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227">
    <w:name w:val="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228">
    <w:name w:val="TOC2"/>
    <w:next w:val="1"/>
    <w:qFormat/>
    <w:uiPriority w:val="0"/>
    <w:pPr>
      <w:spacing w:after="160" w:line="278" w:lineRule="auto"/>
      <w:ind w:left="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29">
    <w:name w:val="_Style 197"/>
    <w:basedOn w:val="2"/>
    <w:next w:val="1"/>
    <w:qFormat/>
    <w:uiPriority w:val="39"/>
    <w:pPr>
      <w:spacing w:before="480" w:after="0" w:line="276" w:lineRule="auto"/>
      <w:jc w:val="left"/>
      <w:outlineLvl w:val="9"/>
    </w:pPr>
    <w:rPr>
      <w:rFonts w:ascii="Cambria" w:hAnsi="Cambria" w:eastAsia="宋体"/>
      <w:color w:val="365F91"/>
      <w:kern w:val="0"/>
      <w:sz w:val="28"/>
      <w:szCs w:val="28"/>
      <w:lang w:val="en-US" w:eastAsia="zh-CN"/>
    </w:rPr>
  </w:style>
  <w:style w:type="paragraph" w:customStyle="1" w:styleId="230">
    <w:name w:val="179"/>
    <w:qFormat/>
    <w:uiPriority w:val="0"/>
    <w:pPr>
      <w:spacing w:after="160" w:line="278" w:lineRule="auto"/>
      <w:ind w:firstLine="420"/>
    </w:pPr>
    <w:rPr>
      <w:rFonts w:hint="eastAsia" w:ascii="Arial Unicode MS" w:hAnsi="Arial Unicode MS" w:eastAsia="Arial Unicode MS" w:cs="Arial Unicode MS"/>
      <w:color w:val="000000"/>
      <w:sz w:val="24"/>
      <w:szCs w:val="24"/>
      <w:lang w:val="en-US" w:eastAsia="zh-CN" w:bidi="ar-SA"/>
    </w:rPr>
  </w:style>
  <w:style w:type="paragraph" w:customStyle="1" w:styleId="231">
    <w:name w:val="纯文本1"/>
    <w:basedOn w:val="1"/>
    <w:qFormat/>
    <w:uiPriority w:val="0"/>
    <w:pPr>
      <w:widowControl w:val="0"/>
    </w:pPr>
    <w:rPr>
      <w:rFonts w:hint="default" w:ascii="宋体" w:hAnsi="Courier New" w:eastAsia="宋体" w:cs="Times New Roman"/>
      <w:color w:val="auto"/>
      <w:kern w:val="0"/>
      <w:sz w:val="20"/>
      <w:szCs w:val="20"/>
      <w:lang w:val="en-US" w:eastAsia="zh-CN"/>
    </w:rPr>
  </w:style>
  <w:style w:type="paragraph" w:customStyle="1" w:styleId="232">
    <w:name w:val="xl32"/>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33">
    <w:name w:val="UserStyle_140"/>
    <w:qFormat/>
    <w:uiPriority w:val="0"/>
    <w:pPr>
      <w:spacing w:after="160" w:line="278" w:lineRule="auto"/>
    </w:pPr>
    <w:rPr>
      <w:rFonts w:hint="eastAsia" w:ascii="Arial Unicode MS" w:hAnsi="Arial Unicode MS" w:eastAsia="Arial Unicode MS" w:cs="Arial Unicode MS"/>
      <w:color w:val="000000"/>
      <w:sz w:val="22"/>
      <w:szCs w:val="22"/>
      <w:lang w:val="en-US" w:eastAsia="zh-CN" w:bidi="ar-SA"/>
    </w:rPr>
  </w:style>
  <w:style w:type="paragraph" w:customStyle="1" w:styleId="234">
    <w:name w:val="xl3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35">
    <w:name w:val="xl29"/>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36">
    <w:name w:val="样式 10 磅"/>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customStyle="1" w:styleId="237">
    <w:name w:val="默认段落字体 Para Char Char Char Char"/>
    <w:basedOn w:val="1"/>
    <w:qFormat/>
    <w:uiPriority w:val="0"/>
    <w:pPr>
      <w:widowControl w:val="0"/>
    </w:pPr>
    <w:rPr>
      <w:rFonts w:hint="default" w:ascii="Times New Roman" w:hAnsi="Times New Roman" w:eastAsia="宋体" w:cs="Times New Roman"/>
      <w:color w:val="auto"/>
      <w:szCs w:val="24"/>
      <w:lang w:val="en-US" w:eastAsia="zh-CN"/>
    </w:rPr>
  </w:style>
  <w:style w:type="paragraph" w:customStyle="1" w:styleId="238">
    <w:name w:val="xl51"/>
    <w:basedOn w:val="1"/>
    <w:qFormat/>
    <w:uiPriority w:val="0"/>
    <w:pPr>
      <w:pBdr>
        <w:left w:val="single" w:color="auto" w:sz="4" w:space="0"/>
        <w:bottom w:val="single" w:color="auto" w:sz="8"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39">
    <w:name w:val="样式 宋体 五号 行距: 单倍行距"/>
    <w:basedOn w:val="1"/>
    <w:qFormat/>
    <w:uiPriority w:val="0"/>
    <w:pPr>
      <w:widowControl w:val="0"/>
    </w:pPr>
    <w:rPr>
      <w:rFonts w:hint="default" w:ascii="宋体" w:hAnsi="宋体" w:eastAsia="仿宋_GB2312" w:cs="Times New Roman"/>
      <w:color w:val="auto"/>
      <w:szCs w:val="32"/>
      <w:lang w:val="en-US" w:eastAsia="zh-CN"/>
    </w:rPr>
  </w:style>
  <w:style w:type="paragraph" w:customStyle="1" w:styleId="240">
    <w:name w:val="TOC4"/>
    <w:next w:val="1"/>
    <w:qFormat/>
    <w:uiPriority w:val="0"/>
    <w:pPr>
      <w:spacing w:after="160" w:line="278" w:lineRule="auto"/>
      <w:ind w:left="1260"/>
      <w:jc w:val="both"/>
    </w:pPr>
    <w:rPr>
      <w:rFonts w:ascii="Times New Roman" w:hAnsi="Times New Roman" w:eastAsia="Arial Unicode MS" w:cs="Arial Unicode MS"/>
      <w:color w:val="000000"/>
      <w:kern w:val="2"/>
      <w:sz w:val="21"/>
      <w:szCs w:val="21"/>
      <w:lang w:val="en-US" w:eastAsia="zh-CN" w:bidi="ar-SA"/>
    </w:rPr>
  </w:style>
  <w:style w:type="paragraph" w:customStyle="1" w:styleId="241">
    <w:name w:val="xl24"/>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2"/>
      <w:szCs w:val="22"/>
      <w:lang w:val="en-US" w:eastAsia="zh-CN"/>
    </w:rPr>
  </w:style>
  <w:style w:type="paragraph" w:customStyle="1" w:styleId="242">
    <w:name w:val="xl30"/>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3">
    <w:name w:val="xl46"/>
    <w:basedOn w:val="1"/>
    <w:qFormat/>
    <w:uiPriority w:val="0"/>
    <w:pPr>
      <w:pBdr>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4">
    <w:name w:val="xl4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5">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default" w:ascii="宋体" w:hAnsi="宋体" w:eastAsia="宋体" w:cs="Times New Roman"/>
      <w:color w:val="auto"/>
      <w:kern w:val="0"/>
      <w:sz w:val="20"/>
      <w:szCs w:val="20"/>
      <w:lang w:val="en-US" w:eastAsia="zh-CN"/>
    </w:rPr>
  </w:style>
  <w:style w:type="paragraph" w:customStyle="1" w:styleId="246">
    <w:name w:val="xl48"/>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hint="default" w:ascii="宋体" w:hAnsi="宋体" w:eastAsia="宋体" w:cs="Times New Roman"/>
      <w:color w:val="auto"/>
      <w:kern w:val="0"/>
      <w:sz w:val="24"/>
      <w:szCs w:val="24"/>
      <w:lang w:val="en-US" w:eastAsia="zh-CN"/>
    </w:rPr>
  </w:style>
  <w:style w:type="paragraph" w:customStyle="1" w:styleId="247">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248">
    <w:name w:val="样式 目录 2 + 左侧:  2 字符"/>
    <w:basedOn w:val="45"/>
    <w:qFormat/>
    <w:uiPriority w:val="0"/>
    <w:pPr>
      <w:widowControl w:val="0"/>
      <w:spacing w:after="0" w:line="440" w:lineRule="exact"/>
      <w:ind w:left="200" w:leftChars="200"/>
      <w:jc w:val="both"/>
    </w:pPr>
    <w:rPr>
      <w:rFonts w:ascii="Times New Roman" w:hAnsi="Times New Roman" w:cs="宋体"/>
      <w:kern w:val="2"/>
      <w:sz w:val="24"/>
      <w:szCs w:val="20"/>
    </w:rPr>
  </w:style>
  <w:style w:type="paragraph" w:customStyle="1" w:styleId="249">
    <w:name w:val="xl3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hint="default" w:ascii="宋体" w:hAnsi="宋体" w:eastAsia="宋体" w:cs="Times New Roman"/>
      <w:color w:val="auto"/>
      <w:kern w:val="0"/>
      <w:sz w:val="24"/>
      <w:szCs w:val="24"/>
      <w:lang w:val="en-US" w:eastAsia="zh-CN"/>
    </w:rPr>
  </w:style>
  <w:style w:type="paragraph" w:customStyle="1" w:styleId="250">
    <w:name w:val="UserStyle_112"/>
    <w:qFormat/>
    <w:uiPriority w:val="0"/>
    <w:pPr>
      <w:spacing w:after="160" w:line="278" w:lineRule="auto"/>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styleId="251">
    <w:name w:val="No Spacing"/>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table" w:customStyle="1" w:styleId="252">
    <w:name w:val="Table Normal"/>
    <w:qFormat/>
    <w:uiPriority w:val="0"/>
    <w:rPr>
      <w:rFonts w:eastAsia="Arial Unicode MS"/>
    </w:rPr>
    <w:tblPr>
      <w:tblCellMar>
        <w:top w:w="0" w:type="dxa"/>
        <w:left w:w="0" w:type="dxa"/>
        <w:bottom w:w="0" w:type="dxa"/>
        <w:right w:w="0" w:type="dxa"/>
      </w:tblCellMar>
    </w:tblPr>
  </w:style>
  <w:style w:type="table" w:customStyle="1" w:styleId="253">
    <w:name w:val="网格型1"/>
    <w:basedOn w:val="5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网格型2"/>
    <w:basedOn w:val="5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
    <w:name w:val="Table Normal1"/>
    <w:unhideWhenUsed/>
    <w:qFormat/>
    <w:uiPriority w:val="2"/>
    <w:tblPr>
      <w:tblCellMar>
        <w:top w:w="0" w:type="dxa"/>
        <w:left w:w="0" w:type="dxa"/>
        <w:bottom w:w="0" w:type="dxa"/>
        <w:right w:w="0" w:type="dxa"/>
      </w:tblCellMar>
    </w:tblPr>
  </w:style>
  <w:style w:type="paragraph" w:customStyle="1" w:styleId="25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spacing w:after="160" w:line="278" w:lineRule="auto"/>
      <w:jc w:val="both"/>
    </w:pPr>
    <w:rPr>
      <w:rFonts w:ascii="Calibri" w:hAnsi="Calibri" w:eastAsia="宋体" w:cs="Times New Roman"/>
      <w:kern w:val="2"/>
      <w:sz w:val="21"/>
      <w:lang w:val="en-US" w:eastAsia="zh-CN" w:bidi="ar-SA"/>
    </w:rPr>
  </w:style>
  <w:style w:type="paragraph" w:customStyle="1" w:styleId="257">
    <w:name w:val="_Style 8"/>
    <w:basedOn w:val="1"/>
    <w:qFormat/>
    <w:uiPriority w:val="0"/>
    <w:pPr>
      <w:ind w:firstLine="420" w:firstLineChars="200"/>
      <w:jc w:val="left"/>
    </w:pPr>
    <w:rPr>
      <w:kern w:val="0"/>
    </w:rPr>
  </w:style>
  <w:style w:type="paragraph" w:customStyle="1" w:styleId="258">
    <w:name w:val="修订1"/>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paragraph" w:customStyle="1" w:styleId="259">
    <w:name w:val="_Style 232"/>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character" w:customStyle="1" w:styleId="260">
    <w:name w:val="_Style 233"/>
    <w:unhideWhenUsed/>
    <w:qFormat/>
    <w:uiPriority w:val="99"/>
    <w:rPr>
      <w:color w:val="605E5C"/>
      <w:shd w:val="clear" w:color="auto" w:fill="E1DFDD"/>
    </w:rPr>
  </w:style>
  <w:style w:type="paragraph" w:customStyle="1" w:styleId="261">
    <w:name w:val="_Style 234"/>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paragraph" w:customStyle="1" w:styleId="262">
    <w:name w:val="修订2"/>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character" w:customStyle="1" w:styleId="263">
    <w:name w:val="hover1"/>
    <w:qFormat/>
    <w:uiPriority w:val="0"/>
  </w:style>
  <w:style w:type="character" w:customStyle="1" w:styleId="264">
    <w:name w:val="hover2"/>
    <w:qFormat/>
    <w:uiPriority w:val="0"/>
    <w:rPr>
      <w:color w:val="2590EB"/>
    </w:rPr>
  </w:style>
  <w:style w:type="character" w:customStyle="1" w:styleId="265">
    <w:name w:val="hover3"/>
    <w:qFormat/>
    <w:uiPriority w:val="0"/>
    <w:rPr>
      <w:color w:val="2590EB"/>
    </w:rPr>
  </w:style>
  <w:style w:type="character" w:customStyle="1" w:styleId="266">
    <w:name w:val="hover4"/>
    <w:qFormat/>
    <w:uiPriority w:val="0"/>
    <w:rPr>
      <w:color w:val="2590EB"/>
      <w:shd w:val="clear" w:color="auto" w:fill="E9F4FD"/>
    </w:rPr>
  </w:style>
  <w:style w:type="character" w:customStyle="1" w:styleId="267">
    <w:name w:val="mini-outputtext1"/>
    <w:qFormat/>
    <w:uiPriority w:val="0"/>
  </w:style>
  <w:style w:type="character" w:customStyle="1" w:styleId="268">
    <w:name w:val="hover"/>
    <w:qFormat/>
    <w:uiPriority w:val="0"/>
  </w:style>
  <w:style w:type="paragraph" w:customStyle="1" w:styleId="269">
    <w:name w:val="Table Text"/>
    <w:basedOn w:val="1"/>
    <w:semiHidden/>
    <w:qFormat/>
    <w:uiPriority w:val="0"/>
    <w:rPr>
      <w:rFonts w:ascii="微软雅黑" w:hAnsi="微软雅黑" w:eastAsia="微软雅黑" w:cs="微软雅黑"/>
      <w:sz w:val="19"/>
      <w:szCs w:val="19"/>
      <w:lang w:eastAsia="en-US"/>
    </w:rPr>
  </w:style>
  <w:style w:type="paragraph" w:customStyle="1" w:styleId="270">
    <w:name w:val="修订3"/>
    <w:hidden/>
    <w:unhideWhenUsed/>
    <w:qFormat/>
    <w:uiPriority w:val="99"/>
    <w:pPr>
      <w:spacing w:after="160" w:line="278" w:lineRule="auto"/>
    </w:pPr>
    <w:rPr>
      <w:rFonts w:hint="eastAsia" w:ascii="Arial Unicode MS" w:hAnsi="Arial Unicode MS" w:eastAsia="Arial Unicode MS" w:cs="Arial Unicode MS"/>
      <w:color w:val="000000"/>
      <w:kern w:val="2"/>
      <w:sz w:val="21"/>
      <w:szCs w:val="21"/>
      <w:lang w:val="zh-TW" w:eastAsia="zh-TW" w:bidi="ar-SA"/>
    </w:rPr>
  </w:style>
  <w:style w:type="paragraph" w:customStyle="1" w:styleId="271">
    <w:name w:val="修订4"/>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table" w:customStyle="1" w:styleId="272">
    <w:name w:val="网格型3"/>
    <w:basedOn w:val="59"/>
    <w:qFormat/>
    <w:uiPriority w:val="0"/>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73">
    <w:name w:val="纯文本 Char1"/>
    <w:semiHidden/>
    <w:qFormat/>
    <w:uiPriority w:val="99"/>
    <w:rPr>
      <w:rFonts w:ascii="宋体" w:hAnsi="Courier New" w:cs="Courier New"/>
      <w:kern w:val="2"/>
      <w:sz w:val="21"/>
      <w:szCs w:val="21"/>
    </w:rPr>
  </w:style>
  <w:style w:type="paragraph" w:customStyle="1" w:styleId="274">
    <w:name w:val="样式 正文首行缩进 2 + Arial"/>
    <w:basedOn w:val="1"/>
    <w:next w:val="1"/>
    <w:qFormat/>
    <w:uiPriority w:val="0"/>
    <w:pPr>
      <w:widowControl w:val="0"/>
      <w:spacing w:after="120" w:line="320" w:lineRule="atLeast"/>
      <w:ind w:firstLine="200" w:firstLineChars="200"/>
    </w:pPr>
    <w:rPr>
      <w:rFonts w:hint="default" w:ascii="Arial" w:hAnsi="Arial" w:eastAsia="宋体" w:cs="Times New Roman"/>
      <w:color w:val="auto"/>
      <w:kern w:val="0"/>
      <w:szCs w:val="24"/>
      <w:lang w:val="en-US" w:eastAsia="zh-CN"/>
    </w:rPr>
  </w:style>
  <w:style w:type="character" w:customStyle="1" w:styleId="275">
    <w:name w:val="style61"/>
    <w:qFormat/>
    <w:uiPriority w:val="0"/>
    <w:rPr>
      <w:b/>
      <w:bCs/>
      <w:color w:val="000000"/>
      <w:sz w:val="18"/>
      <w:szCs w:val="18"/>
    </w:rPr>
  </w:style>
  <w:style w:type="character" w:customStyle="1" w:styleId="276">
    <w:name w:val="css"/>
    <w:qFormat/>
    <w:uiPriority w:val="0"/>
  </w:style>
  <w:style w:type="character" w:customStyle="1" w:styleId="277">
    <w:name w:val="f_gray1"/>
    <w:qFormat/>
    <w:uiPriority w:val="0"/>
    <w:rPr>
      <w:color w:val="333333"/>
    </w:rPr>
  </w:style>
  <w:style w:type="character" w:customStyle="1" w:styleId="278">
    <w:name w:val="标题 2 Char Char"/>
    <w:qFormat/>
    <w:uiPriority w:val="0"/>
    <w:rPr>
      <w:rFonts w:ascii="Arial" w:hAnsi="Arial" w:eastAsia="黑体"/>
      <w:b/>
      <w:kern w:val="2"/>
      <w:sz w:val="32"/>
      <w:lang w:val="en-US" w:eastAsia="zh-CN"/>
    </w:rPr>
  </w:style>
  <w:style w:type="character" w:customStyle="1" w:styleId="279">
    <w:name w:val="样式 黑体 小三 加粗"/>
    <w:qFormat/>
    <w:uiPriority w:val="0"/>
    <w:rPr>
      <w:rFonts w:ascii="黑体" w:hAnsi="黑体" w:eastAsia="黑体"/>
      <w:b/>
      <w:bCs/>
      <w:sz w:val="30"/>
    </w:rPr>
  </w:style>
  <w:style w:type="character" w:customStyle="1" w:styleId="280">
    <w:name w:val="普通文字 Char Char"/>
    <w:qFormat/>
    <w:uiPriority w:val="0"/>
    <w:rPr>
      <w:rFonts w:ascii="宋体" w:hAnsi="Courier New" w:eastAsia="宋体" w:cs="Courier New"/>
      <w:kern w:val="2"/>
      <w:sz w:val="21"/>
      <w:szCs w:val="21"/>
      <w:lang w:val="en-US" w:eastAsia="zh-CN" w:bidi="ar-SA"/>
    </w:rPr>
  </w:style>
  <w:style w:type="character" w:customStyle="1" w:styleId="281">
    <w:name w:val="style151"/>
    <w:qFormat/>
    <w:uiPriority w:val="0"/>
    <w:rPr>
      <w:sz w:val="21"/>
      <w:szCs w:val="21"/>
    </w:rPr>
  </w:style>
  <w:style w:type="character" w:customStyle="1" w:styleId="282">
    <w:name w:val="脚注文本 Char"/>
    <w:qFormat/>
    <w:uiPriority w:val="0"/>
    <w:rPr>
      <w:kern w:val="2"/>
      <w:sz w:val="18"/>
      <w:szCs w:val="18"/>
    </w:rPr>
  </w:style>
  <w:style w:type="character" w:customStyle="1" w:styleId="283">
    <w:name w:val="style51"/>
    <w:qFormat/>
    <w:uiPriority w:val="0"/>
    <w:rPr>
      <w:sz w:val="18"/>
      <w:szCs w:val="18"/>
    </w:rPr>
  </w:style>
  <w:style w:type="character" w:customStyle="1" w:styleId="284">
    <w:name w:val="main1"/>
    <w:qFormat/>
    <w:uiPriority w:val="0"/>
    <w:rPr>
      <w:b/>
      <w:bCs/>
      <w:color w:val="0066CC"/>
      <w:sz w:val="24"/>
      <w:szCs w:val="24"/>
    </w:rPr>
  </w:style>
  <w:style w:type="character" w:customStyle="1" w:styleId="285">
    <w:name w:val="样式 楷体_GB2312 四号 加粗"/>
    <w:qFormat/>
    <w:uiPriority w:val="0"/>
    <w:rPr>
      <w:rFonts w:ascii="楷体_GB2312" w:eastAsia="楷体_GB2312" w:cs="楷体_GB2312"/>
      <w:b/>
      <w:bCs/>
      <w:sz w:val="28"/>
      <w:szCs w:val="28"/>
      <w:lang w:val="zh-CN"/>
    </w:rPr>
  </w:style>
  <w:style w:type="character" w:customStyle="1" w:styleId="286">
    <w:name w:val="p101"/>
    <w:qFormat/>
    <w:uiPriority w:val="0"/>
    <w:rPr>
      <w:rFonts w:hint="default"/>
      <w:sz w:val="20"/>
      <w:szCs w:val="20"/>
    </w:rPr>
  </w:style>
  <w:style w:type="character" w:customStyle="1" w:styleId="287">
    <w:name w:val="shouchang1"/>
    <w:qFormat/>
    <w:uiPriority w:val="0"/>
  </w:style>
  <w:style w:type="character" w:customStyle="1" w:styleId="288">
    <w:name w:val="style21"/>
    <w:qFormat/>
    <w:uiPriority w:val="0"/>
    <w:rPr>
      <w:color w:val="FF0000"/>
    </w:rPr>
  </w:style>
  <w:style w:type="character" w:customStyle="1" w:styleId="289">
    <w:name w:val="style15"/>
    <w:qFormat/>
    <w:uiPriority w:val="0"/>
  </w:style>
  <w:style w:type="paragraph" w:customStyle="1" w:styleId="290">
    <w:name w:val="申请书正文样式"/>
    <w:qFormat/>
    <w:uiPriority w:val="0"/>
    <w:pPr>
      <w:spacing w:line="300" w:lineRule="auto"/>
      <w:ind w:firstLine="560" w:firstLineChars="200"/>
      <w:jc w:val="both"/>
    </w:pPr>
    <w:rPr>
      <w:rFonts w:ascii="仿宋_GB2312" w:hAnsi="宋体" w:eastAsia="仿宋_GB2312" w:cs="Times New Roman"/>
      <w:sz w:val="28"/>
      <w:szCs w:val="28"/>
      <w:lang w:val="en-US" w:eastAsia="zh-CN" w:bidi="ar-SA"/>
    </w:rPr>
  </w:style>
  <w:style w:type="paragraph" w:customStyle="1" w:styleId="291">
    <w:name w:val="样式 样式 左侧:  0.85 厘米 + 居中"/>
    <w:basedOn w:val="1"/>
    <w:qFormat/>
    <w:uiPriority w:val="0"/>
    <w:pPr>
      <w:widowControl w:val="0"/>
      <w:spacing w:after="0" w:line="240" w:lineRule="auto"/>
      <w:jc w:val="center"/>
    </w:pPr>
    <w:rPr>
      <w:rFonts w:hint="default" w:ascii="宋体" w:hAnsi="宋体" w:eastAsia="宋体" w:cs="Times New Roman"/>
      <w:color w:val="auto"/>
      <w:szCs w:val="20"/>
      <w:lang w:val="en-US" w:eastAsia="zh-CN"/>
    </w:rPr>
  </w:style>
  <w:style w:type="paragraph" w:customStyle="1" w:styleId="292">
    <w:name w:val="说明书3级标题"/>
    <w:basedOn w:val="1"/>
    <w:next w:val="1"/>
    <w:qFormat/>
    <w:uiPriority w:val="0"/>
    <w:pPr>
      <w:widowControl w:val="0"/>
      <w:tabs>
        <w:tab w:val="left" w:pos="1260"/>
      </w:tabs>
      <w:spacing w:after="0" w:line="360" w:lineRule="auto"/>
    </w:pPr>
    <w:rPr>
      <w:rFonts w:hint="default" w:ascii="Times New Roman" w:hAnsi="Times New Roman" w:eastAsia="黑体" w:cs="Times New Roman"/>
      <w:color w:val="auto"/>
      <w:sz w:val="24"/>
      <w:szCs w:val="24"/>
      <w:lang w:val="en-US" w:eastAsia="zh-CN"/>
    </w:rPr>
  </w:style>
  <w:style w:type="paragraph" w:customStyle="1" w:styleId="293">
    <w:name w:val="Char Char Char Char Char Char Char Char Char Char Char Char"/>
    <w:basedOn w:val="1"/>
    <w:qFormat/>
    <w:uiPriority w:val="0"/>
    <w:pPr>
      <w:widowControl w:val="0"/>
      <w:spacing w:after="0" w:line="300" w:lineRule="auto"/>
    </w:pPr>
    <w:rPr>
      <w:rFonts w:hint="default" w:ascii="宋体" w:hAnsi="宋体" w:eastAsia="宋体" w:cs="Times New Roman"/>
      <w:b/>
      <w:bCs/>
      <w:spacing w:val="8"/>
      <w:kern w:val="0"/>
      <w:sz w:val="24"/>
      <w:szCs w:val="24"/>
      <w:lang w:val="en-US" w:eastAsia="zh-CN"/>
    </w:rPr>
  </w:style>
  <w:style w:type="paragraph" w:customStyle="1" w:styleId="294">
    <w:name w:val="Char Char Char Char Char Char Char"/>
    <w:basedOn w:val="1"/>
    <w:qFormat/>
    <w:uiPriority w:val="0"/>
    <w:pPr>
      <w:widowControl w:val="0"/>
      <w:spacing w:after="0" w:line="240" w:lineRule="auto"/>
    </w:pPr>
    <w:rPr>
      <w:rFonts w:hint="default" w:ascii="Times New Roman" w:hAnsi="Times New Roman" w:eastAsia="宋体" w:cs="Times New Roman"/>
      <w:color w:val="auto"/>
      <w:lang w:val="en-US" w:eastAsia="zh-CN"/>
    </w:rPr>
  </w:style>
  <w:style w:type="paragraph" w:customStyle="1" w:styleId="295">
    <w:name w:val="Char Char Char"/>
    <w:basedOn w:val="1"/>
    <w:qFormat/>
    <w:uiPriority w:val="0"/>
    <w:pPr>
      <w:widowControl w:val="0"/>
      <w:spacing w:after="0" w:line="240" w:lineRule="auto"/>
    </w:pPr>
    <w:rPr>
      <w:rFonts w:hint="default" w:ascii="Tahoma" w:hAnsi="Tahoma" w:eastAsia="宋体" w:cs="Times New Roman"/>
      <w:color w:val="auto"/>
      <w:sz w:val="24"/>
      <w:szCs w:val="20"/>
      <w:lang w:val="en-US" w:eastAsia="zh-CN"/>
    </w:rPr>
  </w:style>
  <w:style w:type="paragraph" w:customStyle="1" w:styleId="296">
    <w:name w:val="样式 标题 3小节 + 小四 加粗"/>
    <w:basedOn w:val="4"/>
    <w:qFormat/>
    <w:uiPriority w:val="0"/>
    <w:pPr>
      <w:widowControl w:val="0"/>
      <w:adjustRightInd w:val="0"/>
      <w:spacing w:before="0" w:after="0" w:line="440" w:lineRule="atLeast"/>
      <w:ind w:firstLine="480" w:firstLineChars="200"/>
      <w:textAlignment w:val="bottom"/>
    </w:pPr>
    <w:rPr>
      <w:rFonts w:ascii="Times New Roman" w:hAnsi="Times New Roman" w:eastAsia="黑体"/>
      <w:b w:val="0"/>
      <w:color w:val="auto"/>
      <w:sz w:val="24"/>
      <w:szCs w:val="20"/>
      <w:lang w:val="en-US" w:eastAsia="zh-CN"/>
    </w:rPr>
  </w:style>
  <w:style w:type="paragraph" w:customStyle="1" w:styleId="297">
    <w:name w:val="Char2"/>
    <w:basedOn w:val="1"/>
    <w:qFormat/>
    <w:uiPriority w:val="0"/>
    <w:pPr>
      <w:widowControl w:val="0"/>
      <w:spacing w:after="0" w:line="240" w:lineRule="auto"/>
    </w:pPr>
    <w:rPr>
      <w:rFonts w:hint="default" w:ascii="仿宋_GB2312" w:hAnsi="Times New Roman" w:eastAsia="仿宋_GB2312" w:cs="Times New Roman"/>
      <w:b/>
      <w:color w:val="auto"/>
      <w:sz w:val="32"/>
      <w:szCs w:val="32"/>
      <w:lang w:val="en-US" w:eastAsia="zh-CN"/>
    </w:rPr>
  </w:style>
  <w:style w:type="paragraph" w:customStyle="1" w:styleId="298">
    <w:name w:val="tableheading"/>
    <w:basedOn w:val="1"/>
    <w:qFormat/>
    <w:uiPriority w:val="0"/>
    <w:pP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299">
    <w:name w:val="Char1 Char Char Char"/>
    <w:basedOn w:val="1"/>
    <w:qFormat/>
    <w:uiPriority w:val="0"/>
    <w:pPr>
      <w:spacing w:after="0" w:afterLines="50" w:line="240" w:lineRule="auto"/>
      <w:jc w:val="left"/>
    </w:pPr>
    <w:rPr>
      <w:rFonts w:hint="default" w:ascii="Times New Roman" w:hAnsi="Times New Roman" w:eastAsia="宋体" w:cs="Times New Roman"/>
      <w:color w:val="auto"/>
      <w:szCs w:val="20"/>
      <w:lang w:val="en-US" w:eastAsia="zh-CN"/>
    </w:rPr>
  </w:style>
  <w:style w:type="paragraph" w:customStyle="1" w:styleId="300">
    <w:name w:val="word"/>
    <w:basedOn w:val="1"/>
    <w:qFormat/>
    <w:uiPriority w:val="0"/>
    <w:pPr>
      <w:spacing w:before="100" w:beforeAutospacing="1" w:after="100" w:afterAutospacing="1" w:line="300" w:lineRule="atLeast"/>
      <w:jc w:val="left"/>
    </w:pPr>
    <w:rPr>
      <w:rFonts w:hint="default" w:ascii="宋体" w:hAnsi="宋体" w:eastAsia="宋体" w:cs="宋体"/>
      <w:color w:val="444444"/>
      <w:kern w:val="0"/>
      <w:sz w:val="18"/>
      <w:szCs w:val="18"/>
      <w:lang w:val="en-US" w:eastAsia="zh-CN"/>
    </w:rPr>
  </w:style>
  <w:style w:type="paragraph" w:customStyle="1" w:styleId="301">
    <w:name w:val="小节标题"/>
    <w:basedOn w:val="1"/>
    <w:next w:val="1"/>
    <w:qFormat/>
    <w:uiPriority w:val="0"/>
    <w:pPr>
      <w:spacing w:before="175" w:after="102" w:line="566" w:lineRule="atLeast"/>
      <w:textAlignment w:val="baseline"/>
    </w:pPr>
    <w:rPr>
      <w:rFonts w:hint="default" w:ascii="Times New Roman" w:hAnsi="Times New Roman" w:eastAsia="黑体" w:cs="Times New Roman"/>
      <w:kern w:val="0"/>
      <w:szCs w:val="20"/>
      <w:u w:color="000000"/>
      <w:lang w:val="en-US" w:eastAsia="zh-CN"/>
    </w:rPr>
  </w:style>
  <w:style w:type="paragraph" w:customStyle="1" w:styleId="302">
    <w:name w:val="说明书1级标题"/>
    <w:basedOn w:val="1"/>
    <w:next w:val="1"/>
    <w:qFormat/>
    <w:uiPriority w:val="0"/>
    <w:pPr>
      <w:widowControl w:val="0"/>
      <w:tabs>
        <w:tab w:val="left" w:pos="0"/>
      </w:tabs>
      <w:spacing w:after="0" w:line="240" w:lineRule="auto"/>
      <w:ind w:firstLine="425" w:firstLineChars="177"/>
    </w:pPr>
    <w:rPr>
      <w:rFonts w:hint="default" w:ascii="宋体" w:hAnsi="宋体" w:eastAsia="宋体" w:cs="Times New Roman"/>
      <w:sz w:val="24"/>
      <w:lang w:val="en-US" w:eastAsia="zh-CN"/>
    </w:rPr>
  </w:style>
  <w:style w:type="paragraph" w:customStyle="1" w:styleId="303">
    <w:name w:val="职大申报正文"/>
    <w:basedOn w:val="1"/>
    <w:qFormat/>
    <w:uiPriority w:val="0"/>
    <w:pPr>
      <w:widowControl w:val="0"/>
      <w:spacing w:after="120" w:line="520" w:lineRule="exact"/>
      <w:ind w:firstLine="523" w:firstLineChars="200"/>
    </w:pPr>
    <w:rPr>
      <w:rFonts w:hint="default" w:ascii="宋体" w:hAnsi="宋体" w:eastAsia="宋体" w:cs="宋体"/>
      <w:kern w:val="0"/>
      <w:sz w:val="28"/>
      <w:szCs w:val="28"/>
      <w:lang w:val="zh-CN" w:eastAsia="zh-CN"/>
    </w:rPr>
  </w:style>
  <w:style w:type="paragraph" w:customStyle="1" w:styleId="304">
    <w:name w:val="文档正文"/>
    <w:basedOn w:val="1"/>
    <w:qFormat/>
    <w:uiPriority w:val="0"/>
    <w:pPr>
      <w:widowControl w:val="0"/>
      <w:adjustRightInd w:val="0"/>
      <w:spacing w:after="0" w:line="480" w:lineRule="atLeast"/>
      <w:ind w:firstLine="567"/>
      <w:textAlignment w:val="baseline"/>
    </w:pPr>
    <w:rPr>
      <w:rFonts w:hint="default" w:ascii="仿宋_GB2312" w:hAnsi="Times New Roman" w:eastAsia="仿宋_GB2312" w:cs="Times New Roman"/>
      <w:color w:val="auto"/>
      <w:kern w:val="0"/>
      <w:sz w:val="28"/>
      <w:szCs w:val="20"/>
      <w:lang w:val="en-US" w:eastAsia="zh-CN"/>
    </w:rPr>
  </w:style>
  <w:style w:type="paragraph" w:customStyle="1" w:styleId="305">
    <w:name w:val="我的正文"/>
    <w:basedOn w:val="22"/>
    <w:qFormat/>
    <w:uiPriority w:val="0"/>
    <w:pPr>
      <w:spacing w:after="0" w:line="500" w:lineRule="exact"/>
      <w:ind w:firstLine="480" w:firstLineChars="200"/>
    </w:pPr>
    <w:rPr>
      <w:szCs w:val="20"/>
      <w:lang w:val="en-US" w:eastAsia="zh-CN"/>
    </w:rPr>
  </w:style>
  <w:style w:type="paragraph" w:customStyle="1" w:styleId="306">
    <w:name w:val="Char1"/>
    <w:basedOn w:val="1"/>
    <w:qFormat/>
    <w:uiPriority w:val="0"/>
    <w:pPr>
      <w:spacing w:line="240" w:lineRule="exact"/>
      <w:jc w:val="left"/>
    </w:pPr>
    <w:rPr>
      <w:rFonts w:hint="default" w:ascii="Verdana" w:hAnsi="Verdana" w:eastAsia="宋体" w:cs="Times New Roman"/>
      <w:color w:val="auto"/>
      <w:kern w:val="0"/>
      <w:sz w:val="20"/>
      <w:szCs w:val="20"/>
      <w:lang w:val="en-US" w:eastAsia="en-US"/>
    </w:rPr>
  </w:style>
  <w:style w:type="paragraph" w:customStyle="1" w:styleId="307">
    <w:name w:val="p0"/>
    <w:basedOn w:val="1"/>
    <w:qFormat/>
    <w:uiPriority w:val="0"/>
    <w:pPr>
      <w:spacing w:after="0" w:line="240" w:lineRule="auto"/>
    </w:pPr>
    <w:rPr>
      <w:rFonts w:hint="default" w:ascii="Times New Roman" w:hAnsi="Times New Roman" w:eastAsia="宋体" w:cs="Times New Roman"/>
      <w:color w:val="auto"/>
      <w:kern w:val="0"/>
      <w:lang w:val="en-US" w:eastAsia="zh-CN"/>
    </w:rPr>
  </w:style>
  <w:style w:type="paragraph" w:customStyle="1" w:styleId="308">
    <w:name w:val="样式1"/>
    <w:basedOn w:val="37"/>
    <w:next w:val="37"/>
    <w:qFormat/>
    <w:uiPriority w:val="0"/>
    <w:pPr>
      <w:widowControl w:val="0"/>
      <w:tabs>
        <w:tab w:val="left" w:pos="0"/>
        <w:tab w:val="left" w:pos="2100"/>
      </w:tabs>
      <w:spacing w:before="120" w:after="120" w:line="360" w:lineRule="auto"/>
      <w:ind w:left="2098" w:leftChars="400" w:hanging="420"/>
      <w:outlineLvl w:val="0"/>
    </w:pPr>
    <w:rPr>
      <w:rFonts w:ascii="Times New Roman" w:hAnsi="Times New Roman"/>
      <w:b/>
      <w:caps/>
      <w:smallCaps/>
      <w:kern w:val="2"/>
      <w:sz w:val="36"/>
      <w:szCs w:val="28"/>
    </w:rPr>
  </w:style>
  <w:style w:type="paragraph" w:customStyle="1" w:styleId="309">
    <w:name w:val="Char1 Char Char Char1"/>
    <w:basedOn w:val="1"/>
    <w:qFormat/>
    <w:uiPriority w:val="0"/>
    <w:pPr>
      <w:spacing w:after="0" w:line="240" w:lineRule="auto"/>
      <w:jc w:val="left"/>
    </w:pPr>
    <w:rPr>
      <w:rFonts w:hint="default" w:ascii="Times New Roman" w:hAnsi="Times New Roman" w:eastAsia="宋体" w:cs="Times New Roman"/>
      <w:color w:val="auto"/>
      <w:kern w:val="0"/>
      <w:sz w:val="20"/>
      <w:szCs w:val="20"/>
      <w:lang w:val="en-US" w:eastAsia="zh-CN"/>
    </w:rPr>
  </w:style>
  <w:style w:type="paragraph" w:customStyle="1" w:styleId="310">
    <w:name w:val="正文1"/>
    <w:basedOn w:val="1"/>
    <w:qFormat/>
    <w:uiPriority w:val="0"/>
    <w:pPr>
      <w:adjustRightInd w:val="0"/>
      <w:spacing w:before="120" w:after="120" w:line="240" w:lineRule="auto"/>
      <w:ind w:firstLine="200" w:firstLineChars="200"/>
      <w:contextualSpacing/>
      <w:jc w:val="left"/>
    </w:pPr>
    <w:rPr>
      <w:rFonts w:hint="default" w:ascii="Calibri" w:hAnsi="Calibri" w:eastAsia="Adobe 仿宋 Std R" w:cs="Times New Roman"/>
      <w:color w:val="auto"/>
      <w:lang w:val="en-US" w:eastAsia="zh-CN"/>
    </w:rPr>
  </w:style>
  <w:style w:type="character" w:customStyle="1" w:styleId="311">
    <w:name w:val="font11"/>
    <w:basedOn w:val="61"/>
    <w:qFormat/>
    <w:uiPriority w:val="0"/>
    <w:rPr>
      <w:rFonts w:hint="eastAsia" w:ascii="宋体" w:hAnsi="宋体" w:eastAsia="宋体" w:cs="宋体"/>
      <w:color w:val="000000"/>
      <w:sz w:val="18"/>
      <w:szCs w:val="18"/>
      <w:u w:val="none"/>
    </w:rPr>
  </w:style>
  <w:style w:type="character" w:customStyle="1" w:styleId="312">
    <w:name w:val="font21"/>
    <w:qFormat/>
    <w:uiPriority w:val="0"/>
    <w:rPr>
      <w:rFonts w:hint="eastAsia" w:ascii="宋体" w:hAnsi="宋体" w:eastAsia="宋体" w:cs="宋体"/>
      <w:color w:val="FF0000"/>
      <w:sz w:val="18"/>
      <w:szCs w:val="18"/>
      <w:u w:val="none"/>
    </w:rPr>
  </w:style>
  <w:style w:type="character" w:customStyle="1" w:styleId="313">
    <w:name w:val="font41"/>
    <w:basedOn w:val="61"/>
    <w:qFormat/>
    <w:uiPriority w:val="0"/>
    <w:rPr>
      <w:rFonts w:hint="eastAsia" w:ascii="仿宋" w:hAnsi="仿宋" w:eastAsia="仿宋" w:cs="仿宋"/>
      <w:color w:val="FF0000"/>
      <w:sz w:val="28"/>
      <w:szCs w:val="28"/>
      <w:u w:val="none"/>
    </w:rPr>
  </w:style>
  <w:style w:type="character" w:customStyle="1" w:styleId="314">
    <w:name w:val="font31"/>
    <w:basedOn w:val="61"/>
    <w:qFormat/>
    <w:uiPriority w:val="0"/>
    <w:rPr>
      <w:rFonts w:hint="eastAsia" w:ascii="宋体" w:hAnsi="宋体" w:eastAsia="宋体" w:cs="宋体"/>
      <w:color w:val="FF0000"/>
      <w:sz w:val="18"/>
      <w:szCs w:val="18"/>
      <w:u w:val="none"/>
    </w:rPr>
  </w:style>
  <w:style w:type="paragraph" w:customStyle="1" w:styleId="315">
    <w:name w:val="Body text|2"/>
    <w:basedOn w:val="1"/>
    <w:qFormat/>
    <w:uiPriority w:val="0"/>
    <w:pPr>
      <w:widowControl w:val="0"/>
      <w:spacing w:after="180" w:line="240" w:lineRule="auto"/>
    </w:pPr>
    <w:rPr>
      <w:rFonts w:hint="default" w:ascii="宋体" w:hAnsi="宋体" w:eastAsia="宋体" w:cs="宋体"/>
      <w:color w:val="auto"/>
      <w:sz w:val="22"/>
      <w:szCs w:val="22"/>
      <w:lang w:val="en-US" w:eastAsia="zh-CN" w:bidi="zh-TW"/>
    </w:rPr>
  </w:style>
  <w:style w:type="paragraph" w:customStyle="1" w:styleId="316">
    <w:name w:val="修订5"/>
    <w:hidden/>
    <w:unhideWhenUsed/>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17">
    <w:name w:val="msonormal"/>
    <w:basedOn w:val="1"/>
    <w:qFormat/>
    <w:uiPriority w:val="0"/>
    <w:pP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318">
    <w:name w:val="font9"/>
    <w:basedOn w:val="1"/>
    <w:qFormat/>
    <w:uiPriority w:val="0"/>
    <w:pPr>
      <w:spacing w:before="100" w:beforeAutospacing="1" w:after="100" w:afterAutospacing="1" w:line="240" w:lineRule="auto"/>
      <w:jc w:val="left"/>
    </w:pPr>
    <w:rPr>
      <w:rFonts w:hint="default" w:ascii="黑体" w:hAnsi="黑体" w:eastAsia="黑体" w:cs="宋体"/>
      <w:kern w:val="0"/>
      <w:sz w:val="16"/>
      <w:szCs w:val="16"/>
      <w:lang w:val="en-US" w:eastAsia="zh-CN"/>
    </w:rPr>
  </w:style>
  <w:style w:type="paragraph" w:customStyle="1" w:styleId="319">
    <w:name w:val="font10"/>
    <w:basedOn w:val="1"/>
    <w:qFormat/>
    <w:uiPriority w:val="0"/>
    <w:pPr>
      <w:spacing w:before="100" w:beforeAutospacing="1" w:after="100" w:afterAutospacing="1" w:line="240" w:lineRule="auto"/>
      <w:jc w:val="left"/>
    </w:pPr>
    <w:rPr>
      <w:rFonts w:hint="default" w:ascii="Calibri" w:hAnsi="Calibri" w:eastAsia="宋体" w:cs="宋体"/>
      <w:kern w:val="0"/>
      <w:sz w:val="16"/>
      <w:szCs w:val="16"/>
      <w:lang w:val="en-US" w:eastAsia="zh-CN"/>
    </w:rPr>
  </w:style>
  <w:style w:type="paragraph" w:customStyle="1" w:styleId="320">
    <w:name w:val="xl6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b/>
      <w:bCs/>
      <w:color w:val="auto"/>
      <w:kern w:val="0"/>
      <w:sz w:val="16"/>
      <w:szCs w:val="16"/>
      <w:lang w:val="en-US" w:eastAsia="zh-CN"/>
    </w:rPr>
  </w:style>
  <w:style w:type="paragraph" w:customStyle="1" w:styleId="321">
    <w:name w:val="xl6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b/>
      <w:bCs/>
      <w:color w:val="auto"/>
      <w:kern w:val="0"/>
      <w:sz w:val="16"/>
      <w:szCs w:val="16"/>
      <w:lang w:val="en-US" w:eastAsia="zh-CN"/>
    </w:rPr>
  </w:style>
  <w:style w:type="paragraph" w:customStyle="1" w:styleId="322">
    <w:name w:val="xl6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b/>
      <w:bCs/>
      <w:color w:val="auto"/>
      <w:kern w:val="0"/>
      <w:sz w:val="16"/>
      <w:szCs w:val="16"/>
      <w:lang w:val="en-US" w:eastAsia="zh-CN"/>
    </w:rPr>
  </w:style>
  <w:style w:type="paragraph" w:customStyle="1" w:styleId="323">
    <w:name w:val="xl6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color w:val="auto"/>
      <w:kern w:val="0"/>
      <w:sz w:val="16"/>
      <w:szCs w:val="16"/>
      <w:lang w:val="en-US" w:eastAsia="zh-CN"/>
    </w:rPr>
  </w:style>
  <w:style w:type="paragraph" w:customStyle="1" w:styleId="324">
    <w:name w:val="xl7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25">
    <w:name w:val="xl7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color w:val="auto"/>
      <w:kern w:val="0"/>
      <w:sz w:val="16"/>
      <w:szCs w:val="16"/>
      <w:lang w:val="en-US" w:eastAsia="zh-CN"/>
    </w:rPr>
  </w:style>
  <w:style w:type="paragraph" w:customStyle="1" w:styleId="326">
    <w:name w:val="xl7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27">
    <w:name w:val="xl7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28">
    <w:name w:val="xl7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color w:val="auto"/>
      <w:kern w:val="0"/>
      <w:sz w:val="16"/>
      <w:szCs w:val="16"/>
      <w:lang w:val="en-US" w:eastAsia="zh-CN"/>
    </w:rPr>
  </w:style>
  <w:style w:type="paragraph" w:customStyle="1" w:styleId="329">
    <w:name w:val="xl7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宋体" w:hAnsi="宋体" w:eastAsia="宋体" w:cs="宋体"/>
      <w:color w:val="auto"/>
      <w:kern w:val="0"/>
      <w:sz w:val="16"/>
      <w:szCs w:val="16"/>
      <w:lang w:val="en-US" w:eastAsia="zh-CN"/>
    </w:rPr>
  </w:style>
  <w:style w:type="paragraph" w:customStyle="1" w:styleId="330">
    <w:name w:val="xl7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1">
    <w:name w:val="xl7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黑体" w:hAnsi="黑体" w:eastAsia="黑体" w:cs="宋体"/>
      <w:color w:val="auto"/>
      <w:kern w:val="0"/>
      <w:sz w:val="16"/>
      <w:szCs w:val="16"/>
      <w:lang w:val="en-US" w:eastAsia="zh-CN"/>
    </w:rPr>
  </w:style>
  <w:style w:type="paragraph" w:customStyle="1" w:styleId="332">
    <w:name w:val="xl7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3">
    <w:name w:val="xl8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hint="default" w:ascii="黑体" w:hAnsi="黑体" w:eastAsia="黑体" w:cs="宋体"/>
      <w:color w:val="auto"/>
      <w:kern w:val="0"/>
      <w:sz w:val="16"/>
      <w:szCs w:val="16"/>
      <w:lang w:val="en-US" w:eastAsia="zh-CN"/>
    </w:rPr>
  </w:style>
  <w:style w:type="paragraph" w:customStyle="1" w:styleId="334">
    <w:name w:val="xl8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5">
    <w:name w:val="xl82"/>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6">
    <w:name w:val="xl8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337">
    <w:name w:val="xl8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宋体" w:hAnsi="宋体" w:eastAsia="宋体" w:cs="宋体"/>
      <w:color w:val="auto"/>
      <w:kern w:val="0"/>
      <w:sz w:val="24"/>
      <w:szCs w:val="24"/>
      <w:lang w:val="en-US" w:eastAsia="zh-CN"/>
    </w:rPr>
  </w:style>
  <w:style w:type="paragraph" w:customStyle="1" w:styleId="338">
    <w:name w:val="xl8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39">
    <w:name w:val="xl8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Segoe UI Symbol" w:hAnsi="Segoe UI Symbol" w:eastAsia="宋体" w:cs="宋体"/>
      <w:color w:val="auto"/>
      <w:kern w:val="0"/>
      <w:sz w:val="24"/>
      <w:szCs w:val="24"/>
      <w:lang w:val="en-US" w:eastAsia="zh-CN"/>
    </w:rPr>
  </w:style>
  <w:style w:type="paragraph" w:customStyle="1" w:styleId="340">
    <w:name w:val="xl88"/>
    <w:basedOn w:val="1"/>
    <w:qFormat/>
    <w:uiPriority w:val="0"/>
    <w:pPr>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41">
    <w:name w:val="xl89"/>
    <w:basedOn w:val="1"/>
    <w:qFormat/>
    <w:uiPriority w:val="0"/>
    <w:pPr>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42">
    <w:name w:val="xl9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auto"/>
      <w:kern w:val="0"/>
      <w:sz w:val="16"/>
      <w:szCs w:val="16"/>
      <w:lang w:val="en-US" w:eastAsia="zh-CN"/>
    </w:rPr>
  </w:style>
  <w:style w:type="paragraph" w:customStyle="1" w:styleId="343">
    <w:name w:val="xl9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color w:val="FF0000"/>
      <w:kern w:val="0"/>
      <w:sz w:val="16"/>
      <w:szCs w:val="16"/>
      <w:lang w:val="en-US" w:eastAsia="zh-CN"/>
    </w:rPr>
  </w:style>
  <w:style w:type="paragraph" w:customStyle="1" w:styleId="344">
    <w:name w:val="xl92"/>
    <w:basedOn w:val="1"/>
    <w:qFormat/>
    <w:uiPriority w:val="0"/>
    <w:pPr>
      <w:spacing w:before="100" w:beforeAutospacing="1" w:after="100" w:afterAutospacing="1" w:line="240" w:lineRule="auto"/>
      <w:jc w:val="left"/>
    </w:pPr>
    <w:rPr>
      <w:rFonts w:hint="default" w:ascii="宋体" w:hAnsi="宋体" w:eastAsia="宋体" w:cs="宋体"/>
      <w:color w:val="FF0000"/>
      <w:kern w:val="0"/>
      <w:sz w:val="24"/>
      <w:szCs w:val="24"/>
      <w:lang w:val="en-US" w:eastAsia="zh-CN"/>
    </w:rPr>
  </w:style>
  <w:style w:type="paragraph" w:customStyle="1" w:styleId="345">
    <w:name w:val="xl9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hint="default" w:ascii="Segoe UI Symbol" w:hAnsi="Segoe UI Symbol" w:eastAsia="宋体" w:cs="宋体"/>
      <w:kern w:val="0"/>
      <w:sz w:val="24"/>
      <w:szCs w:val="24"/>
      <w:lang w:val="en-US" w:eastAsia="zh-CN"/>
    </w:rPr>
  </w:style>
  <w:style w:type="paragraph" w:customStyle="1" w:styleId="346">
    <w:name w:val="xl9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kern w:val="0"/>
      <w:sz w:val="16"/>
      <w:szCs w:val="16"/>
      <w:lang w:val="en-US" w:eastAsia="zh-CN"/>
    </w:rPr>
  </w:style>
  <w:style w:type="paragraph" w:customStyle="1" w:styleId="347">
    <w:name w:val="xl9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kern w:val="0"/>
      <w:sz w:val="16"/>
      <w:szCs w:val="16"/>
      <w:lang w:val="en-US" w:eastAsia="zh-CN"/>
    </w:rPr>
  </w:style>
  <w:style w:type="paragraph" w:customStyle="1" w:styleId="348">
    <w:name w:val="xl9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center"/>
    </w:pPr>
    <w:rPr>
      <w:rFonts w:hint="default" w:ascii="黑体" w:hAnsi="黑体" w:eastAsia="黑体" w:cs="宋体"/>
      <w:kern w:val="0"/>
      <w:sz w:val="16"/>
      <w:szCs w:val="16"/>
      <w:lang w:val="en-US" w:eastAsia="zh-CN"/>
    </w:rPr>
  </w:style>
  <w:style w:type="paragraph" w:customStyle="1" w:styleId="349">
    <w:name w:val="xl9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hint="default" w:ascii="黑体" w:hAnsi="黑体" w:eastAsia="黑体" w:cs="宋体"/>
      <w:kern w:val="0"/>
      <w:sz w:val="16"/>
      <w:szCs w:val="16"/>
      <w:lang w:val="en-US" w:eastAsia="zh-CN"/>
    </w:rPr>
  </w:style>
  <w:style w:type="paragraph" w:customStyle="1" w:styleId="350">
    <w:name w:val="xl65"/>
    <w:basedOn w:val="1"/>
    <w:qFormat/>
    <w:uiPriority w:val="0"/>
    <w:pPr>
      <w:spacing w:before="100" w:beforeAutospacing="1" w:after="100" w:afterAutospacing="1" w:line="240" w:lineRule="auto"/>
      <w:jc w:val="right"/>
    </w:pPr>
    <w:rPr>
      <w:rFonts w:hint="default" w:ascii="宋体" w:hAnsi="宋体" w:eastAsia="宋体" w:cs="宋体"/>
      <w:color w:val="auto"/>
      <w:kern w:val="0"/>
      <w:sz w:val="24"/>
      <w:szCs w:val="24"/>
      <w:lang w:val="en-US" w:eastAsia="zh-CN"/>
    </w:rPr>
  </w:style>
  <w:style w:type="paragraph" w:customStyle="1" w:styleId="351">
    <w:name w:val="修订6"/>
    <w:hidden/>
    <w:semiHidden/>
    <w:qFormat/>
    <w:uiPriority w:val="99"/>
    <w:rPr>
      <w:rFonts w:hint="eastAsia" w:ascii="Arial Unicode MS" w:hAnsi="Arial Unicode MS" w:eastAsia="Arial Unicode MS" w:cs="Arial Unicode MS"/>
      <w:color w:val="000000"/>
      <w:kern w:val="2"/>
      <w:sz w:val="21"/>
      <w:szCs w:val="21"/>
      <w:lang w:val="zh-TW" w:eastAsia="zh-TW" w:bidi="ar-SA"/>
    </w:rPr>
  </w:style>
  <w:style w:type="paragraph" w:customStyle="1" w:styleId="352">
    <w:name w:val="Revision"/>
    <w:hidden/>
    <w:semiHidden/>
    <w:qFormat/>
    <w:uiPriority w:val="99"/>
    <w:rPr>
      <w:rFonts w:hint="eastAsia" w:ascii="Arial Unicode MS" w:hAnsi="Arial Unicode MS" w:eastAsia="Arial Unicode MS" w:cs="Arial Unicode MS"/>
      <w:color w:val="000000"/>
      <w:kern w:val="2"/>
      <w:sz w:val="21"/>
      <w:szCs w:val="21"/>
      <w:lang w:val="zh-TW" w:eastAsia="zh-TW" w:bidi="ar-SA"/>
    </w:rPr>
  </w:style>
  <w:style w:type="character" w:customStyle="1" w:styleId="353">
    <w:name w:val="font91"/>
    <w:basedOn w:val="61"/>
    <w:qFormat/>
    <w:uiPriority w:val="0"/>
    <w:rPr>
      <w:rFonts w:ascii="Cambria Math" w:hAnsi="Cambria Math" w:eastAsia="Cambria Math" w:cs="Cambria Math"/>
      <w:color w:val="000000"/>
      <w:sz w:val="18"/>
      <w:szCs w:val="18"/>
      <w:u w:val="none"/>
    </w:rPr>
  </w:style>
  <w:style w:type="character" w:customStyle="1" w:styleId="354">
    <w:name w:val="font101"/>
    <w:basedOn w:val="61"/>
    <w:qFormat/>
    <w:uiPriority w:val="0"/>
    <w:rPr>
      <w:rFonts w:hint="default" w:ascii="Cambria Math" w:hAnsi="Cambria Math" w:eastAsia="Cambria Math" w:cs="Cambria Math"/>
      <w:color w:val="000000"/>
      <w:sz w:val="18"/>
      <w:szCs w:val="18"/>
      <w:u w:val="none"/>
    </w:rPr>
  </w:style>
  <w:style w:type="character" w:customStyle="1" w:styleId="355">
    <w:name w:val="font112"/>
    <w:basedOn w:val="61"/>
    <w:qFormat/>
    <w:uiPriority w:val="0"/>
    <w:rPr>
      <w:rFonts w:ascii="Segoe UI Symbol" w:hAnsi="Segoe UI Symbol" w:eastAsia="Segoe UI Symbol" w:cs="Segoe UI Symbol"/>
      <w:color w:val="000000"/>
      <w:sz w:val="18"/>
      <w:szCs w:val="18"/>
      <w:u w:val="none"/>
    </w:rPr>
  </w:style>
  <w:style w:type="character" w:customStyle="1" w:styleId="356">
    <w:name w:val="font121"/>
    <w:basedOn w:val="61"/>
    <w:qFormat/>
    <w:uiPriority w:val="0"/>
    <w:rPr>
      <w:rFonts w:hint="eastAsia" w:ascii="宋体" w:hAnsi="宋体" w:eastAsia="宋体" w:cs="宋体"/>
      <w:color w:val="000000"/>
      <w:sz w:val="18"/>
      <w:szCs w:val="18"/>
      <w:u w:val="none"/>
    </w:rPr>
  </w:style>
  <w:style w:type="character" w:customStyle="1" w:styleId="357">
    <w:name w:val="font01"/>
    <w:basedOn w:val="61"/>
    <w:qFormat/>
    <w:uiPriority w:val="0"/>
    <w:rPr>
      <w:rFonts w:ascii="黑体" w:hAnsi="宋体" w:eastAsia="黑体" w:cs="黑体"/>
      <w:color w:val="000000"/>
      <w:sz w:val="18"/>
      <w:szCs w:val="18"/>
      <w:u w:val="none"/>
    </w:rPr>
  </w:style>
  <w:style w:type="character" w:customStyle="1" w:styleId="358">
    <w:name w:val="font51"/>
    <w:basedOn w:val="61"/>
    <w:qFormat/>
    <w:uiPriority w:val="0"/>
    <w:rPr>
      <w:rFonts w:hint="eastAsia" w:ascii="微软雅黑 Light" w:hAnsi="微软雅黑 Light" w:eastAsia="微软雅黑 Light" w:cs="微软雅黑 Light"/>
      <w:b/>
      <w:bCs/>
      <w:color w:val="000000"/>
      <w:sz w:val="20"/>
      <w:szCs w:val="20"/>
      <w:u w:val="none"/>
    </w:rPr>
  </w:style>
  <w:style w:type="character" w:customStyle="1" w:styleId="359">
    <w:name w:val="font71"/>
    <w:basedOn w:val="61"/>
    <w:qFormat/>
    <w:uiPriority w:val="0"/>
    <w:rPr>
      <w:rFonts w:hint="eastAsia" w:ascii="微软雅黑 Light" w:hAnsi="微软雅黑 Light" w:eastAsia="微软雅黑 Light" w:cs="微软雅黑 Light"/>
      <w:color w:val="FF0000"/>
      <w:sz w:val="20"/>
      <w:szCs w:val="20"/>
      <w:u w:val="none"/>
    </w:rPr>
  </w:style>
  <w:style w:type="character" w:customStyle="1" w:styleId="360">
    <w:name w:val="font81"/>
    <w:basedOn w:val="61"/>
    <w:qFormat/>
    <w:uiPriority w:val="0"/>
    <w:rPr>
      <w:rFonts w:hint="eastAsia" w:ascii="微软雅黑 Light" w:hAnsi="微软雅黑 Light" w:eastAsia="微软雅黑 Light" w:cs="微软雅黑 Light"/>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231</Pages>
  <Words>189</Words>
  <Characters>213</Characters>
  <Lines>987</Lines>
  <Paragraphs>278</Paragraphs>
  <TotalTime>58</TotalTime>
  <ScaleCrop>false</ScaleCrop>
  <LinksUpToDate>false</LinksUpToDate>
  <CharactersWithSpaces>241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2026-04-18T23:41:00Z</dcterms:created>
  <dc:creator>NTKO</dc:creator>
  <cp:lastModifiedBy>采桑</cp:lastModifiedBy>
  <cp:lastPrinted>2026-03-01T11:19:00Z</cp:lastPrinted>
  <dcterms:modified xsi:type="dcterms:W3CDTF">2026-08-05T09:11:28Z</dcterms:modified>
  <dc:title>郑州铁路职业技术学院新建学生宿舍组团三北楼内部基础设备采购项目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D318153AF9324F65A9396D00128A6AE6_13</vt:lpwstr>
  </property>
  <property fmtid="{D5CDD505-2E9C-101B-9397-08002B2CF9AE}" pid="4" name="KSOTemplateDocerSaveRecord">
    <vt:lpwstr>eyJoZGlkIjoiNzE5YjI5YzY2MzhhNzA5NTU4MTEwZDg3ZDljNTU0MzciLCJ1c2VySWQiOiIzNDk0NzYxNTcifQ==</vt:lpwstr>
  </property>
</Properties>
</file>