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056C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default" w:ascii="宋体" w:hAnsi="宋体" w:eastAsia="宋体" w:cs="宋体"/>
          <w:b/>
          <w:bCs/>
          <w:color w:val="auto"/>
          <w:sz w:val="28"/>
          <w:szCs w:val="28"/>
          <w:highlight w:val="none"/>
          <w:lang w:val="en-US" w:eastAsia="zh-CN"/>
        </w:rPr>
      </w:pPr>
      <w:bookmarkStart w:id="0" w:name="_Toc457761137"/>
      <w:r>
        <w:rPr>
          <w:rFonts w:hint="eastAsia" w:ascii="宋体" w:hAnsi="宋体" w:eastAsia="宋体" w:cs="宋体"/>
          <w:b/>
          <w:bCs/>
          <w:color w:val="auto"/>
          <w:sz w:val="28"/>
          <w:szCs w:val="28"/>
          <w:highlight w:val="none"/>
          <w:lang w:val="zh-CN" w:eastAsia="zh-CN"/>
        </w:rPr>
        <w:t>河南省周口监狱2026-2027年度罪犯生活物资大米、食用油采购项目</w:t>
      </w:r>
      <w:r>
        <w:rPr>
          <w:rFonts w:hint="eastAsia" w:cs="宋体"/>
          <w:b/>
          <w:bCs/>
          <w:color w:val="auto"/>
          <w:sz w:val="28"/>
          <w:szCs w:val="28"/>
          <w:highlight w:val="none"/>
          <w:lang w:val="en-US" w:eastAsia="zh-CN"/>
        </w:rPr>
        <w:t>-</w:t>
      </w:r>
      <w:bookmarkEnd w:id="0"/>
      <w:bookmarkStart w:id="1" w:name="_Toc30031"/>
      <w:bookmarkStart w:id="2" w:name="_Toc18536"/>
      <w:r>
        <w:rPr>
          <w:rFonts w:hint="eastAsia" w:ascii="宋体" w:hAnsi="宋体" w:eastAsia="宋体" w:cs="宋体"/>
          <w:b/>
          <w:bCs/>
          <w:color w:val="auto"/>
          <w:sz w:val="28"/>
          <w:szCs w:val="28"/>
          <w:highlight w:val="none"/>
          <w:lang w:val="en-US" w:eastAsia="zh-CN"/>
        </w:rPr>
        <w:t>公开招标公告</w:t>
      </w:r>
    </w:p>
    <w:p w14:paraId="0521E7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项目概况</w:t>
      </w:r>
    </w:p>
    <w:p w14:paraId="3E8CBD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i w:val="0"/>
          <w:iCs w:val="0"/>
          <w:caps w:val="0"/>
          <w:color w:val="000000"/>
          <w:spacing w:val="0"/>
          <w:sz w:val="21"/>
          <w:szCs w:val="21"/>
          <w:highlight w:val="none"/>
          <w:shd w:val="clear" w:color="auto" w:fill="FFFFFF"/>
        </w:rPr>
      </w:pPr>
      <w:r>
        <w:rPr>
          <w:rFonts w:hint="eastAsia" w:ascii="宋体" w:hAnsi="宋体" w:eastAsia="宋体" w:cs="宋体"/>
          <w:b w:val="0"/>
          <w:bCs w:val="0"/>
          <w:i w:val="0"/>
          <w:iCs w:val="0"/>
          <w:caps w:val="0"/>
          <w:color w:val="000000"/>
          <w:spacing w:val="0"/>
          <w:sz w:val="21"/>
          <w:szCs w:val="21"/>
          <w:highlight w:val="none"/>
          <w:u w:val="single"/>
          <w:shd w:val="clear" w:color="auto" w:fill="FFFFFF"/>
          <w:lang w:eastAsia="zh-CN"/>
        </w:rPr>
        <w:t xml:space="preserve">河南省周口监狱2026-2027年度罪犯生活物资大米、食用油采购项目 </w:t>
      </w:r>
      <w:r>
        <w:rPr>
          <w:rFonts w:hint="eastAsia" w:ascii="宋体" w:hAnsi="宋体" w:eastAsia="宋体" w:cs="宋体"/>
          <w:b w:val="0"/>
          <w:bCs w:val="0"/>
          <w:i w:val="0"/>
          <w:iCs w:val="0"/>
          <w:caps w:val="0"/>
          <w:color w:val="000000"/>
          <w:spacing w:val="0"/>
          <w:sz w:val="21"/>
          <w:szCs w:val="21"/>
          <w:highlight w:val="none"/>
          <w:shd w:val="clear" w:color="auto" w:fill="FFFFFF"/>
        </w:rPr>
        <w:t>招标项目的潜在投标人应在</w:t>
      </w:r>
      <w:r>
        <w:rPr>
          <w:rFonts w:hint="eastAsia" w:ascii="宋体" w:hAnsi="宋体" w:eastAsia="宋体" w:cs="宋体"/>
          <w:b w:val="0"/>
          <w:bCs w:val="0"/>
          <w:i w:val="0"/>
          <w:iCs w:val="0"/>
          <w:caps w:val="0"/>
          <w:color w:val="000000"/>
          <w:spacing w:val="0"/>
          <w:sz w:val="21"/>
          <w:szCs w:val="21"/>
          <w:highlight w:val="none"/>
          <w:u w:val="single"/>
          <w:shd w:val="clear" w:color="auto" w:fill="FFFFFF"/>
        </w:rPr>
        <w:t>河南省公共资源交易中心</w:t>
      </w:r>
      <w:r>
        <w:rPr>
          <w:rFonts w:hint="eastAsia" w:ascii="宋体" w:hAnsi="宋体" w:eastAsia="宋体" w:cs="宋体"/>
          <w:b w:val="0"/>
          <w:bCs w:val="0"/>
          <w:i w:val="0"/>
          <w:iCs w:val="0"/>
          <w:caps w:val="0"/>
          <w:color w:val="000000"/>
          <w:spacing w:val="0"/>
          <w:sz w:val="21"/>
          <w:szCs w:val="21"/>
          <w:highlight w:val="none"/>
          <w:u w:val="single"/>
          <w:shd w:val="clear" w:color="auto" w:fill="FFFFFF"/>
          <w:lang w:val="en-US" w:eastAsia="zh-CN"/>
        </w:rPr>
        <w:t>平台系统（https://hnsggzyjy.henan.gov.cn/）获取</w:t>
      </w:r>
      <w:r>
        <w:rPr>
          <w:rFonts w:hint="eastAsia" w:ascii="宋体" w:hAnsi="宋体" w:eastAsia="宋体" w:cs="宋体"/>
          <w:b w:val="0"/>
          <w:bCs w:val="0"/>
          <w:i w:val="0"/>
          <w:iCs w:val="0"/>
          <w:caps w:val="0"/>
          <w:color w:val="000000"/>
          <w:spacing w:val="0"/>
          <w:sz w:val="21"/>
          <w:szCs w:val="21"/>
          <w:highlight w:val="none"/>
          <w:u w:val="single"/>
          <w:shd w:val="clear" w:color="auto" w:fill="FFFFFF"/>
        </w:rPr>
        <w:t>招标文件</w:t>
      </w:r>
      <w:r>
        <w:rPr>
          <w:rFonts w:hint="eastAsia" w:ascii="宋体" w:hAnsi="宋体" w:eastAsia="宋体" w:cs="宋体"/>
          <w:b w:val="0"/>
          <w:bCs w:val="0"/>
          <w:i w:val="0"/>
          <w:iCs w:val="0"/>
          <w:caps w:val="0"/>
          <w:color w:val="000000"/>
          <w:spacing w:val="0"/>
          <w:sz w:val="21"/>
          <w:szCs w:val="21"/>
          <w:highlight w:val="none"/>
          <w:shd w:val="clear" w:color="auto" w:fill="FFFFFF"/>
        </w:rPr>
        <w:t>，并于</w:t>
      </w:r>
      <w:r>
        <w:rPr>
          <w:rFonts w:hint="eastAsia" w:ascii="宋体" w:hAnsi="宋体" w:eastAsia="宋体" w:cs="宋体"/>
          <w:b w:val="0"/>
          <w:bCs w:val="0"/>
          <w:i w:val="0"/>
          <w:iCs w:val="0"/>
          <w:caps w:val="0"/>
          <w:color w:val="000000"/>
          <w:spacing w:val="0"/>
          <w:sz w:val="21"/>
          <w:szCs w:val="21"/>
          <w:highlight w:val="none"/>
          <w:u w:val="single"/>
          <w:shd w:val="clear" w:color="auto" w:fill="FFFFFF"/>
        </w:rPr>
        <w:t>202</w:t>
      </w:r>
      <w:r>
        <w:rPr>
          <w:rFonts w:hint="eastAsia" w:ascii="宋体" w:hAnsi="宋体" w:eastAsia="宋体" w:cs="宋体"/>
          <w:b w:val="0"/>
          <w:bCs w:val="0"/>
          <w:i w:val="0"/>
          <w:iCs w:val="0"/>
          <w:caps w:val="0"/>
          <w:color w:val="auto"/>
          <w:spacing w:val="0"/>
          <w:sz w:val="21"/>
          <w:szCs w:val="21"/>
          <w:highlight w:val="none"/>
          <w:u w:val="single"/>
          <w:shd w:val="clear" w:color="auto" w:fill="FFFFFF"/>
          <w:lang w:val="en-US" w:eastAsia="zh-CN"/>
        </w:rPr>
        <w:t>6</w:t>
      </w:r>
      <w:r>
        <w:rPr>
          <w:rFonts w:hint="eastAsia" w:ascii="宋体" w:hAnsi="宋体" w:eastAsia="宋体" w:cs="宋体"/>
          <w:b w:val="0"/>
          <w:bCs w:val="0"/>
          <w:i w:val="0"/>
          <w:iCs w:val="0"/>
          <w:caps w:val="0"/>
          <w:color w:val="auto"/>
          <w:spacing w:val="0"/>
          <w:sz w:val="21"/>
          <w:szCs w:val="21"/>
          <w:highlight w:val="none"/>
          <w:u w:val="single"/>
          <w:shd w:val="clear" w:color="auto" w:fill="FFFFFF"/>
        </w:rPr>
        <w:t>年</w:t>
      </w:r>
      <w:r>
        <w:rPr>
          <w:rFonts w:hint="eastAsia" w:ascii="宋体" w:hAnsi="宋体" w:eastAsia="宋体" w:cs="宋体"/>
          <w:b w:val="0"/>
          <w:bCs w:val="0"/>
          <w:i w:val="0"/>
          <w:iCs w:val="0"/>
          <w:caps w:val="0"/>
          <w:color w:val="auto"/>
          <w:spacing w:val="0"/>
          <w:sz w:val="21"/>
          <w:szCs w:val="21"/>
          <w:highlight w:val="none"/>
          <w:u w:val="single"/>
          <w:shd w:val="clear" w:color="auto" w:fill="FFFFFF"/>
          <w:lang w:val="en-US" w:eastAsia="zh-CN"/>
        </w:rPr>
        <w:t xml:space="preserve"> </w:t>
      </w:r>
      <w:r>
        <w:rPr>
          <w:rFonts w:hint="eastAsia" w:cs="宋体"/>
          <w:b w:val="0"/>
          <w:bCs w:val="0"/>
          <w:i w:val="0"/>
          <w:iCs w:val="0"/>
          <w:caps w:val="0"/>
          <w:color w:val="auto"/>
          <w:spacing w:val="0"/>
          <w:sz w:val="21"/>
          <w:szCs w:val="21"/>
          <w:highlight w:val="none"/>
          <w:u w:val="single"/>
          <w:shd w:val="clear" w:color="auto" w:fill="FFFFFF"/>
          <w:lang w:val="en-US" w:eastAsia="zh-CN"/>
        </w:rPr>
        <w:t>10</w:t>
      </w:r>
      <w:r>
        <w:rPr>
          <w:rFonts w:hint="eastAsia" w:ascii="宋体" w:hAnsi="宋体" w:eastAsia="宋体" w:cs="宋体"/>
          <w:b w:val="0"/>
          <w:bCs w:val="0"/>
          <w:i w:val="0"/>
          <w:iCs w:val="0"/>
          <w:caps w:val="0"/>
          <w:color w:val="auto"/>
          <w:spacing w:val="0"/>
          <w:sz w:val="21"/>
          <w:szCs w:val="21"/>
          <w:highlight w:val="none"/>
          <w:u w:val="single"/>
          <w:shd w:val="clear" w:color="auto" w:fill="FFFFFF"/>
          <w:lang w:val="en-US" w:eastAsia="zh-CN"/>
        </w:rPr>
        <w:t xml:space="preserve"> </w:t>
      </w:r>
      <w:r>
        <w:rPr>
          <w:rFonts w:hint="eastAsia" w:ascii="宋体" w:hAnsi="宋体" w:eastAsia="宋体" w:cs="宋体"/>
          <w:b w:val="0"/>
          <w:bCs w:val="0"/>
          <w:i w:val="0"/>
          <w:iCs w:val="0"/>
          <w:caps w:val="0"/>
          <w:color w:val="auto"/>
          <w:spacing w:val="0"/>
          <w:sz w:val="21"/>
          <w:szCs w:val="21"/>
          <w:highlight w:val="none"/>
          <w:u w:val="single"/>
          <w:shd w:val="clear" w:color="auto" w:fill="FFFFFF"/>
        </w:rPr>
        <w:t>月</w:t>
      </w:r>
      <w:r>
        <w:rPr>
          <w:rFonts w:hint="eastAsia" w:ascii="宋体" w:hAnsi="宋体" w:eastAsia="宋体" w:cs="宋体"/>
          <w:b w:val="0"/>
          <w:bCs w:val="0"/>
          <w:i w:val="0"/>
          <w:iCs w:val="0"/>
          <w:caps w:val="0"/>
          <w:color w:val="auto"/>
          <w:spacing w:val="0"/>
          <w:sz w:val="21"/>
          <w:szCs w:val="21"/>
          <w:highlight w:val="none"/>
          <w:u w:val="single"/>
          <w:shd w:val="clear" w:color="auto" w:fill="FFFFFF"/>
          <w:lang w:val="en-US" w:eastAsia="zh-CN"/>
        </w:rPr>
        <w:t xml:space="preserve"> </w:t>
      </w:r>
      <w:r>
        <w:rPr>
          <w:rFonts w:hint="eastAsia" w:cs="宋体"/>
          <w:b w:val="0"/>
          <w:bCs w:val="0"/>
          <w:i w:val="0"/>
          <w:iCs w:val="0"/>
          <w:caps w:val="0"/>
          <w:color w:val="auto"/>
          <w:spacing w:val="0"/>
          <w:sz w:val="21"/>
          <w:szCs w:val="21"/>
          <w:highlight w:val="none"/>
          <w:u w:val="single"/>
          <w:shd w:val="clear" w:color="auto" w:fill="FFFFFF"/>
          <w:lang w:val="en-US" w:eastAsia="zh-CN"/>
        </w:rPr>
        <w:t>22</w:t>
      </w:r>
      <w:r>
        <w:rPr>
          <w:rFonts w:hint="eastAsia" w:ascii="宋体" w:hAnsi="宋体" w:eastAsia="宋体" w:cs="宋体"/>
          <w:b w:val="0"/>
          <w:bCs w:val="0"/>
          <w:i w:val="0"/>
          <w:iCs w:val="0"/>
          <w:caps w:val="0"/>
          <w:color w:val="auto"/>
          <w:spacing w:val="0"/>
          <w:sz w:val="21"/>
          <w:szCs w:val="21"/>
          <w:highlight w:val="none"/>
          <w:u w:val="single"/>
          <w:shd w:val="clear" w:color="auto" w:fill="FFFFFF"/>
          <w:lang w:val="en-US" w:eastAsia="zh-CN"/>
        </w:rPr>
        <w:t xml:space="preserve"> </w:t>
      </w:r>
      <w:r>
        <w:rPr>
          <w:rFonts w:hint="eastAsia" w:ascii="宋体" w:hAnsi="宋体" w:eastAsia="宋体" w:cs="宋体"/>
          <w:b w:val="0"/>
          <w:bCs w:val="0"/>
          <w:i w:val="0"/>
          <w:iCs w:val="0"/>
          <w:caps w:val="0"/>
          <w:color w:val="auto"/>
          <w:spacing w:val="0"/>
          <w:sz w:val="21"/>
          <w:szCs w:val="21"/>
          <w:highlight w:val="none"/>
          <w:u w:val="single"/>
          <w:shd w:val="clear" w:color="auto" w:fill="FFFFFF"/>
        </w:rPr>
        <w:t>日0</w:t>
      </w:r>
      <w:r>
        <w:rPr>
          <w:rFonts w:hint="eastAsia" w:ascii="宋体" w:hAnsi="宋体" w:eastAsia="宋体" w:cs="宋体"/>
          <w:b w:val="0"/>
          <w:bCs w:val="0"/>
          <w:i w:val="0"/>
          <w:iCs w:val="0"/>
          <w:caps w:val="0"/>
          <w:color w:val="000000"/>
          <w:spacing w:val="0"/>
          <w:sz w:val="21"/>
          <w:szCs w:val="21"/>
          <w:highlight w:val="none"/>
          <w:u w:val="single"/>
          <w:shd w:val="clear" w:color="auto" w:fill="FFFFFF"/>
        </w:rPr>
        <w:t>9时00分</w:t>
      </w:r>
      <w:r>
        <w:rPr>
          <w:rFonts w:hint="eastAsia" w:ascii="宋体" w:hAnsi="宋体" w:eastAsia="宋体" w:cs="宋体"/>
          <w:b w:val="0"/>
          <w:bCs w:val="0"/>
          <w:i w:val="0"/>
          <w:iCs w:val="0"/>
          <w:caps w:val="0"/>
          <w:color w:val="000000"/>
          <w:spacing w:val="0"/>
          <w:sz w:val="21"/>
          <w:szCs w:val="21"/>
          <w:highlight w:val="none"/>
          <w:shd w:val="clear" w:color="auto" w:fill="FFFFFF"/>
        </w:rPr>
        <w:t>（北京时间）前递交投标文件。</w:t>
      </w:r>
      <w:bookmarkEnd w:id="1"/>
      <w:bookmarkEnd w:id="2"/>
    </w:p>
    <w:p w14:paraId="044CFD5D">
      <w:pPr>
        <w:pStyle w:val="2"/>
        <w:keepNext w:val="0"/>
        <w:keepLines w:val="0"/>
        <w:pageBreakBefore w:val="0"/>
        <w:kinsoku/>
        <w:wordWrap/>
        <w:overflowPunct/>
        <w:topLinePunct w:val="0"/>
        <w:autoSpaceDE/>
        <w:autoSpaceDN/>
        <w:bidi w:val="0"/>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3" w:name="_Toc13224"/>
      <w:r>
        <w:rPr>
          <w:rFonts w:hint="eastAsia" w:ascii="宋体" w:hAnsi="宋体" w:eastAsia="宋体" w:cs="宋体"/>
          <w:b/>
          <w:bCs/>
          <w:color w:val="auto"/>
          <w:sz w:val="21"/>
          <w:szCs w:val="21"/>
          <w:highlight w:val="none"/>
          <w:lang w:eastAsia="zh-CN"/>
        </w:rPr>
        <w:t>一、项目基本情况</w:t>
      </w:r>
      <w:bookmarkEnd w:id="3"/>
    </w:p>
    <w:p w14:paraId="299C88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1、项目编号：</w:t>
      </w:r>
      <w:r>
        <w:rPr>
          <w:rFonts w:hint="eastAsia" w:cs="宋体"/>
          <w:color w:val="auto"/>
          <w:sz w:val="21"/>
          <w:szCs w:val="21"/>
          <w:highlight w:val="none"/>
          <w:lang w:val="zh-CN" w:eastAsia="zh-CN"/>
        </w:rPr>
        <w:t>豫财招标采购-2026-1210</w:t>
      </w:r>
    </w:p>
    <w:p w14:paraId="2DD43C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2、项目名称：河南省周口监狱2026-2027年度罪犯生活物资大米、食用油采购项目</w:t>
      </w:r>
    </w:p>
    <w:p w14:paraId="0CD5E5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3、采购方式：公开招标</w:t>
      </w:r>
    </w:p>
    <w:p w14:paraId="50BE9C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4、预算金额：</w:t>
      </w: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116</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400</w:t>
      </w:r>
      <w:r>
        <w:rPr>
          <w:rFonts w:hint="eastAsia" w:cs="宋体"/>
          <w:color w:val="auto"/>
          <w:sz w:val="21"/>
          <w:szCs w:val="21"/>
          <w:highlight w:val="none"/>
          <w:lang w:val="en-US" w:eastAsia="zh-CN"/>
        </w:rPr>
        <w:t>.00</w:t>
      </w:r>
      <w:r>
        <w:rPr>
          <w:rFonts w:hint="eastAsia" w:ascii="宋体" w:hAnsi="宋体" w:eastAsia="宋体" w:cs="宋体"/>
          <w:color w:val="auto"/>
          <w:sz w:val="21"/>
          <w:szCs w:val="21"/>
          <w:highlight w:val="none"/>
          <w:lang w:val="zh-CN" w:eastAsia="zh-CN"/>
        </w:rPr>
        <w:t>元</w:t>
      </w:r>
    </w:p>
    <w:p w14:paraId="4D613912">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最高限价：</w:t>
      </w:r>
      <w:r>
        <w:rPr>
          <w:rFonts w:hint="eastAsia" w:ascii="宋体" w:hAnsi="宋体" w:eastAsia="宋体" w:cs="宋体"/>
          <w:color w:val="auto"/>
          <w:sz w:val="21"/>
          <w:szCs w:val="21"/>
          <w:highlight w:val="none"/>
          <w:lang w:val="en-US" w:eastAsia="zh-CN"/>
        </w:rPr>
        <w:t>1116400</w:t>
      </w:r>
      <w:r>
        <w:rPr>
          <w:rFonts w:hint="eastAsia" w:ascii="宋体" w:hAnsi="宋体" w:eastAsia="宋体" w:cs="宋体"/>
          <w:color w:val="auto"/>
          <w:sz w:val="21"/>
          <w:szCs w:val="21"/>
          <w:highlight w:val="none"/>
          <w:lang w:val="zh-CN" w:eastAsia="zh-CN"/>
        </w:rPr>
        <w:t>元</w:t>
      </w:r>
    </w:p>
    <w:tbl>
      <w:tblPr>
        <w:tblStyle w:val="5"/>
        <w:tblW w:w="8777" w:type="dxa"/>
        <w:tblInd w:w="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1"/>
        <w:gridCol w:w="1604"/>
        <w:gridCol w:w="1397"/>
        <w:gridCol w:w="1368"/>
        <w:gridCol w:w="1319"/>
        <w:gridCol w:w="1319"/>
        <w:gridCol w:w="1319"/>
      </w:tblGrid>
      <w:tr w14:paraId="31C6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rPr>
        <w:tc>
          <w:tcPr>
            <w:tcW w:w="451" w:type="dxa"/>
            <w:noWrap w:val="0"/>
            <w:tcMar>
              <w:top w:w="0" w:type="dxa"/>
              <w:left w:w="108" w:type="dxa"/>
              <w:bottom w:w="0" w:type="dxa"/>
              <w:right w:w="108" w:type="dxa"/>
            </w:tcMar>
            <w:vAlign w:val="center"/>
          </w:tcPr>
          <w:p w14:paraId="0F92FBBB">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序号</w:t>
            </w:r>
          </w:p>
        </w:tc>
        <w:tc>
          <w:tcPr>
            <w:tcW w:w="1604" w:type="dxa"/>
            <w:noWrap w:val="0"/>
            <w:tcMar>
              <w:top w:w="0" w:type="dxa"/>
              <w:left w:w="108" w:type="dxa"/>
              <w:bottom w:w="0" w:type="dxa"/>
              <w:right w:w="108" w:type="dxa"/>
            </w:tcMar>
            <w:vAlign w:val="center"/>
          </w:tcPr>
          <w:p w14:paraId="67B0633F">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包号</w:t>
            </w:r>
          </w:p>
        </w:tc>
        <w:tc>
          <w:tcPr>
            <w:tcW w:w="1397" w:type="dxa"/>
            <w:noWrap w:val="0"/>
            <w:tcMar>
              <w:top w:w="0" w:type="dxa"/>
              <w:left w:w="108" w:type="dxa"/>
              <w:bottom w:w="0" w:type="dxa"/>
              <w:right w:w="108" w:type="dxa"/>
            </w:tcMar>
            <w:vAlign w:val="center"/>
          </w:tcPr>
          <w:p w14:paraId="01F18791">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包名称</w:t>
            </w:r>
          </w:p>
        </w:tc>
        <w:tc>
          <w:tcPr>
            <w:tcW w:w="1368" w:type="dxa"/>
            <w:noWrap w:val="0"/>
            <w:tcMar>
              <w:top w:w="0" w:type="dxa"/>
              <w:left w:w="108" w:type="dxa"/>
              <w:bottom w:w="0" w:type="dxa"/>
              <w:right w:w="108" w:type="dxa"/>
            </w:tcMar>
            <w:vAlign w:val="center"/>
          </w:tcPr>
          <w:p w14:paraId="5658662B">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包预算（元）</w:t>
            </w:r>
          </w:p>
        </w:tc>
        <w:tc>
          <w:tcPr>
            <w:tcW w:w="1319" w:type="dxa"/>
            <w:noWrap w:val="0"/>
            <w:tcMar>
              <w:top w:w="0" w:type="dxa"/>
              <w:left w:w="108" w:type="dxa"/>
              <w:bottom w:w="0" w:type="dxa"/>
              <w:right w:w="108" w:type="dxa"/>
            </w:tcMar>
            <w:vAlign w:val="center"/>
          </w:tcPr>
          <w:p w14:paraId="26036F9E">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包最高限价（元）</w:t>
            </w:r>
          </w:p>
        </w:tc>
        <w:tc>
          <w:tcPr>
            <w:tcW w:w="1319" w:type="dxa"/>
            <w:noWrap w:val="0"/>
            <w:tcMar>
              <w:top w:w="0" w:type="dxa"/>
              <w:left w:w="108" w:type="dxa"/>
              <w:bottom w:w="0" w:type="dxa"/>
              <w:right w:w="108" w:type="dxa"/>
            </w:tcMar>
            <w:vAlign w:val="center"/>
          </w:tcPr>
          <w:p w14:paraId="4D205E45">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是否专门面向中小企业</w:t>
            </w:r>
          </w:p>
        </w:tc>
        <w:tc>
          <w:tcPr>
            <w:tcW w:w="1319" w:type="dxa"/>
            <w:noWrap w:val="0"/>
            <w:tcMar>
              <w:top w:w="0" w:type="dxa"/>
              <w:left w:w="108" w:type="dxa"/>
              <w:bottom w:w="0" w:type="dxa"/>
              <w:right w:w="108" w:type="dxa"/>
            </w:tcMar>
            <w:vAlign w:val="center"/>
          </w:tcPr>
          <w:p w14:paraId="4D67AC99">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采购预留金额（元）</w:t>
            </w:r>
          </w:p>
        </w:tc>
      </w:tr>
      <w:tr w14:paraId="335E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451" w:type="dxa"/>
            <w:noWrap w:val="0"/>
            <w:tcMar>
              <w:top w:w="0" w:type="dxa"/>
              <w:left w:w="108" w:type="dxa"/>
              <w:bottom w:w="0" w:type="dxa"/>
              <w:right w:w="108" w:type="dxa"/>
            </w:tcMar>
            <w:vAlign w:val="center"/>
          </w:tcPr>
          <w:p w14:paraId="5C29CF03">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p>
        </w:tc>
        <w:tc>
          <w:tcPr>
            <w:tcW w:w="1604" w:type="dxa"/>
            <w:noWrap w:val="0"/>
            <w:tcMar>
              <w:top w:w="0" w:type="dxa"/>
              <w:left w:w="108" w:type="dxa"/>
              <w:bottom w:w="0" w:type="dxa"/>
              <w:right w:w="108" w:type="dxa"/>
            </w:tcMar>
            <w:vAlign w:val="center"/>
          </w:tcPr>
          <w:p w14:paraId="3FE6859B">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豫政采(2)20261647-1</w:t>
            </w:r>
          </w:p>
        </w:tc>
        <w:tc>
          <w:tcPr>
            <w:tcW w:w="1397" w:type="dxa"/>
            <w:noWrap w:val="0"/>
            <w:tcMar>
              <w:top w:w="0" w:type="dxa"/>
              <w:left w:w="108" w:type="dxa"/>
              <w:bottom w:w="0" w:type="dxa"/>
              <w:right w:w="108" w:type="dxa"/>
            </w:tcMar>
            <w:vAlign w:val="center"/>
          </w:tcPr>
          <w:p w14:paraId="695A2A88">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包1：大米</w:t>
            </w:r>
          </w:p>
        </w:tc>
        <w:tc>
          <w:tcPr>
            <w:tcW w:w="1368" w:type="dxa"/>
            <w:noWrap w:val="0"/>
            <w:tcMar>
              <w:top w:w="0" w:type="dxa"/>
              <w:left w:w="108" w:type="dxa"/>
              <w:bottom w:w="0" w:type="dxa"/>
              <w:right w:w="108" w:type="dxa"/>
            </w:tcMar>
            <w:vAlign w:val="center"/>
          </w:tcPr>
          <w:p w14:paraId="310C6328">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566400</w:t>
            </w:r>
          </w:p>
        </w:tc>
        <w:tc>
          <w:tcPr>
            <w:tcW w:w="1319" w:type="dxa"/>
            <w:noWrap w:val="0"/>
            <w:tcMar>
              <w:top w:w="0" w:type="dxa"/>
              <w:left w:w="108" w:type="dxa"/>
              <w:bottom w:w="0" w:type="dxa"/>
              <w:right w:w="108" w:type="dxa"/>
            </w:tcMar>
            <w:vAlign w:val="center"/>
          </w:tcPr>
          <w:p w14:paraId="26DDF1BB">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566400</w:t>
            </w:r>
          </w:p>
        </w:tc>
        <w:tc>
          <w:tcPr>
            <w:tcW w:w="1319" w:type="dxa"/>
            <w:noWrap w:val="0"/>
            <w:tcMar>
              <w:top w:w="0" w:type="dxa"/>
              <w:left w:w="108" w:type="dxa"/>
              <w:bottom w:w="0" w:type="dxa"/>
              <w:right w:w="108" w:type="dxa"/>
            </w:tcMar>
            <w:vAlign w:val="center"/>
          </w:tcPr>
          <w:p w14:paraId="34F6011A">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是</w:t>
            </w:r>
          </w:p>
        </w:tc>
        <w:tc>
          <w:tcPr>
            <w:tcW w:w="1319" w:type="dxa"/>
            <w:noWrap w:val="0"/>
            <w:tcMar>
              <w:top w:w="0" w:type="dxa"/>
              <w:left w:w="108" w:type="dxa"/>
              <w:bottom w:w="0" w:type="dxa"/>
              <w:right w:w="108" w:type="dxa"/>
            </w:tcMar>
            <w:vAlign w:val="center"/>
          </w:tcPr>
          <w:p w14:paraId="02A46971">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566400</w:t>
            </w:r>
          </w:p>
        </w:tc>
      </w:tr>
      <w:tr w14:paraId="016F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451" w:type="dxa"/>
            <w:noWrap w:val="0"/>
            <w:tcMar>
              <w:top w:w="0" w:type="dxa"/>
              <w:left w:w="108" w:type="dxa"/>
              <w:bottom w:w="0" w:type="dxa"/>
              <w:right w:w="108" w:type="dxa"/>
            </w:tcMar>
            <w:vAlign w:val="center"/>
          </w:tcPr>
          <w:p w14:paraId="5BA11F14">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p>
        </w:tc>
        <w:tc>
          <w:tcPr>
            <w:tcW w:w="1604" w:type="dxa"/>
            <w:noWrap w:val="0"/>
            <w:tcMar>
              <w:top w:w="0" w:type="dxa"/>
              <w:left w:w="108" w:type="dxa"/>
              <w:bottom w:w="0" w:type="dxa"/>
              <w:right w:w="108" w:type="dxa"/>
            </w:tcMar>
            <w:vAlign w:val="center"/>
          </w:tcPr>
          <w:p w14:paraId="60B7F0C7">
            <w:pPr>
              <w:keepNext w:val="0"/>
              <w:keepLines w:val="0"/>
              <w:pageBreakBefore w:val="0"/>
              <w:widowControl/>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val="en-US" w:eastAsia="zh-CN"/>
              </w:rPr>
              <w:t>豫政采(2)20261647-2</w:t>
            </w:r>
          </w:p>
        </w:tc>
        <w:tc>
          <w:tcPr>
            <w:tcW w:w="1397" w:type="dxa"/>
            <w:noWrap w:val="0"/>
            <w:tcMar>
              <w:top w:w="0" w:type="dxa"/>
              <w:left w:w="108" w:type="dxa"/>
              <w:bottom w:w="0" w:type="dxa"/>
              <w:right w:w="108" w:type="dxa"/>
            </w:tcMar>
            <w:vAlign w:val="center"/>
          </w:tcPr>
          <w:p w14:paraId="02CA059E">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包2：食用油</w:t>
            </w:r>
          </w:p>
        </w:tc>
        <w:tc>
          <w:tcPr>
            <w:tcW w:w="1368" w:type="dxa"/>
            <w:noWrap w:val="0"/>
            <w:tcMar>
              <w:top w:w="0" w:type="dxa"/>
              <w:left w:w="108" w:type="dxa"/>
              <w:bottom w:w="0" w:type="dxa"/>
              <w:right w:w="108" w:type="dxa"/>
            </w:tcMar>
            <w:vAlign w:val="center"/>
          </w:tcPr>
          <w:p w14:paraId="3EFDAD3E">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550000</w:t>
            </w:r>
          </w:p>
        </w:tc>
        <w:tc>
          <w:tcPr>
            <w:tcW w:w="1319" w:type="dxa"/>
            <w:noWrap w:val="0"/>
            <w:tcMar>
              <w:top w:w="0" w:type="dxa"/>
              <w:left w:w="108" w:type="dxa"/>
              <w:bottom w:w="0" w:type="dxa"/>
              <w:right w:w="108" w:type="dxa"/>
            </w:tcMar>
            <w:vAlign w:val="center"/>
          </w:tcPr>
          <w:p w14:paraId="102D1F40">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550000</w:t>
            </w:r>
          </w:p>
        </w:tc>
        <w:tc>
          <w:tcPr>
            <w:tcW w:w="1319" w:type="dxa"/>
            <w:noWrap w:val="0"/>
            <w:tcMar>
              <w:top w:w="0" w:type="dxa"/>
              <w:left w:w="108" w:type="dxa"/>
              <w:bottom w:w="0" w:type="dxa"/>
              <w:right w:w="108" w:type="dxa"/>
            </w:tcMar>
            <w:vAlign w:val="center"/>
          </w:tcPr>
          <w:p w14:paraId="0D5C6936">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是</w:t>
            </w:r>
          </w:p>
        </w:tc>
        <w:tc>
          <w:tcPr>
            <w:tcW w:w="1319" w:type="dxa"/>
            <w:noWrap w:val="0"/>
            <w:tcMar>
              <w:top w:w="0" w:type="dxa"/>
              <w:left w:w="108" w:type="dxa"/>
              <w:bottom w:w="0" w:type="dxa"/>
              <w:right w:w="108" w:type="dxa"/>
            </w:tcMar>
            <w:vAlign w:val="center"/>
          </w:tcPr>
          <w:p w14:paraId="26CFEA68">
            <w:pPr>
              <w:keepNext/>
              <w:keepLines w:val="0"/>
              <w:pageBreakBefore w:val="0"/>
              <w:widowControl/>
              <w:kinsoku/>
              <w:wordWrap/>
              <w:overflowPunct/>
              <w:topLinePunct w:val="0"/>
              <w:autoSpaceDE/>
              <w:autoSpaceDN/>
              <w:bidi w:val="0"/>
              <w:adjustRightInd w:val="0"/>
              <w:snapToGrid w:val="0"/>
              <w:spacing w:line="460" w:lineRule="exact"/>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550000</w:t>
            </w:r>
          </w:p>
        </w:tc>
      </w:tr>
    </w:tbl>
    <w:p w14:paraId="7BE229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5、采购需求（包括但不限于标的的名称、数量、简要技术需求或服务要求等）</w:t>
      </w:r>
    </w:p>
    <w:p w14:paraId="06A6C5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sz w:val="21"/>
          <w:szCs w:val="21"/>
          <w:highlight w:val="none"/>
          <w:lang w:eastAsia="zh-CN"/>
        </w:rPr>
        <w:t>5.1采购内容：</w:t>
      </w:r>
      <w:r>
        <w:rPr>
          <w:rFonts w:hint="eastAsia" w:ascii="宋体" w:hAnsi="宋体" w:eastAsia="宋体" w:cs="宋体"/>
          <w:color w:val="auto"/>
          <w:sz w:val="21"/>
          <w:szCs w:val="21"/>
          <w:highlight w:val="none"/>
          <w:lang w:val="zh-CN" w:eastAsia="zh-CN"/>
        </w:rPr>
        <w:t>河南省周口监狱2026-2027年度罪犯生活物资大米、食用油采购，</w:t>
      </w:r>
      <w:r>
        <w:rPr>
          <w:rFonts w:hint="eastAsia" w:ascii="宋体" w:hAnsi="宋体" w:eastAsia="宋体" w:cs="宋体"/>
          <w:color w:val="auto"/>
          <w:sz w:val="21"/>
          <w:szCs w:val="21"/>
          <w:highlight w:val="none"/>
          <w:lang w:val="en-US" w:eastAsia="zh-CN"/>
        </w:rPr>
        <w:t>包1大米年采购量24万斤，包2食用油年采购量10万斤，</w:t>
      </w:r>
      <w:r>
        <w:rPr>
          <w:rFonts w:hint="eastAsia" w:ascii="宋体" w:hAnsi="宋体" w:eastAsia="宋体" w:cs="宋体"/>
          <w:color w:val="auto"/>
          <w:kern w:val="2"/>
          <w:sz w:val="21"/>
          <w:szCs w:val="21"/>
          <w:highlight w:val="none"/>
          <w:lang w:val="zh-CN" w:eastAsia="zh-CN" w:bidi="ar-SA"/>
        </w:rPr>
        <w:t>以上物资均分多批次供货，具体采购物资的品种和数量以采购人当批次通知为准</w:t>
      </w:r>
      <w:r>
        <w:rPr>
          <w:rFonts w:hint="eastAsia" w:cs="宋体"/>
          <w:color w:val="auto"/>
          <w:kern w:val="2"/>
          <w:sz w:val="21"/>
          <w:szCs w:val="21"/>
          <w:highlight w:val="none"/>
          <w:lang w:val="zh-CN" w:eastAsia="zh-CN" w:bidi="ar-SA"/>
        </w:rPr>
        <w:t>，具体要求详见采购需求。</w:t>
      </w:r>
    </w:p>
    <w:p w14:paraId="424764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5.2资金来源：财政资金</w:t>
      </w:r>
    </w:p>
    <w:p w14:paraId="71A38E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en-US" w:eastAsia="zh-CN"/>
        </w:rPr>
        <w:t>3</w:t>
      </w:r>
      <w:r>
        <w:rPr>
          <w:rFonts w:hint="eastAsia" w:cs="宋体"/>
          <w:color w:val="auto"/>
          <w:sz w:val="21"/>
          <w:szCs w:val="21"/>
          <w:highlight w:val="none"/>
          <w:lang w:val="en-US" w:eastAsia="zh-CN"/>
        </w:rPr>
        <w:t>服务周期</w:t>
      </w:r>
      <w:r>
        <w:rPr>
          <w:rFonts w:hint="eastAsia" w:ascii="宋体" w:hAnsi="宋体" w:eastAsia="宋体" w:cs="宋体"/>
          <w:color w:val="auto"/>
          <w:sz w:val="21"/>
          <w:szCs w:val="21"/>
          <w:highlight w:val="none"/>
          <w:lang w:eastAsia="zh-CN"/>
        </w:rPr>
        <w:t>：</w:t>
      </w:r>
      <w:r>
        <w:rPr>
          <w:rFonts w:hint="eastAsia" w:cs="宋体"/>
          <w:color w:val="auto"/>
          <w:sz w:val="21"/>
          <w:szCs w:val="21"/>
          <w:highlight w:val="none"/>
          <w:lang w:eastAsia="zh-CN"/>
        </w:rPr>
        <w:t>合同签订后12个月（自合同生效之日起）</w:t>
      </w:r>
    </w:p>
    <w:p w14:paraId="5E9A68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5.4交货期：按周分批交货，采购人提前2天通知</w:t>
      </w:r>
      <w:r>
        <w:rPr>
          <w:rFonts w:hint="eastAsia" w:cs="宋体"/>
          <w:color w:val="auto"/>
          <w:sz w:val="21"/>
          <w:szCs w:val="21"/>
          <w:highlight w:val="none"/>
          <w:lang w:val="en-US" w:eastAsia="zh-CN"/>
        </w:rPr>
        <w:t>供货方</w:t>
      </w:r>
      <w:r>
        <w:rPr>
          <w:rFonts w:hint="eastAsia" w:ascii="宋体" w:hAnsi="宋体" w:eastAsia="宋体" w:cs="宋体"/>
          <w:color w:val="auto"/>
          <w:sz w:val="21"/>
          <w:szCs w:val="21"/>
          <w:highlight w:val="none"/>
          <w:lang w:val="en-US" w:eastAsia="zh-CN"/>
        </w:rPr>
        <w:t>需要供应的产品数量及供货时间，</w:t>
      </w:r>
      <w:r>
        <w:rPr>
          <w:rFonts w:hint="eastAsia" w:cs="宋体"/>
          <w:color w:val="auto"/>
          <w:sz w:val="21"/>
          <w:szCs w:val="21"/>
          <w:highlight w:val="none"/>
          <w:lang w:val="en-US" w:eastAsia="zh-CN"/>
        </w:rPr>
        <w:t>供货方</w:t>
      </w:r>
      <w:r>
        <w:rPr>
          <w:rFonts w:hint="eastAsia" w:ascii="宋体" w:hAnsi="宋体" w:eastAsia="宋体" w:cs="宋体"/>
          <w:color w:val="auto"/>
          <w:sz w:val="21"/>
          <w:szCs w:val="21"/>
          <w:highlight w:val="none"/>
          <w:lang w:val="en-US" w:eastAsia="zh-CN"/>
        </w:rPr>
        <w:t>必须根据</w:t>
      </w:r>
      <w:r>
        <w:rPr>
          <w:rFonts w:hint="eastAsia" w:cs="宋体"/>
          <w:color w:val="auto"/>
          <w:sz w:val="21"/>
          <w:szCs w:val="21"/>
          <w:highlight w:val="none"/>
          <w:lang w:val="en-US" w:eastAsia="zh-CN"/>
        </w:rPr>
        <w:t>采购人</w:t>
      </w:r>
      <w:r>
        <w:rPr>
          <w:rFonts w:hint="eastAsia" w:ascii="宋体" w:hAnsi="宋体" w:eastAsia="宋体" w:cs="宋体"/>
          <w:color w:val="auto"/>
          <w:sz w:val="21"/>
          <w:szCs w:val="21"/>
          <w:highlight w:val="none"/>
          <w:lang w:val="en-US" w:eastAsia="zh-CN"/>
        </w:rPr>
        <w:t>的要求保证按质、按量、按时用运输车辆送货上门（特殊情况下及时送达）。</w:t>
      </w:r>
    </w:p>
    <w:p w14:paraId="2DCA69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en-US" w:eastAsia="zh-CN"/>
        </w:rPr>
        <w:t>5</w:t>
      </w:r>
      <w:r>
        <w:rPr>
          <w:rFonts w:hint="eastAsia" w:cs="宋体"/>
          <w:color w:val="auto"/>
          <w:sz w:val="21"/>
          <w:szCs w:val="21"/>
          <w:highlight w:val="none"/>
          <w:lang w:eastAsia="zh-CN"/>
        </w:rPr>
        <w:t>服务地点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河南省周口监狱生活监区</w:t>
      </w:r>
      <w:r>
        <w:rPr>
          <w:rFonts w:hint="eastAsia" w:ascii="宋体" w:hAnsi="宋体" w:eastAsia="宋体" w:cs="宋体"/>
          <w:color w:val="auto"/>
          <w:sz w:val="21"/>
          <w:szCs w:val="21"/>
          <w:highlight w:val="none"/>
          <w:lang w:eastAsia="zh-CN"/>
        </w:rPr>
        <w:t>。</w:t>
      </w:r>
    </w:p>
    <w:p w14:paraId="2BE56F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napToGrid w:val="0"/>
          <w:color w:val="000000"/>
          <w:spacing w:val="8"/>
          <w:kern w:val="0"/>
          <w:sz w:val="21"/>
          <w:szCs w:val="21"/>
          <w:highlight w:val="none"/>
          <w:lang w:eastAsia="zh-CN"/>
        </w:rPr>
      </w:pPr>
      <w:r>
        <w:rPr>
          <w:rFonts w:hint="eastAsia" w:ascii="宋体" w:hAnsi="宋体" w:eastAsia="宋体" w:cs="宋体"/>
          <w:color w:val="auto"/>
          <w:sz w:val="21"/>
          <w:szCs w:val="21"/>
          <w:highlight w:val="none"/>
          <w:lang w:val="en-US" w:eastAsia="zh-CN"/>
        </w:rPr>
        <w:t>5.6</w:t>
      </w:r>
      <w:r>
        <w:rPr>
          <w:rFonts w:hint="eastAsia" w:ascii="宋体" w:hAnsi="宋体" w:eastAsia="宋体" w:cs="宋体"/>
          <w:color w:val="auto"/>
          <w:sz w:val="21"/>
          <w:szCs w:val="21"/>
          <w:highlight w:val="none"/>
          <w:lang w:eastAsia="zh-CN"/>
        </w:rPr>
        <w:t>质量</w:t>
      </w:r>
      <w:r>
        <w:rPr>
          <w:rFonts w:hint="eastAsia" w:ascii="宋体" w:hAnsi="宋体" w:eastAsia="宋体" w:cs="宋体"/>
          <w:color w:val="auto"/>
          <w:sz w:val="21"/>
          <w:szCs w:val="21"/>
          <w:highlight w:val="none"/>
          <w:lang w:val="en-US" w:eastAsia="zh-CN"/>
        </w:rPr>
        <w:t>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产品质量合格，符合国家及行业相关食品卫生安全要求，且符合采购人要求</w:t>
      </w:r>
      <w:r>
        <w:rPr>
          <w:rFonts w:hint="eastAsia" w:ascii="宋体" w:hAnsi="宋体" w:eastAsia="宋体" w:cs="宋体"/>
          <w:snapToGrid w:val="0"/>
          <w:color w:val="000000"/>
          <w:spacing w:val="8"/>
          <w:kern w:val="0"/>
          <w:sz w:val="21"/>
          <w:szCs w:val="21"/>
          <w:highlight w:val="none"/>
          <w:lang w:eastAsia="zh-CN"/>
        </w:rPr>
        <w:t>。</w:t>
      </w:r>
    </w:p>
    <w:p w14:paraId="2FEF5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napToGrid w:val="0"/>
          <w:color w:val="000000"/>
          <w:spacing w:val="8"/>
          <w:kern w:val="0"/>
          <w:sz w:val="21"/>
          <w:szCs w:val="21"/>
          <w:highlight w:val="none"/>
          <w:lang w:eastAsia="zh-CN"/>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供货保质期限：有保质期限的商品剩余保存期不得少于原有保质期的三分之二。</w:t>
      </w:r>
    </w:p>
    <w:p w14:paraId="4044CB3E">
      <w:pPr>
        <w:keepNext w:val="0"/>
        <w:keepLines w:val="0"/>
        <w:pageBreakBefore w:val="0"/>
        <w:widowControl w:val="0"/>
        <w:kinsoku/>
        <w:wordWrap/>
        <w:overflowPunct/>
        <w:topLinePunct w:val="0"/>
        <w:autoSpaceDE/>
        <w:autoSpaceDN/>
        <w:bidi w:val="0"/>
        <w:adjustRightInd/>
        <w:snapToGrid/>
        <w:spacing w:line="360" w:lineRule="auto"/>
        <w:ind w:firstLine="452" w:firstLineChars="200"/>
        <w:textAlignment w:val="auto"/>
        <w:rPr>
          <w:rFonts w:hint="eastAsia" w:ascii="宋体" w:hAnsi="宋体" w:eastAsia="宋体" w:cs="宋体"/>
          <w:snapToGrid w:val="0"/>
          <w:color w:val="000000"/>
          <w:spacing w:val="8"/>
          <w:kern w:val="0"/>
          <w:sz w:val="21"/>
          <w:szCs w:val="21"/>
          <w:highlight w:val="none"/>
          <w:lang w:val="en-US" w:eastAsia="zh-CN"/>
        </w:rPr>
      </w:pPr>
      <w:r>
        <w:rPr>
          <w:rFonts w:hint="eastAsia" w:ascii="宋体" w:hAnsi="宋体" w:eastAsia="宋体" w:cs="宋体"/>
          <w:snapToGrid w:val="0"/>
          <w:color w:val="000000"/>
          <w:spacing w:val="8"/>
          <w:kern w:val="0"/>
          <w:sz w:val="21"/>
          <w:szCs w:val="21"/>
          <w:highlight w:val="none"/>
          <w:lang w:val="en-US" w:eastAsia="zh-CN"/>
        </w:rPr>
        <w:t>5.8标包划分：本项目共划分为两个标包（段）；</w:t>
      </w:r>
    </w:p>
    <w:p w14:paraId="07EE29FB">
      <w:pPr>
        <w:keepNext w:val="0"/>
        <w:keepLines w:val="0"/>
        <w:pageBreakBefore w:val="0"/>
        <w:widowControl w:val="0"/>
        <w:kinsoku/>
        <w:wordWrap/>
        <w:overflowPunct/>
        <w:topLinePunct w:val="0"/>
        <w:autoSpaceDE/>
        <w:autoSpaceDN/>
        <w:bidi w:val="0"/>
        <w:adjustRightInd/>
        <w:snapToGrid/>
        <w:spacing w:line="360" w:lineRule="auto"/>
        <w:ind w:firstLine="678" w:firstLineChars="300"/>
        <w:textAlignment w:val="auto"/>
        <w:rPr>
          <w:rFonts w:hint="eastAsia" w:ascii="宋体" w:hAnsi="宋体" w:eastAsia="宋体" w:cs="宋体"/>
          <w:snapToGrid w:val="0"/>
          <w:color w:val="auto"/>
          <w:spacing w:val="8"/>
          <w:kern w:val="0"/>
          <w:sz w:val="21"/>
          <w:szCs w:val="21"/>
          <w:highlight w:val="none"/>
          <w:lang w:val="en-US" w:eastAsia="zh-CN"/>
        </w:rPr>
      </w:pPr>
      <w:r>
        <w:rPr>
          <w:rFonts w:hint="eastAsia" w:ascii="宋体" w:hAnsi="宋体" w:eastAsia="宋体" w:cs="宋体"/>
          <w:snapToGrid w:val="0"/>
          <w:color w:val="auto"/>
          <w:spacing w:val="8"/>
          <w:kern w:val="0"/>
          <w:sz w:val="21"/>
          <w:szCs w:val="21"/>
          <w:highlight w:val="none"/>
          <w:lang w:val="en-US" w:eastAsia="zh-CN"/>
        </w:rPr>
        <w:t>包1：</w:t>
      </w:r>
      <w:r>
        <w:rPr>
          <w:rFonts w:hint="eastAsia" w:ascii="宋体" w:hAnsi="宋体" w:eastAsia="宋体" w:cs="宋体"/>
          <w:color w:val="auto"/>
          <w:sz w:val="21"/>
          <w:szCs w:val="21"/>
          <w:highlight w:val="none"/>
          <w:lang w:val="en-US" w:eastAsia="zh-CN"/>
        </w:rPr>
        <w:t>大米</w:t>
      </w:r>
    </w:p>
    <w:p w14:paraId="628D0F90">
      <w:pPr>
        <w:keepNext w:val="0"/>
        <w:keepLines w:val="0"/>
        <w:pageBreakBefore w:val="0"/>
        <w:widowControl w:val="0"/>
        <w:kinsoku/>
        <w:wordWrap/>
        <w:overflowPunct/>
        <w:topLinePunct w:val="0"/>
        <w:autoSpaceDE/>
        <w:autoSpaceDN/>
        <w:bidi w:val="0"/>
        <w:adjustRightInd/>
        <w:snapToGrid/>
        <w:spacing w:line="360" w:lineRule="auto"/>
        <w:ind w:firstLine="678" w:firstLineChars="3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snapToGrid w:val="0"/>
          <w:color w:val="auto"/>
          <w:spacing w:val="8"/>
          <w:kern w:val="0"/>
          <w:sz w:val="21"/>
          <w:szCs w:val="21"/>
          <w:highlight w:val="none"/>
          <w:lang w:val="en-US" w:eastAsia="zh-CN"/>
        </w:rPr>
        <w:t>包2：</w:t>
      </w:r>
      <w:r>
        <w:rPr>
          <w:rFonts w:hint="eastAsia" w:ascii="宋体" w:hAnsi="宋体" w:eastAsia="宋体" w:cs="宋体"/>
          <w:color w:val="auto"/>
          <w:sz w:val="21"/>
          <w:szCs w:val="21"/>
          <w:highlight w:val="none"/>
          <w:lang w:val="en-US" w:eastAsia="zh-CN"/>
        </w:rPr>
        <w:t>食用油</w:t>
      </w:r>
    </w:p>
    <w:p w14:paraId="365BDD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6、合同履行期限：</w:t>
      </w:r>
      <w:r>
        <w:rPr>
          <w:rFonts w:hint="eastAsia" w:ascii="宋体" w:hAnsi="宋体" w:eastAsia="宋体" w:cs="宋体"/>
          <w:color w:val="auto"/>
          <w:sz w:val="21"/>
          <w:szCs w:val="21"/>
          <w:highlight w:val="none"/>
          <w:lang w:val="en-US" w:eastAsia="zh-CN"/>
        </w:rPr>
        <w:t>同</w:t>
      </w:r>
      <w:r>
        <w:rPr>
          <w:rFonts w:hint="eastAsia" w:cs="宋体"/>
          <w:color w:val="auto"/>
          <w:sz w:val="21"/>
          <w:szCs w:val="21"/>
          <w:highlight w:val="none"/>
          <w:lang w:val="en-US" w:eastAsia="zh-CN"/>
        </w:rPr>
        <w:t>服务周期</w:t>
      </w:r>
      <w:r>
        <w:rPr>
          <w:rFonts w:hint="eastAsia" w:ascii="宋体" w:hAnsi="宋体" w:eastAsia="宋体" w:cs="宋体"/>
          <w:color w:val="auto"/>
          <w:sz w:val="21"/>
          <w:szCs w:val="21"/>
          <w:highlight w:val="none"/>
          <w:lang w:eastAsia="zh-CN"/>
        </w:rPr>
        <w:t>。</w:t>
      </w:r>
    </w:p>
    <w:p w14:paraId="57EFB6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7、本项目是否接受联合体投标：否。</w:t>
      </w:r>
    </w:p>
    <w:p w14:paraId="63DBF5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8、是否接受进口产品：否。</w:t>
      </w:r>
    </w:p>
    <w:p w14:paraId="7932EC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9、是否</w:t>
      </w:r>
      <w:r>
        <w:rPr>
          <w:rFonts w:hint="eastAsia" w:ascii="宋体" w:hAnsi="宋体" w:eastAsia="宋体" w:cs="宋体"/>
          <w:color w:val="auto"/>
          <w:sz w:val="21"/>
          <w:szCs w:val="21"/>
          <w:highlight w:val="none"/>
          <w:lang w:val="en-US" w:eastAsia="zh-CN"/>
        </w:rPr>
        <w:t>专门</w:t>
      </w:r>
      <w:r>
        <w:rPr>
          <w:rFonts w:hint="eastAsia" w:ascii="宋体" w:hAnsi="宋体" w:eastAsia="宋体" w:cs="宋体"/>
          <w:color w:val="auto"/>
          <w:sz w:val="21"/>
          <w:szCs w:val="21"/>
          <w:highlight w:val="none"/>
          <w:lang w:eastAsia="zh-CN"/>
        </w:rPr>
        <w:t>面向中小企业：</w:t>
      </w:r>
      <w:r>
        <w:rPr>
          <w:rFonts w:hint="eastAsia" w:cs="宋体"/>
          <w:color w:val="auto"/>
          <w:sz w:val="21"/>
          <w:szCs w:val="21"/>
          <w:highlight w:val="none"/>
          <w:lang w:val="en-US" w:eastAsia="zh-CN"/>
        </w:rPr>
        <w:t>是</w:t>
      </w:r>
      <w:r>
        <w:rPr>
          <w:rFonts w:hint="eastAsia" w:ascii="宋体" w:hAnsi="宋体" w:eastAsia="宋体" w:cs="宋体"/>
          <w:color w:val="auto"/>
          <w:sz w:val="21"/>
          <w:szCs w:val="21"/>
          <w:highlight w:val="none"/>
          <w:lang w:eastAsia="zh-CN"/>
        </w:rPr>
        <w:t>。</w:t>
      </w:r>
    </w:p>
    <w:p w14:paraId="04AFE279">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4" w:name="_Toc18039"/>
      <w:r>
        <w:rPr>
          <w:rFonts w:hint="eastAsia" w:ascii="宋体" w:hAnsi="宋体" w:eastAsia="宋体" w:cs="宋体"/>
          <w:b/>
          <w:bCs/>
          <w:color w:val="auto"/>
          <w:sz w:val="21"/>
          <w:szCs w:val="21"/>
          <w:highlight w:val="none"/>
          <w:lang w:eastAsia="zh-CN"/>
        </w:rPr>
        <w:t>二、</w:t>
      </w:r>
      <w:r>
        <w:rPr>
          <w:rFonts w:hint="eastAsia" w:ascii="宋体" w:hAnsi="宋体" w:eastAsia="宋体" w:cs="宋体"/>
          <w:b/>
          <w:bCs/>
          <w:color w:val="auto"/>
          <w:sz w:val="21"/>
          <w:szCs w:val="21"/>
          <w:highlight w:val="none"/>
          <w:lang w:val="en-US" w:eastAsia="zh-CN"/>
        </w:rPr>
        <w:t>申请人</w:t>
      </w:r>
      <w:r>
        <w:rPr>
          <w:rFonts w:hint="eastAsia" w:ascii="宋体" w:hAnsi="宋体" w:eastAsia="宋体" w:cs="宋体"/>
          <w:b/>
          <w:bCs/>
          <w:color w:val="auto"/>
          <w:sz w:val="21"/>
          <w:szCs w:val="21"/>
          <w:highlight w:val="none"/>
          <w:lang w:eastAsia="zh-CN"/>
        </w:rPr>
        <w:t>资格要求</w:t>
      </w:r>
      <w:bookmarkEnd w:id="4"/>
    </w:p>
    <w:p w14:paraId="44367B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1、满足《中华人民共和国政府采购法》第二十二条规定；</w:t>
      </w:r>
    </w:p>
    <w:p w14:paraId="5AC962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2、落实政府采购政策满足的资格要求：本项目执行促进中小型企业发展政策（监狱企业、残疾人福利性企业视同小微企业）、强制采购节能产品、优先采购节能环保产品等政府采购政策</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 xml:space="preserve"> </w:t>
      </w:r>
    </w:p>
    <w:p w14:paraId="501605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3、本项目的特定资格要求 </w:t>
      </w:r>
    </w:p>
    <w:p w14:paraId="7E1C9728">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3.1 具有独立承担民事责任的能力，提供有效的营业执照或者其他</w:t>
      </w:r>
      <w:r>
        <w:rPr>
          <w:rFonts w:hint="eastAsia" w:cs="宋体"/>
          <w:b w:val="0"/>
          <w:bCs w:val="0"/>
          <w:sz w:val="21"/>
          <w:szCs w:val="21"/>
          <w:highlight w:val="none"/>
          <w:lang w:val="en-US" w:eastAsia="zh-CN"/>
        </w:rPr>
        <w:t>同等法律效力的</w:t>
      </w:r>
      <w:r>
        <w:rPr>
          <w:rFonts w:hint="eastAsia" w:ascii="宋体" w:hAnsi="宋体" w:eastAsia="宋体" w:cs="宋体"/>
          <w:b w:val="0"/>
          <w:bCs w:val="0"/>
          <w:sz w:val="21"/>
          <w:szCs w:val="21"/>
          <w:highlight w:val="none"/>
          <w:lang w:val="en-US" w:eastAsia="zh-CN"/>
        </w:rPr>
        <w:t>证明文件。</w:t>
      </w:r>
    </w:p>
    <w:p w14:paraId="6B763F41">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3.2 资质条件：投标人是生产厂家的须具有在有效期内的《食品生产许可证》，投标人是经销商的须具有在有效期内的《食品经营许可证》或食品安全监督管理部门备案证明等有效的食品类许可证件</w:t>
      </w:r>
      <w:r>
        <w:rPr>
          <w:rFonts w:hint="eastAsia" w:ascii="宋体" w:hAnsi="宋体" w:eastAsia="宋体" w:cs="宋体"/>
          <w:color w:val="auto"/>
          <w:sz w:val="21"/>
          <w:szCs w:val="21"/>
          <w:highlight w:val="none"/>
          <w:lang w:eastAsia="zh-CN"/>
        </w:rPr>
        <w:t>。</w:t>
      </w:r>
    </w:p>
    <w:p w14:paraId="13F45435">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3.3 投标人应保证所提供的产品必须是安全合格产品，因产品问题而发生的食物中毒等群体事故，由投标人承担经济赔偿责任及其他法律责任(提供承诺书，格式自拟)。</w:t>
      </w:r>
    </w:p>
    <w:p w14:paraId="4B4B16ED">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3.4 信用要求：根据《关于在政府采购活动中查询及使用信用记录有关问题的通知》（财库〔2016〕125 号）和豫财购〔2016〕15号的规定，对列入失信被执行人、重大税收违法失信主体、政府采购严重违法失信行为记录名单的企业，拒绝参与本项目招标采购活动（查询渠道：“信用中国”网站（www.creditchina.gov.cn）查询：列入失信被执行人、重大税收违法失信主体，中国政府采购网（www.ccgp.gov.cn）：政府采购严重违法失信行为记录名单）；采购人或采购代理机构应当在投标人递交投标文件截止时间起至评标开始前查询投标人信用记录。信用信息查询记录和证据采购代理机构将同采购文件等资料一同归档保存。在本公告规定的查询时间之后，网站信息发生的任何变更均不再作为评标依据，投标人自行提供的与网站信息不一致的其他证明材料亦不作为资格审查的依据。</w:t>
      </w:r>
    </w:p>
    <w:p w14:paraId="4342E596">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3.5 单位负责人为同一人或者存在直接控股、管理关系的不同单位，不得参加同一合同项下的政府采购活动。（提供“国家企业信用信息公示系统”中公示的公司信息、股东或投资人信息；非企业性质的投标人无法在该公示系统查询的，则针对此项做出书面承诺，格式自拟并加盖公章）。</w:t>
      </w:r>
    </w:p>
    <w:p w14:paraId="0DDEC300">
      <w:pPr>
        <w:pStyle w:val="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投标人可参加多个标包的投标，但最终只能按照标包顺序取得1个中标资格。评标时，评标委员会按标包序号的先后顺序进行评标并推荐中标候选人，已被推荐为第一中标候选人的投标人，后续标包不再推荐，按照顺序递补确定第一中标候选人。</w:t>
      </w:r>
    </w:p>
    <w:p w14:paraId="0ED5164A">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5" w:name="_Toc21010"/>
      <w:r>
        <w:rPr>
          <w:rFonts w:hint="eastAsia" w:ascii="宋体" w:hAnsi="宋体" w:eastAsia="宋体" w:cs="宋体"/>
          <w:b/>
          <w:bCs/>
          <w:color w:val="auto"/>
          <w:sz w:val="21"/>
          <w:szCs w:val="21"/>
          <w:highlight w:val="none"/>
          <w:lang w:eastAsia="zh-CN"/>
        </w:rPr>
        <w:t>三、获取</w:t>
      </w:r>
      <w:r>
        <w:rPr>
          <w:rFonts w:hint="eastAsia" w:ascii="宋体" w:hAnsi="宋体" w:eastAsia="宋体" w:cs="宋体"/>
          <w:b/>
          <w:bCs/>
          <w:color w:val="auto"/>
          <w:sz w:val="21"/>
          <w:szCs w:val="21"/>
          <w:highlight w:val="none"/>
          <w:lang w:val="en-US" w:eastAsia="zh-CN"/>
        </w:rPr>
        <w:t>招标</w:t>
      </w:r>
      <w:r>
        <w:rPr>
          <w:rFonts w:hint="eastAsia" w:ascii="宋体" w:hAnsi="宋体" w:eastAsia="宋体" w:cs="宋体"/>
          <w:b/>
          <w:bCs/>
          <w:color w:val="auto"/>
          <w:sz w:val="21"/>
          <w:szCs w:val="21"/>
          <w:highlight w:val="none"/>
          <w:lang w:eastAsia="zh-CN"/>
        </w:rPr>
        <w:t>文件</w:t>
      </w:r>
      <w:bookmarkEnd w:id="5"/>
    </w:p>
    <w:p w14:paraId="35FE59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09</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日至202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09</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日，每天上午00:00至12:00，下午12:00至23:59（北京时间，法定节假日除外）。</w:t>
      </w:r>
    </w:p>
    <w:p w14:paraId="0106DB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地点：河南省公共资源交易中心（https://hnsggzyjy.henan.gov.cn/）。</w:t>
      </w:r>
    </w:p>
    <w:p w14:paraId="101B7A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方式：凭企业CA密钥登录河南省公共资源交易中心，点击“交易主体登录”下载</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lang w:eastAsia="zh-CN"/>
        </w:rPr>
        <w:t>文件及资料。</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需要完成信息登记及CA数字证书办理，才能通过省公共资源交易平台参与交易活动，具体办理事宜请查阅河南省公共资源交易中心网站“办事指南”专区的《河南省公共资源交易平台市场主体信息库登记指南（工程建设、政府采购）》。</w:t>
      </w:r>
    </w:p>
    <w:p w14:paraId="00EA72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售价：0元</w:t>
      </w:r>
    </w:p>
    <w:p w14:paraId="24DB80C0">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6" w:name="_Toc8799"/>
      <w:r>
        <w:rPr>
          <w:rFonts w:hint="eastAsia" w:ascii="宋体" w:hAnsi="宋体" w:eastAsia="宋体" w:cs="宋体"/>
          <w:b/>
          <w:bCs/>
          <w:color w:val="auto"/>
          <w:sz w:val="21"/>
          <w:szCs w:val="21"/>
          <w:highlight w:val="none"/>
          <w:lang w:eastAsia="zh-CN"/>
        </w:rPr>
        <w:t>四、投标截止时间及地点</w:t>
      </w:r>
      <w:bookmarkEnd w:id="6"/>
    </w:p>
    <w:p w14:paraId="297D3B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w:t>
      </w:r>
      <w:r>
        <w:rPr>
          <w:rFonts w:hint="eastAsia"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lang w:eastAsia="zh-CN"/>
        </w:rPr>
        <w:t>分（北京时间）</w:t>
      </w:r>
    </w:p>
    <w:p w14:paraId="3AF38D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地点：</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应将使用最新版本投标文件制作工具制作的电子投标文件，在河南省公共资源交易中心交易系统中成功加密上传至指定位置。加密电子投标文件须在投标文件提交截止时间前通过“河南省公共资源交易中心”电子交易平台上传，加密的电子投标文件逾期上传或未上传至指定地点的，采购人不予受理。</w:t>
      </w:r>
    </w:p>
    <w:p w14:paraId="16C09C09">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7" w:name="_Toc23183"/>
      <w:r>
        <w:rPr>
          <w:rFonts w:hint="eastAsia" w:ascii="宋体" w:hAnsi="宋体" w:eastAsia="宋体" w:cs="宋体"/>
          <w:b/>
          <w:bCs/>
          <w:color w:val="auto"/>
          <w:sz w:val="21"/>
          <w:szCs w:val="21"/>
          <w:highlight w:val="none"/>
          <w:lang w:eastAsia="zh-CN"/>
        </w:rPr>
        <w:t>五、开标时间及地点</w:t>
      </w:r>
      <w:bookmarkEnd w:id="7"/>
    </w:p>
    <w:p w14:paraId="32B40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时间：202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w:t>
      </w:r>
      <w:r>
        <w:rPr>
          <w:rFonts w:hint="eastAsia"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lang w:eastAsia="zh-CN"/>
        </w:rPr>
        <w:t>分（北京时间）</w:t>
      </w:r>
    </w:p>
    <w:p w14:paraId="3C34BA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地点：河南省公共资源交易中心远程开标室（</w:t>
      </w:r>
      <w:r>
        <w:rPr>
          <w:rFonts w:hint="eastAsia" w:cs="宋体"/>
          <w:color w:val="auto"/>
          <w:sz w:val="21"/>
          <w:szCs w:val="21"/>
          <w:highlight w:val="none"/>
          <w:lang w:val="en-US" w:eastAsia="zh-CN"/>
        </w:rPr>
        <w:t>一</w:t>
      </w:r>
      <w:r>
        <w:rPr>
          <w:rFonts w:hint="eastAsia" w:ascii="宋体" w:hAnsi="宋体" w:eastAsia="宋体" w:cs="宋体"/>
          <w:color w:val="auto"/>
          <w:sz w:val="21"/>
          <w:szCs w:val="21"/>
          <w:highlight w:val="none"/>
          <w:lang w:eastAsia="zh-CN"/>
        </w:rPr>
        <w:t>）-</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（郑州市经二路12号）。</w:t>
      </w:r>
    </w:p>
    <w:p w14:paraId="4F44F103">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8" w:name="_Toc28522"/>
      <w:r>
        <w:rPr>
          <w:rFonts w:hint="eastAsia" w:ascii="宋体" w:hAnsi="宋体" w:eastAsia="宋体" w:cs="宋体"/>
          <w:b/>
          <w:bCs/>
          <w:color w:val="auto"/>
          <w:sz w:val="21"/>
          <w:szCs w:val="21"/>
          <w:highlight w:val="none"/>
          <w:lang w:eastAsia="zh-CN"/>
        </w:rPr>
        <w:t>六、发布公告的媒介及招标公告期限</w:t>
      </w:r>
      <w:bookmarkEnd w:id="8"/>
    </w:p>
    <w:p w14:paraId="0CAAE3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本次</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lang w:eastAsia="zh-CN"/>
        </w:rPr>
        <w:t>公告在《河南省政府采购网》《河南省公共资源交易中心》上发布，</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lang w:eastAsia="zh-CN"/>
        </w:rPr>
        <w:t>公告期限为五个工作日。</w:t>
      </w:r>
    </w:p>
    <w:p w14:paraId="1ED396C3">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9" w:name="_Toc3715"/>
      <w:r>
        <w:rPr>
          <w:rFonts w:hint="eastAsia" w:ascii="宋体" w:hAnsi="宋体" w:eastAsia="宋体" w:cs="宋体"/>
          <w:b/>
          <w:bCs/>
          <w:color w:val="auto"/>
          <w:sz w:val="21"/>
          <w:szCs w:val="21"/>
          <w:highlight w:val="none"/>
          <w:lang w:eastAsia="zh-CN"/>
        </w:rPr>
        <w:t>七、其他补充事宜</w:t>
      </w:r>
      <w:bookmarkEnd w:id="9"/>
    </w:p>
    <w:p w14:paraId="07B265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本项目执行促进中小型企业发展政策（监狱企业、残疾人福利性企业视同小微企业）、优先采购节能环保产品</w:t>
      </w:r>
      <w:r>
        <w:rPr>
          <w:rFonts w:hint="eastAsia" w:ascii="宋体" w:hAnsi="宋体" w:eastAsia="宋体" w:cs="宋体"/>
          <w:color w:val="auto"/>
          <w:sz w:val="21"/>
          <w:szCs w:val="21"/>
          <w:highlight w:val="none"/>
          <w:lang w:val="en-US" w:eastAsia="zh-CN"/>
        </w:rPr>
        <w:t>等政府采购</w:t>
      </w:r>
      <w:r>
        <w:rPr>
          <w:rFonts w:hint="eastAsia" w:ascii="宋体" w:hAnsi="宋体" w:eastAsia="宋体" w:cs="宋体"/>
          <w:color w:val="auto"/>
          <w:sz w:val="21"/>
          <w:szCs w:val="21"/>
          <w:highlight w:val="none"/>
          <w:lang w:eastAsia="zh-CN"/>
        </w:rPr>
        <w:t>政策。</w:t>
      </w:r>
    </w:p>
    <w:p w14:paraId="54A195E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本项目采用“远程不见面”开标方式，</w:t>
      </w:r>
      <w:r>
        <w:rPr>
          <w:rFonts w:hint="eastAsia" w:ascii="宋体" w:hAnsi="宋体" w:eastAsia="宋体" w:cs="宋体"/>
          <w:color w:val="auto"/>
          <w:sz w:val="21"/>
          <w:szCs w:val="21"/>
          <w:highlight w:val="none"/>
          <w:lang w:val="en-US" w:eastAsia="zh-CN"/>
        </w:rPr>
        <w:t>网址</w:t>
      </w:r>
      <w:r>
        <w:rPr>
          <w:rFonts w:hint="eastAsia" w:ascii="宋体" w:hAnsi="宋体" w:eastAsia="宋体" w:cs="宋体"/>
          <w:color w:val="auto"/>
          <w:sz w:val="21"/>
          <w:szCs w:val="21"/>
          <w:highlight w:val="none"/>
          <w:lang w:eastAsia="zh-CN"/>
        </w:rPr>
        <w:t>（https://hnsggzyjy.henan.gov.cn/BidOpening/bidopeninghallaction/hall/login）。</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应当</w:t>
      </w:r>
      <w:r>
        <w:rPr>
          <w:rFonts w:hint="eastAsia" w:cs="宋体"/>
          <w:color w:val="auto"/>
          <w:sz w:val="21"/>
          <w:szCs w:val="21"/>
          <w:highlight w:val="none"/>
          <w:lang w:eastAsia="zh-CN"/>
        </w:rPr>
        <w:t>在招标文件确定的投标文件递交截止时间前</w:t>
      </w:r>
      <w:r>
        <w:rPr>
          <w:rFonts w:hint="eastAsia" w:ascii="宋体" w:hAnsi="宋体" w:eastAsia="宋体" w:cs="宋体"/>
          <w:color w:val="auto"/>
          <w:sz w:val="21"/>
          <w:szCs w:val="21"/>
          <w:highlight w:val="none"/>
          <w:lang w:eastAsia="zh-CN"/>
        </w:rPr>
        <w:t>，登录远程开标大厅，在线准时参加开标活动并进行文件解密、答疑澄清等。</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未在规定时间内解密的，其投标文件采购人将拒绝接收。</w:t>
      </w:r>
    </w:p>
    <w:p w14:paraId="057E2D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不见面服务的具体事宜请参阅公共服务--办事指南--新交易平台使用手册（培训手册）。</w:t>
      </w:r>
    </w:p>
    <w:p w14:paraId="2363022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本次招标代理服务费参照《河南省招标代理服务收费指导意见》（豫招协〔2023〕2号）文件以</w:t>
      </w:r>
      <w:r>
        <w:rPr>
          <w:rFonts w:hint="eastAsia" w:cs="宋体"/>
          <w:color w:val="auto"/>
          <w:sz w:val="21"/>
          <w:szCs w:val="21"/>
          <w:highlight w:val="none"/>
          <w:lang w:val="en-US" w:eastAsia="zh-CN"/>
        </w:rPr>
        <w:t>预算</w:t>
      </w:r>
      <w:r>
        <w:rPr>
          <w:rFonts w:hint="eastAsia" w:ascii="宋体" w:hAnsi="宋体" w:eastAsia="宋体" w:cs="宋体"/>
          <w:color w:val="auto"/>
          <w:sz w:val="21"/>
          <w:szCs w:val="21"/>
          <w:highlight w:val="none"/>
          <w:lang w:val="en-US" w:eastAsia="zh-CN"/>
        </w:rPr>
        <w:t>金额为计费基数向中标人收取采购代理服务费，不足1万元的按1万元收取。</w:t>
      </w:r>
    </w:p>
    <w:p w14:paraId="12FE2035">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bookmarkStart w:id="10" w:name="_Toc5738"/>
      <w:r>
        <w:rPr>
          <w:rFonts w:hint="eastAsia" w:ascii="宋体" w:hAnsi="宋体" w:eastAsia="宋体" w:cs="宋体"/>
          <w:b/>
          <w:bCs/>
          <w:color w:val="auto"/>
          <w:sz w:val="21"/>
          <w:szCs w:val="21"/>
          <w:highlight w:val="none"/>
          <w:lang w:eastAsia="zh-CN"/>
        </w:rPr>
        <w:t>八、凡对本次招标提出询问，请按照以下方式联系</w:t>
      </w:r>
      <w:bookmarkEnd w:id="10"/>
    </w:p>
    <w:p w14:paraId="5953A7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采购人信息</w:t>
      </w:r>
    </w:p>
    <w:p w14:paraId="698FBC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名称：河南省</w:t>
      </w:r>
      <w:r>
        <w:rPr>
          <w:rFonts w:hint="eastAsia" w:ascii="宋体" w:hAnsi="宋体" w:eastAsia="宋体" w:cs="宋体"/>
          <w:color w:val="auto"/>
          <w:sz w:val="21"/>
          <w:szCs w:val="21"/>
          <w:highlight w:val="none"/>
          <w:lang w:val="en-US" w:eastAsia="zh-CN"/>
        </w:rPr>
        <w:t>周口监狱</w:t>
      </w:r>
    </w:p>
    <w:p w14:paraId="117556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lang w:val="en-US" w:eastAsia="zh-CN"/>
        </w:rPr>
        <w:t>周口市西华县</w:t>
      </w:r>
    </w:p>
    <w:p w14:paraId="1E8B2B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联系人：</w:t>
      </w:r>
      <w:r>
        <w:rPr>
          <w:rFonts w:hint="eastAsia" w:ascii="宋体" w:hAnsi="宋体" w:eastAsia="宋体" w:cs="宋体"/>
          <w:color w:val="auto"/>
          <w:sz w:val="21"/>
          <w:szCs w:val="21"/>
          <w:highlight w:val="none"/>
          <w:lang w:val="en-US" w:eastAsia="zh-CN"/>
        </w:rPr>
        <w:t>李</w:t>
      </w:r>
      <w:r>
        <w:rPr>
          <w:rFonts w:hint="eastAsia" w:cs="宋体"/>
          <w:color w:val="auto"/>
          <w:sz w:val="21"/>
          <w:szCs w:val="21"/>
          <w:highlight w:val="none"/>
          <w:lang w:val="en-US" w:eastAsia="zh-CN"/>
        </w:rPr>
        <w:t>海军</w:t>
      </w:r>
    </w:p>
    <w:p w14:paraId="581886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联系方式：</w:t>
      </w:r>
      <w:r>
        <w:rPr>
          <w:rFonts w:hint="eastAsia" w:ascii="宋体" w:hAnsi="宋体" w:eastAsia="宋体" w:cs="宋体"/>
          <w:color w:val="auto"/>
          <w:sz w:val="21"/>
          <w:szCs w:val="21"/>
          <w:highlight w:val="none"/>
          <w:lang w:val="en-US" w:eastAsia="zh-CN"/>
        </w:rPr>
        <w:t>0394-8796026</w:t>
      </w:r>
    </w:p>
    <w:p w14:paraId="15DB2A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采购代理机构信息（</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eastAsia="zh-CN"/>
        </w:rPr>
        <w:t>）</w:t>
      </w:r>
    </w:p>
    <w:p w14:paraId="563D34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名称：</w:t>
      </w:r>
      <w:r>
        <w:rPr>
          <w:rFonts w:hint="eastAsia" w:ascii="宋体" w:hAnsi="宋体" w:eastAsia="宋体" w:cs="宋体"/>
          <w:color w:val="auto"/>
          <w:sz w:val="21"/>
          <w:szCs w:val="21"/>
          <w:highlight w:val="none"/>
          <w:lang w:val="en-US" w:eastAsia="zh-CN"/>
        </w:rPr>
        <w:t>河南省通力建设工程咨询有限公司</w:t>
      </w:r>
    </w:p>
    <w:p w14:paraId="012E24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lang w:val="en-US" w:eastAsia="zh-CN"/>
        </w:rPr>
        <w:t>郑州市航海东路第八大街富田财富广场1号楼2202室</w:t>
      </w:r>
    </w:p>
    <w:p w14:paraId="274872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联系人：闫信强</w:t>
      </w:r>
    </w:p>
    <w:p w14:paraId="0897DF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联系方式：15639015888</w:t>
      </w:r>
    </w:p>
    <w:p w14:paraId="3BE334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w:t>
      </w:r>
      <w:r>
        <w:rPr>
          <w:rFonts w:hint="eastAsia" w:cs="宋体"/>
          <w:color w:val="auto"/>
          <w:sz w:val="21"/>
          <w:szCs w:val="21"/>
          <w:highlight w:val="none"/>
          <w:lang w:val="en-US" w:eastAsia="zh-CN"/>
        </w:rPr>
        <w:t>.</w:t>
      </w:r>
      <w:bookmarkStart w:id="11" w:name="_GoBack"/>
      <w:bookmarkEnd w:id="11"/>
      <w:r>
        <w:rPr>
          <w:rFonts w:hint="eastAsia" w:ascii="宋体" w:hAnsi="宋体" w:eastAsia="宋体" w:cs="宋体"/>
          <w:color w:val="auto"/>
          <w:sz w:val="21"/>
          <w:szCs w:val="21"/>
          <w:highlight w:val="none"/>
          <w:lang w:eastAsia="zh-CN"/>
        </w:rPr>
        <w:t>项目联系方式</w:t>
      </w:r>
    </w:p>
    <w:p w14:paraId="3CD111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eastAsia="宋体" w:cs="宋体"/>
          <w:color w:val="auto"/>
          <w:sz w:val="21"/>
          <w:szCs w:val="21"/>
          <w:highlight w:val="none"/>
          <w:lang w:val="en-US" w:eastAsia="zh-CN"/>
        </w:rPr>
        <w:t>闫信强</w:t>
      </w:r>
    </w:p>
    <w:p w14:paraId="64826F37">
      <w:pPr>
        <w:pStyle w:val="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single"/>
          <w:shd w:val="clear" w:color="auto" w:fill="FFFFFF"/>
          <w:lang w:val="en-US" w:eastAsia="zh-CN"/>
        </w:rPr>
      </w:pPr>
      <w:r>
        <w:rPr>
          <w:rFonts w:hint="eastAsia" w:ascii="宋体" w:hAnsi="宋体" w:eastAsia="宋体" w:cs="宋体"/>
          <w:color w:val="auto"/>
          <w:sz w:val="21"/>
          <w:szCs w:val="21"/>
          <w:highlight w:val="none"/>
          <w:lang w:eastAsia="zh-CN"/>
        </w:rPr>
        <w:t>联系方式：15639015888</w:t>
      </w:r>
    </w:p>
    <w:p w14:paraId="654211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A67553"/>
    <w:rsid w:val="45A67553"/>
    <w:rsid w:val="6EB84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paragraph" w:styleId="2">
    <w:name w:val="heading 2"/>
    <w:basedOn w:val="1"/>
    <w:next w:val="1"/>
    <w:qFormat/>
    <w:uiPriority w:val="99"/>
    <w:pPr>
      <w:keepNext/>
      <w:keepLines/>
      <w:numPr>
        <w:ilvl w:val="1"/>
        <w:numId w:val="0"/>
      </w:numPr>
      <w:spacing w:line="360" w:lineRule="auto"/>
      <w:ind w:left="0" w:firstLine="0"/>
      <w:jc w:val="left"/>
      <w:outlineLvl w:val="1"/>
    </w:pPr>
    <w:rPr>
      <w:rFonts w:ascii="Arial" w:hAnsi="Arial" w:eastAsia="宋体"/>
      <w:b/>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2"/>
    <w:basedOn w:val="1"/>
    <w:qFormat/>
    <w:uiPriority w:val="0"/>
    <w:pPr>
      <w:spacing w:after="120" w:line="480" w:lineRule="auto"/>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626</Words>
  <Characters>792</Characters>
  <Lines>0</Lines>
  <Paragraphs>0</Paragraphs>
  <TotalTime>0</TotalTime>
  <ScaleCrop>false</ScaleCrop>
  <LinksUpToDate>false</LinksUpToDate>
  <CharactersWithSpaces>797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2026-09-22T01:10:00Z</dcterms:created>
  <dc:creator>AI Review</dc:creator>
  <cp:lastModifiedBy>AI Review</cp:lastModifiedBy>
  <dcterms:modified xsi:type="dcterms:W3CDTF">2026-09-22T02:08:19Z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B3F8711BE542438AB5029A3FC4FC57E6_11</vt:lpwstr>
  </property>
  <property fmtid="{D5CDD505-2E9C-101B-9397-08002B2CF9AE}" pid="4" name="KSOTemplateDocerSaveRecord">
    <vt:lpwstr>eyJoZGlkIjoiZjEwOWYzMmI5NzZmYjllZmRhY2UxZTY5NDE0MGUyOWYiLCJ1c2VySWQiOiIzNDk2NDM1NzcifQ==</vt:lpwstr>
  </property>
</Properties>
</file>